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3A1271">
      <w:pPr>
        <w:pStyle w:val="11"/>
        <w:jc w:val="center"/>
        <w:rPr>
          <w:rFonts w:ascii="仿宋" w:hAnsi="仿宋" w:eastAsia="仿宋" w:cs="仿宋"/>
          <w:color w:val="auto"/>
          <w:sz w:val="56"/>
          <w:szCs w:val="56"/>
          <w:highlight w:val="none"/>
        </w:rPr>
      </w:pPr>
    </w:p>
    <w:p w14:paraId="4422F5B0">
      <w:pPr>
        <w:pStyle w:val="11"/>
        <w:jc w:val="center"/>
        <w:rPr>
          <w:rFonts w:ascii="仿宋" w:hAnsi="仿宋" w:eastAsia="仿宋" w:cs="仿宋"/>
          <w:color w:val="auto"/>
          <w:sz w:val="56"/>
          <w:szCs w:val="56"/>
          <w:highlight w:val="none"/>
        </w:rPr>
      </w:pPr>
    </w:p>
    <w:p w14:paraId="6FDFF367">
      <w:pPr>
        <w:pStyle w:val="11"/>
        <w:jc w:val="center"/>
        <w:rPr>
          <w:rFonts w:ascii="仿宋" w:hAnsi="仿宋" w:eastAsia="仿宋" w:cs="仿宋"/>
          <w:color w:val="auto"/>
          <w:sz w:val="84"/>
          <w:szCs w:val="84"/>
          <w:highlight w:val="none"/>
        </w:rPr>
      </w:pPr>
    </w:p>
    <w:p w14:paraId="7B1F3718">
      <w:pPr>
        <w:pStyle w:val="11"/>
        <w:jc w:val="center"/>
        <w:rPr>
          <w:rFonts w:ascii="仿宋" w:hAnsi="仿宋" w:eastAsia="仿宋" w:cs="仿宋"/>
          <w:color w:val="auto"/>
          <w:sz w:val="84"/>
          <w:szCs w:val="84"/>
          <w:highlight w:val="none"/>
        </w:rPr>
      </w:pPr>
    </w:p>
    <w:p w14:paraId="5228F2B8">
      <w:pPr>
        <w:pStyle w:val="11"/>
        <w:jc w:val="center"/>
        <w:rPr>
          <w:rFonts w:hAnsi="黑体"/>
          <w:b/>
          <w:color w:val="auto"/>
          <w:sz w:val="84"/>
          <w:szCs w:val="84"/>
          <w:highlight w:val="none"/>
        </w:rPr>
      </w:pPr>
      <w:r>
        <w:rPr>
          <w:rFonts w:hint="eastAsia" w:hAnsi="黑体"/>
          <w:b/>
          <w:color w:val="auto"/>
          <w:sz w:val="84"/>
          <w:szCs w:val="84"/>
          <w:highlight w:val="none"/>
        </w:rPr>
        <w:t>2022年度</w:t>
      </w:r>
    </w:p>
    <w:p w14:paraId="4B948792">
      <w:pPr>
        <w:pStyle w:val="11"/>
        <w:jc w:val="center"/>
        <w:rPr>
          <w:rFonts w:hAnsi="黑体"/>
          <w:b/>
          <w:color w:val="auto"/>
          <w:sz w:val="84"/>
          <w:szCs w:val="84"/>
          <w:highlight w:val="none"/>
        </w:rPr>
      </w:pPr>
      <w:r>
        <w:rPr>
          <w:rFonts w:hint="eastAsia" w:hAnsi="黑体"/>
          <w:b/>
          <w:color w:val="auto"/>
          <w:sz w:val="84"/>
          <w:szCs w:val="84"/>
          <w:highlight w:val="none"/>
        </w:rPr>
        <w:t>怀化市公安局鹤城分局</w:t>
      </w:r>
    </w:p>
    <w:p w14:paraId="17E9A26D">
      <w:pPr>
        <w:pStyle w:val="11"/>
        <w:jc w:val="center"/>
        <w:rPr>
          <w:rFonts w:hAnsi="黑体"/>
          <w:b/>
          <w:color w:val="auto"/>
          <w:sz w:val="84"/>
          <w:szCs w:val="84"/>
          <w:highlight w:val="none"/>
        </w:rPr>
      </w:pPr>
      <w:r>
        <w:rPr>
          <w:rFonts w:hint="eastAsia" w:hAnsi="黑体"/>
          <w:b/>
          <w:color w:val="auto"/>
          <w:sz w:val="84"/>
          <w:szCs w:val="84"/>
          <w:highlight w:val="none"/>
        </w:rPr>
        <w:t>部门决算</w:t>
      </w:r>
    </w:p>
    <w:p w14:paraId="59F1F931">
      <w:pPr>
        <w:pStyle w:val="11"/>
        <w:jc w:val="center"/>
        <w:rPr>
          <w:rFonts w:ascii="仿宋" w:hAnsi="仿宋" w:eastAsia="仿宋" w:cs="仿宋"/>
          <w:color w:val="auto"/>
          <w:sz w:val="56"/>
          <w:szCs w:val="56"/>
          <w:highlight w:val="none"/>
        </w:rPr>
      </w:pPr>
    </w:p>
    <w:p w14:paraId="5A2E2BA7">
      <w:pPr>
        <w:pStyle w:val="11"/>
        <w:jc w:val="center"/>
        <w:rPr>
          <w:rFonts w:ascii="仿宋" w:hAnsi="仿宋" w:eastAsia="仿宋" w:cs="仿宋"/>
          <w:color w:val="auto"/>
          <w:sz w:val="56"/>
          <w:szCs w:val="56"/>
          <w:highlight w:val="none"/>
        </w:rPr>
      </w:pPr>
    </w:p>
    <w:p w14:paraId="239C4233">
      <w:pPr>
        <w:pStyle w:val="11"/>
        <w:jc w:val="center"/>
        <w:rPr>
          <w:rFonts w:ascii="仿宋" w:hAnsi="仿宋" w:eastAsia="仿宋" w:cs="仿宋"/>
          <w:color w:val="auto"/>
          <w:sz w:val="56"/>
          <w:szCs w:val="56"/>
          <w:highlight w:val="none"/>
        </w:rPr>
      </w:pPr>
    </w:p>
    <w:p w14:paraId="55F8BB2C">
      <w:pPr>
        <w:pStyle w:val="11"/>
        <w:jc w:val="center"/>
        <w:rPr>
          <w:rFonts w:ascii="仿宋" w:hAnsi="仿宋" w:eastAsia="仿宋" w:cs="仿宋"/>
          <w:color w:val="auto"/>
          <w:sz w:val="56"/>
          <w:szCs w:val="56"/>
          <w:highlight w:val="none"/>
        </w:rPr>
      </w:pPr>
    </w:p>
    <w:p w14:paraId="789F2196">
      <w:pPr>
        <w:pStyle w:val="11"/>
        <w:jc w:val="center"/>
        <w:rPr>
          <w:rFonts w:ascii="仿宋" w:hAnsi="仿宋" w:eastAsia="仿宋" w:cs="仿宋"/>
          <w:color w:val="auto"/>
          <w:sz w:val="32"/>
          <w:szCs w:val="32"/>
          <w:highlight w:val="none"/>
        </w:rPr>
      </w:pPr>
    </w:p>
    <w:p w14:paraId="2D1A8688">
      <w:pPr>
        <w:pStyle w:val="11"/>
        <w:jc w:val="center"/>
        <w:rPr>
          <w:rFonts w:ascii="仿宋" w:hAnsi="仿宋" w:eastAsia="仿宋" w:cs="仿宋"/>
          <w:color w:val="auto"/>
          <w:sz w:val="32"/>
          <w:szCs w:val="32"/>
          <w:highlight w:val="none"/>
        </w:rPr>
      </w:pPr>
    </w:p>
    <w:p w14:paraId="47B6F38B">
      <w:pPr>
        <w:pStyle w:val="11"/>
        <w:jc w:val="center"/>
        <w:rPr>
          <w:rFonts w:ascii="仿宋" w:hAnsi="仿宋" w:eastAsia="仿宋" w:cs="仿宋"/>
          <w:color w:val="auto"/>
          <w:sz w:val="32"/>
          <w:szCs w:val="32"/>
          <w:highlight w:val="none"/>
        </w:rPr>
      </w:pPr>
    </w:p>
    <w:p w14:paraId="2F129F42">
      <w:pPr>
        <w:pStyle w:val="11"/>
        <w:jc w:val="center"/>
        <w:rPr>
          <w:rFonts w:ascii="仿宋" w:hAnsi="仿宋" w:eastAsia="仿宋" w:cs="仿宋"/>
          <w:color w:val="auto"/>
          <w:sz w:val="32"/>
          <w:szCs w:val="32"/>
          <w:highlight w:val="none"/>
        </w:rPr>
      </w:pPr>
    </w:p>
    <w:p w14:paraId="43B38D43">
      <w:pPr>
        <w:pStyle w:val="11"/>
        <w:spacing w:line="500" w:lineRule="exact"/>
        <w:rPr>
          <w:rFonts w:hint="eastAsia" w:ascii="仿宋" w:hAnsi="仿宋" w:eastAsia="仿宋" w:cs="仿宋"/>
          <w:color w:val="auto"/>
          <w:sz w:val="32"/>
          <w:szCs w:val="32"/>
          <w:highlight w:val="none"/>
        </w:rPr>
      </w:pPr>
    </w:p>
    <w:p w14:paraId="3D0CCFB0">
      <w:pPr>
        <w:pStyle w:val="11"/>
        <w:spacing w:line="500" w:lineRule="exact"/>
        <w:rPr>
          <w:rFonts w:ascii="仿宋" w:hAnsi="仿宋" w:eastAsia="仿宋" w:cs="仿宋"/>
          <w:b/>
          <w:color w:val="auto"/>
          <w:sz w:val="36"/>
          <w:szCs w:val="28"/>
          <w:highlight w:val="none"/>
        </w:rPr>
      </w:pPr>
    </w:p>
    <w:p w14:paraId="79259A12">
      <w:pPr>
        <w:pStyle w:val="11"/>
        <w:spacing w:line="500" w:lineRule="exact"/>
        <w:jc w:val="center"/>
        <w:rPr>
          <w:rFonts w:ascii="仿宋" w:hAnsi="仿宋" w:eastAsia="仿宋" w:cs="仿宋"/>
          <w:b/>
          <w:color w:val="auto"/>
          <w:sz w:val="36"/>
          <w:szCs w:val="28"/>
          <w:highlight w:val="none"/>
        </w:rPr>
      </w:pPr>
      <w:r>
        <w:rPr>
          <w:rFonts w:hint="eastAsia" w:ascii="仿宋" w:hAnsi="仿宋" w:eastAsia="仿宋" w:cs="仿宋"/>
          <w:b/>
          <w:color w:val="auto"/>
          <w:sz w:val="36"/>
          <w:szCs w:val="28"/>
          <w:highlight w:val="none"/>
        </w:rPr>
        <w:t>目录</w:t>
      </w:r>
    </w:p>
    <w:p w14:paraId="24F62D76">
      <w:pPr>
        <w:pStyle w:val="11"/>
        <w:spacing w:line="440" w:lineRule="exact"/>
        <w:rPr>
          <w:rFonts w:ascii="仿宋" w:hAnsi="仿宋" w:eastAsia="仿宋" w:cs="仿宋"/>
          <w:b/>
          <w:color w:val="auto"/>
          <w:sz w:val="28"/>
          <w:szCs w:val="28"/>
          <w:highlight w:val="none"/>
        </w:rPr>
      </w:pPr>
      <w:r>
        <w:rPr>
          <w:rFonts w:hint="eastAsia" w:ascii="仿宋" w:hAnsi="仿宋" w:eastAsia="仿宋" w:cs="仿宋"/>
          <w:b/>
          <w:color w:val="auto"/>
          <w:sz w:val="28"/>
          <w:szCs w:val="28"/>
          <w:highlight w:val="none"/>
        </w:rPr>
        <w:t>第一部分 怀化市公安局鹤城分局单位概况</w:t>
      </w:r>
    </w:p>
    <w:p w14:paraId="249DEF72">
      <w:pPr>
        <w:pStyle w:val="11"/>
        <w:spacing w:line="440" w:lineRule="exact"/>
        <w:ind w:firstLine="700" w:firstLineChars="25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一、部门职责</w:t>
      </w:r>
    </w:p>
    <w:p w14:paraId="7900F0B0">
      <w:pPr>
        <w:pStyle w:val="11"/>
        <w:spacing w:line="440" w:lineRule="exact"/>
        <w:ind w:firstLine="700" w:firstLineChars="25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二、机构设置</w:t>
      </w:r>
    </w:p>
    <w:p w14:paraId="67AA6785">
      <w:pPr>
        <w:pStyle w:val="11"/>
        <w:spacing w:line="440" w:lineRule="exact"/>
        <w:rPr>
          <w:rFonts w:ascii="仿宋" w:hAnsi="仿宋" w:eastAsia="仿宋" w:cs="仿宋"/>
          <w:b/>
          <w:color w:val="auto"/>
          <w:sz w:val="28"/>
          <w:szCs w:val="28"/>
          <w:highlight w:val="none"/>
        </w:rPr>
      </w:pPr>
      <w:r>
        <w:rPr>
          <w:rFonts w:hint="eastAsia" w:ascii="仿宋" w:hAnsi="仿宋" w:eastAsia="仿宋" w:cs="仿宋"/>
          <w:b/>
          <w:color w:val="auto"/>
          <w:sz w:val="28"/>
          <w:szCs w:val="28"/>
          <w:highlight w:val="none"/>
        </w:rPr>
        <w:t>第二部分2022年度部门决算表</w:t>
      </w:r>
    </w:p>
    <w:p w14:paraId="53124FB1">
      <w:pPr>
        <w:pStyle w:val="11"/>
        <w:spacing w:line="440" w:lineRule="exact"/>
        <w:ind w:firstLine="700" w:firstLineChars="25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一、收入支出决算总表</w:t>
      </w:r>
    </w:p>
    <w:p w14:paraId="1F4A7614">
      <w:pPr>
        <w:pStyle w:val="11"/>
        <w:spacing w:line="440" w:lineRule="exact"/>
        <w:ind w:firstLine="700" w:firstLineChars="25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二、收入决算表</w:t>
      </w:r>
    </w:p>
    <w:p w14:paraId="19EC17AE">
      <w:pPr>
        <w:pStyle w:val="11"/>
        <w:spacing w:line="440" w:lineRule="exact"/>
        <w:ind w:firstLine="700" w:firstLineChars="25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三、支出决算表</w:t>
      </w:r>
    </w:p>
    <w:p w14:paraId="3D6DCFC7">
      <w:pPr>
        <w:pStyle w:val="11"/>
        <w:spacing w:line="440" w:lineRule="exact"/>
        <w:ind w:firstLine="700" w:firstLineChars="25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四、财政拨款收入支出决算总表</w:t>
      </w:r>
    </w:p>
    <w:p w14:paraId="49530353">
      <w:pPr>
        <w:pStyle w:val="11"/>
        <w:spacing w:line="440" w:lineRule="exact"/>
        <w:ind w:firstLine="700" w:firstLineChars="25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五、一般公共预算财政拨款支出决算表</w:t>
      </w:r>
    </w:p>
    <w:p w14:paraId="15A40EFB">
      <w:pPr>
        <w:pStyle w:val="11"/>
        <w:spacing w:line="440" w:lineRule="exact"/>
        <w:ind w:firstLine="700" w:firstLineChars="25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六、一般公共预算财政拨款基本支出决算明细表</w:t>
      </w:r>
    </w:p>
    <w:p w14:paraId="4091A4E3">
      <w:pPr>
        <w:pStyle w:val="11"/>
        <w:spacing w:line="440" w:lineRule="exact"/>
        <w:ind w:firstLine="700" w:firstLineChars="25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七、一般公共预算财政拨款“三公”经费支出决算表</w:t>
      </w:r>
    </w:p>
    <w:p w14:paraId="1AB69B56">
      <w:pPr>
        <w:pStyle w:val="11"/>
        <w:spacing w:line="440" w:lineRule="exact"/>
        <w:ind w:firstLine="700" w:firstLineChars="25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八、政府性基金预算财政拨款收入支出决算表</w:t>
      </w:r>
    </w:p>
    <w:p w14:paraId="60E17000">
      <w:pPr>
        <w:pStyle w:val="11"/>
        <w:spacing w:line="440" w:lineRule="exact"/>
        <w:ind w:firstLine="700" w:firstLineChars="25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九、国有资本经营预算财政拨款支出决算表</w:t>
      </w:r>
    </w:p>
    <w:p w14:paraId="1184359A">
      <w:pPr>
        <w:pStyle w:val="11"/>
        <w:spacing w:line="440" w:lineRule="exact"/>
        <w:rPr>
          <w:rFonts w:ascii="仿宋" w:hAnsi="仿宋" w:eastAsia="仿宋" w:cs="仿宋"/>
          <w:b/>
          <w:color w:val="auto"/>
          <w:sz w:val="28"/>
          <w:szCs w:val="28"/>
          <w:highlight w:val="none"/>
        </w:rPr>
      </w:pPr>
      <w:r>
        <w:rPr>
          <w:rFonts w:hint="eastAsia" w:ascii="仿宋" w:hAnsi="仿宋" w:eastAsia="仿宋" w:cs="仿宋"/>
          <w:b/>
          <w:color w:val="auto"/>
          <w:sz w:val="28"/>
          <w:szCs w:val="28"/>
          <w:highlight w:val="none"/>
        </w:rPr>
        <w:t>第三部分2022年度部门决算情况说明</w:t>
      </w:r>
    </w:p>
    <w:p w14:paraId="5C280838">
      <w:pPr>
        <w:pStyle w:val="11"/>
        <w:spacing w:line="440" w:lineRule="exact"/>
        <w:ind w:firstLine="700" w:firstLineChars="25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一、收入支出决算总体情况说明</w:t>
      </w:r>
    </w:p>
    <w:p w14:paraId="066885BE">
      <w:pPr>
        <w:spacing w:line="440" w:lineRule="exact"/>
        <w:ind w:firstLine="700" w:firstLineChars="250"/>
        <w:jc w:val="left"/>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二、收入决算情况说明</w:t>
      </w:r>
    </w:p>
    <w:p w14:paraId="5607B7B4">
      <w:pPr>
        <w:autoSpaceDE w:val="0"/>
        <w:autoSpaceDN w:val="0"/>
        <w:adjustRightInd w:val="0"/>
        <w:spacing w:line="440" w:lineRule="exact"/>
        <w:ind w:firstLine="700" w:firstLineChars="250"/>
        <w:jc w:val="left"/>
        <w:rPr>
          <w:rFonts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三、支出决算情况说明</w:t>
      </w:r>
    </w:p>
    <w:p w14:paraId="74C9FAA7">
      <w:pPr>
        <w:autoSpaceDE w:val="0"/>
        <w:autoSpaceDN w:val="0"/>
        <w:adjustRightInd w:val="0"/>
        <w:spacing w:line="440" w:lineRule="exact"/>
        <w:ind w:firstLine="700" w:firstLineChars="250"/>
        <w:jc w:val="left"/>
        <w:rPr>
          <w:rFonts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四、财政拨款收入支出决算总体情况说明</w:t>
      </w:r>
    </w:p>
    <w:p w14:paraId="488CB528">
      <w:pPr>
        <w:autoSpaceDE w:val="0"/>
        <w:autoSpaceDN w:val="0"/>
        <w:adjustRightInd w:val="0"/>
        <w:spacing w:line="440" w:lineRule="exact"/>
        <w:ind w:firstLine="700" w:firstLineChars="250"/>
        <w:jc w:val="left"/>
        <w:rPr>
          <w:rFonts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五、一般公共预算财政拨款支出决算情况说明</w:t>
      </w:r>
    </w:p>
    <w:p w14:paraId="6D1DE428">
      <w:pPr>
        <w:autoSpaceDE w:val="0"/>
        <w:autoSpaceDN w:val="0"/>
        <w:adjustRightInd w:val="0"/>
        <w:spacing w:line="440" w:lineRule="exact"/>
        <w:ind w:firstLine="700" w:firstLineChars="250"/>
        <w:jc w:val="left"/>
        <w:rPr>
          <w:rFonts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六、一般公共预算财政拨款基本支出决算情况说明</w:t>
      </w:r>
    </w:p>
    <w:p w14:paraId="6B777DC5">
      <w:pPr>
        <w:autoSpaceDE w:val="0"/>
        <w:autoSpaceDN w:val="0"/>
        <w:adjustRightInd w:val="0"/>
        <w:spacing w:line="440" w:lineRule="exact"/>
        <w:ind w:firstLine="700" w:firstLineChars="250"/>
        <w:jc w:val="left"/>
        <w:rPr>
          <w:rFonts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七、一般公共预算财政拨款“三公”经费支出决算情况说明</w:t>
      </w:r>
    </w:p>
    <w:p w14:paraId="43BA30AF">
      <w:pPr>
        <w:autoSpaceDE w:val="0"/>
        <w:autoSpaceDN w:val="0"/>
        <w:adjustRightInd w:val="0"/>
        <w:spacing w:line="440" w:lineRule="exact"/>
        <w:ind w:firstLine="700" w:firstLineChars="250"/>
        <w:jc w:val="left"/>
        <w:rPr>
          <w:rFonts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八、政府性基金预算收入支出决算情况</w:t>
      </w:r>
    </w:p>
    <w:p w14:paraId="297B93B4">
      <w:pPr>
        <w:pStyle w:val="11"/>
        <w:spacing w:line="440" w:lineRule="exact"/>
        <w:ind w:firstLine="700" w:firstLineChars="25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九、国有资本经营预算财政拨款支出决算情况说明</w:t>
      </w:r>
    </w:p>
    <w:p w14:paraId="4897B427">
      <w:pPr>
        <w:pStyle w:val="11"/>
        <w:spacing w:line="440" w:lineRule="exact"/>
        <w:ind w:firstLine="700" w:firstLineChars="25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十、关于机关运行经费支出说明</w:t>
      </w:r>
    </w:p>
    <w:p w14:paraId="1C9C95E4">
      <w:pPr>
        <w:pStyle w:val="11"/>
        <w:spacing w:line="440" w:lineRule="exact"/>
        <w:ind w:firstLine="700" w:firstLineChars="25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十一、一般性支出情况说明</w:t>
      </w:r>
    </w:p>
    <w:p w14:paraId="7B0B2B04">
      <w:pPr>
        <w:pStyle w:val="11"/>
        <w:spacing w:line="440" w:lineRule="exact"/>
        <w:ind w:firstLine="700" w:firstLineChars="25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十二、关于政府采购支出说明</w:t>
      </w:r>
    </w:p>
    <w:p w14:paraId="7EFC55C3">
      <w:pPr>
        <w:pStyle w:val="11"/>
        <w:spacing w:line="440" w:lineRule="exact"/>
        <w:ind w:firstLine="700" w:firstLineChars="25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十三、关于国有资产占用情况说明</w:t>
      </w:r>
    </w:p>
    <w:p w14:paraId="7DC106AD">
      <w:pPr>
        <w:pStyle w:val="11"/>
        <w:spacing w:line="440" w:lineRule="exact"/>
        <w:ind w:firstLine="700" w:firstLineChars="25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十四、关于2022年度预算绩效情况的说明</w:t>
      </w:r>
    </w:p>
    <w:p w14:paraId="07D83F5E">
      <w:pPr>
        <w:autoSpaceDE w:val="0"/>
        <w:autoSpaceDN w:val="0"/>
        <w:adjustRightInd w:val="0"/>
        <w:spacing w:line="440" w:lineRule="exact"/>
        <w:jc w:val="left"/>
        <w:rPr>
          <w:rFonts w:ascii="仿宋" w:hAnsi="仿宋" w:eastAsia="仿宋" w:cs="仿宋"/>
          <w:b/>
          <w:color w:val="auto"/>
          <w:kern w:val="0"/>
          <w:sz w:val="28"/>
          <w:szCs w:val="28"/>
          <w:highlight w:val="none"/>
        </w:rPr>
      </w:pPr>
      <w:r>
        <w:rPr>
          <w:rFonts w:hint="eastAsia" w:ascii="仿宋" w:hAnsi="仿宋" w:eastAsia="仿宋" w:cs="仿宋"/>
          <w:b/>
          <w:color w:val="auto"/>
          <w:kern w:val="0"/>
          <w:sz w:val="28"/>
          <w:szCs w:val="28"/>
          <w:highlight w:val="none"/>
        </w:rPr>
        <w:t>第四部分名词解释</w:t>
      </w:r>
    </w:p>
    <w:p w14:paraId="6581D159">
      <w:pPr>
        <w:autoSpaceDE w:val="0"/>
        <w:autoSpaceDN w:val="0"/>
        <w:adjustRightInd w:val="0"/>
        <w:spacing w:line="440" w:lineRule="exact"/>
        <w:jc w:val="left"/>
        <w:rPr>
          <w:rFonts w:ascii="仿宋" w:hAnsi="仿宋" w:eastAsia="仿宋" w:cs="仿宋"/>
          <w:b/>
          <w:color w:val="auto"/>
          <w:kern w:val="0"/>
          <w:sz w:val="28"/>
          <w:szCs w:val="28"/>
          <w:highlight w:val="none"/>
        </w:rPr>
      </w:pPr>
      <w:r>
        <w:rPr>
          <w:rFonts w:hint="eastAsia" w:ascii="仿宋" w:hAnsi="仿宋" w:eastAsia="仿宋" w:cs="仿宋"/>
          <w:b/>
          <w:color w:val="auto"/>
          <w:kern w:val="0"/>
          <w:sz w:val="28"/>
          <w:szCs w:val="28"/>
          <w:highlight w:val="none"/>
        </w:rPr>
        <w:t>第五部分附件</w:t>
      </w:r>
    </w:p>
    <w:p w14:paraId="37D89B64">
      <w:pPr>
        <w:jc w:val="center"/>
        <w:rPr>
          <w:rFonts w:ascii="仿宋" w:hAnsi="仿宋" w:eastAsia="仿宋" w:cs="仿宋"/>
          <w:color w:val="auto"/>
          <w:sz w:val="72"/>
          <w:szCs w:val="72"/>
          <w:highlight w:val="none"/>
        </w:rPr>
      </w:pPr>
    </w:p>
    <w:p w14:paraId="306800D0">
      <w:pPr>
        <w:pStyle w:val="11"/>
        <w:jc w:val="center"/>
        <w:rPr>
          <w:rFonts w:hint="eastAsia" w:hAnsi="黑体"/>
          <w:color w:val="auto"/>
          <w:sz w:val="84"/>
          <w:szCs w:val="84"/>
          <w:highlight w:val="none"/>
        </w:rPr>
      </w:pPr>
    </w:p>
    <w:p w14:paraId="590D76FE">
      <w:pPr>
        <w:pStyle w:val="11"/>
        <w:jc w:val="center"/>
        <w:rPr>
          <w:rFonts w:hint="eastAsia" w:hAnsi="黑体"/>
          <w:color w:val="auto"/>
          <w:sz w:val="84"/>
          <w:szCs w:val="84"/>
          <w:highlight w:val="none"/>
        </w:rPr>
      </w:pPr>
    </w:p>
    <w:p w14:paraId="34690846">
      <w:pPr>
        <w:pStyle w:val="11"/>
        <w:jc w:val="center"/>
        <w:rPr>
          <w:rFonts w:hint="eastAsia" w:hAnsi="黑体"/>
          <w:color w:val="auto"/>
          <w:sz w:val="84"/>
          <w:szCs w:val="84"/>
          <w:highlight w:val="none"/>
        </w:rPr>
      </w:pPr>
    </w:p>
    <w:p w14:paraId="7EF3FA77">
      <w:pPr>
        <w:pStyle w:val="11"/>
        <w:jc w:val="center"/>
        <w:rPr>
          <w:rFonts w:hint="eastAsia" w:hAnsi="黑体"/>
          <w:color w:val="auto"/>
          <w:sz w:val="84"/>
          <w:szCs w:val="84"/>
          <w:highlight w:val="none"/>
        </w:rPr>
      </w:pPr>
    </w:p>
    <w:p w14:paraId="58CEA6B1">
      <w:pPr>
        <w:pStyle w:val="11"/>
        <w:jc w:val="center"/>
        <w:rPr>
          <w:rFonts w:hAnsi="黑体"/>
          <w:color w:val="auto"/>
          <w:sz w:val="84"/>
          <w:szCs w:val="84"/>
          <w:highlight w:val="none"/>
        </w:rPr>
      </w:pPr>
      <w:r>
        <w:rPr>
          <w:rFonts w:hint="eastAsia" w:hAnsi="黑体"/>
          <w:color w:val="auto"/>
          <w:sz w:val="84"/>
          <w:szCs w:val="84"/>
          <w:highlight w:val="none"/>
        </w:rPr>
        <w:t>第一部分</w:t>
      </w:r>
    </w:p>
    <w:p w14:paraId="3DE3B558">
      <w:pPr>
        <w:pStyle w:val="11"/>
        <w:jc w:val="center"/>
        <w:rPr>
          <w:rFonts w:hint="eastAsia" w:hAnsi="黑体"/>
          <w:color w:val="auto"/>
          <w:sz w:val="84"/>
          <w:szCs w:val="84"/>
          <w:highlight w:val="none"/>
        </w:rPr>
      </w:pPr>
      <w:r>
        <w:rPr>
          <w:rFonts w:hint="eastAsia" w:hAnsi="黑体"/>
          <w:color w:val="auto"/>
          <w:sz w:val="84"/>
          <w:szCs w:val="84"/>
          <w:highlight w:val="none"/>
        </w:rPr>
        <w:t>怀化市公安局鹤城分局单位概况</w:t>
      </w:r>
    </w:p>
    <w:p w14:paraId="66C1B54C">
      <w:pPr>
        <w:pStyle w:val="11"/>
        <w:jc w:val="center"/>
        <w:rPr>
          <w:rFonts w:hint="eastAsia" w:hAnsi="黑体"/>
          <w:color w:val="auto"/>
          <w:sz w:val="84"/>
          <w:szCs w:val="84"/>
          <w:highlight w:val="none"/>
        </w:rPr>
      </w:pPr>
    </w:p>
    <w:p w14:paraId="674833BB">
      <w:pPr>
        <w:pStyle w:val="11"/>
        <w:jc w:val="center"/>
        <w:rPr>
          <w:rFonts w:hint="eastAsia" w:hAnsi="黑体"/>
          <w:color w:val="auto"/>
          <w:sz w:val="84"/>
          <w:szCs w:val="84"/>
          <w:highlight w:val="none"/>
        </w:rPr>
      </w:pPr>
    </w:p>
    <w:p w14:paraId="7B96EF9C">
      <w:pPr>
        <w:pStyle w:val="11"/>
        <w:jc w:val="center"/>
        <w:rPr>
          <w:rFonts w:hint="eastAsia" w:hAnsi="黑体"/>
          <w:color w:val="auto"/>
          <w:sz w:val="84"/>
          <w:szCs w:val="84"/>
          <w:highlight w:val="none"/>
        </w:rPr>
      </w:pPr>
    </w:p>
    <w:p w14:paraId="4FD912E4">
      <w:pPr>
        <w:pStyle w:val="11"/>
        <w:jc w:val="center"/>
        <w:rPr>
          <w:rFonts w:hint="eastAsia" w:hAnsi="黑体"/>
          <w:color w:val="auto"/>
          <w:sz w:val="84"/>
          <w:szCs w:val="84"/>
          <w:highlight w:val="none"/>
        </w:rPr>
      </w:pPr>
    </w:p>
    <w:p w14:paraId="10D1C7F1">
      <w:pPr>
        <w:pStyle w:val="11"/>
        <w:jc w:val="center"/>
        <w:rPr>
          <w:rFonts w:hAnsi="黑体"/>
          <w:color w:val="auto"/>
          <w:sz w:val="84"/>
          <w:szCs w:val="84"/>
          <w:highlight w:val="none"/>
        </w:rPr>
      </w:pPr>
    </w:p>
    <w:p w14:paraId="7998BCC6">
      <w:pPr>
        <w:pStyle w:val="12"/>
        <w:numPr>
          <w:ilvl w:val="0"/>
          <w:numId w:val="1"/>
        </w:numPr>
        <w:spacing w:line="600" w:lineRule="exact"/>
        <w:ind w:firstLineChars="0"/>
        <w:jc w:val="left"/>
        <w:rPr>
          <w:rFonts w:ascii="仿宋" w:hAnsi="仿宋" w:eastAsia="仿宋" w:cs="仿宋"/>
          <w:color w:val="auto"/>
          <w:sz w:val="32"/>
          <w:szCs w:val="32"/>
          <w:highlight w:val="none"/>
        </w:rPr>
      </w:pPr>
      <w:r>
        <w:rPr>
          <w:rFonts w:hint="eastAsia" w:ascii="仿宋" w:hAnsi="仿宋" w:eastAsia="仿宋" w:cs="仿宋"/>
          <w:color w:val="auto"/>
          <w:sz w:val="32"/>
          <w:szCs w:val="32"/>
          <w:highlight w:val="none"/>
        </w:rPr>
        <w:t>部门职责</w:t>
      </w:r>
    </w:p>
    <w:p w14:paraId="2B048790">
      <w:pPr>
        <w:widowControl/>
        <w:spacing w:line="600" w:lineRule="exact"/>
        <w:ind w:firstLine="640" w:firstLineChars="200"/>
        <w:rPr>
          <w:rFonts w:ascii="仿宋" w:hAnsi="仿宋" w:eastAsia="仿宋" w:cs="仿宋"/>
          <w:bCs/>
          <w:color w:val="auto"/>
          <w:kern w:val="0"/>
          <w:sz w:val="32"/>
          <w:szCs w:val="32"/>
          <w:highlight w:val="none"/>
        </w:rPr>
      </w:pPr>
      <w:r>
        <w:rPr>
          <w:rFonts w:hint="eastAsia" w:ascii="仿宋" w:hAnsi="仿宋" w:eastAsia="仿宋" w:cs="仿宋"/>
          <w:bCs/>
          <w:color w:val="auto"/>
          <w:kern w:val="0"/>
          <w:sz w:val="32"/>
          <w:szCs w:val="32"/>
          <w:highlight w:val="none"/>
        </w:rPr>
        <w:t>本部门主要职责是：预防、制止和侦查违法犯罪活动；维护社会治安秩序，制止危害社会治安秩序的行为；管理户政、国籍、入境出境事务和外国人在中国境内居留、旅行的有关事务；监督管理计算机信息系统的安全保护工作；指导和监督国家机关、社会团体、企业事业组织和重点建设工程的治安保卫工作，指导治安保卫委员会等群众性组织的治安防范工作；法律、法规规定的其他职责。</w:t>
      </w:r>
    </w:p>
    <w:p w14:paraId="03593552">
      <w:pPr>
        <w:widowControl/>
        <w:spacing w:line="600" w:lineRule="exact"/>
        <w:ind w:firstLine="640" w:firstLineChars="200"/>
        <w:rPr>
          <w:rFonts w:ascii="仿宋" w:hAnsi="仿宋" w:eastAsia="仿宋" w:cs="仿宋"/>
          <w:bCs/>
          <w:color w:val="auto"/>
          <w:kern w:val="0"/>
          <w:sz w:val="32"/>
          <w:szCs w:val="32"/>
          <w:highlight w:val="none"/>
        </w:rPr>
      </w:pPr>
      <w:r>
        <w:rPr>
          <w:rFonts w:hint="eastAsia" w:ascii="仿宋" w:hAnsi="仿宋" w:eastAsia="仿宋" w:cs="仿宋"/>
          <w:bCs/>
          <w:color w:val="auto"/>
          <w:kern w:val="0"/>
          <w:sz w:val="32"/>
          <w:szCs w:val="32"/>
          <w:highlight w:val="none"/>
        </w:rPr>
        <w:t>二、机构设置及决算单位构成</w:t>
      </w:r>
    </w:p>
    <w:p w14:paraId="30C5B6BF">
      <w:pPr>
        <w:widowControl/>
        <w:spacing w:line="600" w:lineRule="exact"/>
        <w:ind w:firstLine="640" w:firstLineChars="200"/>
        <w:rPr>
          <w:rFonts w:ascii="仿宋" w:hAnsi="仿宋" w:eastAsia="仿宋" w:cs="仿宋"/>
          <w:bCs/>
          <w:color w:val="auto"/>
          <w:kern w:val="0"/>
          <w:sz w:val="32"/>
          <w:szCs w:val="32"/>
          <w:highlight w:val="none"/>
        </w:rPr>
      </w:pPr>
      <w:r>
        <w:rPr>
          <w:rFonts w:hint="eastAsia" w:ascii="仿宋" w:hAnsi="仿宋" w:eastAsia="仿宋" w:cs="仿宋"/>
          <w:bCs/>
          <w:color w:val="auto"/>
          <w:kern w:val="0"/>
          <w:sz w:val="32"/>
          <w:szCs w:val="32"/>
          <w:highlight w:val="none"/>
        </w:rPr>
        <w:t>（一）内设机构设置。怀化市公安局鹤城分局作为一级部门预算单位，内设6个中心，包括：指挥中心、队管中心、防控中心、侦查中心、监管中心、执法管理中心；12个派出所，包括：广场派出所、团结派出所、迎丰派出所、湖天派出所、城中派出所、新园派出所、城东派出所、城南派出所、黄金坳派出所、舞阳派出所（筹备中）、杨村派出所（筹备中）、城北派出所（筹备中）。</w:t>
      </w:r>
    </w:p>
    <w:p w14:paraId="0CF13358">
      <w:pPr>
        <w:widowControl/>
        <w:spacing w:line="600" w:lineRule="exact"/>
        <w:ind w:firstLine="640" w:firstLineChars="200"/>
        <w:rPr>
          <w:rFonts w:ascii="仿宋" w:hAnsi="仿宋" w:eastAsia="仿宋" w:cs="仿宋"/>
          <w:bCs/>
          <w:color w:val="auto"/>
          <w:kern w:val="0"/>
          <w:sz w:val="32"/>
          <w:szCs w:val="32"/>
          <w:highlight w:val="none"/>
        </w:rPr>
      </w:pPr>
      <w:r>
        <w:rPr>
          <w:rFonts w:hint="eastAsia" w:ascii="仿宋" w:hAnsi="仿宋" w:eastAsia="仿宋" w:cs="仿宋"/>
          <w:bCs/>
          <w:color w:val="auto"/>
          <w:kern w:val="0"/>
          <w:sz w:val="32"/>
          <w:szCs w:val="32"/>
          <w:highlight w:val="none"/>
        </w:rPr>
        <w:t>（二）决算单位构成。怀化市公安局鹤城分局2022年部门决算汇总公开单位构成包括：怀化市公安局鹤城分局本级。</w:t>
      </w:r>
    </w:p>
    <w:p w14:paraId="444416D7">
      <w:pPr>
        <w:widowControl/>
        <w:spacing w:line="600" w:lineRule="exact"/>
        <w:rPr>
          <w:rFonts w:ascii="仿宋" w:hAnsi="仿宋" w:eastAsia="仿宋" w:cs="仿宋"/>
          <w:bCs/>
          <w:color w:val="auto"/>
          <w:kern w:val="0"/>
          <w:sz w:val="32"/>
          <w:szCs w:val="32"/>
          <w:highlight w:val="none"/>
        </w:rPr>
      </w:pPr>
    </w:p>
    <w:p w14:paraId="3CD76E7A">
      <w:pPr>
        <w:jc w:val="center"/>
        <w:rPr>
          <w:rFonts w:ascii="仿宋" w:hAnsi="仿宋" w:eastAsia="仿宋" w:cs="仿宋"/>
          <w:color w:val="auto"/>
          <w:sz w:val="72"/>
          <w:szCs w:val="72"/>
          <w:highlight w:val="none"/>
        </w:rPr>
      </w:pPr>
    </w:p>
    <w:p w14:paraId="69F58BD2">
      <w:pPr>
        <w:jc w:val="center"/>
        <w:rPr>
          <w:rFonts w:ascii="仿宋" w:hAnsi="仿宋" w:eastAsia="仿宋" w:cs="仿宋"/>
          <w:color w:val="auto"/>
          <w:sz w:val="72"/>
          <w:szCs w:val="72"/>
          <w:highlight w:val="none"/>
        </w:rPr>
      </w:pPr>
    </w:p>
    <w:p w14:paraId="624CECFE">
      <w:pPr>
        <w:jc w:val="center"/>
        <w:rPr>
          <w:rFonts w:ascii="仿宋" w:hAnsi="仿宋" w:eastAsia="仿宋" w:cs="仿宋"/>
          <w:color w:val="auto"/>
          <w:sz w:val="72"/>
          <w:szCs w:val="72"/>
          <w:highlight w:val="none"/>
        </w:rPr>
      </w:pPr>
    </w:p>
    <w:p w14:paraId="2C72C4F5">
      <w:pPr>
        <w:jc w:val="center"/>
        <w:rPr>
          <w:rFonts w:ascii="仿宋" w:hAnsi="仿宋" w:eastAsia="仿宋" w:cs="仿宋"/>
          <w:color w:val="auto"/>
          <w:sz w:val="72"/>
          <w:szCs w:val="72"/>
          <w:highlight w:val="none"/>
        </w:rPr>
      </w:pPr>
    </w:p>
    <w:p w14:paraId="5C21EEBE">
      <w:pPr>
        <w:jc w:val="center"/>
        <w:rPr>
          <w:rFonts w:ascii="仿宋" w:hAnsi="仿宋" w:eastAsia="仿宋" w:cs="仿宋"/>
          <w:color w:val="auto"/>
          <w:sz w:val="72"/>
          <w:szCs w:val="72"/>
          <w:highlight w:val="none"/>
        </w:rPr>
      </w:pPr>
    </w:p>
    <w:p w14:paraId="53D0B24F">
      <w:pPr>
        <w:jc w:val="center"/>
        <w:rPr>
          <w:rFonts w:ascii="仿宋" w:hAnsi="仿宋" w:eastAsia="仿宋" w:cs="仿宋"/>
          <w:color w:val="auto"/>
          <w:sz w:val="72"/>
          <w:szCs w:val="72"/>
          <w:highlight w:val="none"/>
        </w:rPr>
      </w:pPr>
    </w:p>
    <w:p w14:paraId="46E41653">
      <w:pPr>
        <w:rPr>
          <w:rFonts w:ascii="仿宋" w:hAnsi="仿宋" w:eastAsia="仿宋" w:cs="仿宋"/>
          <w:color w:val="auto"/>
          <w:sz w:val="72"/>
          <w:szCs w:val="72"/>
          <w:highlight w:val="none"/>
        </w:rPr>
      </w:pPr>
    </w:p>
    <w:p w14:paraId="40F31A8D">
      <w:pPr>
        <w:jc w:val="center"/>
        <w:rPr>
          <w:rFonts w:ascii="仿宋" w:hAnsi="仿宋" w:eastAsia="仿宋" w:cs="仿宋"/>
          <w:color w:val="auto"/>
          <w:sz w:val="72"/>
          <w:szCs w:val="72"/>
          <w:highlight w:val="none"/>
        </w:rPr>
      </w:pPr>
    </w:p>
    <w:p w14:paraId="7EAA4F95">
      <w:pPr>
        <w:jc w:val="center"/>
        <w:rPr>
          <w:rFonts w:ascii="黑体" w:hAnsi="黑体" w:eastAsia="黑体" w:cs="黑体"/>
          <w:b/>
          <w:bCs/>
          <w:color w:val="auto"/>
          <w:kern w:val="0"/>
          <w:sz w:val="84"/>
          <w:szCs w:val="84"/>
          <w:highlight w:val="none"/>
        </w:rPr>
      </w:pPr>
      <w:r>
        <w:rPr>
          <w:rFonts w:hint="eastAsia" w:ascii="黑体" w:hAnsi="黑体" w:eastAsia="黑体" w:cs="黑体"/>
          <w:b/>
          <w:bCs/>
          <w:color w:val="auto"/>
          <w:kern w:val="0"/>
          <w:sz w:val="84"/>
          <w:szCs w:val="84"/>
          <w:highlight w:val="none"/>
        </w:rPr>
        <w:t>第二部分</w:t>
      </w:r>
    </w:p>
    <w:p w14:paraId="0D7E4652">
      <w:pPr>
        <w:jc w:val="center"/>
        <w:rPr>
          <w:rFonts w:ascii="黑体" w:hAnsi="黑体" w:eastAsia="黑体" w:cs="黑体"/>
          <w:b/>
          <w:bCs/>
          <w:color w:val="auto"/>
          <w:kern w:val="0"/>
          <w:sz w:val="84"/>
          <w:szCs w:val="84"/>
          <w:highlight w:val="none"/>
        </w:rPr>
      </w:pPr>
    </w:p>
    <w:p w14:paraId="38F54CA9">
      <w:pPr>
        <w:jc w:val="center"/>
        <w:rPr>
          <w:rFonts w:ascii="黑体" w:hAnsi="黑体" w:eastAsia="黑体" w:cs="黑体"/>
          <w:b/>
          <w:bCs/>
          <w:color w:val="auto"/>
          <w:kern w:val="0"/>
          <w:sz w:val="84"/>
          <w:szCs w:val="84"/>
          <w:highlight w:val="none"/>
        </w:rPr>
      </w:pPr>
      <w:r>
        <w:rPr>
          <w:rFonts w:hint="eastAsia" w:ascii="黑体" w:hAnsi="黑体" w:eastAsia="黑体" w:cs="黑体"/>
          <w:b/>
          <w:bCs/>
          <w:color w:val="auto"/>
          <w:kern w:val="0"/>
          <w:sz w:val="84"/>
          <w:szCs w:val="84"/>
          <w:highlight w:val="none"/>
        </w:rPr>
        <w:t>部门决算表</w:t>
      </w:r>
    </w:p>
    <w:p w14:paraId="75FFF808">
      <w:pPr>
        <w:jc w:val="center"/>
        <w:rPr>
          <w:rFonts w:ascii="仿宋" w:hAnsi="仿宋" w:eastAsia="仿宋" w:cs="仿宋"/>
          <w:color w:val="auto"/>
          <w:sz w:val="72"/>
          <w:szCs w:val="72"/>
          <w:highlight w:val="none"/>
        </w:rPr>
      </w:pPr>
    </w:p>
    <w:p w14:paraId="79AD3CD7">
      <w:pPr>
        <w:jc w:val="center"/>
        <w:rPr>
          <w:rFonts w:ascii="仿宋" w:hAnsi="仿宋" w:eastAsia="仿宋" w:cs="仿宋"/>
          <w:color w:val="auto"/>
          <w:sz w:val="72"/>
          <w:szCs w:val="72"/>
          <w:highlight w:val="none"/>
        </w:rPr>
      </w:pPr>
    </w:p>
    <w:p w14:paraId="67AC0F02">
      <w:pPr>
        <w:pStyle w:val="11"/>
        <w:jc w:val="center"/>
        <w:rPr>
          <w:rFonts w:ascii="仿宋" w:hAnsi="仿宋" w:eastAsia="仿宋" w:cs="仿宋"/>
          <w:color w:val="auto"/>
          <w:sz w:val="44"/>
          <w:szCs w:val="44"/>
          <w:highlight w:val="none"/>
        </w:rPr>
      </w:pPr>
      <w:r>
        <w:rPr>
          <w:rFonts w:hint="eastAsia" w:ascii="仿宋" w:hAnsi="仿宋" w:eastAsia="仿宋" w:cs="仿宋"/>
          <w:color w:val="auto"/>
          <w:sz w:val="44"/>
          <w:szCs w:val="44"/>
          <w:highlight w:val="none"/>
        </w:rPr>
        <w:t>见附件</w:t>
      </w:r>
    </w:p>
    <w:p w14:paraId="1CAF993B">
      <w:pPr>
        <w:pStyle w:val="11"/>
        <w:jc w:val="both"/>
        <w:rPr>
          <w:rFonts w:ascii="仿宋" w:hAnsi="仿宋" w:eastAsia="仿宋" w:cs="仿宋"/>
          <w:color w:val="auto"/>
          <w:sz w:val="36"/>
          <w:szCs w:val="36"/>
          <w:highlight w:val="none"/>
        </w:rPr>
      </w:pPr>
    </w:p>
    <w:p w14:paraId="40AD65EF">
      <w:pPr>
        <w:pStyle w:val="11"/>
        <w:jc w:val="both"/>
        <w:rPr>
          <w:rFonts w:ascii="仿宋" w:hAnsi="仿宋" w:eastAsia="仿宋" w:cs="仿宋"/>
          <w:color w:val="auto"/>
          <w:sz w:val="36"/>
          <w:szCs w:val="36"/>
          <w:highlight w:val="none"/>
        </w:rPr>
      </w:pPr>
    </w:p>
    <w:p w14:paraId="109CD370">
      <w:pPr>
        <w:pStyle w:val="11"/>
        <w:jc w:val="both"/>
        <w:rPr>
          <w:rFonts w:hint="eastAsia" w:ascii="仿宋" w:hAnsi="仿宋" w:eastAsia="仿宋" w:cs="仿宋"/>
          <w:color w:val="auto"/>
          <w:sz w:val="36"/>
          <w:szCs w:val="36"/>
          <w:highlight w:val="none"/>
        </w:rPr>
      </w:pPr>
    </w:p>
    <w:p w14:paraId="280F1004">
      <w:pPr>
        <w:pStyle w:val="11"/>
        <w:jc w:val="both"/>
        <w:rPr>
          <w:rFonts w:hint="eastAsia" w:ascii="仿宋" w:hAnsi="仿宋" w:eastAsia="仿宋" w:cs="仿宋"/>
          <w:color w:val="auto"/>
          <w:sz w:val="36"/>
          <w:szCs w:val="36"/>
          <w:highlight w:val="none"/>
        </w:rPr>
      </w:pPr>
    </w:p>
    <w:p w14:paraId="58C55AED">
      <w:pPr>
        <w:pStyle w:val="11"/>
        <w:jc w:val="both"/>
        <w:rPr>
          <w:rFonts w:hint="eastAsia" w:ascii="仿宋" w:hAnsi="仿宋" w:eastAsia="仿宋" w:cs="仿宋"/>
          <w:color w:val="auto"/>
          <w:sz w:val="36"/>
          <w:szCs w:val="36"/>
          <w:highlight w:val="none"/>
        </w:rPr>
      </w:pPr>
    </w:p>
    <w:p w14:paraId="50E59C03">
      <w:pPr>
        <w:pStyle w:val="11"/>
        <w:jc w:val="both"/>
        <w:rPr>
          <w:rFonts w:hint="eastAsia" w:ascii="仿宋" w:hAnsi="仿宋" w:eastAsia="仿宋" w:cs="仿宋"/>
          <w:color w:val="auto"/>
          <w:sz w:val="36"/>
          <w:szCs w:val="36"/>
          <w:highlight w:val="none"/>
        </w:rPr>
      </w:pPr>
    </w:p>
    <w:p w14:paraId="1AA5E3FE">
      <w:pPr>
        <w:pStyle w:val="11"/>
        <w:jc w:val="both"/>
        <w:rPr>
          <w:rFonts w:hint="eastAsia" w:ascii="仿宋" w:hAnsi="仿宋" w:eastAsia="仿宋" w:cs="仿宋"/>
          <w:color w:val="auto"/>
          <w:sz w:val="36"/>
          <w:szCs w:val="36"/>
          <w:highlight w:val="none"/>
        </w:rPr>
      </w:pPr>
    </w:p>
    <w:p w14:paraId="33A62A85">
      <w:pPr>
        <w:pStyle w:val="11"/>
        <w:jc w:val="both"/>
        <w:rPr>
          <w:rFonts w:ascii="仿宋" w:hAnsi="仿宋" w:eastAsia="仿宋" w:cs="仿宋"/>
          <w:color w:val="auto"/>
          <w:sz w:val="36"/>
          <w:szCs w:val="36"/>
          <w:highlight w:val="none"/>
        </w:rPr>
      </w:pPr>
    </w:p>
    <w:p w14:paraId="0DB87450">
      <w:pPr>
        <w:pStyle w:val="11"/>
        <w:jc w:val="both"/>
        <w:rPr>
          <w:rFonts w:ascii="仿宋" w:hAnsi="仿宋" w:eastAsia="仿宋" w:cs="仿宋"/>
          <w:color w:val="auto"/>
          <w:sz w:val="36"/>
          <w:szCs w:val="36"/>
          <w:highlight w:val="none"/>
        </w:rPr>
      </w:pPr>
    </w:p>
    <w:p w14:paraId="2844ECD2">
      <w:pPr>
        <w:pStyle w:val="11"/>
        <w:jc w:val="center"/>
        <w:rPr>
          <w:rFonts w:hint="eastAsia" w:hAnsi="黑体"/>
          <w:color w:val="auto"/>
          <w:sz w:val="84"/>
          <w:szCs w:val="84"/>
          <w:highlight w:val="none"/>
        </w:rPr>
      </w:pPr>
    </w:p>
    <w:p w14:paraId="1322F6E6">
      <w:pPr>
        <w:pStyle w:val="11"/>
        <w:jc w:val="center"/>
        <w:rPr>
          <w:rFonts w:hint="eastAsia" w:hAnsi="黑体"/>
          <w:color w:val="auto"/>
          <w:sz w:val="84"/>
          <w:szCs w:val="84"/>
          <w:highlight w:val="none"/>
        </w:rPr>
      </w:pPr>
    </w:p>
    <w:p w14:paraId="657A48DB">
      <w:pPr>
        <w:pStyle w:val="11"/>
        <w:jc w:val="center"/>
        <w:rPr>
          <w:rFonts w:hint="eastAsia" w:hAnsi="黑体"/>
          <w:color w:val="auto"/>
          <w:sz w:val="84"/>
          <w:szCs w:val="84"/>
          <w:highlight w:val="none"/>
        </w:rPr>
      </w:pPr>
    </w:p>
    <w:p w14:paraId="547E00FB">
      <w:pPr>
        <w:pStyle w:val="11"/>
        <w:jc w:val="center"/>
        <w:rPr>
          <w:rFonts w:hint="eastAsia" w:hAnsi="黑体"/>
          <w:color w:val="auto"/>
          <w:sz w:val="84"/>
          <w:szCs w:val="84"/>
          <w:highlight w:val="none"/>
        </w:rPr>
      </w:pPr>
      <w:r>
        <w:rPr>
          <w:rFonts w:hint="eastAsia" w:hAnsi="黑体"/>
          <w:color w:val="auto"/>
          <w:sz w:val="84"/>
          <w:szCs w:val="84"/>
          <w:highlight w:val="none"/>
        </w:rPr>
        <w:t>第三部分</w:t>
      </w:r>
    </w:p>
    <w:p w14:paraId="7B2C9B5E">
      <w:pPr>
        <w:pStyle w:val="11"/>
        <w:jc w:val="center"/>
        <w:rPr>
          <w:rFonts w:hAnsi="黑体"/>
          <w:color w:val="auto"/>
          <w:sz w:val="84"/>
          <w:szCs w:val="84"/>
          <w:highlight w:val="none"/>
        </w:rPr>
      </w:pPr>
    </w:p>
    <w:p w14:paraId="5B13C2AB">
      <w:pPr>
        <w:pStyle w:val="11"/>
        <w:jc w:val="center"/>
        <w:rPr>
          <w:rFonts w:hAnsi="黑体"/>
          <w:color w:val="auto"/>
          <w:sz w:val="84"/>
          <w:szCs w:val="84"/>
          <w:highlight w:val="none"/>
        </w:rPr>
      </w:pPr>
      <w:r>
        <w:rPr>
          <w:rFonts w:hint="eastAsia" w:hAnsi="黑体"/>
          <w:color w:val="auto"/>
          <w:sz w:val="84"/>
          <w:szCs w:val="84"/>
          <w:highlight w:val="none"/>
        </w:rPr>
        <w:t>2022年度部门决算情况说明</w:t>
      </w:r>
    </w:p>
    <w:p w14:paraId="1AA24690">
      <w:pPr>
        <w:pStyle w:val="11"/>
        <w:jc w:val="center"/>
        <w:rPr>
          <w:rFonts w:hint="eastAsia" w:hAnsi="黑体"/>
          <w:color w:val="auto"/>
          <w:sz w:val="84"/>
          <w:szCs w:val="84"/>
          <w:highlight w:val="none"/>
        </w:rPr>
      </w:pPr>
    </w:p>
    <w:p w14:paraId="73D1BE8B">
      <w:pPr>
        <w:pStyle w:val="11"/>
        <w:jc w:val="center"/>
        <w:rPr>
          <w:rFonts w:hint="eastAsia" w:hAnsi="黑体"/>
          <w:color w:val="auto"/>
          <w:sz w:val="84"/>
          <w:szCs w:val="84"/>
          <w:highlight w:val="none"/>
        </w:rPr>
      </w:pPr>
    </w:p>
    <w:p w14:paraId="1433C140">
      <w:pPr>
        <w:pStyle w:val="11"/>
        <w:jc w:val="center"/>
        <w:rPr>
          <w:rFonts w:hint="eastAsia" w:hAnsi="黑体"/>
          <w:color w:val="auto"/>
          <w:sz w:val="84"/>
          <w:szCs w:val="84"/>
          <w:highlight w:val="none"/>
        </w:rPr>
      </w:pPr>
    </w:p>
    <w:p w14:paraId="7DB6FAAA">
      <w:pPr>
        <w:pStyle w:val="11"/>
        <w:jc w:val="center"/>
        <w:rPr>
          <w:rFonts w:hint="eastAsia" w:hAnsi="黑体"/>
          <w:color w:val="auto"/>
          <w:sz w:val="84"/>
          <w:szCs w:val="84"/>
          <w:highlight w:val="none"/>
        </w:rPr>
      </w:pPr>
    </w:p>
    <w:p w14:paraId="69E522C4">
      <w:pPr>
        <w:pStyle w:val="11"/>
        <w:jc w:val="center"/>
        <w:rPr>
          <w:rFonts w:hint="eastAsia" w:hAnsi="黑体"/>
          <w:color w:val="auto"/>
          <w:sz w:val="84"/>
          <w:szCs w:val="84"/>
          <w:highlight w:val="none"/>
        </w:rPr>
      </w:pPr>
    </w:p>
    <w:p w14:paraId="5B92DD3A">
      <w:pPr>
        <w:pStyle w:val="11"/>
        <w:jc w:val="center"/>
        <w:rPr>
          <w:rFonts w:hAnsi="黑体"/>
          <w:color w:val="auto"/>
          <w:sz w:val="84"/>
          <w:szCs w:val="84"/>
          <w:highlight w:val="none"/>
        </w:rPr>
      </w:pPr>
    </w:p>
    <w:p w14:paraId="2B808E00">
      <w:pPr>
        <w:pStyle w:val="11"/>
        <w:spacing w:line="600" w:lineRule="exact"/>
        <w:ind w:firstLine="640" w:firstLineChars="200"/>
        <w:rPr>
          <w:rFonts w:ascii="仿宋" w:hAnsi="仿宋" w:eastAsia="仿宋" w:cs="仿宋"/>
          <w:b/>
          <w:color w:val="auto"/>
          <w:sz w:val="32"/>
          <w:szCs w:val="32"/>
          <w:highlight w:val="none"/>
        </w:rPr>
      </w:pPr>
      <w:r>
        <w:rPr>
          <w:rFonts w:hint="eastAsia" w:ascii="仿宋" w:hAnsi="仿宋" w:eastAsia="仿宋" w:cs="仿宋"/>
          <w:b/>
          <w:color w:val="auto"/>
          <w:sz w:val="32"/>
          <w:szCs w:val="32"/>
          <w:highlight w:val="none"/>
        </w:rPr>
        <w:t>一、收入支出决算总体情况说明</w:t>
      </w:r>
    </w:p>
    <w:p w14:paraId="312FDEDA">
      <w:pPr>
        <w:pStyle w:val="11"/>
        <w:spacing w:line="600" w:lineRule="exact"/>
        <w:ind w:firstLine="640" w:firstLineChars="200"/>
        <w:rPr>
          <w:rFonts w:ascii="仿宋" w:hAnsi="仿宋" w:eastAsia="仿宋" w:cs="仿宋"/>
          <w:color w:val="auto"/>
          <w:sz w:val="32"/>
          <w:szCs w:val="32"/>
          <w:highlight w:val="none"/>
        </w:rPr>
      </w:pPr>
      <w:r>
        <w:rPr>
          <w:rFonts w:hint="eastAsia" w:ascii="仿宋" w:hAnsi="仿宋" w:eastAsia="仿宋" w:cs="仿宋"/>
          <w:color w:val="auto"/>
          <w:sz w:val="32"/>
          <w:szCs w:val="32"/>
          <w:highlight w:val="none"/>
        </w:rPr>
        <w:t>2022年度收、支总计均为15933.75万元。与上年相比，增加2840.16万元，增长9.78%，主要是因为本年办案业务工作经费及人员经费收支较上年有所增加。</w:t>
      </w:r>
    </w:p>
    <w:p w14:paraId="3CBDAEEF">
      <w:pPr>
        <w:pStyle w:val="11"/>
        <w:spacing w:line="600" w:lineRule="exact"/>
        <w:ind w:firstLine="640" w:firstLineChars="200"/>
        <w:rPr>
          <w:rFonts w:ascii="仿宋" w:hAnsi="仿宋" w:eastAsia="仿宋" w:cs="仿宋"/>
          <w:b/>
          <w:color w:val="auto"/>
          <w:sz w:val="32"/>
          <w:szCs w:val="32"/>
          <w:highlight w:val="none"/>
        </w:rPr>
      </w:pPr>
      <w:r>
        <w:rPr>
          <w:rFonts w:hint="eastAsia" w:ascii="仿宋" w:hAnsi="仿宋" w:eastAsia="仿宋" w:cs="仿宋"/>
          <w:b/>
          <w:color w:val="auto"/>
          <w:sz w:val="32"/>
          <w:szCs w:val="32"/>
          <w:highlight w:val="none"/>
        </w:rPr>
        <w:t>二、收入决算情况说明</w:t>
      </w:r>
    </w:p>
    <w:p w14:paraId="5F95316D">
      <w:pPr>
        <w:pStyle w:val="11"/>
        <w:spacing w:line="600" w:lineRule="exact"/>
        <w:ind w:firstLine="640" w:firstLineChars="200"/>
        <w:rPr>
          <w:rFonts w:ascii="仿宋" w:hAnsi="仿宋" w:eastAsia="仿宋" w:cs="仿宋"/>
          <w:color w:val="auto"/>
          <w:sz w:val="32"/>
          <w:szCs w:val="32"/>
          <w:highlight w:val="none"/>
        </w:rPr>
      </w:pPr>
      <w:r>
        <w:rPr>
          <w:rFonts w:hint="eastAsia" w:ascii="仿宋" w:hAnsi="仿宋" w:eastAsia="仿宋" w:cs="仿宋"/>
          <w:color w:val="auto"/>
          <w:sz w:val="32"/>
          <w:szCs w:val="32"/>
          <w:highlight w:val="none"/>
        </w:rPr>
        <w:t>2022年度收入合计15933.75万元，其中：财政拨款收入15824.60万元，占99.31%；其他收入109.15万元，占0.69%。</w:t>
      </w:r>
    </w:p>
    <w:p w14:paraId="77635869">
      <w:pPr>
        <w:pStyle w:val="11"/>
        <w:spacing w:line="600" w:lineRule="exact"/>
        <w:ind w:firstLine="640" w:firstLineChars="200"/>
        <w:rPr>
          <w:rFonts w:ascii="仿宋" w:hAnsi="仿宋" w:eastAsia="仿宋" w:cs="仿宋"/>
          <w:b/>
          <w:color w:val="auto"/>
          <w:sz w:val="32"/>
          <w:szCs w:val="32"/>
          <w:highlight w:val="none"/>
        </w:rPr>
      </w:pPr>
      <w:r>
        <w:rPr>
          <w:rFonts w:hint="eastAsia" w:ascii="仿宋" w:hAnsi="仿宋" w:eastAsia="仿宋" w:cs="仿宋"/>
          <w:b/>
          <w:color w:val="auto"/>
          <w:sz w:val="32"/>
          <w:szCs w:val="32"/>
          <w:highlight w:val="none"/>
        </w:rPr>
        <w:t>三、支出决算情况说明</w:t>
      </w:r>
    </w:p>
    <w:p w14:paraId="08408E0A">
      <w:pPr>
        <w:pStyle w:val="11"/>
        <w:spacing w:line="600" w:lineRule="exact"/>
        <w:ind w:firstLine="640" w:firstLineChars="200"/>
        <w:rPr>
          <w:rFonts w:ascii="仿宋" w:hAnsi="仿宋" w:eastAsia="仿宋" w:cs="仿宋"/>
          <w:color w:val="auto"/>
          <w:sz w:val="32"/>
          <w:szCs w:val="32"/>
          <w:highlight w:val="none"/>
        </w:rPr>
      </w:pPr>
      <w:r>
        <w:rPr>
          <w:rFonts w:hint="eastAsia" w:ascii="仿宋" w:hAnsi="仿宋" w:eastAsia="仿宋" w:cs="仿宋"/>
          <w:color w:val="auto"/>
          <w:sz w:val="32"/>
          <w:szCs w:val="32"/>
          <w:highlight w:val="none"/>
        </w:rPr>
        <w:t>2022年度支出合计15933.75万元，其中：基本支出8970.01万元，占56.30%；项目支出6963.74万元，占43.70%。</w:t>
      </w:r>
    </w:p>
    <w:p w14:paraId="711218C7">
      <w:pPr>
        <w:pStyle w:val="11"/>
        <w:spacing w:line="600" w:lineRule="exact"/>
        <w:ind w:firstLine="640" w:firstLineChars="200"/>
        <w:rPr>
          <w:rFonts w:ascii="仿宋" w:hAnsi="仿宋" w:eastAsia="仿宋" w:cs="仿宋"/>
          <w:b/>
          <w:color w:val="auto"/>
          <w:sz w:val="32"/>
          <w:szCs w:val="32"/>
          <w:highlight w:val="none"/>
        </w:rPr>
      </w:pPr>
      <w:r>
        <w:rPr>
          <w:rFonts w:hint="eastAsia" w:ascii="仿宋" w:hAnsi="仿宋" w:eastAsia="仿宋" w:cs="仿宋"/>
          <w:b/>
          <w:color w:val="auto"/>
          <w:sz w:val="32"/>
          <w:szCs w:val="32"/>
          <w:highlight w:val="none"/>
        </w:rPr>
        <w:t>四、财政拨款收入支出决算总体情况说明</w:t>
      </w:r>
    </w:p>
    <w:p w14:paraId="708CA8F7">
      <w:pPr>
        <w:pStyle w:val="11"/>
        <w:spacing w:line="600" w:lineRule="exact"/>
        <w:ind w:firstLine="640" w:firstLineChars="200"/>
        <w:rPr>
          <w:rFonts w:ascii="仿宋" w:hAnsi="仿宋" w:eastAsia="仿宋" w:cs="仿宋"/>
          <w:color w:val="auto"/>
          <w:sz w:val="32"/>
          <w:szCs w:val="32"/>
          <w:highlight w:val="none"/>
        </w:rPr>
      </w:pPr>
      <w:r>
        <w:rPr>
          <w:rFonts w:hint="eastAsia" w:ascii="仿宋" w:hAnsi="仿宋" w:eastAsia="仿宋" w:cs="仿宋"/>
          <w:color w:val="auto"/>
          <w:sz w:val="32"/>
          <w:szCs w:val="32"/>
          <w:highlight w:val="none"/>
        </w:rPr>
        <w:t>2022年度财政拨款收、支总计均为15824.6万元，与上年相比，增加2830.16万元,增长9.82%，主要是因为本年办案业务工作经费及人员经费收支较上年有所增加。</w:t>
      </w:r>
    </w:p>
    <w:p w14:paraId="23288B17">
      <w:pPr>
        <w:pStyle w:val="11"/>
        <w:spacing w:line="600" w:lineRule="exact"/>
        <w:ind w:firstLine="640" w:firstLineChars="200"/>
        <w:rPr>
          <w:rFonts w:ascii="仿宋" w:hAnsi="仿宋" w:eastAsia="仿宋" w:cs="仿宋"/>
          <w:b/>
          <w:color w:val="auto"/>
          <w:sz w:val="32"/>
          <w:szCs w:val="32"/>
          <w:highlight w:val="none"/>
        </w:rPr>
      </w:pPr>
      <w:r>
        <w:rPr>
          <w:rFonts w:hint="eastAsia" w:ascii="仿宋" w:hAnsi="仿宋" w:eastAsia="仿宋" w:cs="仿宋"/>
          <w:b/>
          <w:color w:val="auto"/>
          <w:sz w:val="32"/>
          <w:szCs w:val="32"/>
          <w:highlight w:val="none"/>
        </w:rPr>
        <w:t>五、一般公共预算财政拨款支出决算情况说明</w:t>
      </w:r>
    </w:p>
    <w:p w14:paraId="11AA9C86">
      <w:pPr>
        <w:pStyle w:val="11"/>
        <w:spacing w:line="600" w:lineRule="exact"/>
        <w:ind w:firstLine="640" w:firstLineChars="200"/>
        <w:rPr>
          <w:rFonts w:ascii="仿宋" w:hAnsi="仿宋" w:eastAsia="仿宋" w:cs="仿宋"/>
          <w:b/>
          <w:color w:val="auto"/>
          <w:sz w:val="32"/>
          <w:szCs w:val="32"/>
          <w:highlight w:val="none"/>
        </w:rPr>
      </w:pPr>
      <w:r>
        <w:rPr>
          <w:rFonts w:hint="eastAsia" w:ascii="仿宋" w:hAnsi="仿宋" w:eastAsia="仿宋" w:cs="仿宋"/>
          <w:b/>
          <w:color w:val="auto"/>
          <w:sz w:val="32"/>
          <w:szCs w:val="32"/>
          <w:highlight w:val="none"/>
        </w:rPr>
        <w:t>（一）财政拨款支出决算总体情况</w:t>
      </w:r>
    </w:p>
    <w:p w14:paraId="6E49EB7F">
      <w:pPr>
        <w:pStyle w:val="11"/>
        <w:spacing w:line="600" w:lineRule="exact"/>
        <w:ind w:firstLine="640" w:firstLineChars="200"/>
        <w:rPr>
          <w:rFonts w:ascii="仿宋" w:hAnsi="仿宋" w:eastAsia="仿宋" w:cs="仿宋"/>
          <w:color w:val="auto"/>
          <w:sz w:val="32"/>
          <w:szCs w:val="32"/>
          <w:highlight w:val="none"/>
        </w:rPr>
      </w:pPr>
      <w:r>
        <w:rPr>
          <w:rFonts w:hint="eastAsia" w:ascii="仿宋" w:hAnsi="仿宋" w:eastAsia="仿宋" w:cs="仿宋"/>
          <w:color w:val="auto"/>
          <w:sz w:val="32"/>
          <w:szCs w:val="32"/>
          <w:highlight w:val="none"/>
        </w:rPr>
        <w:t>2022年度财政拨款支出15824.60万元，占本年支出合计的99.31%，与上年相比，财政拨款支出增加1415.08万元，增长9.82%，主要是本年工作经费及人员经费支出较上年有所增加。</w:t>
      </w:r>
    </w:p>
    <w:p w14:paraId="159F87A4">
      <w:pPr>
        <w:pStyle w:val="11"/>
        <w:spacing w:line="600" w:lineRule="exact"/>
        <w:ind w:firstLine="640" w:firstLineChars="200"/>
        <w:rPr>
          <w:rFonts w:ascii="仿宋" w:hAnsi="仿宋" w:eastAsia="仿宋" w:cs="仿宋"/>
          <w:b/>
          <w:color w:val="auto"/>
          <w:sz w:val="32"/>
          <w:szCs w:val="32"/>
          <w:highlight w:val="none"/>
        </w:rPr>
      </w:pPr>
      <w:r>
        <w:rPr>
          <w:rFonts w:hint="eastAsia" w:ascii="仿宋" w:hAnsi="仿宋" w:eastAsia="仿宋" w:cs="仿宋"/>
          <w:b/>
          <w:color w:val="auto"/>
          <w:sz w:val="32"/>
          <w:szCs w:val="32"/>
          <w:highlight w:val="none"/>
        </w:rPr>
        <w:t>（二）财政拨款支出决算结构情况</w:t>
      </w:r>
    </w:p>
    <w:p w14:paraId="7CA837F8">
      <w:pPr>
        <w:pStyle w:val="11"/>
        <w:spacing w:line="600" w:lineRule="exact"/>
        <w:ind w:firstLine="640" w:firstLineChars="200"/>
        <w:rPr>
          <w:rFonts w:ascii="仿宋" w:hAnsi="仿宋" w:eastAsia="仿宋" w:cs="仿宋"/>
          <w:color w:val="auto"/>
          <w:sz w:val="32"/>
          <w:szCs w:val="32"/>
          <w:highlight w:val="none"/>
        </w:rPr>
      </w:pPr>
      <w:r>
        <w:rPr>
          <w:rFonts w:hint="eastAsia" w:ascii="仿宋" w:hAnsi="仿宋" w:eastAsia="仿宋" w:cs="仿宋"/>
          <w:color w:val="auto"/>
          <w:sz w:val="32"/>
          <w:szCs w:val="32"/>
          <w:highlight w:val="none"/>
        </w:rPr>
        <w:t>2022年度财政拨款支出15824.60万元，主要用于以下方面：公共安全（类）支出14577.10万元，占比92.12%，社会保障和就业（类）支出901.49万元，占比5.70%，卫生健康（类）支出328.42万元，占比2.08%，文化旅游体育与传媒支出17.59万元，占比0.10%。</w:t>
      </w:r>
    </w:p>
    <w:p w14:paraId="039051B4">
      <w:pPr>
        <w:pStyle w:val="11"/>
        <w:spacing w:line="600" w:lineRule="exact"/>
        <w:ind w:firstLine="640" w:firstLineChars="200"/>
        <w:rPr>
          <w:rFonts w:ascii="仿宋" w:hAnsi="仿宋" w:eastAsia="仿宋" w:cs="仿宋"/>
          <w:b/>
          <w:color w:val="auto"/>
          <w:sz w:val="32"/>
          <w:szCs w:val="32"/>
          <w:highlight w:val="none"/>
        </w:rPr>
      </w:pPr>
      <w:r>
        <w:rPr>
          <w:rFonts w:hint="eastAsia" w:ascii="仿宋" w:hAnsi="仿宋" w:eastAsia="仿宋" w:cs="仿宋"/>
          <w:b/>
          <w:color w:val="auto"/>
          <w:sz w:val="32"/>
          <w:szCs w:val="32"/>
          <w:highlight w:val="none"/>
        </w:rPr>
        <w:t>（三）财政拨款支出决算具体情况</w:t>
      </w:r>
    </w:p>
    <w:p w14:paraId="0E4F6262">
      <w:pPr>
        <w:pStyle w:val="11"/>
        <w:spacing w:line="60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2022年度财政拨款支出年初预算数为12834.91万元，支出决算数为15824.60万元，完成年初预算的123.29%，其中：</w:t>
      </w:r>
    </w:p>
    <w:p w14:paraId="6DC922D7">
      <w:pPr>
        <w:pStyle w:val="11"/>
        <w:numPr>
          <w:ilvl w:val="0"/>
          <w:numId w:val="2"/>
        </w:numPr>
        <w:spacing w:line="600" w:lineRule="exac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公共安全支出（类）公安（款）行政运行（项）。</w:t>
      </w:r>
    </w:p>
    <w:p w14:paraId="46B7BB44">
      <w:pPr>
        <w:pStyle w:val="11"/>
        <w:spacing w:line="60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 xml:space="preserve">年初预算为9900.68万元，支出决算为10335.87万元，完成年初预算的104.40%，决算数大于年初预算数的主要原因是：该项主要为民警工资、津补贴等，因本年民警工资、津补贴等提标及补发等情况，故预决算存在此差异。     </w:t>
      </w:r>
    </w:p>
    <w:p w14:paraId="11CF4746">
      <w:pPr>
        <w:pStyle w:val="11"/>
        <w:numPr>
          <w:ilvl w:val="0"/>
          <w:numId w:val="2"/>
        </w:numPr>
        <w:spacing w:line="600" w:lineRule="exac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公共安全支出（类）公安（款）一般行政管理事务（项）。</w:t>
      </w:r>
    </w:p>
    <w:p w14:paraId="4BDD5DC9">
      <w:pPr>
        <w:pStyle w:val="11"/>
        <w:spacing w:line="600" w:lineRule="exact"/>
        <w:ind w:firstLine="480" w:firstLineChars="15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年初预算为0万元，支出决算为157.88万元，决算数大于年初预算数的主要原因是：该款项主要为公安上级转移年中追加公安业务及办案专项经费（公安派出所专项经费、禁毒专项经费、长江大保护专项经费、“一村一辅警”专项经费等），故预决算存在此差异。</w:t>
      </w:r>
    </w:p>
    <w:p w14:paraId="25A31284">
      <w:pPr>
        <w:pStyle w:val="11"/>
        <w:numPr>
          <w:ilvl w:val="0"/>
          <w:numId w:val="2"/>
        </w:numPr>
        <w:spacing w:line="600" w:lineRule="exac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公共安全支出（类）公安（款）执法办案（项）。</w:t>
      </w:r>
    </w:p>
    <w:p w14:paraId="07B8F7A1">
      <w:pPr>
        <w:pStyle w:val="11"/>
        <w:spacing w:line="60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年初预算为0万元，支出决算为52.69万元，决算数大于年初预算数的主要原因是：该款项主要为中央和省级年中追加公安业务及办案专项经费（出入境证照工本费、反恐专项经费、二代证工本费、雪亮工程业务装备经费等），用于分局公安业务办案专项开支，故预决算存在此差异。</w:t>
      </w:r>
    </w:p>
    <w:p w14:paraId="2FD07D8F">
      <w:pPr>
        <w:pStyle w:val="11"/>
        <w:numPr>
          <w:ilvl w:val="0"/>
          <w:numId w:val="2"/>
        </w:numPr>
        <w:spacing w:line="600" w:lineRule="exac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 xml:space="preserve">公共安全支出（类）公安（款）其他公安支出（项）。            </w:t>
      </w:r>
    </w:p>
    <w:p w14:paraId="16E697BF">
      <w:pPr>
        <w:pStyle w:val="11"/>
        <w:spacing w:line="60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年初预算为2158.55万元，支出决算为4025.66万元，完成年初预算的186.50%，决算数大于年初预算数的主要原因是：其中扫黑除恶专项100万元、专职驻村辅警经费64万元、上级装备补助经费77万元、人民警察执勤岗位津贴304万元、2021年度绩效考核奖金补发358.5万元、2021年绩效奖金预发915万元，为年中追加，未列入分局年初预算。</w:t>
      </w:r>
    </w:p>
    <w:p w14:paraId="63683D7F">
      <w:pPr>
        <w:pStyle w:val="11"/>
        <w:numPr>
          <w:ilvl w:val="0"/>
          <w:numId w:val="2"/>
        </w:numPr>
        <w:spacing w:line="600" w:lineRule="exac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公共安全支出（类）强制隔离戒毒（款）强制隔离戒毒人员生活（项）。</w:t>
      </w:r>
    </w:p>
    <w:p w14:paraId="56992593">
      <w:pPr>
        <w:pStyle w:val="11"/>
        <w:spacing w:line="60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年初预算为0万元，支出决算为5万元，决算数大于年初预算数的主要原因是：该款项主要为年中财政追加第一季度监所给养人员经费，故预决算存在此差异。</w:t>
      </w:r>
    </w:p>
    <w:p w14:paraId="0CD96990">
      <w:pPr>
        <w:pStyle w:val="11"/>
        <w:spacing w:line="60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6、文化旅游体育与传媒支出（类）新闻出版电影（款）其他新闻出版电影支出（项）。</w:t>
      </w:r>
    </w:p>
    <w:p w14:paraId="00004DEF">
      <w:pPr>
        <w:pStyle w:val="11"/>
        <w:spacing w:line="60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年初预算为0万元，支出决算为17.59万元，决算数大于年初预算数的主要原因是：该款项主要为财政年中追加“扫黄打非”有关补助经费，故预决算存在此差异。</w:t>
      </w:r>
    </w:p>
    <w:p w14:paraId="623856C2">
      <w:pPr>
        <w:pStyle w:val="11"/>
        <w:spacing w:line="60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7、社会保障和就业支出（类）行政事业单位养老支出（款）行政单位离退休（项）。</w:t>
      </w:r>
    </w:p>
    <w:p w14:paraId="187B7B1F">
      <w:pPr>
        <w:pStyle w:val="11"/>
        <w:spacing w:line="60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年初预算为0万元，支出决算为131.91万元，决算数大于年初预算数的主要原因是：该款项主要为离退休人员工资及津补贴，因年初未作为我单位预算下达，故预决算存在此差异。</w:t>
      </w:r>
    </w:p>
    <w:p w14:paraId="54656569">
      <w:pPr>
        <w:pStyle w:val="11"/>
        <w:spacing w:line="60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8、社会保障和就业支出（类）行政事业单位养老支出（款）机关事业单位基本养老保险缴费支出（项）。</w:t>
      </w:r>
    </w:p>
    <w:p w14:paraId="5F06B741">
      <w:pPr>
        <w:pStyle w:val="11"/>
        <w:spacing w:line="60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年初预算为506.57万元，支出决算为596.73万元，完成年初预算的117.80%，决算数大于年初预算数的主要原因是：该款项为机关事业单位养老保险缴费支出，因养老基数调整致单位养老保险缴费增加，故预决算存在此差异。</w:t>
      </w:r>
    </w:p>
    <w:p w14:paraId="42BEC9BF">
      <w:pPr>
        <w:pStyle w:val="11"/>
        <w:spacing w:line="60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9、社会保障和就业支出（类）行政事业单位养老支出（款）其他行政事业单位养老支出（项）。</w:t>
      </w:r>
    </w:p>
    <w:p w14:paraId="0D5DEA95">
      <w:pPr>
        <w:pStyle w:val="11"/>
        <w:spacing w:line="60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年初预算为0万元，支出决算为172.85万元，决算数大于年初预算数的主要原因是：该款项为离退休人员春节一次性生活补助，为社保科年中下达追加预算，故预决算存在此差异。</w:t>
      </w:r>
    </w:p>
    <w:p w14:paraId="7F3BAF6A">
      <w:pPr>
        <w:pStyle w:val="11"/>
        <w:spacing w:line="60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10、卫生健康支出（类）公共卫生（款）突发公共卫生事件应急处理（项）。</w:t>
      </w:r>
    </w:p>
    <w:p w14:paraId="7ACA855B">
      <w:pPr>
        <w:pStyle w:val="11"/>
        <w:spacing w:line="60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年初预算为0万元，支出决算为30万元，决算数大于年初预算数的主要原因是：该款项为财政年中追加抗疫补助资金，故预决算存在此差异。</w:t>
      </w:r>
    </w:p>
    <w:p w14:paraId="357EE86F">
      <w:pPr>
        <w:pStyle w:val="11"/>
        <w:spacing w:line="60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11、卫生健康支出（类）行政事业单位医疗（款）行政单位医疗（项）。</w:t>
      </w:r>
    </w:p>
    <w:p w14:paraId="1A733039">
      <w:pPr>
        <w:pStyle w:val="11"/>
        <w:spacing w:line="600" w:lineRule="exact"/>
        <w:ind w:firstLine="640" w:firstLineChars="200"/>
        <w:rPr>
          <w:rFonts w:ascii="仿宋" w:hAnsi="仿宋" w:eastAsia="仿宋" w:cs="仿宋"/>
          <w:color w:val="auto"/>
          <w:sz w:val="32"/>
          <w:szCs w:val="32"/>
          <w:highlight w:val="none"/>
        </w:rPr>
      </w:pPr>
      <w:r>
        <w:rPr>
          <w:rFonts w:hint="eastAsia" w:ascii="仿宋" w:hAnsi="仿宋" w:eastAsia="仿宋" w:cs="仿宋"/>
          <w:color w:val="auto"/>
          <w:sz w:val="32"/>
          <w:szCs w:val="32"/>
          <w:highlight w:val="none"/>
        </w:rPr>
        <w:t>年初预算为269.11万元，支出决算为298.42万元，完成年初预算的110.89%，决算数大于年初预算数的主要原因是：该款项为行政事业单位配套基本医保，因医保基数调整致单位养老保险缴费增加，故预决算存在此差异。</w:t>
      </w:r>
    </w:p>
    <w:p w14:paraId="0CB4AA92">
      <w:pPr>
        <w:pStyle w:val="11"/>
        <w:spacing w:line="600" w:lineRule="exact"/>
        <w:ind w:firstLine="640" w:firstLineChars="200"/>
        <w:rPr>
          <w:rFonts w:ascii="仿宋" w:hAnsi="仿宋" w:eastAsia="仿宋" w:cs="仿宋"/>
          <w:b/>
          <w:color w:val="auto"/>
          <w:sz w:val="32"/>
          <w:szCs w:val="32"/>
          <w:highlight w:val="none"/>
        </w:rPr>
      </w:pPr>
      <w:r>
        <w:rPr>
          <w:rFonts w:hint="eastAsia" w:ascii="仿宋" w:hAnsi="仿宋" w:eastAsia="仿宋" w:cs="仿宋"/>
          <w:b/>
          <w:color w:val="auto"/>
          <w:sz w:val="32"/>
          <w:szCs w:val="32"/>
          <w:highlight w:val="none"/>
        </w:rPr>
        <w:t>六、一般公共预算财政拨款基本支出决算情况说明</w:t>
      </w:r>
    </w:p>
    <w:p w14:paraId="283F6B28">
      <w:pPr>
        <w:pStyle w:val="11"/>
        <w:spacing w:line="600" w:lineRule="exact"/>
        <w:ind w:firstLine="640" w:firstLineChars="200"/>
        <w:rPr>
          <w:rFonts w:ascii="仿宋" w:hAnsi="仿宋" w:eastAsia="仿宋" w:cs="仿宋"/>
          <w:color w:val="auto"/>
          <w:sz w:val="32"/>
          <w:szCs w:val="32"/>
          <w:highlight w:val="none"/>
        </w:rPr>
      </w:pPr>
      <w:r>
        <w:rPr>
          <w:rFonts w:hint="eastAsia" w:ascii="仿宋" w:hAnsi="仿宋" w:eastAsia="仿宋" w:cs="仿宋"/>
          <w:color w:val="auto"/>
          <w:sz w:val="32"/>
          <w:szCs w:val="32"/>
          <w:highlight w:val="none"/>
        </w:rPr>
        <w:t>2022年度财政拨款基本支出8960.76万元，其中：</w:t>
      </w:r>
    </w:p>
    <w:p w14:paraId="1EA14DF4">
      <w:pPr>
        <w:pStyle w:val="11"/>
        <w:spacing w:line="600" w:lineRule="exact"/>
        <w:ind w:firstLine="640" w:firstLineChars="200"/>
        <w:rPr>
          <w:rFonts w:ascii="仿宋" w:hAnsi="仿宋" w:eastAsia="仿宋" w:cs="仿宋"/>
          <w:color w:val="auto"/>
          <w:sz w:val="32"/>
          <w:szCs w:val="32"/>
          <w:highlight w:val="none"/>
        </w:rPr>
      </w:pPr>
      <w:r>
        <w:rPr>
          <w:rFonts w:hint="eastAsia" w:ascii="仿宋" w:hAnsi="仿宋" w:eastAsia="仿宋" w:cs="仿宋"/>
          <w:color w:val="auto"/>
          <w:sz w:val="32"/>
          <w:szCs w:val="32"/>
          <w:highlight w:val="none"/>
        </w:rPr>
        <w:t>人员经费7644.15万元，占基本支出的85.31%,主要包括基本工资、津贴补贴、奖金、机关事业单位基本养老保险缴费、职工基本医疗保险缴费、其他社会保障缴费、其他工资福利支出、退休费，抚恤金、生活补助、奖励金、其他对个人和家庭的补助等；</w:t>
      </w:r>
    </w:p>
    <w:p w14:paraId="403CA965">
      <w:pPr>
        <w:pStyle w:val="11"/>
        <w:spacing w:line="600" w:lineRule="exact"/>
        <w:ind w:firstLine="640" w:firstLineChars="200"/>
        <w:rPr>
          <w:rFonts w:ascii="仿宋" w:hAnsi="仿宋" w:eastAsia="仿宋" w:cs="仿宋"/>
          <w:color w:val="auto"/>
          <w:sz w:val="32"/>
          <w:szCs w:val="32"/>
          <w:highlight w:val="none"/>
        </w:rPr>
      </w:pPr>
      <w:r>
        <w:rPr>
          <w:rFonts w:hint="eastAsia" w:ascii="仿宋" w:hAnsi="仿宋" w:eastAsia="仿宋" w:cs="仿宋"/>
          <w:color w:val="auto"/>
          <w:sz w:val="32"/>
          <w:szCs w:val="32"/>
          <w:highlight w:val="none"/>
        </w:rPr>
        <w:t>公用经费1316.61万元，占基本支出的14.69%，主要包括办公费、印刷费、水费、电费、邮电费、差旅费、维修（护）费、租赁费、培训费、公务接待费、专用材料费、专用燃料费、劳务费等。</w:t>
      </w:r>
    </w:p>
    <w:p w14:paraId="370ECF93">
      <w:pPr>
        <w:pStyle w:val="11"/>
        <w:spacing w:line="600" w:lineRule="exact"/>
        <w:ind w:firstLine="640" w:firstLineChars="200"/>
        <w:rPr>
          <w:rFonts w:ascii="仿宋" w:hAnsi="仿宋" w:eastAsia="仿宋" w:cs="仿宋"/>
          <w:b/>
          <w:color w:val="auto"/>
          <w:sz w:val="32"/>
          <w:szCs w:val="32"/>
          <w:highlight w:val="none"/>
        </w:rPr>
      </w:pPr>
      <w:r>
        <w:rPr>
          <w:rFonts w:hint="eastAsia" w:ascii="仿宋" w:hAnsi="仿宋" w:eastAsia="仿宋" w:cs="仿宋"/>
          <w:b/>
          <w:color w:val="auto"/>
          <w:sz w:val="32"/>
          <w:szCs w:val="32"/>
          <w:highlight w:val="none"/>
        </w:rPr>
        <w:t>七、一般公共预算财政拨款“三公”经费支出决算情况说明</w:t>
      </w:r>
    </w:p>
    <w:p w14:paraId="2B5FF567">
      <w:pPr>
        <w:pStyle w:val="11"/>
        <w:spacing w:line="600" w:lineRule="exact"/>
        <w:ind w:firstLine="640" w:firstLineChars="200"/>
        <w:rPr>
          <w:rFonts w:ascii="仿宋" w:hAnsi="仿宋" w:eastAsia="仿宋" w:cs="仿宋"/>
          <w:b/>
          <w:color w:val="auto"/>
          <w:sz w:val="32"/>
          <w:szCs w:val="32"/>
          <w:highlight w:val="none"/>
        </w:rPr>
      </w:pPr>
      <w:r>
        <w:rPr>
          <w:rFonts w:hint="eastAsia" w:ascii="仿宋" w:hAnsi="仿宋" w:eastAsia="仿宋" w:cs="仿宋"/>
          <w:b/>
          <w:color w:val="auto"/>
          <w:sz w:val="32"/>
          <w:szCs w:val="32"/>
          <w:highlight w:val="none"/>
        </w:rPr>
        <w:t>（一）“三公”经费财政拨款支出决算总体情况说明</w:t>
      </w:r>
    </w:p>
    <w:p w14:paraId="05EC82C5">
      <w:pPr>
        <w:pStyle w:val="11"/>
        <w:spacing w:line="600" w:lineRule="exact"/>
        <w:ind w:firstLine="640" w:firstLineChars="200"/>
        <w:rPr>
          <w:rFonts w:ascii="仿宋" w:hAnsi="仿宋" w:eastAsia="仿宋" w:cs="仿宋"/>
          <w:color w:val="auto"/>
          <w:sz w:val="32"/>
          <w:szCs w:val="32"/>
          <w:highlight w:val="none"/>
        </w:rPr>
      </w:pPr>
      <w:r>
        <w:rPr>
          <w:rFonts w:hint="eastAsia" w:ascii="仿宋" w:hAnsi="仿宋" w:eastAsia="仿宋" w:cs="仿宋"/>
          <w:color w:val="auto"/>
          <w:sz w:val="32"/>
          <w:szCs w:val="32"/>
          <w:highlight w:val="none"/>
        </w:rPr>
        <w:t>2022年度“三公”经费财政拨款支出预算为620.39万元，支出决算为620.39万元，完成预算的100%，决算数与预算数持平的主要原因是</w:t>
      </w:r>
      <w:r>
        <w:rPr>
          <w:rFonts w:hint="eastAsia" w:ascii="仿宋" w:hAnsi="仿宋" w:eastAsia="仿宋" w:cs="仿宋"/>
          <w:color w:val="auto"/>
          <w:sz w:val="32"/>
          <w:szCs w:val="32"/>
          <w:highlight w:val="none"/>
          <w:lang w:val="en-US" w:eastAsia="zh-CN"/>
        </w:rPr>
        <w:t>按预算执行</w:t>
      </w:r>
      <w:r>
        <w:rPr>
          <w:rFonts w:hint="eastAsia" w:ascii="仿宋" w:hAnsi="仿宋" w:eastAsia="仿宋" w:cs="仿宋"/>
          <w:color w:val="auto"/>
          <w:sz w:val="32"/>
          <w:szCs w:val="32"/>
          <w:highlight w:val="none"/>
        </w:rPr>
        <w:t>；与上年相比增加208.72万元，增长50.74%，增长的主要原因是</w:t>
      </w:r>
      <w:r>
        <w:rPr>
          <w:rFonts w:hint="eastAsia" w:ascii="仿宋" w:hAnsi="仿宋" w:eastAsia="仿宋" w:cs="仿宋"/>
          <w:color w:val="auto"/>
          <w:kern w:val="0"/>
          <w:sz w:val="32"/>
          <w:szCs w:val="32"/>
          <w:highlight w:val="none"/>
        </w:rPr>
        <w:t>本年汽油费上涨；本年因疫情、安保任务较重</w:t>
      </w:r>
      <w:r>
        <w:rPr>
          <w:rFonts w:hint="eastAsia" w:ascii="仿宋" w:hAnsi="仿宋" w:eastAsia="仿宋" w:cs="仿宋"/>
          <w:color w:val="auto"/>
          <w:sz w:val="32"/>
          <w:szCs w:val="32"/>
          <w:highlight w:val="none"/>
        </w:rPr>
        <w:t>。其中：</w:t>
      </w:r>
    </w:p>
    <w:p w14:paraId="4EDF10CA">
      <w:pPr>
        <w:pStyle w:val="11"/>
        <w:spacing w:line="60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因公出国(境)费支出预算为0万元，支出决算为0万元，预算决算金额均为0万元，无法计算完成百分比，主要原因是单位未因公出国（境），与上年相比持平均为0万元，无法计算完成百分比，主要原因是单位未因公出国（境）。</w:t>
      </w:r>
    </w:p>
    <w:p w14:paraId="535F74B4">
      <w:pPr>
        <w:pStyle w:val="11"/>
        <w:spacing w:line="60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公务接待费支出预算为0.71万元，支出决算为0.71万元，完成预算的100%，预决算持平，主要原因为根据本年实际情况对全年预算数按规定程序调整后与决算持平。与上年相比增加0.36万元，增加了102.86%,主要原因为本年公务接待较上年有所增加。</w:t>
      </w:r>
    </w:p>
    <w:p w14:paraId="2DC9CD1B">
      <w:pPr>
        <w:pStyle w:val="11"/>
        <w:spacing w:line="600" w:lineRule="exact"/>
        <w:ind w:firstLine="640" w:firstLineChars="200"/>
        <w:rPr>
          <w:rFonts w:ascii="仿宋_GB2312" w:hAnsi="仿宋_GB2312" w:eastAsia="仿宋_GB2312" w:cs="仿宋_GB2312"/>
          <w:color w:val="auto"/>
          <w:sz w:val="32"/>
          <w:szCs w:val="32"/>
          <w:highlight w:val="none"/>
        </w:rPr>
      </w:pPr>
      <w:r>
        <w:rPr>
          <w:rFonts w:hint="eastAsia" w:ascii="仿宋" w:hAnsi="仿宋" w:eastAsia="仿宋" w:cs="仿宋"/>
          <w:color w:val="auto"/>
          <w:sz w:val="32"/>
          <w:szCs w:val="32"/>
          <w:highlight w:val="none"/>
        </w:rPr>
        <w:t>公务用车购置费支出预算数281.77万元,支出决算数为281.77万元,完成预算的100%；预决算持平，主要原因为根据本年实际情况对全年预算数按规定程序调整后与决算持平。与上年相比增加148.43万元，增加111.32%,增加的主要原因为基层所队更新执勤执法办案车辆5台，支出金额为133.52万元。根据省厅保障部安排，保障专款配置执勤执法车辆10台，支出金额为148.25万，故本年增长较多。</w:t>
      </w:r>
    </w:p>
    <w:p w14:paraId="38256D99">
      <w:pPr>
        <w:spacing w:line="600" w:lineRule="exact"/>
        <w:ind w:firstLine="640" w:firstLineChars="200"/>
        <w:jc w:val="left"/>
        <w:rPr>
          <w:rFonts w:ascii="仿宋" w:hAnsi="仿宋" w:eastAsia="仿宋" w:cs="仿宋"/>
          <w:color w:val="auto"/>
          <w:sz w:val="32"/>
          <w:szCs w:val="32"/>
          <w:highlight w:val="none"/>
        </w:rPr>
      </w:pPr>
      <w:r>
        <w:rPr>
          <w:rFonts w:hint="eastAsia" w:ascii="仿宋" w:hAnsi="仿宋" w:eastAsia="仿宋" w:cs="仿宋"/>
          <w:color w:val="auto"/>
          <w:kern w:val="0"/>
          <w:sz w:val="32"/>
          <w:szCs w:val="32"/>
          <w:highlight w:val="none"/>
        </w:rPr>
        <w:t>公车运行维护费支出预算为337.91万元，支出决算为337.91万元，完成预算的100%;预决算持平，主要原因为根据本年实际情况对全年预算数按规定程序调整后与决算持平。与上年相比增加59.93万元，增加21.56%,主要原因为1、本年汽油费上涨；2、本年因疫情、安保任务较重，故车辆运行成本增高。</w:t>
      </w:r>
    </w:p>
    <w:p w14:paraId="593CCF37">
      <w:pPr>
        <w:pStyle w:val="11"/>
        <w:spacing w:line="600" w:lineRule="exact"/>
        <w:ind w:firstLine="640" w:firstLineChars="200"/>
        <w:rPr>
          <w:rFonts w:ascii="仿宋" w:hAnsi="仿宋" w:eastAsia="仿宋" w:cs="仿宋"/>
          <w:b/>
          <w:color w:val="auto"/>
          <w:sz w:val="32"/>
          <w:szCs w:val="32"/>
          <w:highlight w:val="none"/>
        </w:rPr>
      </w:pPr>
      <w:r>
        <w:rPr>
          <w:rFonts w:hint="eastAsia" w:ascii="仿宋" w:hAnsi="仿宋" w:eastAsia="仿宋" w:cs="仿宋"/>
          <w:b/>
          <w:color w:val="auto"/>
          <w:sz w:val="32"/>
          <w:szCs w:val="32"/>
          <w:highlight w:val="none"/>
        </w:rPr>
        <w:t>（二）“三公”经费财政拨款支出决算具体情况说明</w:t>
      </w:r>
    </w:p>
    <w:p w14:paraId="0C9D21C6">
      <w:pPr>
        <w:pStyle w:val="11"/>
        <w:spacing w:line="600" w:lineRule="exact"/>
        <w:ind w:firstLine="640" w:firstLineChars="200"/>
        <w:rPr>
          <w:rFonts w:ascii="仿宋" w:hAnsi="仿宋" w:eastAsia="仿宋" w:cs="仿宋"/>
          <w:color w:val="auto"/>
          <w:sz w:val="32"/>
          <w:szCs w:val="32"/>
          <w:highlight w:val="none"/>
        </w:rPr>
      </w:pPr>
      <w:r>
        <w:rPr>
          <w:rFonts w:hint="eastAsia" w:ascii="仿宋" w:hAnsi="仿宋" w:eastAsia="仿宋" w:cs="仿宋"/>
          <w:color w:val="auto"/>
          <w:sz w:val="32"/>
          <w:szCs w:val="32"/>
          <w:highlight w:val="none"/>
        </w:rPr>
        <w:t>2022年度“三公”经费财政拨款支出决算中，公务接待费支出决算0.71万元，占0.11%,因公出国（境）费支出决算0万元，公务用车购置费及运行维护费支出决算619.68万元，占99.89%。其中：</w:t>
      </w:r>
    </w:p>
    <w:p w14:paraId="6EB59691">
      <w:pPr>
        <w:pStyle w:val="2"/>
        <w:tabs>
          <w:tab w:val="left" w:pos="3864"/>
          <w:tab w:val="left" w:pos="6248"/>
          <w:tab w:val="left" w:pos="7386"/>
        </w:tabs>
        <w:overflowPunct w:val="0"/>
        <w:spacing w:before="1" w:line="600" w:lineRule="exact"/>
        <w:ind w:right="420" w:firstLine="640" w:firstLineChars="200"/>
        <w:rPr>
          <w:rFonts w:hint="eastAsia" w:ascii="仿宋" w:hAnsi="仿宋" w:eastAsia="仿宋" w:cs="仿宋"/>
          <w:color w:val="auto"/>
          <w:highlight w:val="none"/>
        </w:rPr>
      </w:pPr>
      <w:r>
        <w:rPr>
          <w:rFonts w:hint="eastAsia" w:ascii="仿宋" w:hAnsi="仿宋" w:eastAsia="仿宋" w:cs="仿宋"/>
          <w:color w:val="auto"/>
          <w:highlight w:val="none"/>
        </w:rPr>
        <w:t>1、因公出国（境）费支出决算为0万元，全年安排因公出国（境）团组0个，</w:t>
      </w:r>
      <w:r>
        <w:rPr>
          <w:rFonts w:hint="eastAsia" w:ascii="仿宋" w:hAnsi="仿宋" w:eastAsia="仿宋"/>
          <w:color w:val="auto"/>
          <w:highlight w:val="none"/>
        </w:rPr>
        <w:t>累计</w:t>
      </w:r>
      <w:bookmarkStart w:id="0" w:name="THERR_YGCGJFY_TZRS"/>
      <w:r>
        <w:rPr>
          <w:rFonts w:hint="eastAsia" w:ascii="仿宋" w:hAnsi="仿宋" w:eastAsia="仿宋" w:cs="仿宋"/>
          <w:color w:val="auto"/>
          <w:highlight w:val="none"/>
        </w:rPr>
        <w:t>0</w:t>
      </w:r>
      <w:bookmarkEnd w:id="0"/>
      <w:r>
        <w:rPr>
          <w:rFonts w:hint="eastAsia" w:ascii="仿宋" w:hAnsi="仿宋" w:eastAsia="仿宋" w:cs="仿宋"/>
          <w:color w:val="auto"/>
          <w:highlight w:val="none"/>
        </w:rPr>
        <w:t>人次，主要是</w:t>
      </w:r>
      <w:bookmarkStart w:id="1" w:name="THERR_YGCGJFY_ZYYY"/>
      <w:r>
        <w:rPr>
          <w:rFonts w:hint="eastAsia" w:ascii="仿宋" w:hAnsi="仿宋" w:eastAsia="仿宋" w:cs="仿宋"/>
          <w:color w:val="auto"/>
          <w:highlight w:val="none"/>
        </w:rPr>
        <w:t>2022年我单位没有因公出国（境）费支出</w:t>
      </w:r>
      <w:bookmarkEnd w:id="1"/>
      <w:bookmarkStart w:id="2" w:name="END_THERR_YGCGJFY_AMT"/>
      <w:bookmarkEnd w:id="2"/>
      <w:r>
        <w:rPr>
          <w:rFonts w:hint="eastAsia" w:ascii="仿宋" w:hAnsi="仿宋" w:eastAsia="仿宋" w:cs="仿宋"/>
          <w:color w:val="auto"/>
          <w:highlight w:val="none"/>
        </w:rPr>
        <w:t>。</w:t>
      </w:r>
    </w:p>
    <w:p w14:paraId="3957EF0D">
      <w:pPr>
        <w:pStyle w:val="2"/>
        <w:tabs>
          <w:tab w:val="left" w:pos="3864"/>
          <w:tab w:val="left" w:pos="6248"/>
          <w:tab w:val="left" w:pos="7386"/>
        </w:tabs>
        <w:overflowPunct w:val="0"/>
        <w:spacing w:before="1" w:line="600" w:lineRule="exact"/>
        <w:ind w:right="420" w:firstLine="640" w:firstLineChars="200"/>
        <w:rPr>
          <w:rFonts w:hint="eastAsia" w:ascii="仿宋" w:hAnsi="仿宋" w:eastAsia="仿宋" w:cs="仿宋"/>
          <w:color w:val="auto"/>
          <w:highlight w:val="none"/>
        </w:rPr>
      </w:pPr>
      <w:r>
        <w:rPr>
          <w:rFonts w:hint="eastAsia" w:ascii="仿宋" w:hAnsi="仿宋" w:eastAsia="仿宋" w:cs="仿宋"/>
          <w:color w:val="auto"/>
          <w:highlight w:val="none"/>
        </w:rPr>
        <w:t>2、公务接待费支出决算为0.71万元，全年共接待来访团组4个、来宾52人次，主要是省级来鹤进行公安工作检查、异地公安联合办案来鹤城发生的接待支出。</w:t>
      </w:r>
    </w:p>
    <w:p w14:paraId="3F335040">
      <w:pPr>
        <w:pStyle w:val="2"/>
        <w:tabs>
          <w:tab w:val="left" w:pos="3864"/>
          <w:tab w:val="left" w:pos="6248"/>
          <w:tab w:val="left" w:pos="7386"/>
        </w:tabs>
        <w:overflowPunct w:val="0"/>
        <w:spacing w:before="1" w:line="600" w:lineRule="exact"/>
        <w:ind w:right="420" w:firstLine="640" w:firstLineChars="200"/>
        <w:rPr>
          <w:rFonts w:ascii="仿宋" w:hAnsi="仿宋" w:eastAsia="仿宋" w:cs="仿宋"/>
          <w:color w:val="auto"/>
          <w:highlight w:val="none"/>
        </w:rPr>
      </w:pPr>
      <w:r>
        <w:rPr>
          <w:rFonts w:hint="eastAsia" w:ascii="仿宋" w:hAnsi="仿宋" w:eastAsia="仿宋" w:cs="仿宋"/>
          <w:color w:val="auto"/>
          <w:kern w:val="0"/>
          <w:highlight w:val="none"/>
        </w:rPr>
        <w:t>3、公务用车购置费及运行维护费支出决算为619.68万元，其中：公务用车购置费281.77万元，基层所队更新执勤执法办案车辆5台，另</w:t>
      </w:r>
      <w:r>
        <w:rPr>
          <w:rFonts w:hint="eastAsia" w:ascii="仿宋" w:hAnsi="仿宋" w:eastAsia="仿宋" w:cs="仿宋"/>
          <w:color w:val="auto"/>
          <w:highlight w:val="none"/>
        </w:rPr>
        <w:t>根据省厅保障部安排，保障专款配置执勤执法车辆10台</w:t>
      </w:r>
      <w:r>
        <w:rPr>
          <w:rFonts w:hint="eastAsia" w:ascii="仿宋" w:hAnsi="仿宋" w:eastAsia="仿宋" w:cs="仿宋"/>
          <w:color w:val="auto"/>
          <w:kern w:val="0"/>
          <w:highlight w:val="none"/>
        </w:rPr>
        <w:t>。公务用车运行维护费337.91万元，主要是基层所队日常车辆汽油费、维修费等支出，截至2022年12月31日，我单位财政拨款的公务用车保有量为71辆。</w:t>
      </w:r>
    </w:p>
    <w:p w14:paraId="0296D8CF">
      <w:pPr>
        <w:pStyle w:val="11"/>
        <w:spacing w:line="600" w:lineRule="exact"/>
        <w:ind w:firstLine="640" w:firstLineChars="200"/>
        <w:rPr>
          <w:rFonts w:ascii="仿宋" w:hAnsi="仿宋" w:eastAsia="仿宋" w:cs="仿宋"/>
          <w:b/>
          <w:color w:val="auto"/>
          <w:sz w:val="32"/>
          <w:szCs w:val="32"/>
          <w:highlight w:val="none"/>
        </w:rPr>
      </w:pPr>
      <w:r>
        <w:rPr>
          <w:rFonts w:hint="eastAsia" w:ascii="仿宋" w:hAnsi="仿宋" w:eastAsia="仿宋" w:cs="仿宋"/>
          <w:b/>
          <w:color w:val="auto"/>
          <w:sz w:val="32"/>
          <w:szCs w:val="32"/>
          <w:highlight w:val="none"/>
        </w:rPr>
        <w:t>八、政府性基金预算收入支出决算情况</w:t>
      </w:r>
    </w:p>
    <w:p w14:paraId="28A8512F">
      <w:pPr>
        <w:pStyle w:val="11"/>
        <w:spacing w:line="600" w:lineRule="exact"/>
        <w:ind w:firstLine="640" w:firstLineChars="200"/>
        <w:rPr>
          <w:rFonts w:ascii="仿宋" w:hAnsi="仿宋" w:eastAsia="仿宋" w:cs="仿宋"/>
          <w:color w:val="auto"/>
          <w:sz w:val="32"/>
          <w:szCs w:val="32"/>
          <w:highlight w:val="none"/>
        </w:rPr>
      </w:pPr>
      <w:r>
        <w:rPr>
          <w:rFonts w:hint="eastAsia" w:ascii="仿宋" w:hAnsi="仿宋" w:eastAsia="仿宋" w:cs="仿宋"/>
          <w:color w:val="auto"/>
          <w:sz w:val="32"/>
          <w:szCs w:val="32"/>
          <w:highlight w:val="none"/>
        </w:rPr>
        <w:t>2022年度本单位无政府性基金收支。</w:t>
      </w:r>
    </w:p>
    <w:p w14:paraId="5A0DE24E">
      <w:pPr>
        <w:pStyle w:val="11"/>
        <w:spacing w:line="600" w:lineRule="exact"/>
        <w:ind w:firstLine="640" w:firstLineChars="200"/>
        <w:rPr>
          <w:rFonts w:ascii="仿宋" w:hAnsi="仿宋" w:eastAsia="仿宋" w:cs="仿宋"/>
          <w:b/>
          <w:color w:val="auto"/>
          <w:sz w:val="32"/>
          <w:szCs w:val="32"/>
          <w:highlight w:val="none"/>
        </w:rPr>
      </w:pPr>
      <w:r>
        <w:rPr>
          <w:rFonts w:hint="eastAsia" w:ascii="仿宋" w:hAnsi="仿宋" w:eastAsia="仿宋" w:cs="仿宋"/>
          <w:b/>
          <w:color w:val="auto"/>
          <w:sz w:val="32"/>
          <w:szCs w:val="32"/>
          <w:highlight w:val="none"/>
        </w:rPr>
        <w:t>九、国有资本经营预算财政拨款支出决算情况说明</w:t>
      </w:r>
    </w:p>
    <w:p w14:paraId="7A5D1FB2">
      <w:pPr>
        <w:pStyle w:val="11"/>
        <w:spacing w:line="600" w:lineRule="exact"/>
        <w:ind w:firstLine="640" w:firstLineChars="200"/>
        <w:rPr>
          <w:rFonts w:ascii="仿宋" w:hAnsi="仿宋" w:eastAsia="仿宋" w:cs="仿宋"/>
          <w:color w:val="auto"/>
          <w:sz w:val="32"/>
          <w:szCs w:val="32"/>
          <w:highlight w:val="none"/>
        </w:rPr>
      </w:pPr>
      <w:r>
        <w:rPr>
          <w:rFonts w:hint="eastAsia" w:ascii="仿宋" w:hAnsi="仿宋" w:eastAsia="仿宋" w:cs="仿宋"/>
          <w:color w:val="auto"/>
          <w:sz w:val="32"/>
          <w:szCs w:val="32"/>
          <w:highlight w:val="none"/>
        </w:rPr>
        <w:t>2022年度本单位无国有资本经营预算财政拨款支出。</w:t>
      </w:r>
    </w:p>
    <w:p w14:paraId="0F9D56AD">
      <w:pPr>
        <w:pStyle w:val="11"/>
        <w:spacing w:line="600" w:lineRule="exact"/>
        <w:ind w:firstLine="640" w:firstLineChars="200"/>
        <w:rPr>
          <w:rFonts w:ascii="仿宋" w:hAnsi="仿宋" w:eastAsia="仿宋" w:cs="仿宋"/>
          <w:b/>
          <w:color w:val="auto"/>
          <w:sz w:val="32"/>
          <w:szCs w:val="32"/>
          <w:highlight w:val="none"/>
        </w:rPr>
      </w:pPr>
      <w:r>
        <w:rPr>
          <w:rFonts w:hint="eastAsia" w:ascii="仿宋" w:hAnsi="仿宋" w:eastAsia="仿宋" w:cs="仿宋"/>
          <w:b/>
          <w:color w:val="auto"/>
          <w:sz w:val="32"/>
          <w:szCs w:val="32"/>
          <w:highlight w:val="none"/>
        </w:rPr>
        <w:t>十、机关运行经费支出说明</w:t>
      </w:r>
    </w:p>
    <w:p w14:paraId="5415CA0E">
      <w:pPr>
        <w:pStyle w:val="11"/>
        <w:spacing w:line="600" w:lineRule="exact"/>
        <w:ind w:firstLine="640" w:firstLineChars="200"/>
        <w:rPr>
          <w:rFonts w:ascii="仿宋" w:hAnsi="仿宋" w:eastAsia="仿宋" w:cs="仿宋"/>
          <w:color w:val="auto"/>
          <w:sz w:val="32"/>
          <w:szCs w:val="32"/>
          <w:highlight w:val="none"/>
        </w:rPr>
      </w:pPr>
      <w:r>
        <w:rPr>
          <w:rFonts w:hint="eastAsia" w:ascii="仿宋" w:hAnsi="仿宋" w:eastAsia="仿宋" w:cs="仿宋"/>
          <w:color w:val="auto"/>
          <w:sz w:val="32"/>
          <w:szCs w:val="32"/>
          <w:highlight w:val="none"/>
        </w:rPr>
        <w:t>本部门2022年度机关运行经费支出1316.61万元，比上年决算数减少335.68万元，减少20.32%。主要原因是：日常运行开支厉行节约，故本年机关运行费较上年减少。</w:t>
      </w:r>
    </w:p>
    <w:p w14:paraId="0A008632">
      <w:pPr>
        <w:pStyle w:val="11"/>
        <w:spacing w:line="600" w:lineRule="exact"/>
        <w:ind w:firstLine="640" w:firstLineChars="200"/>
        <w:rPr>
          <w:rFonts w:ascii="仿宋" w:hAnsi="仿宋" w:eastAsia="仿宋" w:cs="仿宋"/>
          <w:b/>
          <w:color w:val="auto"/>
          <w:sz w:val="32"/>
          <w:szCs w:val="32"/>
          <w:highlight w:val="none"/>
        </w:rPr>
      </w:pPr>
      <w:r>
        <w:rPr>
          <w:rFonts w:hint="eastAsia" w:ascii="仿宋" w:hAnsi="仿宋" w:eastAsia="仿宋" w:cs="仿宋"/>
          <w:b/>
          <w:color w:val="auto"/>
          <w:sz w:val="32"/>
          <w:szCs w:val="32"/>
          <w:highlight w:val="none"/>
        </w:rPr>
        <w:t>十一、一般性支出情况说明</w:t>
      </w:r>
    </w:p>
    <w:p w14:paraId="6A9AAB2A">
      <w:pPr>
        <w:snapToGrid w:val="0"/>
        <w:spacing w:line="600" w:lineRule="exact"/>
        <w:ind w:firstLine="640" w:firstLineChars="200"/>
        <w:rPr>
          <w:rFonts w:ascii="仿宋" w:hAnsi="仿宋" w:eastAsia="仿宋" w:cs="仿宋"/>
          <w:b/>
          <w:color w:val="auto"/>
          <w:sz w:val="32"/>
          <w:szCs w:val="32"/>
          <w:highlight w:val="none"/>
        </w:rPr>
      </w:pPr>
      <w:r>
        <w:rPr>
          <w:rFonts w:hint="eastAsia" w:ascii="仿宋" w:hAnsi="仿宋" w:eastAsia="仿宋" w:cs="仿宋"/>
          <w:color w:val="auto"/>
          <w:kern w:val="0"/>
          <w:sz w:val="32"/>
          <w:szCs w:val="32"/>
          <w:highlight w:val="none"/>
        </w:rPr>
        <w:t>2022年本部门会议费开支</w:t>
      </w:r>
      <w:r>
        <w:rPr>
          <w:rFonts w:hint="eastAsia" w:ascii="仿宋" w:hAnsi="仿宋" w:eastAsia="仿宋" w:cs="仿宋"/>
          <w:color w:val="auto"/>
          <w:sz w:val="32"/>
          <w:szCs w:val="32"/>
          <w:highlight w:val="none"/>
        </w:rPr>
        <w:t>会议费0.44万元，主要用于湘黔边地区刑侦协作会,</w:t>
      </w:r>
      <w:r>
        <w:rPr>
          <w:rFonts w:hint="eastAsia" w:ascii="仿宋" w:hAnsi="仿宋" w:eastAsia="仿宋" w:cs="仿宋"/>
          <w:color w:val="auto"/>
          <w:kern w:val="0"/>
          <w:sz w:val="32"/>
          <w:szCs w:val="32"/>
          <w:highlight w:val="none"/>
        </w:rPr>
        <w:t>人数115人，内容为刑侦业务协作会；未举办节庆、晚会、论坛、赛事等活动；全年开支培训费</w:t>
      </w:r>
      <w:r>
        <w:rPr>
          <w:rFonts w:hint="eastAsia" w:ascii="仿宋" w:hAnsi="仿宋" w:eastAsia="仿宋" w:cs="仿宋"/>
          <w:color w:val="auto"/>
          <w:sz w:val="32"/>
          <w:szCs w:val="32"/>
          <w:highlight w:val="none"/>
        </w:rPr>
        <w:t>27.23</w:t>
      </w:r>
      <w:r>
        <w:rPr>
          <w:rFonts w:hint="eastAsia" w:ascii="仿宋" w:hAnsi="仿宋" w:eastAsia="仿宋" w:cs="仿宋"/>
          <w:color w:val="auto"/>
          <w:kern w:val="0"/>
          <w:sz w:val="32"/>
          <w:szCs w:val="32"/>
          <w:highlight w:val="none"/>
        </w:rPr>
        <w:t>万元，用于开展民警三项达标培训，人数450人，内容为2022年全警三项达标实战大练兵培训；用于分局巡特警训练培训，人数49人，内容为分局巡特警全年专业训练培训；用于分局辅警警务技能业务培训，人数710人，内容为分局民警进行警务技能业务培训；用于无人机培训，人数2人，内容为无人机理论课程与实践飞行训练培训；用于警犬培训，人数1人，内容为追踪、搜捕专业培训等。</w:t>
      </w:r>
      <w:r>
        <w:rPr>
          <w:rFonts w:hint="eastAsia" w:ascii="仿宋" w:hAnsi="仿宋" w:eastAsia="仿宋" w:cs="仿宋"/>
          <w:color w:val="auto"/>
          <w:sz w:val="32"/>
          <w:szCs w:val="32"/>
          <w:highlight w:val="none"/>
          <w:lang w:val="en-US" w:eastAsia="zh-CN"/>
        </w:rPr>
        <w:t>无举办节庆、晚会、论坛、赛事等</w:t>
      </w:r>
    </w:p>
    <w:p w14:paraId="63558C47">
      <w:pPr>
        <w:pStyle w:val="11"/>
        <w:spacing w:line="600" w:lineRule="exact"/>
        <w:ind w:firstLine="640" w:firstLineChars="200"/>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十二、政府采购支出说明</w:t>
      </w:r>
    </w:p>
    <w:p w14:paraId="68153587">
      <w:pPr>
        <w:pStyle w:val="2"/>
        <w:tabs>
          <w:tab w:val="left" w:pos="3864"/>
          <w:tab w:val="left" w:pos="6248"/>
          <w:tab w:val="left" w:pos="7386"/>
        </w:tabs>
        <w:overflowPunct w:val="0"/>
        <w:spacing w:before="1" w:line="360" w:lineRule="auto"/>
        <w:ind w:right="420" w:firstLine="640" w:firstLineChars="200"/>
        <w:rPr>
          <w:rFonts w:ascii="仿宋" w:hAnsi="仿宋" w:eastAsia="仿宋"/>
          <w:color w:val="auto"/>
          <w:highlight w:val="none"/>
        </w:rPr>
      </w:pPr>
      <w:r>
        <w:rPr>
          <w:rFonts w:hint="eastAsia" w:ascii="仿宋" w:hAnsi="仿宋" w:eastAsia="仿宋" w:cs="仿宋"/>
          <w:color w:val="auto"/>
          <w:kern w:val="0"/>
          <w:highlight w:val="none"/>
        </w:rPr>
        <w:t>本部门2022年度政府采购支出总额123万元，其中：政府采购货物支出123万元、政府采购工程支出0万元、政府采购服务支出0万元。授予中小企业合同金额123万元，占政府采购支出总额的100%，其中：授予小微企业合同金额123万元，占政府采购支出总额的100%。</w:t>
      </w:r>
      <w:bookmarkStart w:id="3" w:name="DIS_MARK_GP_BGT_CGHW_AMT"/>
      <w:r>
        <w:rPr>
          <w:rFonts w:hint="eastAsia" w:ascii="仿宋" w:hAnsi="仿宋" w:eastAsia="仿宋" w:cs="仿宋"/>
          <w:color w:val="auto"/>
          <w:highlight w:val="none"/>
        </w:rPr>
        <w:t>货物采购授予中小企业合同金额占货物支出金额的100</w:t>
      </w:r>
      <w:r>
        <w:rPr>
          <w:rFonts w:ascii="仿宋" w:hAnsi="仿宋" w:eastAsia="仿宋" w:cs="仿宋"/>
          <w:color w:val="auto"/>
          <w:highlight w:val="none"/>
        </w:rPr>
        <w:t>%</w:t>
      </w:r>
      <w:r>
        <w:rPr>
          <w:rFonts w:hint="eastAsia" w:ascii="仿宋" w:hAnsi="仿宋" w:eastAsia="仿宋" w:cs="仿宋_GB2312"/>
          <w:color w:val="auto"/>
          <w:highlight w:val="none"/>
          <w:shd w:val="clear" w:color="auto" w:fill="FFFFFF"/>
        </w:rPr>
        <w:t>；</w:t>
      </w:r>
      <w:bookmarkEnd w:id="3"/>
      <w:bookmarkStart w:id="4" w:name="END_GP_BGT_CGHW_AMT"/>
      <w:bookmarkEnd w:id="4"/>
      <w:bookmarkStart w:id="5" w:name="START_GP_BGT_CGGC_AMT"/>
      <w:bookmarkEnd w:id="5"/>
      <w:bookmarkStart w:id="6" w:name="DIS_MARK_GP_BGT_CGHW_AMT_1"/>
      <w:bookmarkEnd w:id="6"/>
      <w:bookmarkStart w:id="7" w:name="END_GP_BGT_CGGC_AMT"/>
      <w:bookmarkEnd w:id="7"/>
      <w:bookmarkStart w:id="8" w:name="DIS_MARK_GP_BGT_CGGC_AMT"/>
      <w:bookmarkEnd w:id="8"/>
      <w:bookmarkStart w:id="9" w:name="START_GP_BGT_CGGC_AMT_1"/>
      <w:bookmarkEnd w:id="9"/>
      <w:bookmarkStart w:id="10" w:name="END_GP_BGT_CGHW_AMT_1"/>
      <w:bookmarkEnd w:id="10"/>
      <w:bookmarkStart w:id="11" w:name="START_GP_BGT_CGHW_AMT_1"/>
      <w:bookmarkEnd w:id="11"/>
      <w:bookmarkStart w:id="12" w:name="DIS_MARK_GP_BGT_CGGC_AMT_1"/>
      <w:r>
        <w:rPr>
          <w:rFonts w:hint="eastAsia" w:ascii="仿宋" w:hAnsi="仿宋" w:eastAsia="仿宋" w:cs="仿宋_GB2312"/>
          <w:color w:val="auto"/>
          <w:highlight w:val="none"/>
        </w:rPr>
        <w:t>由于</w:t>
      </w:r>
      <w:r>
        <w:rPr>
          <w:rFonts w:hint="eastAsia" w:ascii="仿宋" w:hAnsi="仿宋" w:eastAsia="仿宋" w:cs="仿宋"/>
          <w:color w:val="auto"/>
          <w:highlight w:val="none"/>
        </w:rPr>
        <w:t>工程支出金额</w:t>
      </w:r>
      <w:r>
        <w:rPr>
          <w:rFonts w:hint="eastAsia" w:ascii="仿宋" w:hAnsi="仿宋" w:eastAsia="仿宋" w:cs="仿宋_GB2312"/>
          <w:color w:val="auto"/>
          <w:highlight w:val="none"/>
        </w:rPr>
        <w:t>为0</w:t>
      </w:r>
      <w:r>
        <w:rPr>
          <w:rFonts w:hint="eastAsia" w:ascii="仿宋" w:hAnsi="仿宋" w:eastAsia="仿宋" w:cs="仿宋"/>
          <w:color w:val="auto"/>
          <w:highlight w:val="none"/>
        </w:rPr>
        <w:t>万元</w:t>
      </w:r>
      <w:r>
        <w:rPr>
          <w:rFonts w:hint="eastAsia" w:ascii="仿宋" w:hAnsi="仿宋" w:eastAsia="仿宋" w:cs="仿宋_GB2312"/>
          <w:color w:val="auto"/>
          <w:highlight w:val="none"/>
        </w:rPr>
        <w:t>，无法计算</w:t>
      </w:r>
      <w:r>
        <w:rPr>
          <w:rFonts w:hint="eastAsia" w:ascii="仿宋" w:hAnsi="仿宋" w:eastAsia="仿宋" w:cs="仿宋"/>
          <w:color w:val="auto"/>
          <w:highlight w:val="none"/>
        </w:rPr>
        <w:t>工程采购授予中小企业合同金额占工程支出金额的</w:t>
      </w:r>
      <w:r>
        <w:rPr>
          <w:rFonts w:hint="eastAsia" w:ascii="仿宋" w:hAnsi="仿宋" w:eastAsia="仿宋" w:cs="仿宋_GB2312"/>
          <w:color w:val="auto"/>
          <w:highlight w:val="none"/>
        </w:rPr>
        <w:t>百分比</w:t>
      </w:r>
      <w:r>
        <w:rPr>
          <w:rFonts w:hint="eastAsia" w:ascii="仿宋" w:hAnsi="仿宋" w:eastAsia="仿宋" w:cs="仿宋_GB2312"/>
          <w:color w:val="auto"/>
          <w:highlight w:val="none"/>
          <w:shd w:val="clear" w:color="auto" w:fill="FFFFFF"/>
        </w:rPr>
        <w:t>；</w:t>
      </w:r>
      <w:bookmarkEnd w:id="12"/>
      <w:bookmarkStart w:id="13" w:name="START_GP_BGT_CGFW_AMT"/>
      <w:bookmarkEnd w:id="13"/>
      <w:bookmarkStart w:id="14" w:name="END_GP_BGT_CGGC_AMT_1"/>
      <w:bookmarkEnd w:id="14"/>
      <w:bookmarkStart w:id="15" w:name="END_GP_BGT_CGFW_AMT_1"/>
      <w:bookmarkEnd w:id="15"/>
      <w:bookmarkStart w:id="16" w:name="DIS_MARK_GP_BGT_CGFW_AMT_1"/>
      <w:bookmarkEnd w:id="16"/>
      <w:bookmarkStart w:id="17" w:name="END_GP_BGT_CGFW_AMT"/>
      <w:bookmarkEnd w:id="17"/>
      <w:bookmarkStart w:id="18" w:name="START_GP_BGT_CGFW_AMT_1"/>
      <w:bookmarkEnd w:id="18"/>
      <w:r>
        <w:rPr>
          <w:rFonts w:hint="eastAsia" w:ascii="仿宋" w:hAnsi="仿宋" w:eastAsia="仿宋" w:cs="仿宋_GB2312"/>
          <w:color w:val="auto"/>
          <w:highlight w:val="none"/>
        </w:rPr>
        <w:t>由于</w:t>
      </w:r>
      <w:r>
        <w:rPr>
          <w:rFonts w:hint="eastAsia" w:ascii="仿宋" w:hAnsi="仿宋" w:eastAsia="仿宋" w:cs="仿宋"/>
          <w:color w:val="auto"/>
          <w:highlight w:val="none"/>
          <w:lang w:val="en-US" w:eastAsia="zh-CN"/>
        </w:rPr>
        <w:t>服务</w:t>
      </w:r>
      <w:r>
        <w:rPr>
          <w:rFonts w:hint="eastAsia" w:ascii="仿宋" w:hAnsi="仿宋" w:eastAsia="仿宋" w:cs="仿宋"/>
          <w:color w:val="auto"/>
          <w:highlight w:val="none"/>
        </w:rPr>
        <w:t>支出金额</w:t>
      </w:r>
      <w:r>
        <w:rPr>
          <w:rFonts w:hint="eastAsia" w:ascii="仿宋" w:hAnsi="仿宋" w:eastAsia="仿宋" w:cs="仿宋_GB2312"/>
          <w:color w:val="auto"/>
          <w:highlight w:val="none"/>
        </w:rPr>
        <w:t>为0</w:t>
      </w:r>
      <w:r>
        <w:rPr>
          <w:rFonts w:hint="eastAsia" w:ascii="仿宋" w:hAnsi="仿宋" w:eastAsia="仿宋" w:cs="仿宋"/>
          <w:color w:val="auto"/>
          <w:highlight w:val="none"/>
        </w:rPr>
        <w:t>万元</w:t>
      </w:r>
      <w:r>
        <w:rPr>
          <w:rFonts w:hint="eastAsia" w:ascii="仿宋" w:hAnsi="仿宋" w:eastAsia="仿宋" w:cs="仿宋_GB2312"/>
          <w:color w:val="auto"/>
          <w:highlight w:val="none"/>
        </w:rPr>
        <w:t>，无法计算</w:t>
      </w:r>
      <w:r>
        <w:rPr>
          <w:rFonts w:hint="eastAsia" w:ascii="仿宋" w:hAnsi="仿宋" w:eastAsia="仿宋" w:cs="仿宋"/>
          <w:color w:val="auto"/>
          <w:highlight w:val="none"/>
          <w:lang w:val="en-US" w:eastAsia="zh-CN"/>
        </w:rPr>
        <w:t>服务</w:t>
      </w:r>
      <w:r>
        <w:rPr>
          <w:rFonts w:hint="eastAsia" w:ascii="仿宋" w:hAnsi="仿宋" w:eastAsia="仿宋" w:cs="仿宋"/>
          <w:color w:val="auto"/>
          <w:highlight w:val="none"/>
        </w:rPr>
        <w:t>采购授予中小企业合同金额占</w:t>
      </w:r>
      <w:r>
        <w:rPr>
          <w:rFonts w:hint="eastAsia" w:ascii="仿宋" w:hAnsi="仿宋" w:eastAsia="仿宋" w:cs="仿宋"/>
          <w:color w:val="auto"/>
          <w:highlight w:val="none"/>
          <w:lang w:val="en-US" w:eastAsia="zh-CN"/>
        </w:rPr>
        <w:t>服务</w:t>
      </w:r>
      <w:bookmarkStart w:id="19" w:name="_GoBack"/>
      <w:bookmarkEnd w:id="19"/>
      <w:r>
        <w:rPr>
          <w:rFonts w:hint="eastAsia" w:ascii="仿宋" w:hAnsi="仿宋" w:eastAsia="仿宋" w:cs="仿宋"/>
          <w:color w:val="auto"/>
          <w:highlight w:val="none"/>
        </w:rPr>
        <w:t>支出金额的</w:t>
      </w:r>
      <w:r>
        <w:rPr>
          <w:rFonts w:hint="eastAsia" w:ascii="仿宋" w:hAnsi="仿宋" w:eastAsia="仿宋" w:cs="仿宋_GB2312"/>
          <w:color w:val="auto"/>
          <w:highlight w:val="none"/>
        </w:rPr>
        <w:t>百分比</w:t>
      </w:r>
    </w:p>
    <w:p w14:paraId="69CE1E53">
      <w:pPr>
        <w:pStyle w:val="11"/>
        <w:spacing w:line="600" w:lineRule="exact"/>
        <w:ind w:firstLine="640" w:firstLineChars="200"/>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十三、国有资产占用情况说明</w:t>
      </w:r>
    </w:p>
    <w:p w14:paraId="72212157">
      <w:pPr>
        <w:pStyle w:val="11"/>
        <w:spacing w:line="600" w:lineRule="exact"/>
        <w:ind w:firstLine="640" w:firstLineChars="200"/>
        <w:rPr>
          <w:rFonts w:ascii="仿宋" w:hAnsi="仿宋" w:eastAsia="仿宋" w:cs="仿宋"/>
          <w:b/>
          <w:color w:val="auto"/>
          <w:sz w:val="32"/>
          <w:szCs w:val="32"/>
          <w:highlight w:val="none"/>
        </w:rPr>
      </w:pPr>
      <w:r>
        <w:rPr>
          <w:rFonts w:hint="eastAsia" w:ascii="仿宋" w:hAnsi="仿宋" w:eastAsia="仿宋" w:cs="仿宋"/>
          <w:color w:val="auto"/>
          <w:sz w:val="32"/>
          <w:szCs w:val="32"/>
          <w:highlight w:val="none"/>
        </w:rPr>
        <w:t>截至2022年12月31日，本单位共有车辆71辆，其中，机要通信用车1辆、执法执勤用车70辆；单位价值50万元以上通用设备0台（套）；单位价值100万元以上专用设备0台（套）。</w:t>
      </w:r>
    </w:p>
    <w:p w14:paraId="190B82FE">
      <w:pPr>
        <w:pStyle w:val="11"/>
        <w:spacing w:line="600" w:lineRule="exact"/>
        <w:ind w:firstLine="640" w:firstLineChars="200"/>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十四、关于2022年度预算绩效情况的说明</w:t>
      </w:r>
    </w:p>
    <w:p w14:paraId="50E2C464">
      <w:pPr>
        <w:pStyle w:val="11"/>
        <w:spacing w:line="600" w:lineRule="exact"/>
        <w:ind w:firstLine="640" w:firstLineChars="200"/>
        <w:rPr>
          <w:rFonts w:ascii="仿宋" w:hAnsi="仿宋" w:eastAsia="仿宋" w:cs="仿宋"/>
          <w:b/>
          <w:color w:val="auto"/>
          <w:sz w:val="32"/>
          <w:szCs w:val="32"/>
          <w:highlight w:val="none"/>
        </w:rPr>
      </w:pPr>
      <w:r>
        <w:rPr>
          <w:rFonts w:hint="eastAsia" w:ascii="仿宋" w:hAnsi="仿宋" w:eastAsia="仿宋" w:cs="仿宋"/>
          <w:color w:val="auto"/>
          <w:sz w:val="32"/>
          <w:szCs w:val="32"/>
          <w:highlight w:val="none"/>
        </w:rPr>
        <w:t>分局根据《怀化市财政局关于开展2022年度市级财政资金绩效自评工作的通知》的文件要求，积极组织对2022年度本单位支出进行了整体及专项绩效自评，并完成绩效评价报告。具体绩效评价报告见附件。</w:t>
      </w:r>
    </w:p>
    <w:p w14:paraId="47B878A0">
      <w:pPr>
        <w:pStyle w:val="11"/>
        <w:spacing w:line="600" w:lineRule="exact"/>
        <w:ind w:firstLine="1440" w:firstLineChars="200"/>
        <w:jc w:val="both"/>
        <w:rPr>
          <w:rFonts w:hint="eastAsia" w:ascii="仿宋" w:hAnsi="仿宋" w:eastAsia="仿宋" w:cs="仿宋"/>
          <w:color w:val="auto"/>
          <w:sz w:val="72"/>
          <w:szCs w:val="72"/>
          <w:highlight w:val="none"/>
        </w:rPr>
      </w:pPr>
    </w:p>
    <w:p w14:paraId="3EF8A637">
      <w:pPr>
        <w:pStyle w:val="11"/>
        <w:spacing w:line="600" w:lineRule="exact"/>
        <w:ind w:firstLine="1440" w:firstLineChars="200"/>
        <w:jc w:val="both"/>
        <w:rPr>
          <w:rFonts w:hint="eastAsia" w:ascii="仿宋" w:hAnsi="仿宋" w:eastAsia="仿宋" w:cs="仿宋"/>
          <w:color w:val="auto"/>
          <w:sz w:val="72"/>
          <w:szCs w:val="72"/>
          <w:highlight w:val="none"/>
        </w:rPr>
      </w:pPr>
    </w:p>
    <w:p w14:paraId="353C2292">
      <w:pPr>
        <w:pStyle w:val="11"/>
        <w:spacing w:line="600" w:lineRule="exact"/>
        <w:ind w:firstLine="1440" w:firstLineChars="200"/>
        <w:jc w:val="both"/>
        <w:rPr>
          <w:rFonts w:ascii="仿宋" w:hAnsi="仿宋" w:eastAsia="仿宋" w:cs="仿宋"/>
          <w:color w:val="auto"/>
          <w:sz w:val="72"/>
          <w:szCs w:val="72"/>
          <w:highlight w:val="none"/>
        </w:rPr>
      </w:pPr>
    </w:p>
    <w:p w14:paraId="06F30172">
      <w:pPr>
        <w:pStyle w:val="11"/>
        <w:jc w:val="center"/>
        <w:rPr>
          <w:rFonts w:hint="eastAsia" w:hAnsi="黑体"/>
          <w:color w:val="auto"/>
          <w:sz w:val="84"/>
          <w:szCs w:val="84"/>
          <w:highlight w:val="none"/>
        </w:rPr>
      </w:pPr>
    </w:p>
    <w:p w14:paraId="49B86E2A">
      <w:pPr>
        <w:pStyle w:val="11"/>
        <w:jc w:val="center"/>
        <w:rPr>
          <w:rFonts w:hint="eastAsia" w:hAnsi="黑体"/>
          <w:color w:val="auto"/>
          <w:sz w:val="84"/>
          <w:szCs w:val="84"/>
          <w:highlight w:val="none"/>
        </w:rPr>
      </w:pPr>
    </w:p>
    <w:p w14:paraId="14531644">
      <w:pPr>
        <w:pStyle w:val="11"/>
        <w:jc w:val="center"/>
        <w:rPr>
          <w:rFonts w:hint="eastAsia" w:hAnsi="黑体"/>
          <w:color w:val="auto"/>
          <w:sz w:val="84"/>
          <w:szCs w:val="84"/>
          <w:highlight w:val="none"/>
        </w:rPr>
      </w:pPr>
    </w:p>
    <w:p w14:paraId="25CD5896">
      <w:pPr>
        <w:pStyle w:val="11"/>
        <w:jc w:val="center"/>
        <w:rPr>
          <w:rFonts w:hint="eastAsia" w:hAnsi="黑体"/>
          <w:color w:val="auto"/>
          <w:sz w:val="84"/>
          <w:szCs w:val="84"/>
          <w:highlight w:val="none"/>
        </w:rPr>
      </w:pPr>
    </w:p>
    <w:p w14:paraId="48FEE28E">
      <w:pPr>
        <w:pStyle w:val="11"/>
        <w:jc w:val="center"/>
        <w:rPr>
          <w:rFonts w:hint="eastAsia" w:hAnsi="黑体"/>
          <w:color w:val="auto"/>
          <w:sz w:val="84"/>
          <w:szCs w:val="84"/>
          <w:highlight w:val="none"/>
        </w:rPr>
      </w:pPr>
    </w:p>
    <w:p w14:paraId="2DC88311">
      <w:pPr>
        <w:pStyle w:val="11"/>
        <w:jc w:val="center"/>
        <w:rPr>
          <w:rFonts w:hint="eastAsia" w:hAnsi="黑体"/>
          <w:color w:val="auto"/>
          <w:sz w:val="84"/>
          <w:szCs w:val="84"/>
          <w:highlight w:val="none"/>
        </w:rPr>
      </w:pPr>
    </w:p>
    <w:p w14:paraId="5775FB93">
      <w:pPr>
        <w:pStyle w:val="11"/>
        <w:jc w:val="center"/>
        <w:rPr>
          <w:rFonts w:hint="eastAsia" w:hAnsi="黑体"/>
          <w:color w:val="auto"/>
          <w:sz w:val="84"/>
          <w:szCs w:val="84"/>
          <w:highlight w:val="none"/>
        </w:rPr>
      </w:pPr>
    </w:p>
    <w:p w14:paraId="63FCC3D8">
      <w:pPr>
        <w:pStyle w:val="11"/>
        <w:jc w:val="center"/>
        <w:rPr>
          <w:rFonts w:hint="eastAsia" w:hAnsi="黑体"/>
          <w:color w:val="auto"/>
          <w:sz w:val="84"/>
          <w:szCs w:val="84"/>
          <w:highlight w:val="none"/>
        </w:rPr>
      </w:pPr>
    </w:p>
    <w:p w14:paraId="2940429F">
      <w:pPr>
        <w:pStyle w:val="11"/>
        <w:jc w:val="center"/>
        <w:rPr>
          <w:rFonts w:hAnsi="黑体"/>
          <w:color w:val="auto"/>
          <w:sz w:val="84"/>
          <w:szCs w:val="84"/>
          <w:highlight w:val="none"/>
        </w:rPr>
      </w:pPr>
      <w:r>
        <w:rPr>
          <w:rFonts w:hint="eastAsia" w:hAnsi="黑体"/>
          <w:color w:val="auto"/>
          <w:sz w:val="84"/>
          <w:szCs w:val="84"/>
          <w:highlight w:val="none"/>
        </w:rPr>
        <w:t>第四部分</w:t>
      </w:r>
    </w:p>
    <w:p w14:paraId="1750E1A9">
      <w:pPr>
        <w:jc w:val="center"/>
        <w:rPr>
          <w:rFonts w:ascii="黑体" w:hAnsi="黑体" w:eastAsia="黑体" w:cs="黑体"/>
          <w:color w:val="auto"/>
          <w:kern w:val="0"/>
          <w:sz w:val="84"/>
          <w:szCs w:val="84"/>
          <w:highlight w:val="none"/>
        </w:rPr>
      </w:pPr>
    </w:p>
    <w:p w14:paraId="3E48DCE5">
      <w:pPr>
        <w:jc w:val="center"/>
        <w:rPr>
          <w:rFonts w:ascii="黑体" w:hAnsi="黑体" w:eastAsia="黑体" w:cs="黑体"/>
          <w:color w:val="auto"/>
          <w:kern w:val="0"/>
          <w:sz w:val="84"/>
          <w:szCs w:val="84"/>
          <w:highlight w:val="none"/>
        </w:rPr>
      </w:pPr>
      <w:r>
        <w:rPr>
          <w:rFonts w:hint="eastAsia" w:ascii="黑体" w:hAnsi="黑体" w:eastAsia="黑体" w:cs="黑体"/>
          <w:color w:val="auto"/>
          <w:kern w:val="0"/>
          <w:sz w:val="84"/>
          <w:szCs w:val="84"/>
          <w:highlight w:val="none"/>
        </w:rPr>
        <w:t>名词解释</w:t>
      </w:r>
    </w:p>
    <w:p w14:paraId="218AAAFC">
      <w:pPr>
        <w:widowControl/>
        <w:jc w:val="left"/>
        <w:rPr>
          <w:rFonts w:hint="eastAsia" w:ascii="仿宋" w:hAnsi="仿宋" w:eastAsia="仿宋" w:cs="仿宋"/>
          <w:color w:val="auto"/>
          <w:kern w:val="0"/>
          <w:sz w:val="70"/>
          <w:szCs w:val="70"/>
          <w:highlight w:val="none"/>
        </w:rPr>
      </w:pPr>
    </w:p>
    <w:p w14:paraId="51129ADD">
      <w:pPr>
        <w:widowControl/>
        <w:jc w:val="left"/>
        <w:rPr>
          <w:rFonts w:hint="eastAsia" w:ascii="仿宋" w:hAnsi="仿宋" w:eastAsia="仿宋" w:cs="仿宋"/>
          <w:color w:val="auto"/>
          <w:kern w:val="0"/>
          <w:sz w:val="70"/>
          <w:szCs w:val="70"/>
          <w:highlight w:val="none"/>
        </w:rPr>
      </w:pPr>
    </w:p>
    <w:p w14:paraId="288DA010">
      <w:pPr>
        <w:widowControl/>
        <w:jc w:val="left"/>
        <w:rPr>
          <w:rFonts w:hint="eastAsia" w:ascii="仿宋" w:hAnsi="仿宋" w:eastAsia="仿宋" w:cs="仿宋"/>
          <w:color w:val="auto"/>
          <w:kern w:val="0"/>
          <w:sz w:val="70"/>
          <w:szCs w:val="70"/>
          <w:highlight w:val="none"/>
        </w:rPr>
      </w:pPr>
    </w:p>
    <w:p w14:paraId="7E7F9EE4">
      <w:pPr>
        <w:widowControl/>
        <w:jc w:val="left"/>
        <w:rPr>
          <w:rFonts w:hint="eastAsia" w:ascii="仿宋" w:hAnsi="仿宋" w:eastAsia="仿宋" w:cs="仿宋"/>
          <w:color w:val="auto"/>
          <w:kern w:val="0"/>
          <w:sz w:val="70"/>
          <w:szCs w:val="70"/>
          <w:highlight w:val="none"/>
        </w:rPr>
      </w:pPr>
    </w:p>
    <w:p w14:paraId="0FAFD90B">
      <w:pPr>
        <w:widowControl/>
        <w:jc w:val="left"/>
        <w:rPr>
          <w:rFonts w:hint="eastAsia" w:ascii="仿宋" w:hAnsi="仿宋" w:eastAsia="仿宋" w:cs="仿宋"/>
          <w:color w:val="auto"/>
          <w:kern w:val="0"/>
          <w:sz w:val="70"/>
          <w:szCs w:val="70"/>
          <w:highlight w:val="none"/>
        </w:rPr>
      </w:pPr>
    </w:p>
    <w:p w14:paraId="392712C9">
      <w:pPr>
        <w:widowControl/>
        <w:shd w:val="clear" w:color="auto" w:fill="FFFFFF"/>
        <w:spacing w:before="225" w:line="600" w:lineRule="exact"/>
        <w:ind w:firstLine="640"/>
        <w:jc w:val="left"/>
        <w:textAlignment w:val="baseline"/>
        <w:rPr>
          <w:rFonts w:ascii="仿宋" w:hAnsi="仿宋" w:eastAsia="仿宋" w:cs="仿宋"/>
          <w:color w:val="auto"/>
          <w:sz w:val="30"/>
          <w:szCs w:val="30"/>
          <w:highlight w:val="none"/>
        </w:rPr>
      </w:pPr>
      <w:r>
        <w:rPr>
          <w:rFonts w:hint="eastAsia" w:ascii="仿宋" w:hAnsi="仿宋" w:eastAsia="仿宋" w:cs="仿宋"/>
          <w:b/>
          <w:bCs/>
          <w:color w:val="auto"/>
          <w:kern w:val="0"/>
          <w:sz w:val="30"/>
          <w:szCs w:val="30"/>
          <w:highlight w:val="none"/>
          <w:shd w:val="clear" w:color="auto" w:fill="FFFFFF"/>
        </w:rPr>
        <w:t>一、机关运行经费：</w:t>
      </w:r>
      <w:r>
        <w:rPr>
          <w:rFonts w:hint="eastAsia" w:ascii="仿宋" w:hAnsi="仿宋" w:eastAsia="仿宋" w:cs="仿宋"/>
          <w:color w:val="auto"/>
          <w:kern w:val="0"/>
          <w:sz w:val="30"/>
          <w:szCs w:val="30"/>
          <w:highlight w:val="none"/>
          <w:shd w:val="clear" w:color="auto" w:fill="FFFFFF"/>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14:paraId="4940E772">
      <w:pPr>
        <w:widowControl/>
        <w:shd w:val="clear" w:color="auto" w:fill="FFFFFF"/>
        <w:spacing w:before="225" w:line="600" w:lineRule="exact"/>
        <w:ind w:firstLine="640"/>
        <w:jc w:val="left"/>
        <w:textAlignment w:val="baseline"/>
        <w:rPr>
          <w:rFonts w:ascii="仿宋" w:hAnsi="仿宋" w:eastAsia="仿宋" w:cs="仿宋"/>
          <w:color w:val="auto"/>
          <w:kern w:val="0"/>
          <w:sz w:val="30"/>
          <w:szCs w:val="30"/>
          <w:highlight w:val="none"/>
          <w:shd w:val="clear" w:color="auto" w:fill="FFFFFF"/>
        </w:rPr>
      </w:pPr>
      <w:r>
        <w:rPr>
          <w:rFonts w:hint="eastAsia" w:ascii="仿宋" w:hAnsi="仿宋" w:eastAsia="仿宋" w:cs="仿宋"/>
          <w:b/>
          <w:bCs/>
          <w:color w:val="auto"/>
          <w:kern w:val="0"/>
          <w:sz w:val="30"/>
          <w:szCs w:val="30"/>
          <w:highlight w:val="none"/>
          <w:shd w:val="clear" w:color="auto" w:fill="FFFFFF"/>
        </w:rPr>
        <w:t>二、“三公”经费：</w:t>
      </w:r>
      <w:r>
        <w:rPr>
          <w:rFonts w:hint="eastAsia" w:ascii="仿宋" w:hAnsi="仿宋" w:eastAsia="仿宋" w:cs="仿宋"/>
          <w:color w:val="auto"/>
          <w:kern w:val="0"/>
          <w:sz w:val="30"/>
          <w:szCs w:val="30"/>
          <w:highlight w:val="none"/>
          <w:shd w:val="clear" w:color="auto" w:fill="FFFFFF"/>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4D6B878D">
      <w:pPr>
        <w:pStyle w:val="11"/>
        <w:spacing w:line="600" w:lineRule="exact"/>
        <w:jc w:val="center"/>
        <w:rPr>
          <w:rFonts w:ascii="仿宋" w:hAnsi="仿宋" w:eastAsia="仿宋" w:cs="仿宋"/>
          <w:color w:val="auto"/>
          <w:sz w:val="72"/>
          <w:szCs w:val="72"/>
          <w:highlight w:val="none"/>
        </w:rPr>
      </w:pPr>
    </w:p>
    <w:p w14:paraId="248AAEA1">
      <w:pPr>
        <w:pStyle w:val="11"/>
        <w:spacing w:line="600" w:lineRule="exact"/>
        <w:jc w:val="center"/>
        <w:rPr>
          <w:rFonts w:ascii="仿宋" w:hAnsi="仿宋" w:eastAsia="仿宋" w:cs="仿宋"/>
          <w:color w:val="auto"/>
          <w:sz w:val="72"/>
          <w:szCs w:val="72"/>
          <w:highlight w:val="none"/>
        </w:rPr>
      </w:pPr>
    </w:p>
    <w:p w14:paraId="1681B0C0">
      <w:pPr>
        <w:pStyle w:val="11"/>
        <w:spacing w:line="600" w:lineRule="exact"/>
        <w:jc w:val="center"/>
        <w:rPr>
          <w:rFonts w:ascii="仿宋" w:hAnsi="仿宋" w:eastAsia="仿宋" w:cs="仿宋"/>
          <w:color w:val="auto"/>
          <w:sz w:val="72"/>
          <w:szCs w:val="72"/>
          <w:highlight w:val="none"/>
        </w:rPr>
      </w:pPr>
    </w:p>
    <w:p w14:paraId="5722668F">
      <w:pPr>
        <w:pStyle w:val="11"/>
        <w:jc w:val="center"/>
        <w:rPr>
          <w:rFonts w:hint="eastAsia" w:ascii="仿宋" w:hAnsi="仿宋" w:eastAsia="仿宋" w:cs="仿宋"/>
          <w:color w:val="auto"/>
          <w:sz w:val="72"/>
          <w:szCs w:val="72"/>
          <w:highlight w:val="none"/>
        </w:rPr>
      </w:pPr>
    </w:p>
    <w:p w14:paraId="681B8393">
      <w:pPr>
        <w:pStyle w:val="11"/>
        <w:jc w:val="center"/>
        <w:rPr>
          <w:rFonts w:hint="eastAsia" w:ascii="仿宋" w:hAnsi="仿宋" w:eastAsia="仿宋" w:cs="仿宋"/>
          <w:color w:val="auto"/>
          <w:sz w:val="72"/>
          <w:szCs w:val="72"/>
          <w:highlight w:val="none"/>
        </w:rPr>
      </w:pPr>
    </w:p>
    <w:p w14:paraId="18683AB0">
      <w:pPr>
        <w:pStyle w:val="11"/>
        <w:jc w:val="center"/>
        <w:rPr>
          <w:rFonts w:hint="eastAsia" w:ascii="仿宋" w:hAnsi="仿宋" w:eastAsia="仿宋" w:cs="仿宋"/>
          <w:color w:val="auto"/>
          <w:sz w:val="72"/>
          <w:szCs w:val="72"/>
          <w:highlight w:val="none"/>
        </w:rPr>
      </w:pPr>
    </w:p>
    <w:p w14:paraId="313955CD">
      <w:pPr>
        <w:pStyle w:val="11"/>
        <w:jc w:val="center"/>
        <w:rPr>
          <w:rFonts w:hint="eastAsia" w:ascii="仿宋" w:hAnsi="仿宋" w:eastAsia="仿宋" w:cs="仿宋"/>
          <w:color w:val="auto"/>
          <w:sz w:val="72"/>
          <w:szCs w:val="72"/>
          <w:highlight w:val="none"/>
        </w:rPr>
      </w:pPr>
    </w:p>
    <w:p w14:paraId="114D1B24">
      <w:pPr>
        <w:pStyle w:val="11"/>
        <w:jc w:val="center"/>
        <w:rPr>
          <w:rFonts w:hint="eastAsia" w:ascii="仿宋" w:hAnsi="仿宋" w:eastAsia="仿宋" w:cs="仿宋"/>
          <w:color w:val="auto"/>
          <w:sz w:val="72"/>
          <w:szCs w:val="72"/>
          <w:highlight w:val="none"/>
        </w:rPr>
      </w:pPr>
    </w:p>
    <w:p w14:paraId="3480975F">
      <w:pPr>
        <w:pStyle w:val="11"/>
        <w:jc w:val="center"/>
        <w:rPr>
          <w:rFonts w:hint="eastAsia" w:ascii="仿宋" w:hAnsi="仿宋" w:eastAsia="仿宋" w:cs="仿宋"/>
          <w:color w:val="auto"/>
          <w:sz w:val="72"/>
          <w:szCs w:val="72"/>
          <w:highlight w:val="none"/>
        </w:rPr>
      </w:pPr>
    </w:p>
    <w:p w14:paraId="34C0EE1B">
      <w:pPr>
        <w:pStyle w:val="11"/>
        <w:jc w:val="center"/>
        <w:rPr>
          <w:rFonts w:hint="eastAsia" w:ascii="仿宋" w:hAnsi="仿宋" w:eastAsia="仿宋" w:cs="仿宋"/>
          <w:color w:val="auto"/>
          <w:sz w:val="72"/>
          <w:szCs w:val="72"/>
          <w:highlight w:val="none"/>
        </w:rPr>
      </w:pPr>
    </w:p>
    <w:p w14:paraId="6D19E6D0">
      <w:pPr>
        <w:pStyle w:val="11"/>
        <w:jc w:val="center"/>
        <w:rPr>
          <w:rFonts w:hint="eastAsia" w:ascii="仿宋" w:hAnsi="仿宋" w:eastAsia="仿宋" w:cs="仿宋"/>
          <w:color w:val="auto"/>
          <w:sz w:val="72"/>
          <w:szCs w:val="72"/>
          <w:highlight w:val="none"/>
        </w:rPr>
      </w:pPr>
    </w:p>
    <w:p w14:paraId="7DCB8222">
      <w:pPr>
        <w:pStyle w:val="11"/>
        <w:jc w:val="center"/>
        <w:rPr>
          <w:rFonts w:ascii="仿宋" w:hAnsi="仿宋" w:eastAsia="仿宋" w:cs="仿宋"/>
          <w:color w:val="auto"/>
          <w:sz w:val="72"/>
          <w:szCs w:val="72"/>
          <w:highlight w:val="none"/>
        </w:rPr>
      </w:pPr>
    </w:p>
    <w:p w14:paraId="445A69DC">
      <w:pPr>
        <w:pStyle w:val="11"/>
        <w:jc w:val="center"/>
        <w:rPr>
          <w:rFonts w:ascii="仿宋" w:hAnsi="仿宋" w:eastAsia="仿宋" w:cs="仿宋"/>
          <w:color w:val="auto"/>
          <w:sz w:val="72"/>
          <w:szCs w:val="72"/>
          <w:highlight w:val="none"/>
        </w:rPr>
      </w:pPr>
    </w:p>
    <w:p w14:paraId="5DC7831C">
      <w:pPr>
        <w:pStyle w:val="11"/>
        <w:jc w:val="center"/>
        <w:rPr>
          <w:rFonts w:hAnsi="黑体"/>
          <w:color w:val="auto"/>
          <w:sz w:val="84"/>
          <w:szCs w:val="84"/>
          <w:highlight w:val="none"/>
        </w:rPr>
      </w:pPr>
      <w:r>
        <w:rPr>
          <w:rFonts w:hint="eastAsia" w:hAnsi="黑体"/>
          <w:color w:val="auto"/>
          <w:sz w:val="84"/>
          <w:szCs w:val="84"/>
          <w:highlight w:val="none"/>
        </w:rPr>
        <w:t>第五部分</w:t>
      </w:r>
    </w:p>
    <w:p w14:paraId="28B4C635">
      <w:pPr>
        <w:jc w:val="center"/>
        <w:rPr>
          <w:rFonts w:ascii="黑体" w:hAnsi="黑体" w:eastAsia="黑体" w:cs="黑体"/>
          <w:color w:val="auto"/>
          <w:kern w:val="0"/>
          <w:sz w:val="84"/>
          <w:szCs w:val="84"/>
          <w:highlight w:val="none"/>
        </w:rPr>
      </w:pPr>
    </w:p>
    <w:p w14:paraId="19BDC92C">
      <w:pPr>
        <w:jc w:val="center"/>
        <w:rPr>
          <w:rFonts w:ascii="仿宋" w:hAnsi="仿宋" w:eastAsia="仿宋" w:cs="仿宋"/>
          <w:color w:val="auto"/>
          <w:kern w:val="0"/>
          <w:sz w:val="70"/>
          <w:szCs w:val="70"/>
          <w:highlight w:val="none"/>
        </w:rPr>
      </w:pPr>
      <w:r>
        <w:rPr>
          <w:rFonts w:hint="eastAsia" w:ascii="黑体" w:hAnsi="黑体" w:eastAsia="黑体" w:cs="黑体"/>
          <w:color w:val="auto"/>
          <w:kern w:val="0"/>
          <w:sz w:val="84"/>
          <w:szCs w:val="84"/>
          <w:highlight w:val="none"/>
        </w:rPr>
        <w:t>附件</w:t>
      </w:r>
    </w:p>
    <w:p w14:paraId="7F2C9B52">
      <w:pPr>
        <w:widowControl/>
        <w:jc w:val="left"/>
        <w:rPr>
          <w:rFonts w:ascii="仿宋" w:hAnsi="仿宋" w:eastAsia="仿宋" w:cs="仿宋"/>
          <w:color w:val="auto"/>
          <w:kern w:val="0"/>
          <w:sz w:val="70"/>
          <w:szCs w:val="70"/>
          <w:highlight w:val="none"/>
        </w:rPr>
      </w:pPr>
    </w:p>
    <w:p w14:paraId="4F887F02">
      <w:pPr>
        <w:jc w:val="center"/>
        <w:rPr>
          <w:rFonts w:ascii="仿宋" w:hAnsi="仿宋" w:eastAsia="仿宋" w:cs="仿宋"/>
          <w:color w:val="auto"/>
          <w:kern w:val="0"/>
          <w:highlight w:val="none"/>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A804E58"/>
    <w:multiLevelType w:val="multilevel"/>
    <w:tmpl w:val="4A804E58"/>
    <w:lvl w:ilvl="0" w:tentative="0">
      <w:start w:val="1"/>
      <w:numFmt w:val="decimal"/>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1">
    <w:nsid w:val="5DD20A2D"/>
    <w:multiLevelType w:val="multilevel"/>
    <w:tmpl w:val="5DD20A2D"/>
    <w:lvl w:ilvl="0" w:tentative="0">
      <w:start w:val="1"/>
      <w:numFmt w:val="japaneseCounting"/>
      <w:lvlText w:val="%1、"/>
      <w:lvlJc w:val="left"/>
      <w:pPr>
        <w:ind w:left="1520" w:hanging="720"/>
      </w:pPr>
      <w:rPr>
        <w:rFonts w:hint="default"/>
      </w:rPr>
    </w:lvl>
    <w:lvl w:ilvl="1" w:tentative="0">
      <w:start w:val="1"/>
      <w:numFmt w:val="lowerLetter"/>
      <w:lvlText w:val="%2)"/>
      <w:lvlJc w:val="left"/>
      <w:pPr>
        <w:ind w:left="1640" w:hanging="420"/>
      </w:pPr>
    </w:lvl>
    <w:lvl w:ilvl="2" w:tentative="0">
      <w:start w:val="1"/>
      <w:numFmt w:val="lowerRoman"/>
      <w:lvlText w:val="%3."/>
      <w:lvlJc w:val="right"/>
      <w:pPr>
        <w:ind w:left="2060" w:hanging="420"/>
      </w:pPr>
    </w:lvl>
    <w:lvl w:ilvl="3" w:tentative="0">
      <w:start w:val="1"/>
      <w:numFmt w:val="decimal"/>
      <w:lvlText w:val="%4."/>
      <w:lvlJc w:val="left"/>
      <w:pPr>
        <w:ind w:left="2480" w:hanging="420"/>
      </w:pPr>
    </w:lvl>
    <w:lvl w:ilvl="4" w:tentative="0">
      <w:start w:val="1"/>
      <w:numFmt w:val="lowerLetter"/>
      <w:lvlText w:val="%5)"/>
      <w:lvlJc w:val="left"/>
      <w:pPr>
        <w:ind w:left="2900" w:hanging="420"/>
      </w:pPr>
    </w:lvl>
    <w:lvl w:ilvl="5" w:tentative="0">
      <w:start w:val="1"/>
      <w:numFmt w:val="lowerRoman"/>
      <w:lvlText w:val="%6."/>
      <w:lvlJc w:val="right"/>
      <w:pPr>
        <w:ind w:left="3320" w:hanging="420"/>
      </w:pPr>
    </w:lvl>
    <w:lvl w:ilvl="6" w:tentative="0">
      <w:start w:val="1"/>
      <w:numFmt w:val="decimal"/>
      <w:lvlText w:val="%7."/>
      <w:lvlJc w:val="left"/>
      <w:pPr>
        <w:ind w:left="3740" w:hanging="420"/>
      </w:pPr>
    </w:lvl>
    <w:lvl w:ilvl="7" w:tentative="0">
      <w:start w:val="1"/>
      <w:numFmt w:val="lowerLetter"/>
      <w:lvlText w:val="%8)"/>
      <w:lvlJc w:val="left"/>
      <w:pPr>
        <w:ind w:left="4160" w:hanging="420"/>
      </w:pPr>
    </w:lvl>
    <w:lvl w:ilvl="8" w:tentative="0">
      <w:start w:val="1"/>
      <w:numFmt w:val="lowerRoman"/>
      <w:lvlText w:val="%9."/>
      <w:lvlJc w:val="right"/>
      <w:pPr>
        <w:ind w:left="45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bordersDoNotSurroundHeader w:val="1"/>
  <w:bordersDoNotSurroundFooter w:val="1"/>
  <w:doNotTrackMoves/>
  <w:documentProtection w:enforcement="0"/>
  <w:defaultTabStop w:val="420"/>
  <w:drawingGridHorizontalSpacing w:val="105"/>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mJkZmVlZWE1YThmOTUxYzdmMmU4OWMyMmJiMWY5ZTgifQ=="/>
  </w:docVars>
  <w:rsids>
    <w:rsidRoot w:val="004506F9"/>
    <w:rsid w:val="00015EEB"/>
    <w:rsid w:val="0002229B"/>
    <w:rsid w:val="000273BD"/>
    <w:rsid w:val="0003576F"/>
    <w:rsid w:val="00041239"/>
    <w:rsid w:val="000415B7"/>
    <w:rsid w:val="00041E3F"/>
    <w:rsid w:val="00055DAA"/>
    <w:rsid w:val="00061F7B"/>
    <w:rsid w:val="000648F5"/>
    <w:rsid w:val="000658A3"/>
    <w:rsid w:val="00066B97"/>
    <w:rsid w:val="00074155"/>
    <w:rsid w:val="000871DE"/>
    <w:rsid w:val="00087376"/>
    <w:rsid w:val="000873EF"/>
    <w:rsid w:val="000A1CB5"/>
    <w:rsid w:val="000A3F69"/>
    <w:rsid w:val="000D2D23"/>
    <w:rsid w:val="000D766C"/>
    <w:rsid w:val="000F7669"/>
    <w:rsid w:val="00103957"/>
    <w:rsid w:val="00124A1F"/>
    <w:rsid w:val="00150699"/>
    <w:rsid w:val="00152C6D"/>
    <w:rsid w:val="00162D39"/>
    <w:rsid w:val="001678BD"/>
    <w:rsid w:val="00182373"/>
    <w:rsid w:val="001A67DB"/>
    <w:rsid w:val="001C3C29"/>
    <w:rsid w:val="001D51E5"/>
    <w:rsid w:val="001E080D"/>
    <w:rsid w:val="001E53D0"/>
    <w:rsid w:val="001F0C3B"/>
    <w:rsid w:val="00202C14"/>
    <w:rsid w:val="00202C82"/>
    <w:rsid w:val="00214427"/>
    <w:rsid w:val="00226CB7"/>
    <w:rsid w:val="00244B6F"/>
    <w:rsid w:val="002632DB"/>
    <w:rsid w:val="00264552"/>
    <w:rsid w:val="00264EF9"/>
    <w:rsid w:val="00265724"/>
    <w:rsid w:val="0027426B"/>
    <w:rsid w:val="00286957"/>
    <w:rsid w:val="002B17E8"/>
    <w:rsid w:val="002B262A"/>
    <w:rsid w:val="002C5193"/>
    <w:rsid w:val="002E0A30"/>
    <w:rsid w:val="003015E3"/>
    <w:rsid w:val="00306086"/>
    <w:rsid w:val="003130C4"/>
    <w:rsid w:val="00314608"/>
    <w:rsid w:val="00316C4B"/>
    <w:rsid w:val="0032192B"/>
    <w:rsid w:val="003479BD"/>
    <w:rsid w:val="0037197D"/>
    <w:rsid w:val="003768D5"/>
    <w:rsid w:val="003912EE"/>
    <w:rsid w:val="003B25CF"/>
    <w:rsid w:val="003C4197"/>
    <w:rsid w:val="003C47E6"/>
    <w:rsid w:val="003C4FC2"/>
    <w:rsid w:val="003D4D3C"/>
    <w:rsid w:val="003E2331"/>
    <w:rsid w:val="004164CC"/>
    <w:rsid w:val="00416E61"/>
    <w:rsid w:val="0042790C"/>
    <w:rsid w:val="004506F9"/>
    <w:rsid w:val="00453B8E"/>
    <w:rsid w:val="004717A2"/>
    <w:rsid w:val="00473DF3"/>
    <w:rsid w:val="00485D6D"/>
    <w:rsid w:val="00487911"/>
    <w:rsid w:val="00491741"/>
    <w:rsid w:val="004A24CC"/>
    <w:rsid w:val="004B0CEE"/>
    <w:rsid w:val="00500E5F"/>
    <w:rsid w:val="005122EF"/>
    <w:rsid w:val="0051441A"/>
    <w:rsid w:val="00515702"/>
    <w:rsid w:val="00517C33"/>
    <w:rsid w:val="00517D5F"/>
    <w:rsid w:val="00521AF2"/>
    <w:rsid w:val="00523644"/>
    <w:rsid w:val="00535A3D"/>
    <w:rsid w:val="0054069E"/>
    <w:rsid w:val="00544866"/>
    <w:rsid w:val="005767CC"/>
    <w:rsid w:val="00587426"/>
    <w:rsid w:val="00590D9F"/>
    <w:rsid w:val="00595D26"/>
    <w:rsid w:val="005A74E6"/>
    <w:rsid w:val="005B404E"/>
    <w:rsid w:val="005C1086"/>
    <w:rsid w:val="005D4D55"/>
    <w:rsid w:val="005E2CFB"/>
    <w:rsid w:val="005F2103"/>
    <w:rsid w:val="005F3D1C"/>
    <w:rsid w:val="00610BFB"/>
    <w:rsid w:val="006145F2"/>
    <w:rsid w:val="0061738D"/>
    <w:rsid w:val="0062378F"/>
    <w:rsid w:val="00641842"/>
    <w:rsid w:val="0064609E"/>
    <w:rsid w:val="00651EEC"/>
    <w:rsid w:val="00654DAC"/>
    <w:rsid w:val="00686673"/>
    <w:rsid w:val="0068694D"/>
    <w:rsid w:val="00691E8C"/>
    <w:rsid w:val="006A22C4"/>
    <w:rsid w:val="006A348B"/>
    <w:rsid w:val="006A351B"/>
    <w:rsid w:val="006B0422"/>
    <w:rsid w:val="006C1B53"/>
    <w:rsid w:val="006C4510"/>
    <w:rsid w:val="006C5EC2"/>
    <w:rsid w:val="006D7730"/>
    <w:rsid w:val="006E5284"/>
    <w:rsid w:val="006F3EB5"/>
    <w:rsid w:val="00702E34"/>
    <w:rsid w:val="00704395"/>
    <w:rsid w:val="00710FE7"/>
    <w:rsid w:val="00717621"/>
    <w:rsid w:val="00720FF1"/>
    <w:rsid w:val="00727A53"/>
    <w:rsid w:val="00737C2E"/>
    <w:rsid w:val="00752DE1"/>
    <w:rsid w:val="00787B42"/>
    <w:rsid w:val="007975E1"/>
    <w:rsid w:val="007C4539"/>
    <w:rsid w:val="007E501D"/>
    <w:rsid w:val="007F3657"/>
    <w:rsid w:val="007F5C06"/>
    <w:rsid w:val="00812ED5"/>
    <w:rsid w:val="008277D9"/>
    <w:rsid w:val="0083118F"/>
    <w:rsid w:val="0084478C"/>
    <w:rsid w:val="0086638C"/>
    <w:rsid w:val="00870BE0"/>
    <w:rsid w:val="00896297"/>
    <w:rsid w:val="008A3E8D"/>
    <w:rsid w:val="008E5619"/>
    <w:rsid w:val="008F1D80"/>
    <w:rsid w:val="008F6F28"/>
    <w:rsid w:val="009237C4"/>
    <w:rsid w:val="00944C48"/>
    <w:rsid w:val="00950252"/>
    <w:rsid w:val="00967F5D"/>
    <w:rsid w:val="00994E5D"/>
    <w:rsid w:val="009A0F95"/>
    <w:rsid w:val="009B3ADF"/>
    <w:rsid w:val="009C3B52"/>
    <w:rsid w:val="009D74BD"/>
    <w:rsid w:val="009E6817"/>
    <w:rsid w:val="009E6E9A"/>
    <w:rsid w:val="009F7F68"/>
    <w:rsid w:val="00A01D2B"/>
    <w:rsid w:val="00A02C45"/>
    <w:rsid w:val="00A11575"/>
    <w:rsid w:val="00A16D70"/>
    <w:rsid w:val="00A42218"/>
    <w:rsid w:val="00A500EE"/>
    <w:rsid w:val="00A70249"/>
    <w:rsid w:val="00A70B02"/>
    <w:rsid w:val="00A71D9F"/>
    <w:rsid w:val="00A7741D"/>
    <w:rsid w:val="00A92E9F"/>
    <w:rsid w:val="00AD384E"/>
    <w:rsid w:val="00AE6020"/>
    <w:rsid w:val="00B00C41"/>
    <w:rsid w:val="00B2026C"/>
    <w:rsid w:val="00B33BEA"/>
    <w:rsid w:val="00B57C9F"/>
    <w:rsid w:val="00B63572"/>
    <w:rsid w:val="00B75B6D"/>
    <w:rsid w:val="00B836AD"/>
    <w:rsid w:val="00B845B3"/>
    <w:rsid w:val="00B85D8B"/>
    <w:rsid w:val="00B97202"/>
    <w:rsid w:val="00BB4A40"/>
    <w:rsid w:val="00BD6C3E"/>
    <w:rsid w:val="00BE3674"/>
    <w:rsid w:val="00C10681"/>
    <w:rsid w:val="00C16055"/>
    <w:rsid w:val="00C3049A"/>
    <w:rsid w:val="00C31B1E"/>
    <w:rsid w:val="00C35E73"/>
    <w:rsid w:val="00C713ED"/>
    <w:rsid w:val="00C77645"/>
    <w:rsid w:val="00C97D4C"/>
    <w:rsid w:val="00CA48D1"/>
    <w:rsid w:val="00CE04C3"/>
    <w:rsid w:val="00CE76A0"/>
    <w:rsid w:val="00D148C6"/>
    <w:rsid w:val="00D17A8A"/>
    <w:rsid w:val="00D30449"/>
    <w:rsid w:val="00D37658"/>
    <w:rsid w:val="00D415BA"/>
    <w:rsid w:val="00D63780"/>
    <w:rsid w:val="00D644EE"/>
    <w:rsid w:val="00D72607"/>
    <w:rsid w:val="00D75489"/>
    <w:rsid w:val="00D81079"/>
    <w:rsid w:val="00DC0313"/>
    <w:rsid w:val="00DD06FF"/>
    <w:rsid w:val="00DD5FE9"/>
    <w:rsid w:val="00DF3DE2"/>
    <w:rsid w:val="00E00C7A"/>
    <w:rsid w:val="00E209CF"/>
    <w:rsid w:val="00E37D6C"/>
    <w:rsid w:val="00E501BF"/>
    <w:rsid w:val="00E506C1"/>
    <w:rsid w:val="00E528E2"/>
    <w:rsid w:val="00E55B68"/>
    <w:rsid w:val="00E56953"/>
    <w:rsid w:val="00E67BE6"/>
    <w:rsid w:val="00E8683C"/>
    <w:rsid w:val="00E94A08"/>
    <w:rsid w:val="00EA2B72"/>
    <w:rsid w:val="00EA736C"/>
    <w:rsid w:val="00EB79D4"/>
    <w:rsid w:val="00EC1281"/>
    <w:rsid w:val="00EC5188"/>
    <w:rsid w:val="00EC58B2"/>
    <w:rsid w:val="00ED437F"/>
    <w:rsid w:val="00F04FA6"/>
    <w:rsid w:val="00F27F85"/>
    <w:rsid w:val="00F3269E"/>
    <w:rsid w:val="00F74360"/>
    <w:rsid w:val="00FA4D70"/>
    <w:rsid w:val="00FB462F"/>
    <w:rsid w:val="00FC71D3"/>
    <w:rsid w:val="00FE16FA"/>
    <w:rsid w:val="00FE328A"/>
    <w:rsid w:val="00FE6269"/>
    <w:rsid w:val="00FF5CD6"/>
    <w:rsid w:val="01DC622D"/>
    <w:rsid w:val="02251150"/>
    <w:rsid w:val="02F23728"/>
    <w:rsid w:val="02FA438B"/>
    <w:rsid w:val="04021749"/>
    <w:rsid w:val="043954D3"/>
    <w:rsid w:val="07340DEB"/>
    <w:rsid w:val="07866B35"/>
    <w:rsid w:val="07D93108"/>
    <w:rsid w:val="085705E0"/>
    <w:rsid w:val="094F7CC5"/>
    <w:rsid w:val="0ABD7F9F"/>
    <w:rsid w:val="0C077491"/>
    <w:rsid w:val="0C3703FE"/>
    <w:rsid w:val="0D1A4EA7"/>
    <w:rsid w:val="0DCA3598"/>
    <w:rsid w:val="0ECC307F"/>
    <w:rsid w:val="14302302"/>
    <w:rsid w:val="148F527B"/>
    <w:rsid w:val="16254932"/>
    <w:rsid w:val="16467BBB"/>
    <w:rsid w:val="16EB2510"/>
    <w:rsid w:val="179235CB"/>
    <w:rsid w:val="19165FBB"/>
    <w:rsid w:val="1BFB31F6"/>
    <w:rsid w:val="20CA2B83"/>
    <w:rsid w:val="22411335"/>
    <w:rsid w:val="23523579"/>
    <w:rsid w:val="248F6BD1"/>
    <w:rsid w:val="270D0281"/>
    <w:rsid w:val="272B5001"/>
    <w:rsid w:val="27F130C9"/>
    <w:rsid w:val="27F531EF"/>
    <w:rsid w:val="29993EFC"/>
    <w:rsid w:val="29FD1BBA"/>
    <w:rsid w:val="29FD576B"/>
    <w:rsid w:val="2A21651D"/>
    <w:rsid w:val="2C444A74"/>
    <w:rsid w:val="2E67471B"/>
    <w:rsid w:val="2F1835B3"/>
    <w:rsid w:val="316D3DF6"/>
    <w:rsid w:val="31F76D6E"/>
    <w:rsid w:val="33C16DD5"/>
    <w:rsid w:val="35223149"/>
    <w:rsid w:val="3749748E"/>
    <w:rsid w:val="386E05A6"/>
    <w:rsid w:val="39BF0C5D"/>
    <w:rsid w:val="39E0623C"/>
    <w:rsid w:val="3C1C6B44"/>
    <w:rsid w:val="3C6A3D54"/>
    <w:rsid w:val="3D086E79"/>
    <w:rsid w:val="3E3875B4"/>
    <w:rsid w:val="40420B44"/>
    <w:rsid w:val="41580566"/>
    <w:rsid w:val="419954DB"/>
    <w:rsid w:val="42A62CCC"/>
    <w:rsid w:val="468E4AE3"/>
    <w:rsid w:val="46F43957"/>
    <w:rsid w:val="484D673E"/>
    <w:rsid w:val="49155896"/>
    <w:rsid w:val="4D4330DF"/>
    <w:rsid w:val="4D7A36CB"/>
    <w:rsid w:val="4E72169E"/>
    <w:rsid w:val="508A1E77"/>
    <w:rsid w:val="53071EA5"/>
    <w:rsid w:val="53952785"/>
    <w:rsid w:val="5514798D"/>
    <w:rsid w:val="583743A4"/>
    <w:rsid w:val="59A966D8"/>
    <w:rsid w:val="5B997ADD"/>
    <w:rsid w:val="5C5D2B35"/>
    <w:rsid w:val="5DD46E27"/>
    <w:rsid w:val="5DE66B5A"/>
    <w:rsid w:val="5F5A68BC"/>
    <w:rsid w:val="63307243"/>
    <w:rsid w:val="643C5375"/>
    <w:rsid w:val="660A5ADC"/>
    <w:rsid w:val="66560D21"/>
    <w:rsid w:val="66BE7558"/>
    <w:rsid w:val="67621508"/>
    <w:rsid w:val="696A6892"/>
    <w:rsid w:val="69963065"/>
    <w:rsid w:val="6B2807B2"/>
    <w:rsid w:val="6D013069"/>
    <w:rsid w:val="6E7270D2"/>
    <w:rsid w:val="6FEB3D54"/>
    <w:rsid w:val="70710506"/>
    <w:rsid w:val="71B2527A"/>
    <w:rsid w:val="72541E8D"/>
    <w:rsid w:val="73CF3EC1"/>
    <w:rsid w:val="73D5780F"/>
    <w:rsid w:val="74844CAB"/>
    <w:rsid w:val="76014683"/>
    <w:rsid w:val="762E0C1E"/>
    <w:rsid w:val="76B630D1"/>
    <w:rsid w:val="77985B18"/>
    <w:rsid w:val="79F71A7C"/>
    <w:rsid w:val="7A603AC5"/>
    <w:rsid w:val="7B4E7DC1"/>
    <w:rsid w:val="7BE424D4"/>
    <w:rsid w:val="7CC3658D"/>
    <w:rsid w:val="7D3A273C"/>
    <w:rsid w:val="7E2E4DC0"/>
    <w:rsid w:val="7F842003"/>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rPr>
      <w:sz w:val="32"/>
      <w:szCs w:val="32"/>
    </w:rPr>
  </w:style>
  <w:style w:type="paragraph" w:styleId="3">
    <w:name w:val="Balloon Text"/>
    <w:basedOn w:val="1"/>
    <w:link w:val="13"/>
    <w:semiHidden/>
    <w:qFormat/>
    <w:uiPriority w:val="99"/>
    <w:rPr>
      <w:sz w:val="18"/>
      <w:szCs w:val="18"/>
    </w:rPr>
  </w:style>
  <w:style w:type="paragraph" w:styleId="4">
    <w:name w:val="footer"/>
    <w:basedOn w:val="1"/>
    <w:link w:val="10"/>
    <w:qFormat/>
    <w:uiPriority w:val="99"/>
    <w:pPr>
      <w:tabs>
        <w:tab w:val="center" w:pos="4153"/>
        <w:tab w:val="right" w:pos="8306"/>
      </w:tabs>
      <w:snapToGrid w:val="0"/>
      <w:jc w:val="left"/>
    </w:pPr>
    <w:rPr>
      <w:sz w:val="18"/>
      <w:szCs w:val="18"/>
    </w:rPr>
  </w:style>
  <w:style w:type="paragraph" w:styleId="5">
    <w:name w:val="header"/>
    <w:basedOn w:val="1"/>
    <w:link w:val="9"/>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99"/>
    <w:pPr>
      <w:spacing w:beforeAutospacing="1" w:afterAutospacing="1"/>
      <w:jc w:val="left"/>
    </w:pPr>
    <w:rPr>
      <w:kern w:val="0"/>
      <w:sz w:val="24"/>
    </w:rPr>
  </w:style>
  <w:style w:type="character" w:customStyle="1" w:styleId="9">
    <w:name w:val="页眉 Char"/>
    <w:basedOn w:val="8"/>
    <w:link w:val="5"/>
    <w:qFormat/>
    <w:locked/>
    <w:uiPriority w:val="99"/>
    <w:rPr>
      <w:rFonts w:cs="Times New Roman"/>
      <w:sz w:val="18"/>
      <w:szCs w:val="18"/>
    </w:rPr>
  </w:style>
  <w:style w:type="character" w:customStyle="1" w:styleId="10">
    <w:name w:val="页脚 Char"/>
    <w:basedOn w:val="8"/>
    <w:link w:val="4"/>
    <w:qFormat/>
    <w:locked/>
    <w:uiPriority w:val="99"/>
    <w:rPr>
      <w:rFonts w:cs="Times New Roman"/>
      <w:sz w:val="18"/>
      <w:szCs w:val="18"/>
    </w:rPr>
  </w:style>
  <w:style w:type="paragraph" w:customStyle="1" w:styleId="11">
    <w:name w:val="Default"/>
    <w:qFormat/>
    <w:uiPriority w:val="99"/>
    <w:pPr>
      <w:widowControl w:val="0"/>
      <w:autoSpaceDE w:val="0"/>
      <w:autoSpaceDN w:val="0"/>
      <w:adjustRightInd w:val="0"/>
    </w:pPr>
    <w:rPr>
      <w:rFonts w:ascii="黑体" w:hAnsi="Calibri" w:eastAsia="黑体" w:cs="黑体"/>
      <w:color w:val="000000"/>
      <w:sz w:val="24"/>
      <w:szCs w:val="24"/>
      <w:lang w:val="en-US" w:eastAsia="zh-CN" w:bidi="ar-SA"/>
    </w:rPr>
  </w:style>
  <w:style w:type="paragraph" w:styleId="12">
    <w:name w:val="List Paragraph"/>
    <w:basedOn w:val="1"/>
    <w:qFormat/>
    <w:uiPriority w:val="99"/>
    <w:pPr>
      <w:ind w:firstLine="420" w:firstLineChars="200"/>
    </w:pPr>
  </w:style>
  <w:style w:type="character" w:customStyle="1" w:styleId="13">
    <w:name w:val="批注框文本 Char"/>
    <w:basedOn w:val="8"/>
    <w:link w:val="3"/>
    <w:semiHidden/>
    <w:qFormat/>
    <w:locked/>
    <w:uiPriority w:val="99"/>
    <w:rPr>
      <w:rFonts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16</Pages>
  <Words>5252</Words>
  <Characters>5856</Characters>
  <Lines>42</Lines>
  <Paragraphs>12</Paragraphs>
  <TotalTime>1</TotalTime>
  <ScaleCrop>false</ScaleCrop>
  <LinksUpToDate>false</LinksUpToDate>
  <CharactersWithSpaces>5874</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2020-07-02T02:32:00Z</dcterms:created>
  <dc:creator>李航 null</dc:creator>
  <cp:lastModifiedBy>WPS_1668149522</cp:lastModifiedBy>
  <cp:lastPrinted>2023-09-20T03:14:00Z</cp:lastPrinted>
  <dcterms:modified xsi:type="dcterms:W3CDTF">2024-10-19T05:42:20Z</dcterms:modified>
  <cp:revision>115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F432C62E537D47A09E651CFA3B42B0E2_12</vt:lpwstr>
  </property>
</Properties>
</file>