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B8880C">
      <w:pPr>
        <w:pStyle w:val="13"/>
        <w:jc w:val="center"/>
        <w:rPr>
          <w:color w:val="auto"/>
          <w:sz w:val="56"/>
          <w:szCs w:val="56"/>
        </w:rPr>
      </w:pPr>
      <w:r>
        <w:rPr>
          <w:color w:val="auto"/>
          <w:sz w:val="56"/>
        </w:rPr>
        <mc:AlternateContent>
          <mc:Choice Requires="wps">
            <w:drawing>
              <wp:anchor distT="0" distB="0" distL="114300" distR="114300" simplePos="0" relativeHeight="251659264" behindDoc="0" locked="0" layoutInCell="1" allowOverlap="1">
                <wp:simplePos x="0" y="0"/>
                <wp:positionH relativeFrom="column">
                  <wp:posOffset>-236220</wp:posOffset>
                </wp:positionH>
                <wp:positionV relativeFrom="paragraph">
                  <wp:posOffset>-297180</wp:posOffset>
                </wp:positionV>
                <wp:extent cx="1523365" cy="517525"/>
                <wp:effectExtent l="0" t="0" r="635" b="15875"/>
                <wp:wrapNone/>
                <wp:docPr id="1" name="文本框 1"/>
                <wp:cNvGraphicFramePr/>
                <a:graphic xmlns:a="http://schemas.openxmlformats.org/drawingml/2006/main">
                  <a:graphicData uri="http://schemas.microsoft.com/office/word/2010/wordprocessingShape">
                    <wps:wsp>
                      <wps:cNvSpPr txBox="1"/>
                      <wps:spPr>
                        <a:xfrm>
                          <a:off x="1799590" y="935990"/>
                          <a:ext cx="1523365" cy="5175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C1E5D84">
                            <w:pPr>
                              <w:rPr>
                                <w:rFonts w:hint="eastAsia" w:ascii="楷体" w:hAnsi="楷体" w:eastAsia="楷体" w:cs="楷体"/>
                                <w:sz w:val="30"/>
                                <w:szCs w:val="30"/>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6pt;margin-top:-23.4pt;height:40.75pt;width:119.95pt;z-index:251659264;mso-width-relative:page;mso-height-relative:page;" fillcolor="#FFFFFF [3201]" filled="t" stroked="f" coordsize="21600,21600" o:gfxdata="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cvAmUNYAAAAK&#10;AQAADwAAAAAAAAABACAAAAAiAAAAZHJzL2Rvd25yZXYueG1sUEsBAhQAFAAAAAgAh07iQEe/k8dX&#10;AgAAmgQAAA4AAAAAAAAAAQAgAAAAJQEAAGRycy9lMm9Eb2MueG1sUEsFBgAAAAAGAAYAWQEAAO4F&#10;AAAAAA==&#10;">
                <v:fill on="t" focussize="0,0"/>
                <v:stroke on="f" weight="0.5pt"/>
                <v:imagedata o:title=""/>
                <o:lock v:ext="edit" aspectratio="f"/>
                <v:textbox>
                  <w:txbxContent>
                    <w:p w14:paraId="4C1E5D84">
                      <w:pPr>
                        <w:rPr>
                          <w:rFonts w:hint="eastAsia" w:ascii="楷体" w:hAnsi="楷体" w:eastAsia="楷体" w:cs="楷体"/>
                          <w:sz w:val="30"/>
                          <w:szCs w:val="30"/>
                          <w:lang w:val="en-US" w:eastAsia="zh-CN"/>
                        </w:rPr>
                      </w:pPr>
                    </w:p>
                  </w:txbxContent>
                </v:textbox>
              </v:shape>
            </w:pict>
          </mc:Fallback>
        </mc:AlternateContent>
      </w:r>
    </w:p>
    <w:p w14:paraId="0F8D0D4E">
      <w:pPr>
        <w:pStyle w:val="13"/>
        <w:jc w:val="center"/>
        <w:rPr>
          <w:color w:val="auto"/>
          <w:sz w:val="56"/>
          <w:szCs w:val="56"/>
        </w:rPr>
      </w:pPr>
    </w:p>
    <w:p w14:paraId="7DED6FD3">
      <w:pPr>
        <w:pStyle w:val="13"/>
        <w:jc w:val="center"/>
        <w:rPr>
          <w:color w:val="auto"/>
          <w:sz w:val="84"/>
          <w:szCs w:val="84"/>
        </w:rPr>
      </w:pPr>
    </w:p>
    <w:p w14:paraId="34AA7D5E">
      <w:pPr>
        <w:pStyle w:val="13"/>
        <w:jc w:val="center"/>
        <w:rPr>
          <w:color w:val="auto"/>
          <w:sz w:val="84"/>
          <w:szCs w:val="84"/>
        </w:rPr>
      </w:pPr>
    </w:p>
    <w:p w14:paraId="5B41DA8B">
      <w:pPr>
        <w:pStyle w:val="13"/>
        <w:jc w:val="center"/>
        <w:rPr>
          <w:color w:val="auto"/>
          <w:sz w:val="84"/>
          <w:szCs w:val="84"/>
        </w:rPr>
      </w:pPr>
      <w:r>
        <w:rPr>
          <w:rFonts w:hint="eastAsia"/>
          <w:color w:val="auto"/>
          <w:sz w:val="84"/>
          <w:szCs w:val="84"/>
          <w:lang w:eastAsia="zh-CN"/>
        </w:rPr>
        <w:t>2023</w:t>
      </w:r>
      <w:r>
        <w:rPr>
          <w:rFonts w:hint="eastAsia"/>
          <w:color w:val="auto"/>
          <w:sz w:val="84"/>
          <w:szCs w:val="84"/>
        </w:rPr>
        <w:t>年度</w:t>
      </w:r>
    </w:p>
    <w:p w14:paraId="647B88DD">
      <w:pPr>
        <w:pStyle w:val="13"/>
        <w:jc w:val="center"/>
        <w:rPr>
          <w:color w:val="auto"/>
          <w:sz w:val="84"/>
          <w:szCs w:val="84"/>
        </w:rPr>
      </w:pPr>
      <w:r>
        <w:rPr>
          <w:rFonts w:hint="eastAsia"/>
          <w:color w:val="auto"/>
          <w:sz w:val="84"/>
          <w:szCs w:val="84"/>
        </w:rPr>
        <w:t>怀化市公安局鹤城分局</w:t>
      </w:r>
    </w:p>
    <w:p w14:paraId="5652825E">
      <w:pPr>
        <w:pStyle w:val="13"/>
        <w:jc w:val="center"/>
        <w:rPr>
          <w:color w:val="auto"/>
          <w:sz w:val="84"/>
          <w:szCs w:val="84"/>
        </w:rPr>
      </w:pPr>
      <w:r>
        <w:rPr>
          <w:rFonts w:hint="eastAsia"/>
          <w:color w:val="auto"/>
          <w:sz w:val="84"/>
          <w:szCs w:val="84"/>
        </w:rPr>
        <w:t>部门决算</w:t>
      </w:r>
    </w:p>
    <w:p w14:paraId="7DDEACBF">
      <w:pPr>
        <w:pStyle w:val="13"/>
        <w:jc w:val="center"/>
        <w:rPr>
          <w:rFonts w:hint="eastAsia" w:ascii="方正小标宋_GBK" w:hAnsi="方正小标宋_GBK" w:eastAsia="方正小标宋_GBK" w:cs="方正小标宋_GBK"/>
          <w:color w:val="auto"/>
          <w:sz w:val="56"/>
          <w:szCs w:val="56"/>
        </w:rPr>
      </w:pPr>
    </w:p>
    <w:p w14:paraId="41D1D192">
      <w:pPr>
        <w:pStyle w:val="13"/>
        <w:jc w:val="center"/>
        <w:rPr>
          <w:color w:val="auto"/>
          <w:sz w:val="56"/>
          <w:szCs w:val="56"/>
        </w:rPr>
      </w:pPr>
    </w:p>
    <w:p w14:paraId="58E89EBF">
      <w:pPr>
        <w:pStyle w:val="13"/>
        <w:jc w:val="center"/>
        <w:rPr>
          <w:color w:val="auto"/>
          <w:sz w:val="56"/>
          <w:szCs w:val="56"/>
        </w:rPr>
      </w:pPr>
    </w:p>
    <w:p w14:paraId="7FE569A8">
      <w:pPr>
        <w:pStyle w:val="13"/>
        <w:jc w:val="center"/>
        <w:rPr>
          <w:color w:val="auto"/>
          <w:sz w:val="56"/>
          <w:szCs w:val="56"/>
        </w:rPr>
      </w:pPr>
    </w:p>
    <w:p w14:paraId="476B332B">
      <w:pPr>
        <w:pStyle w:val="13"/>
        <w:jc w:val="center"/>
        <w:rPr>
          <w:color w:val="auto"/>
          <w:sz w:val="32"/>
          <w:szCs w:val="32"/>
        </w:rPr>
      </w:pPr>
    </w:p>
    <w:p w14:paraId="264DD507">
      <w:pPr>
        <w:pStyle w:val="13"/>
        <w:jc w:val="center"/>
        <w:rPr>
          <w:color w:val="auto"/>
          <w:sz w:val="32"/>
          <w:szCs w:val="32"/>
        </w:rPr>
      </w:pPr>
    </w:p>
    <w:p w14:paraId="562BB6BC">
      <w:pPr>
        <w:pStyle w:val="13"/>
        <w:jc w:val="center"/>
        <w:rPr>
          <w:color w:val="auto"/>
          <w:sz w:val="32"/>
          <w:szCs w:val="32"/>
        </w:rPr>
      </w:pPr>
    </w:p>
    <w:p w14:paraId="76CE9687">
      <w:pPr>
        <w:pStyle w:val="13"/>
        <w:jc w:val="center"/>
        <w:rPr>
          <w:color w:val="auto"/>
          <w:sz w:val="32"/>
          <w:szCs w:val="32"/>
        </w:rPr>
      </w:pPr>
    </w:p>
    <w:p w14:paraId="09A79FD3">
      <w:pPr>
        <w:pStyle w:val="13"/>
        <w:jc w:val="center"/>
        <w:rPr>
          <w:color w:val="auto"/>
          <w:sz w:val="32"/>
          <w:szCs w:val="32"/>
        </w:rPr>
      </w:pPr>
    </w:p>
    <w:p w14:paraId="70971A85">
      <w:pPr>
        <w:pStyle w:val="13"/>
        <w:spacing w:line="540" w:lineRule="exact"/>
        <w:jc w:val="center"/>
        <w:rPr>
          <w:color w:val="auto"/>
          <w:sz w:val="56"/>
          <w:szCs w:val="56"/>
        </w:rPr>
      </w:pPr>
    </w:p>
    <w:p w14:paraId="5F68DADA">
      <w:pPr>
        <w:pStyle w:val="13"/>
        <w:spacing w:line="500" w:lineRule="exact"/>
        <w:jc w:val="both"/>
        <w:rPr>
          <w:b/>
          <w:color w:val="auto"/>
          <w:sz w:val="36"/>
          <w:szCs w:val="28"/>
        </w:rPr>
      </w:pPr>
    </w:p>
    <w:p w14:paraId="40BF8A65">
      <w:pPr>
        <w:pStyle w:val="13"/>
        <w:spacing w:line="500" w:lineRule="exact"/>
        <w:jc w:val="center"/>
        <w:rPr>
          <w:b/>
          <w:color w:val="auto"/>
          <w:sz w:val="36"/>
          <w:szCs w:val="28"/>
        </w:rPr>
      </w:pPr>
      <w:r>
        <w:rPr>
          <w:rFonts w:hint="eastAsia"/>
          <w:b/>
          <w:color w:val="auto"/>
          <w:sz w:val="36"/>
          <w:szCs w:val="28"/>
        </w:rPr>
        <w:t>目录</w:t>
      </w:r>
    </w:p>
    <w:p w14:paraId="4CDCCF7D">
      <w:pPr>
        <w:pStyle w:val="13"/>
        <w:spacing w:line="500" w:lineRule="exact"/>
        <w:rPr>
          <w:rFonts w:ascii="仿宋_GB2312" w:eastAsia="仿宋_GB2312" w:cs="仿宋_GB2312"/>
          <w:b/>
          <w:color w:val="auto"/>
          <w:sz w:val="28"/>
          <w:szCs w:val="28"/>
        </w:rPr>
      </w:pPr>
      <w:r>
        <w:rPr>
          <w:rFonts w:hint="eastAsia"/>
          <w:b/>
          <w:color w:val="auto"/>
          <w:sz w:val="28"/>
          <w:szCs w:val="28"/>
        </w:rPr>
        <w:t>第一部分</w:t>
      </w:r>
      <w:r>
        <w:rPr>
          <w:b/>
          <w:color w:val="auto"/>
          <w:sz w:val="28"/>
          <w:szCs w:val="28"/>
        </w:rPr>
        <w:t xml:space="preserve"> </w:t>
      </w:r>
      <w:r>
        <w:rPr>
          <w:rFonts w:hint="eastAsia"/>
          <w:b/>
          <w:color w:val="auto"/>
          <w:sz w:val="28"/>
          <w:szCs w:val="28"/>
        </w:rPr>
        <w:t>怀化市公安局鹤城分局单位概况</w:t>
      </w:r>
    </w:p>
    <w:p w14:paraId="76D88563">
      <w:pPr>
        <w:pStyle w:val="13"/>
        <w:spacing w:line="500" w:lineRule="exact"/>
        <w:ind w:firstLine="700" w:firstLineChars="250"/>
        <w:rPr>
          <w:rFonts w:ascii="宋体" w:hAnsi="宋体" w:eastAsia="宋体" w:cs="仿宋_GB2312"/>
          <w:color w:val="auto"/>
          <w:sz w:val="28"/>
          <w:szCs w:val="28"/>
        </w:rPr>
      </w:pPr>
      <w:r>
        <w:rPr>
          <w:rFonts w:hint="eastAsia" w:ascii="宋体" w:hAnsi="宋体" w:eastAsia="宋体" w:cs="仿宋_GB2312"/>
          <w:color w:val="auto"/>
          <w:sz w:val="28"/>
          <w:szCs w:val="28"/>
        </w:rPr>
        <w:t>一、部门职责</w:t>
      </w:r>
    </w:p>
    <w:p w14:paraId="0D063768">
      <w:pPr>
        <w:pStyle w:val="13"/>
        <w:spacing w:line="500" w:lineRule="exact"/>
        <w:ind w:firstLine="700" w:firstLineChars="250"/>
        <w:rPr>
          <w:rFonts w:ascii="宋体" w:hAnsi="宋体" w:eastAsia="宋体" w:cs="仿宋_GB2312"/>
          <w:color w:val="auto"/>
          <w:sz w:val="28"/>
          <w:szCs w:val="28"/>
        </w:rPr>
      </w:pPr>
      <w:r>
        <w:rPr>
          <w:rFonts w:hint="eastAsia" w:ascii="宋体" w:hAnsi="宋体" w:eastAsia="宋体" w:cs="仿宋_GB2312"/>
          <w:color w:val="auto"/>
          <w:sz w:val="28"/>
          <w:szCs w:val="28"/>
        </w:rPr>
        <w:t>二、机构设置</w:t>
      </w:r>
    </w:p>
    <w:p w14:paraId="5A022A25">
      <w:pPr>
        <w:pStyle w:val="13"/>
        <w:spacing w:line="500" w:lineRule="exact"/>
        <w:rPr>
          <w:rFonts w:hint="eastAsia" w:ascii="黑体" w:hAnsi="黑体" w:eastAsia="黑体" w:cs="黑体"/>
          <w:b w:val="0"/>
          <w:bCs/>
          <w:color w:val="auto"/>
          <w:sz w:val="28"/>
          <w:szCs w:val="28"/>
        </w:rPr>
      </w:pPr>
      <w:r>
        <w:rPr>
          <w:rFonts w:hint="eastAsia" w:ascii="黑体" w:hAnsi="黑体" w:eastAsia="黑体" w:cs="黑体"/>
          <w:b w:val="0"/>
          <w:bCs/>
          <w:color w:val="auto"/>
          <w:sz w:val="28"/>
          <w:szCs w:val="28"/>
        </w:rPr>
        <w:t>第二部分</w:t>
      </w:r>
      <w:r>
        <w:rPr>
          <w:rFonts w:hint="eastAsia" w:ascii="黑体" w:hAnsi="黑体" w:eastAsia="黑体" w:cs="黑体"/>
          <w:b w:val="0"/>
          <w:bCs/>
          <w:color w:val="auto"/>
          <w:sz w:val="28"/>
          <w:szCs w:val="28"/>
          <w:lang w:val="en-US" w:eastAsia="zh-CN"/>
        </w:rPr>
        <w:t xml:space="preserve"> </w:t>
      </w:r>
      <w:r>
        <w:rPr>
          <w:rFonts w:hint="eastAsia" w:ascii="黑体" w:hAnsi="黑体" w:eastAsia="黑体" w:cs="黑体"/>
          <w:b w:val="0"/>
          <w:bCs/>
          <w:color w:val="auto"/>
          <w:sz w:val="28"/>
          <w:szCs w:val="28"/>
        </w:rPr>
        <w:t>部门决算表</w:t>
      </w:r>
    </w:p>
    <w:p w14:paraId="039A489C">
      <w:pPr>
        <w:pStyle w:val="13"/>
        <w:spacing w:line="500" w:lineRule="exact"/>
        <w:ind w:firstLine="700" w:firstLineChars="250"/>
        <w:rPr>
          <w:rFonts w:hint="eastAsia" w:ascii="宋体" w:hAnsi="宋体" w:eastAsia="宋体" w:cs="仿宋_GB2312"/>
          <w:color w:val="auto"/>
          <w:sz w:val="28"/>
          <w:szCs w:val="28"/>
        </w:rPr>
      </w:pPr>
      <w:r>
        <w:rPr>
          <w:rFonts w:hint="eastAsia" w:ascii="宋体" w:hAnsi="宋体" w:eastAsia="宋体" w:cs="仿宋_GB2312"/>
          <w:color w:val="auto"/>
          <w:sz w:val="28"/>
          <w:szCs w:val="28"/>
        </w:rPr>
        <w:t>一、收入支出决算总表</w:t>
      </w:r>
    </w:p>
    <w:p w14:paraId="46B322D6">
      <w:pPr>
        <w:pStyle w:val="13"/>
        <w:spacing w:line="500" w:lineRule="exact"/>
        <w:ind w:firstLine="700" w:firstLineChars="250"/>
        <w:rPr>
          <w:rFonts w:hint="eastAsia" w:ascii="宋体" w:hAnsi="宋体" w:eastAsia="宋体" w:cs="仿宋_GB2312"/>
          <w:color w:val="auto"/>
          <w:sz w:val="28"/>
          <w:szCs w:val="28"/>
        </w:rPr>
      </w:pPr>
      <w:r>
        <w:rPr>
          <w:rFonts w:hint="eastAsia" w:ascii="宋体" w:hAnsi="宋体" w:eastAsia="宋体" w:cs="仿宋_GB2312"/>
          <w:color w:val="auto"/>
          <w:sz w:val="28"/>
          <w:szCs w:val="28"/>
        </w:rPr>
        <w:t>二、收入决算表</w:t>
      </w:r>
    </w:p>
    <w:p w14:paraId="75220852">
      <w:pPr>
        <w:pStyle w:val="13"/>
        <w:spacing w:line="500" w:lineRule="exact"/>
        <w:ind w:firstLine="700" w:firstLineChars="250"/>
        <w:rPr>
          <w:rFonts w:hint="eastAsia" w:ascii="宋体" w:hAnsi="宋体" w:eastAsia="宋体" w:cs="仿宋_GB2312"/>
          <w:color w:val="auto"/>
          <w:sz w:val="28"/>
          <w:szCs w:val="28"/>
        </w:rPr>
      </w:pPr>
      <w:r>
        <w:rPr>
          <w:rFonts w:hint="eastAsia" w:ascii="宋体" w:hAnsi="宋体" w:eastAsia="宋体" w:cs="仿宋_GB2312"/>
          <w:color w:val="auto"/>
          <w:sz w:val="28"/>
          <w:szCs w:val="28"/>
        </w:rPr>
        <w:t>三、支出决算表</w:t>
      </w:r>
    </w:p>
    <w:p w14:paraId="5C078D42">
      <w:pPr>
        <w:pStyle w:val="13"/>
        <w:spacing w:line="500" w:lineRule="exact"/>
        <w:ind w:firstLine="700" w:firstLineChars="250"/>
        <w:rPr>
          <w:rFonts w:hint="eastAsia" w:ascii="宋体" w:hAnsi="宋体" w:eastAsia="宋体" w:cs="仿宋_GB2312"/>
          <w:color w:val="auto"/>
          <w:sz w:val="28"/>
          <w:szCs w:val="28"/>
        </w:rPr>
      </w:pPr>
      <w:r>
        <w:rPr>
          <w:rFonts w:hint="eastAsia" w:ascii="宋体" w:hAnsi="宋体" w:eastAsia="宋体" w:cs="仿宋_GB2312"/>
          <w:color w:val="auto"/>
          <w:sz w:val="28"/>
          <w:szCs w:val="28"/>
        </w:rPr>
        <w:t>四、财政拨款收入支出决算总表</w:t>
      </w:r>
    </w:p>
    <w:p w14:paraId="0A65F9A1">
      <w:pPr>
        <w:pStyle w:val="13"/>
        <w:spacing w:line="500" w:lineRule="exact"/>
        <w:ind w:firstLine="700" w:firstLineChars="250"/>
        <w:rPr>
          <w:rFonts w:hint="eastAsia" w:ascii="宋体" w:hAnsi="宋体" w:eastAsia="宋体" w:cs="仿宋_GB2312"/>
          <w:color w:val="auto"/>
          <w:sz w:val="28"/>
          <w:szCs w:val="28"/>
        </w:rPr>
      </w:pPr>
      <w:r>
        <w:rPr>
          <w:rFonts w:hint="eastAsia" w:ascii="宋体" w:hAnsi="宋体" w:eastAsia="宋体" w:cs="仿宋_GB2312"/>
          <w:color w:val="auto"/>
          <w:sz w:val="28"/>
          <w:szCs w:val="28"/>
        </w:rPr>
        <w:t>五、一般公共预算财政拨款支出决算表</w:t>
      </w:r>
    </w:p>
    <w:p w14:paraId="333D15F3">
      <w:pPr>
        <w:pStyle w:val="13"/>
        <w:spacing w:line="500" w:lineRule="exact"/>
        <w:ind w:firstLine="700" w:firstLineChars="250"/>
        <w:rPr>
          <w:rFonts w:hint="eastAsia" w:ascii="宋体" w:hAnsi="宋体" w:eastAsia="宋体" w:cs="仿宋_GB2312"/>
          <w:color w:val="auto"/>
          <w:sz w:val="28"/>
          <w:szCs w:val="28"/>
        </w:rPr>
      </w:pPr>
      <w:r>
        <w:rPr>
          <w:rFonts w:hint="eastAsia" w:ascii="宋体" w:hAnsi="宋体" w:eastAsia="宋体" w:cs="仿宋_GB2312"/>
          <w:color w:val="auto"/>
          <w:sz w:val="28"/>
          <w:szCs w:val="28"/>
        </w:rPr>
        <w:t>六、一般公共预算财政拨款基本支出决算明细表</w:t>
      </w:r>
    </w:p>
    <w:p w14:paraId="33DCC0F8">
      <w:pPr>
        <w:pStyle w:val="13"/>
        <w:spacing w:line="500" w:lineRule="exact"/>
        <w:ind w:firstLine="700" w:firstLineChars="250"/>
        <w:rPr>
          <w:rFonts w:hint="eastAsia" w:ascii="宋体" w:hAnsi="宋体" w:eastAsia="宋体" w:cs="仿宋_GB2312"/>
          <w:color w:val="auto"/>
          <w:sz w:val="28"/>
          <w:szCs w:val="28"/>
        </w:rPr>
      </w:pPr>
      <w:r>
        <w:rPr>
          <w:rFonts w:hint="eastAsia" w:ascii="宋体" w:hAnsi="宋体" w:eastAsia="宋体" w:cs="仿宋_GB2312"/>
          <w:color w:val="auto"/>
          <w:sz w:val="28"/>
          <w:szCs w:val="28"/>
        </w:rPr>
        <w:t>七、政府性基金预算财政拨款收入支出决算表</w:t>
      </w:r>
    </w:p>
    <w:p w14:paraId="767A4741">
      <w:pPr>
        <w:pStyle w:val="13"/>
        <w:spacing w:line="500" w:lineRule="exact"/>
        <w:ind w:firstLine="700" w:firstLineChars="250"/>
        <w:rPr>
          <w:rFonts w:hint="eastAsia" w:ascii="宋体" w:hAnsi="宋体" w:eastAsia="宋体" w:cs="仿宋_GB2312"/>
          <w:color w:val="auto"/>
          <w:sz w:val="28"/>
          <w:szCs w:val="28"/>
        </w:rPr>
      </w:pPr>
      <w:r>
        <w:rPr>
          <w:rFonts w:hint="eastAsia" w:ascii="宋体" w:hAnsi="宋体" w:eastAsia="宋体" w:cs="仿宋_GB2312"/>
          <w:color w:val="auto"/>
          <w:sz w:val="28"/>
          <w:szCs w:val="28"/>
        </w:rPr>
        <w:t>八、国有资本经营预算财政拨款支出决算表</w:t>
      </w:r>
    </w:p>
    <w:p w14:paraId="64BADAC9">
      <w:pPr>
        <w:pStyle w:val="13"/>
        <w:spacing w:line="500" w:lineRule="exact"/>
        <w:ind w:firstLine="700" w:firstLineChars="250"/>
        <w:rPr>
          <w:rFonts w:hint="eastAsia" w:ascii="宋体" w:hAnsi="宋体" w:eastAsia="宋体" w:cs="仿宋_GB2312"/>
          <w:color w:val="auto"/>
          <w:sz w:val="28"/>
          <w:szCs w:val="28"/>
        </w:rPr>
      </w:pPr>
      <w:r>
        <w:rPr>
          <w:rFonts w:hint="eastAsia" w:ascii="宋体" w:hAnsi="宋体" w:eastAsia="宋体" w:cs="仿宋_GB2312"/>
          <w:color w:val="auto"/>
          <w:sz w:val="28"/>
          <w:szCs w:val="28"/>
        </w:rPr>
        <w:t>九、财政拨款“三公”经费支出决算表</w:t>
      </w:r>
    </w:p>
    <w:p w14:paraId="04353B31">
      <w:pPr>
        <w:pStyle w:val="13"/>
        <w:spacing w:line="500" w:lineRule="exact"/>
        <w:rPr>
          <w:rFonts w:hint="eastAsia" w:ascii="黑体" w:hAnsi="黑体" w:eastAsia="黑体" w:cs="黑体"/>
          <w:b w:val="0"/>
          <w:bCs/>
          <w:color w:val="auto"/>
          <w:sz w:val="28"/>
          <w:szCs w:val="28"/>
        </w:rPr>
      </w:pPr>
      <w:r>
        <w:rPr>
          <w:rFonts w:hint="eastAsia" w:ascii="黑体" w:hAnsi="黑体" w:eastAsia="黑体" w:cs="黑体"/>
          <w:b w:val="0"/>
          <w:bCs/>
          <w:color w:val="auto"/>
          <w:sz w:val="28"/>
          <w:szCs w:val="28"/>
        </w:rPr>
        <w:t>第三部分</w:t>
      </w:r>
      <w:r>
        <w:rPr>
          <w:rFonts w:hint="eastAsia" w:ascii="黑体" w:hAnsi="黑体" w:eastAsia="黑体" w:cs="黑体"/>
          <w:b w:val="0"/>
          <w:bCs/>
          <w:color w:val="auto"/>
          <w:sz w:val="28"/>
          <w:szCs w:val="28"/>
          <w:lang w:val="en-US" w:eastAsia="zh-CN"/>
        </w:rPr>
        <w:t xml:space="preserve"> </w:t>
      </w:r>
      <w:r>
        <w:rPr>
          <w:rFonts w:hint="eastAsia" w:ascii="黑体" w:hAnsi="黑体" w:eastAsia="黑体" w:cs="黑体"/>
          <w:b w:val="0"/>
          <w:bCs/>
          <w:color w:val="auto"/>
          <w:sz w:val="28"/>
          <w:szCs w:val="28"/>
        </w:rPr>
        <w:t>部门决算情况说明</w:t>
      </w:r>
    </w:p>
    <w:p w14:paraId="384A5FAC">
      <w:pPr>
        <w:pStyle w:val="13"/>
        <w:spacing w:line="500" w:lineRule="exact"/>
        <w:ind w:firstLine="700" w:firstLineChars="250"/>
        <w:rPr>
          <w:rFonts w:ascii="宋体" w:hAnsi="宋体" w:eastAsia="宋体" w:cs="仿宋_GB2312"/>
          <w:color w:val="auto"/>
          <w:sz w:val="28"/>
          <w:szCs w:val="28"/>
        </w:rPr>
      </w:pPr>
      <w:r>
        <w:rPr>
          <w:rFonts w:hint="eastAsia" w:ascii="宋体" w:hAnsi="宋体" w:eastAsia="宋体" w:cs="仿宋_GB2312"/>
          <w:color w:val="auto"/>
          <w:sz w:val="28"/>
          <w:szCs w:val="28"/>
        </w:rPr>
        <w:t>一、收入支出决算总体情况说明</w:t>
      </w:r>
    </w:p>
    <w:p w14:paraId="15403BE8">
      <w:pPr>
        <w:spacing w:line="500" w:lineRule="exact"/>
        <w:ind w:firstLine="700" w:firstLineChars="250"/>
        <w:jc w:val="left"/>
        <w:rPr>
          <w:rFonts w:ascii="仿宋_GB2312" w:eastAsia="仿宋_GB2312" w:cs="仿宋_GB2312"/>
          <w:color w:val="auto"/>
          <w:sz w:val="28"/>
          <w:szCs w:val="28"/>
        </w:rPr>
      </w:pPr>
      <w:r>
        <w:rPr>
          <w:rFonts w:hint="eastAsia" w:ascii="仿宋_GB2312" w:hAnsi="仿宋_GB2312" w:cs="仿宋_GB2312"/>
          <w:color w:val="auto"/>
          <w:sz w:val="28"/>
          <w:szCs w:val="28"/>
        </w:rPr>
        <w:t>二、收入决算情况说明</w:t>
      </w:r>
    </w:p>
    <w:p w14:paraId="36520DA5">
      <w:pPr>
        <w:autoSpaceDE w:val="0"/>
        <w:autoSpaceDN w:val="0"/>
        <w:adjustRightInd w:val="0"/>
        <w:spacing w:line="500" w:lineRule="exact"/>
        <w:ind w:firstLine="700" w:firstLineChars="250"/>
        <w:jc w:val="left"/>
        <w:rPr>
          <w:rFonts w:ascii="仿宋_GB2312" w:eastAsia="仿宋_GB2312" w:cs="仿宋_GB2312"/>
          <w:color w:val="auto"/>
          <w:kern w:val="0"/>
          <w:sz w:val="28"/>
          <w:szCs w:val="28"/>
        </w:rPr>
      </w:pPr>
      <w:r>
        <w:rPr>
          <w:rFonts w:hint="eastAsia" w:ascii="仿宋_GB2312" w:hAnsi="仿宋_GB2312" w:cs="仿宋_GB2312"/>
          <w:color w:val="auto"/>
          <w:kern w:val="0"/>
          <w:sz w:val="28"/>
          <w:szCs w:val="28"/>
        </w:rPr>
        <w:t>三、支出决算情况说明</w:t>
      </w:r>
    </w:p>
    <w:p w14:paraId="5A7569BF">
      <w:pPr>
        <w:autoSpaceDE w:val="0"/>
        <w:autoSpaceDN w:val="0"/>
        <w:adjustRightInd w:val="0"/>
        <w:spacing w:line="500" w:lineRule="exact"/>
        <w:ind w:firstLine="700" w:firstLineChars="250"/>
        <w:jc w:val="left"/>
        <w:rPr>
          <w:rFonts w:ascii="仿宋_GB2312" w:eastAsia="仿宋_GB2312" w:cs="仿宋_GB2312"/>
          <w:color w:val="auto"/>
          <w:kern w:val="0"/>
          <w:sz w:val="28"/>
          <w:szCs w:val="28"/>
        </w:rPr>
      </w:pPr>
      <w:r>
        <w:rPr>
          <w:rFonts w:hint="eastAsia" w:ascii="仿宋_GB2312" w:hAnsi="仿宋_GB2312" w:cs="仿宋_GB2312"/>
          <w:color w:val="auto"/>
          <w:kern w:val="0"/>
          <w:sz w:val="28"/>
          <w:szCs w:val="28"/>
        </w:rPr>
        <w:t>四、财政拨款收入支出决算总体情况说明</w:t>
      </w:r>
    </w:p>
    <w:p w14:paraId="2146A5FA">
      <w:pPr>
        <w:autoSpaceDE w:val="0"/>
        <w:autoSpaceDN w:val="0"/>
        <w:adjustRightInd w:val="0"/>
        <w:spacing w:line="500" w:lineRule="exact"/>
        <w:ind w:firstLine="700" w:firstLineChars="250"/>
        <w:jc w:val="left"/>
        <w:rPr>
          <w:rFonts w:ascii="仿宋_GB2312" w:eastAsia="仿宋_GB2312" w:cs="仿宋_GB2312"/>
          <w:color w:val="auto"/>
          <w:kern w:val="0"/>
          <w:sz w:val="28"/>
          <w:szCs w:val="28"/>
        </w:rPr>
      </w:pPr>
      <w:r>
        <w:rPr>
          <w:rFonts w:hint="eastAsia" w:ascii="仿宋_GB2312" w:hAnsi="仿宋_GB2312" w:cs="仿宋_GB2312"/>
          <w:color w:val="auto"/>
          <w:kern w:val="0"/>
          <w:sz w:val="28"/>
          <w:szCs w:val="28"/>
        </w:rPr>
        <w:t>五、一般公共预算财政拨款支出决算情况说明</w:t>
      </w:r>
    </w:p>
    <w:p w14:paraId="3BD0A1E7">
      <w:pPr>
        <w:autoSpaceDE w:val="0"/>
        <w:autoSpaceDN w:val="0"/>
        <w:adjustRightInd w:val="0"/>
        <w:spacing w:line="500" w:lineRule="exact"/>
        <w:ind w:firstLine="700" w:firstLineChars="250"/>
        <w:jc w:val="left"/>
        <w:rPr>
          <w:rFonts w:ascii="仿宋_GB2312" w:eastAsia="仿宋_GB2312" w:cs="仿宋_GB2312"/>
          <w:color w:val="auto"/>
          <w:kern w:val="0"/>
          <w:sz w:val="28"/>
          <w:szCs w:val="28"/>
        </w:rPr>
      </w:pPr>
      <w:r>
        <w:rPr>
          <w:rFonts w:hint="eastAsia" w:ascii="仿宋_GB2312" w:hAnsi="仿宋_GB2312" w:cs="仿宋_GB2312"/>
          <w:color w:val="auto"/>
          <w:kern w:val="0"/>
          <w:sz w:val="28"/>
          <w:szCs w:val="28"/>
        </w:rPr>
        <w:t>六、一般公共预算财政拨款基本支出决算情况说明</w:t>
      </w:r>
    </w:p>
    <w:p w14:paraId="162DBDBC">
      <w:pPr>
        <w:autoSpaceDE w:val="0"/>
        <w:autoSpaceDN w:val="0"/>
        <w:adjustRightInd w:val="0"/>
        <w:spacing w:line="500" w:lineRule="exact"/>
        <w:ind w:firstLine="700" w:firstLineChars="250"/>
        <w:jc w:val="left"/>
        <w:rPr>
          <w:rFonts w:ascii="仿宋_GB2312" w:eastAsia="仿宋_GB2312" w:cs="仿宋_GB2312"/>
          <w:color w:val="auto"/>
          <w:kern w:val="0"/>
          <w:sz w:val="28"/>
          <w:szCs w:val="28"/>
        </w:rPr>
      </w:pPr>
      <w:r>
        <w:rPr>
          <w:rFonts w:hint="eastAsia" w:ascii="仿宋_GB2312" w:hAnsi="仿宋_GB2312" w:cs="仿宋_GB2312"/>
          <w:color w:val="auto"/>
          <w:kern w:val="0"/>
          <w:sz w:val="28"/>
          <w:szCs w:val="28"/>
        </w:rPr>
        <w:t>七、一般公共预算财政拨款“三公”经费支出决算情况说明</w:t>
      </w:r>
    </w:p>
    <w:p w14:paraId="2DC78C18">
      <w:pPr>
        <w:autoSpaceDE w:val="0"/>
        <w:autoSpaceDN w:val="0"/>
        <w:adjustRightInd w:val="0"/>
        <w:spacing w:line="500" w:lineRule="exact"/>
        <w:ind w:firstLine="700" w:firstLineChars="250"/>
        <w:jc w:val="left"/>
        <w:rPr>
          <w:rFonts w:hint="eastAsia" w:ascii="仿宋_GB2312" w:hAnsi="仿宋_GB2312" w:cs="仿宋_GB2312"/>
          <w:color w:val="auto"/>
          <w:kern w:val="0"/>
          <w:sz w:val="28"/>
          <w:szCs w:val="28"/>
        </w:rPr>
      </w:pPr>
      <w:r>
        <w:rPr>
          <w:rFonts w:hint="eastAsia" w:ascii="仿宋_GB2312" w:hAnsi="仿宋_GB2312" w:cs="仿宋_GB2312"/>
          <w:color w:val="auto"/>
          <w:kern w:val="0"/>
          <w:sz w:val="28"/>
          <w:szCs w:val="28"/>
        </w:rPr>
        <w:t>八、政府性基金预算收入支出决算情况</w:t>
      </w:r>
    </w:p>
    <w:p w14:paraId="48E6A683">
      <w:pPr>
        <w:pStyle w:val="13"/>
        <w:keepNext w:val="0"/>
        <w:keepLines w:val="0"/>
        <w:pageBreakBefore w:val="0"/>
        <w:kinsoku/>
        <w:wordWrap/>
        <w:overflowPunct/>
        <w:topLinePunct w:val="0"/>
        <w:bidi w:val="0"/>
        <w:snapToGrid/>
        <w:spacing w:line="600" w:lineRule="exact"/>
        <w:ind w:firstLine="700" w:firstLineChars="250"/>
        <w:textAlignment w:val="auto"/>
        <w:rPr>
          <w:rFonts w:hint="eastAsia" w:ascii="仿宋_GB2312" w:hAnsi="仿宋_GB2312" w:eastAsia="宋体" w:cs="仿宋_GB2312"/>
          <w:color w:val="auto"/>
          <w:kern w:val="0"/>
          <w:sz w:val="28"/>
          <w:szCs w:val="28"/>
          <w:lang w:val="en-US" w:eastAsia="zh-CN" w:bidi="ar-SA"/>
        </w:rPr>
      </w:pPr>
      <w:r>
        <w:rPr>
          <w:rFonts w:hint="eastAsia" w:ascii="仿宋_GB2312" w:hAnsi="仿宋_GB2312" w:eastAsia="宋体" w:cs="仿宋_GB2312"/>
          <w:color w:val="auto"/>
          <w:kern w:val="0"/>
          <w:sz w:val="28"/>
          <w:szCs w:val="28"/>
          <w:lang w:val="en-US" w:eastAsia="zh-CN" w:bidi="ar-SA"/>
        </w:rPr>
        <w:t>九、国有资本经营预算财政拨款支出决算情况说明</w:t>
      </w:r>
    </w:p>
    <w:p w14:paraId="27D2A2F7">
      <w:pPr>
        <w:pStyle w:val="13"/>
        <w:keepNext w:val="0"/>
        <w:keepLines w:val="0"/>
        <w:pageBreakBefore w:val="0"/>
        <w:kinsoku/>
        <w:wordWrap/>
        <w:overflowPunct/>
        <w:topLinePunct w:val="0"/>
        <w:bidi w:val="0"/>
        <w:snapToGrid/>
        <w:spacing w:line="600" w:lineRule="exact"/>
        <w:ind w:firstLine="700" w:firstLineChars="250"/>
        <w:textAlignment w:val="auto"/>
        <w:rPr>
          <w:rFonts w:hint="eastAsia" w:ascii="仿宋_GB2312" w:hAnsi="仿宋_GB2312" w:eastAsia="宋体" w:cs="仿宋_GB2312"/>
          <w:color w:val="auto"/>
          <w:kern w:val="0"/>
          <w:sz w:val="28"/>
          <w:szCs w:val="28"/>
          <w:lang w:val="en-US" w:eastAsia="zh-CN" w:bidi="ar-SA"/>
        </w:rPr>
      </w:pPr>
      <w:r>
        <w:rPr>
          <w:rFonts w:hint="eastAsia" w:ascii="仿宋_GB2312" w:hAnsi="仿宋_GB2312" w:eastAsia="宋体" w:cs="仿宋_GB2312"/>
          <w:color w:val="auto"/>
          <w:kern w:val="0"/>
          <w:sz w:val="28"/>
          <w:szCs w:val="28"/>
          <w:lang w:val="en-US" w:eastAsia="zh-CN" w:bidi="ar-SA"/>
        </w:rPr>
        <w:t>十、关于机关运行经费支出说明</w:t>
      </w:r>
    </w:p>
    <w:p w14:paraId="69C3AE7A">
      <w:pPr>
        <w:pStyle w:val="13"/>
        <w:keepNext w:val="0"/>
        <w:keepLines w:val="0"/>
        <w:pageBreakBefore w:val="0"/>
        <w:kinsoku/>
        <w:wordWrap/>
        <w:overflowPunct/>
        <w:topLinePunct w:val="0"/>
        <w:bidi w:val="0"/>
        <w:snapToGrid/>
        <w:spacing w:line="600" w:lineRule="exact"/>
        <w:ind w:firstLine="700" w:firstLineChars="250"/>
        <w:textAlignment w:val="auto"/>
        <w:rPr>
          <w:rFonts w:hint="eastAsia" w:ascii="仿宋_GB2312" w:hAnsi="仿宋_GB2312" w:eastAsia="宋体" w:cs="仿宋_GB2312"/>
          <w:color w:val="auto"/>
          <w:kern w:val="0"/>
          <w:sz w:val="28"/>
          <w:szCs w:val="28"/>
          <w:lang w:val="en-US" w:eastAsia="zh-CN" w:bidi="ar-SA"/>
        </w:rPr>
      </w:pPr>
      <w:r>
        <w:rPr>
          <w:rFonts w:hint="eastAsia" w:ascii="仿宋_GB2312" w:hAnsi="仿宋_GB2312" w:eastAsia="宋体" w:cs="仿宋_GB2312"/>
          <w:color w:val="auto"/>
          <w:kern w:val="0"/>
          <w:sz w:val="28"/>
          <w:szCs w:val="28"/>
          <w:lang w:val="en-US" w:eastAsia="zh-CN" w:bidi="ar-SA"/>
        </w:rPr>
        <w:t>十一、一般性支出情况说明</w:t>
      </w:r>
    </w:p>
    <w:p w14:paraId="3FE68AE2">
      <w:pPr>
        <w:pStyle w:val="13"/>
        <w:keepNext w:val="0"/>
        <w:keepLines w:val="0"/>
        <w:pageBreakBefore w:val="0"/>
        <w:kinsoku/>
        <w:wordWrap/>
        <w:overflowPunct/>
        <w:topLinePunct w:val="0"/>
        <w:bidi w:val="0"/>
        <w:snapToGrid/>
        <w:spacing w:line="600" w:lineRule="exact"/>
        <w:ind w:firstLine="700" w:firstLineChars="250"/>
        <w:textAlignment w:val="auto"/>
        <w:rPr>
          <w:rFonts w:hint="eastAsia" w:ascii="仿宋_GB2312" w:hAnsi="仿宋_GB2312" w:eastAsia="宋体" w:cs="仿宋_GB2312"/>
          <w:color w:val="auto"/>
          <w:kern w:val="0"/>
          <w:sz w:val="28"/>
          <w:szCs w:val="28"/>
          <w:lang w:val="en-US" w:eastAsia="zh-CN" w:bidi="ar-SA"/>
        </w:rPr>
      </w:pPr>
      <w:r>
        <w:rPr>
          <w:rFonts w:hint="eastAsia" w:ascii="仿宋_GB2312" w:hAnsi="仿宋_GB2312" w:eastAsia="宋体" w:cs="仿宋_GB2312"/>
          <w:color w:val="auto"/>
          <w:kern w:val="0"/>
          <w:sz w:val="28"/>
          <w:szCs w:val="28"/>
          <w:lang w:val="en-US" w:eastAsia="zh-CN" w:bidi="ar-SA"/>
        </w:rPr>
        <w:t>十二、关于政府采购支出说明</w:t>
      </w:r>
    </w:p>
    <w:p w14:paraId="22990E87">
      <w:pPr>
        <w:pStyle w:val="13"/>
        <w:keepNext w:val="0"/>
        <w:keepLines w:val="0"/>
        <w:pageBreakBefore w:val="0"/>
        <w:kinsoku/>
        <w:wordWrap/>
        <w:overflowPunct/>
        <w:topLinePunct w:val="0"/>
        <w:bidi w:val="0"/>
        <w:snapToGrid/>
        <w:spacing w:line="600" w:lineRule="exact"/>
        <w:ind w:firstLine="700" w:firstLineChars="250"/>
        <w:textAlignment w:val="auto"/>
        <w:rPr>
          <w:rFonts w:hint="eastAsia" w:ascii="仿宋_GB2312" w:hAnsi="仿宋_GB2312" w:eastAsia="宋体" w:cs="仿宋_GB2312"/>
          <w:color w:val="auto"/>
          <w:kern w:val="0"/>
          <w:sz w:val="28"/>
          <w:szCs w:val="28"/>
          <w:lang w:val="en-US" w:eastAsia="zh-CN" w:bidi="ar-SA"/>
        </w:rPr>
      </w:pPr>
      <w:r>
        <w:rPr>
          <w:rFonts w:hint="eastAsia" w:ascii="仿宋_GB2312" w:hAnsi="仿宋_GB2312" w:eastAsia="宋体" w:cs="仿宋_GB2312"/>
          <w:color w:val="auto"/>
          <w:kern w:val="0"/>
          <w:sz w:val="28"/>
          <w:szCs w:val="28"/>
          <w:lang w:val="en-US" w:eastAsia="zh-CN" w:bidi="ar-SA"/>
        </w:rPr>
        <w:t>十三、关于国有资产占用情况说明</w:t>
      </w:r>
    </w:p>
    <w:p w14:paraId="6D586FF6">
      <w:pPr>
        <w:pStyle w:val="13"/>
        <w:keepNext w:val="0"/>
        <w:keepLines w:val="0"/>
        <w:pageBreakBefore w:val="0"/>
        <w:kinsoku/>
        <w:wordWrap/>
        <w:overflowPunct/>
        <w:topLinePunct w:val="0"/>
        <w:bidi w:val="0"/>
        <w:snapToGrid/>
        <w:spacing w:line="600" w:lineRule="exact"/>
        <w:ind w:firstLine="700" w:firstLineChars="250"/>
        <w:textAlignment w:val="auto"/>
        <w:rPr>
          <w:rFonts w:hint="eastAsia" w:ascii="仿宋" w:hAnsi="仿宋" w:eastAsia="仿宋" w:cs="仿宋"/>
          <w:i w:val="0"/>
          <w:iCs w:val="0"/>
          <w:caps w:val="0"/>
          <w:color w:val="auto"/>
          <w:spacing w:val="0"/>
          <w:sz w:val="32"/>
          <w:szCs w:val="32"/>
          <w:highlight w:val="yellow"/>
        </w:rPr>
      </w:pPr>
      <w:r>
        <w:rPr>
          <w:rFonts w:hint="eastAsia" w:ascii="仿宋_GB2312" w:hAnsi="仿宋_GB2312" w:eastAsia="宋体" w:cs="仿宋_GB2312"/>
          <w:color w:val="auto"/>
          <w:kern w:val="0"/>
          <w:sz w:val="28"/>
          <w:szCs w:val="28"/>
          <w:lang w:val="en-US" w:eastAsia="zh-CN" w:bidi="ar-SA"/>
        </w:rPr>
        <w:t>十四、关于2023年度预算绩效情况的说明</w:t>
      </w:r>
    </w:p>
    <w:p w14:paraId="48B20F8C">
      <w:pPr>
        <w:pStyle w:val="13"/>
        <w:spacing w:line="500" w:lineRule="exact"/>
        <w:rPr>
          <w:rFonts w:hint="eastAsia" w:ascii="黑体" w:hAnsi="黑体" w:eastAsia="黑体" w:cs="黑体"/>
          <w:b w:val="0"/>
          <w:bCs/>
          <w:color w:val="auto"/>
          <w:sz w:val="28"/>
          <w:szCs w:val="28"/>
        </w:rPr>
      </w:pPr>
      <w:r>
        <w:rPr>
          <w:rFonts w:hint="eastAsia" w:ascii="黑体" w:hAnsi="黑体" w:eastAsia="黑体" w:cs="黑体"/>
          <w:b w:val="0"/>
          <w:bCs/>
          <w:color w:val="auto"/>
          <w:sz w:val="28"/>
          <w:szCs w:val="28"/>
        </w:rPr>
        <w:t>第四部分</w:t>
      </w:r>
      <w:r>
        <w:rPr>
          <w:rFonts w:hint="eastAsia" w:ascii="黑体" w:hAnsi="黑体" w:eastAsia="黑体" w:cs="黑体"/>
          <w:b w:val="0"/>
          <w:bCs/>
          <w:color w:val="auto"/>
          <w:sz w:val="28"/>
          <w:szCs w:val="28"/>
          <w:lang w:val="en-US" w:eastAsia="zh-CN"/>
        </w:rPr>
        <w:t xml:space="preserve"> </w:t>
      </w:r>
      <w:r>
        <w:rPr>
          <w:rFonts w:hint="eastAsia" w:ascii="黑体" w:hAnsi="黑体" w:eastAsia="黑体" w:cs="黑体"/>
          <w:b w:val="0"/>
          <w:bCs/>
          <w:color w:val="auto"/>
          <w:sz w:val="28"/>
          <w:szCs w:val="28"/>
        </w:rPr>
        <w:t>名词解释</w:t>
      </w:r>
    </w:p>
    <w:p w14:paraId="6C87F5FB">
      <w:pPr>
        <w:pStyle w:val="13"/>
        <w:spacing w:line="500" w:lineRule="exact"/>
        <w:rPr>
          <w:rFonts w:hint="eastAsia" w:ascii="黑体" w:hAnsi="黑体" w:eastAsia="黑体" w:cs="黑体"/>
          <w:b w:val="0"/>
          <w:bCs/>
          <w:color w:val="auto"/>
          <w:sz w:val="28"/>
          <w:szCs w:val="28"/>
          <w:lang w:eastAsia="zh-CN"/>
        </w:rPr>
      </w:pPr>
      <w:r>
        <w:rPr>
          <w:rFonts w:hint="eastAsia" w:ascii="黑体" w:hAnsi="黑体" w:eastAsia="黑体" w:cs="黑体"/>
          <w:b w:val="0"/>
          <w:bCs/>
          <w:color w:val="auto"/>
          <w:sz w:val="28"/>
          <w:szCs w:val="28"/>
        </w:rPr>
        <w:t>第</w:t>
      </w:r>
      <w:r>
        <w:rPr>
          <w:rFonts w:hint="eastAsia" w:hAnsi="黑体" w:cs="黑体"/>
          <w:b w:val="0"/>
          <w:bCs/>
          <w:color w:val="auto"/>
          <w:sz w:val="28"/>
          <w:szCs w:val="28"/>
          <w:lang w:eastAsia="zh-CN"/>
        </w:rPr>
        <w:t>五</w:t>
      </w:r>
      <w:r>
        <w:rPr>
          <w:rFonts w:hint="eastAsia" w:ascii="黑体" w:hAnsi="黑体" w:eastAsia="黑体" w:cs="黑体"/>
          <w:b w:val="0"/>
          <w:bCs/>
          <w:color w:val="auto"/>
          <w:sz w:val="28"/>
          <w:szCs w:val="28"/>
        </w:rPr>
        <w:t>部分</w:t>
      </w:r>
      <w:r>
        <w:rPr>
          <w:rFonts w:hint="eastAsia" w:ascii="黑体" w:hAnsi="黑体" w:eastAsia="黑体" w:cs="黑体"/>
          <w:b w:val="0"/>
          <w:bCs/>
          <w:color w:val="auto"/>
          <w:sz w:val="28"/>
          <w:szCs w:val="28"/>
          <w:lang w:val="en-US" w:eastAsia="zh-CN"/>
        </w:rPr>
        <w:t xml:space="preserve"> </w:t>
      </w:r>
      <w:r>
        <w:rPr>
          <w:rFonts w:hint="eastAsia" w:hAnsi="黑体" w:cs="黑体"/>
          <w:b w:val="0"/>
          <w:bCs/>
          <w:color w:val="auto"/>
          <w:sz w:val="28"/>
          <w:szCs w:val="28"/>
          <w:lang w:eastAsia="zh-CN"/>
        </w:rPr>
        <w:t>附件</w:t>
      </w:r>
    </w:p>
    <w:p w14:paraId="5AE41BF5">
      <w:pPr>
        <w:pStyle w:val="13"/>
        <w:spacing w:line="500" w:lineRule="exact"/>
        <w:rPr>
          <w:rFonts w:hint="eastAsia" w:ascii="黑体" w:hAnsi="黑体" w:eastAsia="黑体" w:cs="黑体"/>
          <w:b w:val="0"/>
          <w:bCs/>
          <w:color w:val="auto"/>
          <w:sz w:val="28"/>
          <w:szCs w:val="28"/>
        </w:rPr>
      </w:pPr>
    </w:p>
    <w:p w14:paraId="231E33F8">
      <w:pPr>
        <w:jc w:val="center"/>
        <w:rPr>
          <w:color w:val="auto"/>
          <w:sz w:val="72"/>
          <w:szCs w:val="72"/>
        </w:rPr>
      </w:pPr>
    </w:p>
    <w:p w14:paraId="3DB8CDFA">
      <w:pPr>
        <w:jc w:val="center"/>
        <w:rPr>
          <w:color w:val="auto"/>
          <w:sz w:val="72"/>
          <w:szCs w:val="72"/>
        </w:rPr>
      </w:pPr>
    </w:p>
    <w:p w14:paraId="0B44D63A">
      <w:pPr>
        <w:jc w:val="center"/>
        <w:rPr>
          <w:color w:val="auto"/>
          <w:sz w:val="72"/>
          <w:szCs w:val="72"/>
        </w:rPr>
      </w:pPr>
    </w:p>
    <w:p w14:paraId="3C7F4669">
      <w:pPr>
        <w:pStyle w:val="2"/>
        <w:rPr>
          <w:color w:val="auto"/>
          <w:sz w:val="72"/>
          <w:szCs w:val="72"/>
        </w:rPr>
      </w:pPr>
    </w:p>
    <w:p w14:paraId="2DBF7D34">
      <w:pPr>
        <w:pStyle w:val="3"/>
        <w:rPr>
          <w:color w:val="auto"/>
          <w:sz w:val="72"/>
          <w:szCs w:val="72"/>
        </w:rPr>
      </w:pPr>
    </w:p>
    <w:p w14:paraId="7A5B71D3">
      <w:pPr>
        <w:rPr>
          <w:color w:val="auto"/>
          <w:sz w:val="72"/>
          <w:szCs w:val="72"/>
        </w:rPr>
      </w:pPr>
    </w:p>
    <w:p w14:paraId="32D7295E">
      <w:pPr>
        <w:pStyle w:val="2"/>
        <w:rPr>
          <w:color w:val="auto"/>
          <w:sz w:val="72"/>
          <w:szCs w:val="72"/>
        </w:rPr>
      </w:pPr>
    </w:p>
    <w:p w14:paraId="68ED1B0F">
      <w:pPr>
        <w:pStyle w:val="3"/>
        <w:rPr>
          <w:color w:val="auto"/>
          <w:sz w:val="72"/>
          <w:szCs w:val="72"/>
        </w:rPr>
      </w:pPr>
    </w:p>
    <w:p w14:paraId="75C77E3A">
      <w:pPr>
        <w:rPr>
          <w:color w:val="auto"/>
          <w:sz w:val="72"/>
          <w:szCs w:val="72"/>
        </w:rPr>
      </w:pPr>
    </w:p>
    <w:p w14:paraId="6C8B016E">
      <w:pPr>
        <w:pStyle w:val="2"/>
        <w:rPr>
          <w:color w:val="auto"/>
          <w:sz w:val="72"/>
          <w:szCs w:val="72"/>
        </w:rPr>
      </w:pPr>
    </w:p>
    <w:p w14:paraId="610A28A0">
      <w:pPr>
        <w:pStyle w:val="3"/>
        <w:rPr>
          <w:color w:val="auto"/>
        </w:rPr>
      </w:pPr>
    </w:p>
    <w:p w14:paraId="0521BBEF">
      <w:pPr>
        <w:jc w:val="center"/>
        <w:rPr>
          <w:color w:val="auto"/>
          <w:sz w:val="72"/>
          <w:szCs w:val="72"/>
        </w:rPr>
      </w:pPr>
    </w:p>
    <w:p w14:paraId="1246533B">
      <w:pPr>
        <w:rPr>
          <w:rFonts w:hint="eastAsia" w:ascii="方正小标宋_GBK" w:hAnsi="方正小标宋_GBK" w:eastAsia="方正小标宋_GBK" w:cs="方正小标宋_GBK"/>
          <w:color w:val="auto"/>
          <w:sz w:val="72"/>
          <w:szCs w:val="72"/>
        </w:rPr>
      </w:pPr>
    </w:p>
    <w:p w14:paraId="304B42BF">
      <w:pPr>
        <w:pStyle w:val="13"/>
        <w:jc w:val="center"/>
        <w:rPr>
          <w:rFonts w:hint="eastAsia" w:ascii="方正小标宋_GBK" w:hAnsi="方正小标宋_GBK" w:eastAsia="方正小标宋_GBK" w:cs="方正小标宋_GBK"/>
          <w:color w:val="auto"/>
          <w:sz w:val="84"/>
          <w:szCs w:val="84"/>
        </w:rPr>
      </w:pPr>
      <w:r>
        <w:rPr>
          <w:rFonts w:hint="eastAsia" w:ascii="方正小标宋_GBK" w:hAnsi="方正小标宋_GBK" w:eastAsia="方正小标宋_GBK" w:cs="方正小标宋_GBK"/>
          <w:color w:val="auto"/>
          <w:sz w:val="84"/>
          <w:szCs w:val="84"/>
        </w:rPr>
        <w:t xml:space="preserve">第一部分 </w:t>
      </w:r>
    </w:p>
    <w:p w14:paraId="481CF486">
      <w:pPr>
        <w:pStyle w:val="13"/>
        <w:jc w:val="center"/>
        <w:rPr>
          <w:rFonts w:hint="eastAsia" w:ascii="方正小标宋_GBK" w:hAnsi="方正小标宋_GBK" w:eastAsia="方正小标宋_GBK" w:cs="方正小标宋_GBK"/>
          <w:color w:val="auto"/>
          <w:sz w:val="84"/>
          <w:szCs w:val="84"/>
        </w:rPr>
      </w:pPr>
    </w:p>
    <w:p w14:paraId="25BD5781">
      <w:pPr>
        <w:pStyle w:val="13"/>
        <w:jc w:val="center"/>
        <w:rPr>
          <w:rFonts w:hint="eastAsia" w:ascii="方正小标宋_GBK" w:hAnsi="方正小标宋_GBK" w:eastAsia="方正小标宋_GBK" w:cs="方正小标宋_GBK"/>
          <w:color w:val="auto"/>
          <w:sz w:val="84"/>
          <w:szCs w:val="84"/>
        </w:rPr>
      </w:pPr>
      <w:r>
        <w:rPr>
          <w:rFonts w:hint="eastAsia" w:ascii="方正小标宋_GBK" w:hAnsi="方正小标宋_GBK" w:eastAsia="方正小标宋_GBK" w:cs="方正小标宋_GBK"/>
          <w:color w:val="auto"/>
          <w:sz w:val="84"/>
          <w:szCs w:val="84"/>
        </w:rPr>
        <w:t>怀化市公安局鹤城分局单位概况</w:t>
      </w:r>
    </w:p>
    <w:p w14:paraId="400BEA74">
      <w:pPr>
        <w:jc w:val="center"/>
        <w:rPr>
          <w:color w:val="auto"/>
          <w:sz w:val="72"/>
          <w:szCs w:val="72"/>
        </w:rPr>
      </w:pPr>
    </w:p>
    <w:p w14:paraId="6C40DF4B">
      <w:pPr>
        <w:pStyle w:val="14"/>
        <w:numPr>
          <w:ilvl w:val="0"/>
          <w:numId w:val="1"/>
        </w:numPr>
        <w:ind w:firstLineChars="0"/>
        <w:jc w:val="left"/>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部门职责</w:t>
      </w:r>
    </w:p>
    <w:p w14:paraId="611BED89">
      <w:pPr>
        <w:widowControl/>
        <w:shd w:val="clear" w:color="auto" w:fill="FFFFFF"/>
        <w:spacing w:before="225" w:line="600" w:lineRule="exact"/>
        <w:ind w:firstLine="627"/>
        <w:jc w:val="left"/>
        <w:textAlignment w:val="baseline"/>
        <w:rPr>
          <w:rFonts w:ascii="宋体"/>
          <w:bCs/>
          <w:color w:val="auto"/>
          <w:kern w:val="0"/>
          <w:sz w:val="32"/>
          <w:szCs w:val="32"/>
        </w:rPr>
      </w:pPr>
      <w:r>
        <w:rPr>
          <w:rFonts w:hint="eastAsia" w:ascii="宋体" w:hAnsi="宋体"/>
          <w:bCs/>
          <w:color w:val="auto"/>
          <w:kern w:val="0"/>
          <w:sz w:val="32"/>
          <w:szCs w:val="32"/>
        </w:rPr>
        <w:t>本部门主要职责是：预防、制止和侦查违法犯罪活动；维护社会治安秩序，制止危害社会治安秩序的行为；管理户政、国籍、入境出境事务和外国人在中国境内居留、旅行的有关事务；监督管理计算机信息系统的安全保护工作；指导和监督国家机关、社会团体、企业事业组织和重点建设工程的治安保卫工作，指导治安保卫委员会等群众性组织的治安防范工作；法律、法规规定的其他职责。</w:t>
      </w:r>
    </w:p>
    <w:p w14:paraId="7DB29838">
      <w:pPr>
        <w:widowControl/>
        <w:spacing w:line="600" w:lineRule="exact"/>
        <w:rPr>
          <w:rFonts w:hint="eastAsia" w:ascii="黑体" w:hAnsi="黑体" w:eastAsia="黑体" w:cs="黑体"/>
          <w:b w:val="0"/>
          <w:bCs/>
          <w:color w:val="auto"/>
          <w:kern w:val="0"/>
          <w:sz w:val="32"/>
          <w:szCs w:val="32"/>
        </w:rPr>
      </w:pPr>
      <w:r>
        <w:rPr>
          <w:rFonts w:hint="eastAsia" w:ascii="黑体" w:hAnsi="黑体" w:eastAsia="黑体" w:cs="黑体"/>
          <w:b w:val="0"/>
          <w:bCs/>
          <w:color w:val="auto"/>
          <w:kern w:val="0"/>
          <w:sz w:val="32"/>
          <w:szCs w:val="32"/>
        </w:rPr>
        <w:t>二、机构设置及决算单位构成</w:t>
      </w:r>
    </w:p>
    <w:p w14:paraId="55E82E16">
      <w:pPr>
        <w:widowControl/>
        <w:spacing w:line="600" w:lineRule="exact"/>
        <w:ind w:firstLine="640" w:firstLineChars="200"/>
        <w:rPr>
          <w:rFonts w:ascii="宋体"/>
          <w:bCs/>
          <w:color w:val="auto"/>
          <w:kern w:val="0"/>
          <w:sz w:val="32"/>
          <w:szCs w:val="32"/>
        </w:rPr>
      </w:pPr>
      <w:r>
        <w:rPr>
          <w:rFonts w:hint="eastAsia" w:ascii="宋体" w:hAnsi="宋体"/>
          <w:bCs/>
          <w:color w:val="auto"/>
          <w:kern w:val="0"/>
          <w:sz w:val="32"/>
          <w:szCs w:val="32"/>
        </w:rPr>
        <w:t>（一）内设机构设置。怀化市公安局鹤城分局作为一级部门预算单位，内设</w:t>
      </w:r>
      <w:r>
        <w:rPr>
          <w:rFonts w:ascii="宋体" w:hAnsi="宋体"/>
          <w:bCs/>
          <w:color w:val="auto"/>
          <w:kern w:val="0"/>
          <w:sz w:val="32"/>
          <w:szCs w:val="32"/>
        </w:rPr>
        <w:t>6</w:t>
      </w:r>
      <w:r>
        <w:rPr>
          <w:rFonts w:hint="eastAsia" w:ascii="宋体" w:hAnsi="宋体"/>
          <w:bCs/>
          <w:color w:val="auto"/>
          <w:kern w:val="0"/>
          <w:sz w:val="32"/>
          <w:szCs w:val="32"/>
        </w:rPr>
        <w:t>个中心，包括：指挥中心、队管中心、防控中心、侦查中心、监管中心、执法管理中心；</w:t>
      </w:r>
      <w:r>
        <w:rPr>
          <w:rFonts w:ascii="宋体" w:hAnsi="宋体"/>
          <w:bCs/>
          <w:color w:val="auto"/>
          <w:kern w:val="0"/>
          <w:sz w:val="32"/>
          <w:szCs w:val="32"/>
        </w:rPr>
        <w:t>12</w:t>
      </w:r>
      <w:r>
        <w:rPr>
          <w:rFonts w:hint="eastAsia" w:ascii="宋体" w:hAnsi="宋体"/>
          <w:bCs/>
          <w:color w:val="auto"/>
          <w:kern w:val="0"/>
          <w:sz w:val="32"/>
          <w:szCs w:val="32"/>
        </w:rPr>
        <w:t>个派出所，包括：广场派出所、团结派出所、迎丰派出所、湖天派出所、城中派出所、新园派出所、城东派出所、城南派出所、黄金坳派出所、舞阳派出所（筹备中）、杨村派出所（筹备中）、城北派出所（筹备中）。</w:t>
      </w:r>
    </w:p>
    <w:p w14:paraId="46B51E37">
      <w:pPr>
        <w:widowControl/>
        <w:spacing w:line="600" w:lineRule="exact"/>
        <w:ind w:firstLine="640" w:firstLineChars="200"/>
        <w:rPr>
          <w:rFonts w:ascii="宋体"/>
          <w:bCs/>
          <w:color w:val="auto"/>
          <w:kern w:val="0"/>
          <w:sz w:val="32"/>
          <w:szCs w:val="32"/>
        </w:rPr>
      </w:pPr>
      <w:r>
        <w:rPr>
          <w:rFonts w:hint="eastAsia" w:ascii="宋体" w:hAnsi="宋体"/>
          <w:bCs/>
          <w:color w:val="auto"/>
          <w:kern w:val="0"/>
          <w:sz w:val="32"/>
          <w:szCs w:val="32"/>
        </w:rPr>
        <w:t>（二）决算单位构成。怀化市公安局鹤城分局</w:t>
      </w:r>
      <w:r>
        <w:rPr>
          <w:rFonts w:hint="eastAsia" w:ascii="宋体" w:hAnsi="宋体"/>
          <w:bCs/>
          <w:color w:val="auto"/>
          <w:kern w:val="0"/>
          <w:sz w:val="32"/>
          <w:szCs w:val="32"/>
          <w:lang w:eastAsia="zh-CN"/>
        </w:rPr>
        <w:t>2023</w:t>
      </w:r>
      <w:r>
        <w:rPr>
          <w:rFonts w:hint="eastAsia" w:ascii="宋体" w:hAnsi="宋体"/>
          <w:bCs/>
          <w:color w:val="auto"/>
          <w:kern w:val="0"/>
          <w:sz w:val="32"/>
          <w:szCs w:val="32"/>
        </w:rPr>
        <w:t>年部门决算汇总公开单位构成包括：怀化市公安局鹤城分局本级。</w:t>
      </w:r>
    </w:p>
    <w:p w14:paraId="645722FD">
      <w:pPr>
        <w:jc w:val="left"/>
        <w:rPr>
          <w:rFonts w:ascii="仿宋_GB2312" w:eastAsia="仿宋_GB2312" w:hAnsiTheme="minorEastAsia"/>
          <w:color w:val="auto"/>
          <w:sz w:val="28"/>
          <w:szCs w:val="32"/>
        </w:rPr>
      </w:pPr>
    </w:p>
    <w:p w14:paraId="19F6C803">
      <w:pPr>
        <w:jc w:val="center"/>
        <w:rPr>
          <w:rFonts w:ascii="黑体" w:hAnsi="黑体" w:eastAsia="黑体"/>
          <w:color w:val="auto"/>
          <w:sz w:val="28"/>
          <w:szCs w:val="28"/>
        </w:rPr>
      </w:pPr>
    </w:p>
    <w:p w14:paraId="08028D1C">
      <w:pPr>
        <w:jc w:val="center"/>
        <w:rPr>
          <w:rFonts w:ascii="黑体" w:hAnsi="黑体" w:eastAsia="黑体"/>
          <w:color w:val="auto"/>
          <w:sz w:val="28"/>
          <w:szCs w:val="28"/>
        </w:rPr>
      </w:pPr>
    </w:p>
    <w:p w14:paraId="0815F695">
      <w:pPr>
        <w:jc w:val="center"/>
        <w:rPr>
          <w:rFonts w:ascii="黑体" w:hAnsi="黑体" w:eastAsia="黑体"/>
          <w:color w:val="auto"/>
          <w:sz w:val="28"/>
          <w:szCs w:val="28"/>
        </w:rPr>
      </w:pPr>
    </w:p>
    <w:p w14:paraId="15AA1C3D">
      <w:pPr>
        <w:jc w:val="center"/>
        <w:rPr>
          <w:rFonts w:ascii="黑体" w:hAnsi="黑体" w:eastAsia="黑体"/>
          <w:color w:val="auto"/>
          <w:sz w:val="28"/>
          <w:szCs w:val="28"/>
        </w:rPr>
      </w:pPr>
    </w:p>
    <w:p w14:paraId="0AA96734">
      <w:pPr>
        <w:jc w:val="center"/>
        <w:rPr>
          <w:rFonts w:ascii="黑体" w:hAnsi="黑体" w:eastAsia="黑体"/>
          <w:color w:val="auto"/>
          <w:sz w:val="28"/>
          <w:szCs w:val="28"/>
        </w:rPr>
      </w:pPr>
    </w:p>
    <w:p w14:paraId="586F132C">
      <w:pPr>
        <w:jc w:val="center"/>
        <w:rPr>
          <w:rFonts w:ascii="黑体" w:hAnsi="黑体" w:eastAsia="黑体"/>
          <w:color w:val="auto"/>
          <w:sz w:val="28"/>
          <w:szCs w:val="28"/>
        </w:rPr>
      </w:pPr>
    </w:p>
    <w:p w14:paraId="2DE03F49">
      <w:pPr>
        <w:jc w:val="center"/>
        <w:rPr>
          <w:rFonts w:ascii="黑体" w:hAnsi="黑体" w:eastAsia="黑体"/>
          <w:color w:val="auto"/>
          <w:sz w:val="28"/>
          <w:szCs w:val="28"/>
        </w:rPr>
      </w:pPr>
    </w:p>
    <w:p w14:paraId="07E91667">
      <w:pPr>
        <w:jc w:val="center"/>
        <w:rPr>
          <w:rFonts w:ascii="黑体" w:hAnsi="黑体" w:eastAsia="黑体"/>
          <w:color w:val="auto"/>
          <w:sz w:val="28"/>
          <w:szCs w:val="28"/>
        </w:rPr>
      </w:pPr>
    </w:p>
    <w:p w14:paraId="52B7D0E8">
      <w:pPr>
        <w:jc w:val="center"/>
        <w:rPr>
          <w:rFonts w:ascii="黑体" w:hAnsi="黑体" w:eastAsia="黑体"/>
          <w:color w:val="auto"/>
          <w:sz w:val="28"/>
          <w:szCs w:val="28"/>
        </w:rPr>
      </w:pPr>
    </w:p>
    <w:p w14:paraId="5DBA9A76">
      <w:pPr>
        <w:jc w:val="center"/>
        <w:rPr>
          <w:rFonts w:ascii="黑体" w:hAnsi="黑体" w:eastAsia="黑体"/>
          <w:color w:val="auto"/>
          <w:sz w:val="28"/>
          <w:szCs w:val="28"/>
        </w:rPr>
      </w:pPr>
    </w:p>
    <w:p w14:paraId="130BFA52">
      <w:pPr>
        <w:jc w:val="center"/>
        <w:rPr>
          <w:rFonts w:ascii="黑体" w:hAnsi="黑体" w:eastAsia="黑体"/>
          <w:color w:val="auto"/>
          <w:sz w:val="28"/>
          <w:szCs w:val="28"/>
        </w:rPr>
      </w:pPr>
    </w:p>
    <w:p w14:paraId="1E6E853F">
      <w:pPr>
        <w:jc w:val="center"/>
        <w:rPr>
          <w:rFonts w:ascii="黑体" w:hAnsi="黑体" w:eastAsia="黑体"/>
          <w:color w:val="auto"/>
          <w:sz w:val="28"/>
          <w:szCs w:val="28"/>
        </w:rPr>
      </w:pPr>
    </w:p>
    <w:p w14:paraId="167E83B9">
      <w:pPr>
        <w:jc w:val="center"/>
        <w:rPr>
          <w:color w:val="auto"/>
          <w:sz w:val="72"/>
          <w:szCs w:val="72"/>
        </w:rPr>
      </w:pPr>
    </w:p>
    <w:p w14:paraId="6AAE1723">
      <w:pPr>
        <w:jc w:val="center"/>
        <w:rPr>
          <w:color w:val="auto"/>
          <w:sz w:val="72"/>
          <w:szCs w:val="72"/>
        </w:rPr>
      </w:pPr>
    </w:p>
    <w:p w14:paraId="0CC13264">
      <w:pPr>
        <w:jc w:val="center"/>
        <w:rPr>
          <w:color w:val="auto"/>
          <w:sz w:val="72"/>
          <w:szCs w:val="72"/>
        </w:rPr>
      </w:pPr>
    </w:p>
    <w:p w14:paraId="4B9FD828">
      <w:pPr>
        <w:jc w:val="center"/>
        <w:rPr>
          <w:color w:val="auto"/>
          <w:sz w:val="72"/>
          <w:szCs w:val="72"/>
        </w:rPr>
      </w:pPr>
    </w:p>
    <w:p w14:paraId="2C11B803">
      <w:pPr>
        <w:pStyle w:val="13"/>
        <w:jc w:val="center"/>
        <w:rPr>
          <w:rFonts w:hint="eastAsia" w:ascii="方正小标宋_GBK" w:hAnsi="方正小标宋_GBK" w:eastAsia="方正小标宋_GBK" w:cs="方正小标宋_GBK"/>
          <w:color w:val="auto"/>
          <w:sz w:val="84"/>
          <w:szCs w:val="84"/>
        </w:rPr>
      </w:pPr>
    </w:p>
    <w:p w14:paraId="1BD27C9D">
      <w:pPr>
        <w:pStyle w:val="13"/>
        <w:jc w:val="center"/>
        <w:rPr>
          <w:rFonts w:hint="eastAsia" w:ascii="方正小标宋_GBK" w:hAnsi="方正小标宋_GBK" w:eastAsia="方正小标宋_GBK" w:cs="方正小标宋_GBK"/>
          <w:color w:val="auto"/>
          <w:sz w:val="84"/>
          <w:szCs w:val="84"/>
        </w:rPr>
      </w:pPr>
      <w:r>
        <w:rPr>
          <w:rFonts w:hint="eastAsia" w:ascii="方正小标宋_GBK" w:hAnsi="方正小标宋_GBK" w:eastAsia="方正小标宋_GBK" w:cs="方正小标宋_GBK"/>
          <w:color w:val="auto"/>
          <w:sz w:val="84"/>
          <w:szCs w:val="84"/>
        </w:rPr>
        <w:t>第二部分</w:t>
      </w:r>
    </w:p>
    <w:p w14:paraId="0EF96841">
      <w:pPr>
        <w:pStyle w:val="13"/>
        <w:jc w:val="center"/>
        <w:rPr>
          <w:rFonts w:hint="eastAsia" w:ascii="方正小标宋_GBK" w:hAnsi="方正小标宋_GBK" w:eastAsia="方正小标宋_GBK" w:cs="方正小标宋_GBK"/>
          <w:color w:val="auto"/>
          <w:sz w:val="84"/>
          <w:szCs w:val="84"/>
        </w:rPr>
      </w:pPr>
    </w:p>
    <w:p w14:paraId="0048A93D">
      <w:pPr>
        <w:pStyle w:val="13"/>
        <w:jc w:val="center"/>
        <w:rPr>
          <w:rFonts w:hint="eastAsia" w:ascii="方正小标宋_GBK" w:hAnsi="方正小标宋_GBK" w:eastAsia="方正小标宋_GBK" w:cs="方正小标宋_GBK"/>
          <w:color w:val="auto"/>
          <w:sz w:val="84"/>
          <w:szCs w:val="84"/>
        </w:rPr>
      </w:pPr>
      <w:r>
        <w:rPr>
          <w:rFonts w:hint="eastAsia" w:ascii="方正小标宋_GBK" w:hAnsi="方正小标宋_GBK" w:eastAsia="方正小标宋_GBK" w:cs="方正小标宋_GBK"/>
          <w:color w:val="auto"/>
          <w:sz w:val="84"/>
          <w:szCs w:val="84"/>
        </w:rPr>
        <w:t>部门决算表</w:t>
      </w:r>
    </w:p>
    <w:p w14:paraId="49B26315">
      <w:pPr>
        <w:jc w:val="center"/>
        <w:rPr>
          <w:color w:val="auto"/>
          <w:sz w:val="72"/>
          <w:szCs w:val="72"/>
        </w:rPr>
      </w:pPr>
    </w:p>
    <w:p w14:paraId="03D72385">
      <w:pPr>
        <w:jc w:val="center"/>
        <w:rPr>
          <w:color w:val="auto"/>
          <w:sz w:val="72"/>
          <w:szCs w:val="72"/>
        </w:rPr>
      </w:pPr>
    </w:p>
    <w:p w14:paraId="605600CF">
      <w:pPr>
        <w:pStyle w:val="13"/>
        <w:jc w:val="center"/>
        <w:rPr>
          <w:rFonts w:hint="eastAsia"/>
          <w:color w:val="auto"/>
          <w:sz w:val="44"/>
          <w:szCs w:val="44"/>
        </w:rPr>
      </w:pPr>
      <w:r>
        <w:rPr>
          <w:rFonts w:hint="eastAsia"/>
          <w:color w:val="auto"/>
          <w:sz w:val="44"/>
          <w:szCs w:val="44"/>
        </w:rPr>
        <w:t>见附件</w:t>
      </w:r>
    </w:p>
    <w:p w14:paraId="2E51A375">
      <w:pPr>
        <w:widowControl/>
        <w:jc w:val="both"/>
        <w:rPr>
          <w:color w:val="auto"/>
          <w:sz w:val="72"/>
          <w:szCs w:val="72"/>
        </w:rPr>
        <w:sectPr>
          <w:pgSz w:w="11906" w:h="16838"/>
          <w:pgMar w:top="720" w:right="720" w:bottom="720" w:left="720" w:header="851" w:footer="992" w:gutter="0"/>
          <w:cols w:space="425" w:num="1"/>
          <w:docGrid w:type="lines" w:linePitch="312" w:charSpace="0"/>
        </w:sectPr>
      </w:pPr>
    </w:p>
    <w:p w14:paraId="2E641FB1">
      <w:pPr>
        <w:pStyle w:val="13"/>
        <w:rPr>
          <w:color w:val="auto"/>
          <w:sz w:val="72"/>
          <w:szCs w:val="72"/>
        </w:rPr>
      </w:pPr>
    </w:p>
    <w:p w14:paraId="6FF60D2F">
      <w:pPr>
        <w:pStyle w:val="13"/>
        <w:rPr>
          <w:color w:val="auto"/>
          <w:sz w:val="72"/>
          <w:szCs w:val="72"/>
        </w:rPr>
      </w:pPr>
    </w:p>
    <w:p w14:paraId="4ACDB3C1">
      <w:pPr>
        <w:pStyle w:val="13"/>
        <w:rPr>
          <w:color w:val="auto"/>
          <w:sz w:val="72"/>
          <w:szCs w:val="72"/>
        </w:rPr>
      </w:pPr>
    </w:p>
    <w:p w14:paraId="06FD4B81">
      <w:pPr>
        <w:pStyle w:val="13"/>
        <w:jc w:val="center"/>
        <w:rPr>
          <w:color w:val="auto"/>
          <w:sz w:val="72"/>
          <w:szCs w:val="72"/>
        </w:rPr>
      </w:pPr>
    </w:p>
    <w:p w14:paraId="2489B704">
      <w:pPr>
        <w:pStyle w:val="13"/>
        <w:jc w:val="center"/>
        <w:rPr>
          <w:rFonts w:hint="eastAsia" w:ascii="方正小标宋_GBK" w:hAnsi="方正小标宋_GBK" w:eastAsia="方正小标宋_GBK" w:cs="方正小标宋_GBK"/>
          <w:color w:val="auto"/>
          <w:sz w:val="72"/>
          <w:szCs w:val="72"/>
        </w:rPr>
      </w:pPr>
    </w:p>
    <w:p w14:paraId="3D1A05D4">
      <w:pPr>
        <w:pStyle w:val="13"/>
        <w:jc w:val="center"/>
        <w:rPr>
          <w:rFonts w:hint="eastAsia" w:ascii="方正小标宋_GBK" w:hAnsi="方正小标宋_GBK" w:eastAsia="方正小标宋_GBK" w:cs="方正小标宋_GBK"/>
          <w:color w:val="auto"/>
          <w:sz w:val="72"/>
          <w:szCs w:val="72"/>
        </w:rPr>
      </w:pPr>
      <w:r>
        <w:rPr>
          <w:rFonts w:hint="eastAsia" w:ascii="方正小标宋_GBK" w:hAnsi="方正小标宋_GBK" w:eastAsia="方正小标宋_GBK" w:cs="方正小标宋_GBK"/>
          <w:color w:val="auto"/>
          <w:sz w:val="72"/>
          <w:szCs w:val="72"/>
        </w:rPr>
        <w:t>第三部分</w:t>
      </w:r>
    </w:p>
    <w:p w14:paraId="08EDA593">
      <w:pPr>
        <w:pStyle w:val="13"/>
        <w:jc w:val="center"/>
        <w:rPr>
          <w:rFonts w:hint="eastAsia" w:ascii="方正小标宋_GBK" w:hAnsi="方正小标宋_GBK" w:eastAsia="方正小标宋_GBK" w:cs="方正小标宋_GBK"/>
          <w:color w:val="auto"/>
          <w:sz w:val="70"/>
          <w:szCs w:val="70"/>
        </w:rPr>
      </w:pPr>
    </w:p>
    <w:p w14:paraId="2D255E01">
      <w:pPr>
        <w:pStyle w:val="13"/>
        <w:jc w:val="center"/>
        <w:rPr>
          <w:rFonts w:hint="eastAsia" w:ascii="方正小标宋_GBK" w:hAnsi="方正小标宋_GBK" w:eastAsia="方正小标宋_GBK" w:cs="方正小标宋_GBK"/>
          <w:color w:val="auto"/>
          <w:sz w:val="70"/>
          <w:szCs w:val="70"/>
        </w:rPr>
      </w:pPr>
      <w:r>
        <w:rPr>
          <w:rFonts w:hint="eastAsia" w:ascii="方正小标宋_GBK" w:hAnsi="方正小标宋_GBK" w:eastAsia="方正小标宋_GBK" w:cs="方正小标宋_GBK"/>
          <w:color w:val="auto"/>
          <w:sz w:val="70"/>
          <w:szCs w:val="70"/>
        </w:rPr>
        <w:t>202</w:t>
      </w:r>
      <w:r>
        <w:rPr>
          <w:rFonts w:hint="eastAsia" w:ascii="方正小标宋_GBK" w:hAnsi="方正小标宋_GBK" w:eastAsia="方正小标宋_GBK" w:cs="方正小标宋_GBK"/>
          <w:color w:val="auto"/>
          <w:sz w:val="70"/>
          <w:szCs w:val="70"/>
          <w:lang w:val="en-US" w:eastAsia="zh-CN"/>
        </w:rPr>
        <w:t>3</w:t>
      </w:r>
      <w:r>
        <w:rPr>
          <w:rFonts w:hint="eastAsia" w:ascii="方正小标宋_GBK" w:hAnsi="方正小标宋_GBK" w:eastAsia="方正小标宋_GBK" w:cs="方正小标宋_GBK"/>
          <w:color w:val="auto"/>
          <w:sz w:val="70"/>
          <w:szCs w:val="70"/>
        </w:rPr>
        <w:t>年度部门决算情况说明</w:t>
      </w:r>
    </w:p>
    <w:p w14:paraId="385DE54C">
      <w:pPr>
        <w:widowControl/>
        <w:jc w:val="left"/>
        <w:rPr>
          <w:rFonts w:asciiTheme="minorEastAsia" w:hAnsiTheme="minorEastAsia" w:eastAsiaTheme="minorEastAsia"/>
          <w:color w:val="auto"/>
          <w:sz w:val="32"/>
          <w:szCs w:val="32"/>
        </w:rPr>
      </w:pPr>
      <w:r>
        <w:rPr>
          <w:rFonts w:hint="eastAsia" w:ascii="方正小标宋_GBK" w:hAnsi="方正小标宋_GBK" w:eastAsia="方正小标宋_GBK" w:cs="方正小标宋_GBK"/>
          <w:color w:val="auto"/>
          <w:sz w:val="70"/>
          <w:szCs w:val="70"/>
        </w:rPr>
        <w:br w:type="page"/>
      </w:r>
    </w:p>
    <w:p w14:paraId="37A53F45">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一、收入支出决算总体情况说明</w:t>
      </w:r>
    </w:p>
    <w:p w14:paraId="38175A88">
      <w:pPr>
        <w:snapToGrid w:val="0"/>
        <w:spacing w:line="520" w:lineRule="exact"/>
        <w:ind w:firstLine="640" w:firstLineChars="200"/>
        <w:rPr>
          <w:rFonts w:hint="eastAsia" w:ascii="宋体" w:hAnsi="宋体" w:eastAsia="宋体"/>
          <w:color w:val="auto"/>
          <w:sz w:val="32"/>
          <w:szCs w:val="32"/>
          <w:lang w:val="en-US" w:eastAsia="zh-CN"/>
        </w:rPr>
      </w:pPr>
      <w:r>
        <w:rPr>
          <w:rFonts w:ascii="宋体" w:hAnsi="宋体" w:eastAsia="宋体"/>
          <w:color w:val="auto"/>
          <w:sz w:val="32"/>
          <w:szCs w:val="32"/>
        </w:rPr>
        <w:t>202</w:t>
      </w:r>
      <w:r>
        <w:rPr>
          <w:rFonts w:hint="eastAsia" w:ascii="宋体" w:hAnsi="宋体" w:eastAsia="宋体"/>
          <w:color w:val="auto"/>
          <w:sz w:val="32"/>
          <w:szCs w:val="32"/>
          <w:lang w:val="en-US" w:eastAsia="zh-CN"/>
        </w:rPr>
        <w:t>3</w:t>
      </w:r>
      <w:r>
        <w:rPr>
          <w:rFonts w:hint="eastAsia" w:ascii="宋体" w:hAnsi="宋体" w:eastAsia="宋体"/>
          <w:color w:val="auto"/>
          <w:sz w:val="32"/>
          <w:szCs w:val="32"/>
        </w:rPr>
        <w:t>年度收、支总计</w:t>
      </w:r>
      <w:r>
        <w:rPr>
          <w:rFonts w:hint="eastAsia" w:ascii="宋体" w:hAnsi="宋体" w:eastAsia="宋体"/>
          <w:color w:val="auto"/>
          <w:sz w:val="32"/>
          <w:szCs w:val="32"/>
          <w:lang w:val="en-US" w:eastAsia="zh-CN"/>
        </w:rPr>
        <w:t>33552.84</w:t>
      </w:r>
      <w:r>
        <w:rPr>
          <w:rFonts w:hint="eastAsia" w:ascii="宋体" w:hAnsi="宋体" w:eastAsia="宋体"/>
          <w:color w:val="auto"/>
          <w:sz w:val="32"/>
          <w:szCs w:val="32"/>
        </w:rPr>
        <w:t>万元。与上年相比，增加</w:t>
      </w:r>
      <w:r>
        <w:rPr>
          <w:rFonts w:hint="eastAsia" w:ascii="宋体" w:hAnsi="宋体" w:eastAsia="宋体"/>
          <w:color w:val="auto"/>
          <w:sz w:val="32"/>
          <w:szCs w:val="32"/>
          <w:lang w:val="en-US" w:eastAsia="zh-CN"/>
        </w:rPr>
        <w:t>1685.34</w:t>
      </w:r>
      <w:r>
        <w:rPr>
          <w:rFonts w:hint="eastAsia" w:ascii="宋体" w:hAnsi="宋体" w:eastAsia="宋体"/>
          <w:color w:val="auto"/>
          <w:sz w:val="32"/>
          <w:szCs w:val="32"/>
        </w:rPr>
        <w:t>万元，增长</w:t>
      </w:r>
      <w:r>
        <w:rPr>
          <w:rFonts w:hint="eastAsia" w:ascii="宋体" w:hAnsi="宋体" w:eastAsia="宋体"/>
          <w:color w:val="auto"/>
          <w:sz w:val="32"/>
          <w:szCs w:val="32"/>
          <w:lang w:val="en-US" w:eastAsia="zh-CN"/>
        </w:rPr>
        <w:t>5.28</w:t>
      </w:r>
      <w:r>
        <w:rPr>
          <w:rFonts w:ascii="宋体" w:hAnsi="宋体" w:eastAsia="宋体"/>
          <w:color w:val="auto"/>
          <w:sz w:val="32"/>
          <w:szCs w:val="32"/>
        </w:rPr>
        <w:t>%</w:t>
      </w:r>
      <w:r>
        <w:rPr>
          <w:rFonts w:hint="eastAsia" w:ascii="宋体" w:hAnsi="宋体" w:eastAsia="宋体"/>
          <w:color w:val="auto"/>
          <w:sz w:val="32"/>
          <w:szCs w:val="32"/>
        </w:rPr>
        <w:t>，</w:t>
      </w:r>
      <w:r>
        <w:rPr>
          <w:rFonts w:hint="eastAsia" w:ascii="宋体" w:hAnsi="宋体"/>
          <w:color w:val="auto"/>
          <w:sz w:val="32"/>
          <w:szCs w:val="32"/>
          <w:lang w:eastAsia="zh-CN"/>
        </w:rPr>
        <w:t>原因为：</w:t>
      </w:r>
      <w:r>
        <w:rPr>
          <w:rFonts w:hint="eastAsia" w:ascii="宋体" w:hAnsi="宋体"/>
          <w:color w:val="auto"/>
          <w:sz w:val="32"/>
          <w:szCs w:val="32"/>
          <w:lang w:val="en-US" w:eastAsia="zh-CN"/>
        </w:rPr>
        <w:t>1、收入增加：</w:t>
      </w:r>
      <w:r>
        <w:rPr>
          <w:rFonts w:hint="eastAsia" w:ascii="宋体" w:hAnsi="宋体" w:eastAsia="宋体"/>
          <w:color w:val="auto"/>
          <w:sz w:val="32"/>
          <w:szCs w:val="32"/>
          <w:lang w:val="en-US" w:eastAsia="zh-CN"/>
        </w:rPr>
        <w:t>非税罚没收入2259.9万元，较上年增加1457.11万元，本年罚没款较上年有所增加</w:t>
      </w:r>
      <w:r>
        <w:rPr>
          <w:rFonts w:hint="eastAsia" w:ascii="宋体" w:hAnsi="宋体"/>
          <w:color w:val="auto"/>
          <w:sz w:val="32"/>
          <w:szCs w:val="32"/>
          <w:lang w:val="en-US" w:eastAsia="zh-CN"/>
        </w:rPr>
        <w:t>；2、支出增加：</w:t>
      </w:r>
      <w:r>
        <w:rPr>
          <w:rFonts w:hint="eastAsia" w:ascii="宋体" w:hAnsi="宋体" w:eastAsia="宋体"/>
          <w:color w:val="auto"/>
          <w:sz w:val="32"/>
          <w:szCs w:val="32"/>
          <w:lang w:val="en-US" w:eastAsia="zh-CN"/>
        </w:rPr>
        <w:t>（</w:t>
      </w:r>
      <w:r>
        <w:rPr>
          <w:rFonts w:hint="eastAsia" w:ascii="宋体" w:hAnsi="宋体"/>
          <w:color w:val="auto"/>
          <w:sz w:val="32"/>
          <w:szCs w:val="32"/>
          <w:lang w:val="en-US" w:eastAsia="zh-CN"/>
        </w:rPr>
        <w:t>1</w:t>
      </w:r>
      <w:r>
        <w:rPr>
          <w:rFonts w:hint="eastAsia" w:ascii="宋体" w:hAnsi="宋体" w:eastAsia="宋体"/>
          <w:color w:val="auto"/>
          <w:sz w:val="32"/>
          <w:szCs w:val="32"/>
          <w:lang w:val="en-US" w:eastAsia="zh-CN"/>
        </w:rPr>
        <w:t>）办案</w:t>
      </w:r>
      <w:r>
        <w:rPr>
          <w:rFonts w:hint="eastAsia" w:ascii="宋体" w:hAnsi="宋体"/>
          <w:color w:val="auto"/>
          <w:sz w:val="32"/>
          <w:szCs w:val="32"/>
          <w:lang w:val="en-US" w:eastAsia="zh-CN"/>
        </w:rPr>
        <w:t>需求较上年增加，故办案开支增加</w:t>
      </w:r>
      <w:r>
        <w:rPr>
          <w:rFonts w:hint="eastAsia" w:ascii="宋体" w:hAnsi="宋体" w:eastAsia="宋体"/>
          <w:color w:val="auto"/>
          <w:sz w:val="32"/>
          <w:szCs w:val="32"/>
          <w:lang w:val="en-US" w:eastAsia="zh-CN"/>
        </w:rPr>
        <w:t>；</w:t>
      </w:r>
      <w:r>
        <w:rPr>
          <w:rFonts w:hint="eastAsia" w:ascii="宋体" w:hAnsi="宋体"/>
          <w:color w:val="auto"/>
          <w:sz w:val="32"/>
          <w:szCs w:val="32"/>
          <w:lang w:val="en-US" w:eastAsia="zh-CN"/>
        </w:rPr>
        <w:t>（2</w:t>
      </w:r>
      <w:r>
        <w:rPr>
          <w:rFonts w:hint="eastAsia" w:ascii="宋体" w:hAnsi="宋体" w:eastAsia="宋体"/>
          <w:color w:val="auto"/>
          <w:sz w:val="32"/>
          <w:szCs w:val="32"/>
          <w:lang w:val="en-US" w:eastAsia="zh-CN"/>
        </w:rPr>
        <w:t>）本年较去年新增房屋维修399.24万元（拘留所维修、迎丰所维修、执法办案区提质增效开支</w:t>
      </w:r>
      <w:r>
        <w:rPr>
          <w:rFonts w:hint="eastAsia" w:ascii="宋体" w:hAnsi="宋体"/>
          <w:color w:val="auto"/>
          <w:sz w:val="32"/>
          <w:szCs w:val="32"/>
          <w:lang w:val="en-US" w:eastAsia="zh-CN"/>
        </w:rPr>
        <w:t>）等。</w:t>
      </w:r>
    </w:p>
    <w:p w14:paraId="5C5D2D59">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二、收入决算情况说明</w:t>
      </w:r>
    </w:p>
    <w:p w14:paraId="41DEB537">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宋体" w:hAnsi="宋体" w:eastAsia="宋体"/>
          <w:color w:val="auto"/>
          <w:sz w:val="32"/>
          <w:szCs w:val="32"/>
        </w:rPr>
      </w:pPr>
      <w:r>
        <w:rPr>
          <w:rFonts w:hint="eastAsia" w:ascii="宋体" w:hAnsi="宋体" w:eastAsia="宋体"/>
          <w:color w:val="auto"/>
          <w:sz w:val="32"/>
          <w:szCs w:val="32"/>
          <w:lang w:eastAsia="zh-CN"/>
        </w:rPr>
        <w:t>2023</w:t>
      </w:r>
      <w:r>
        <w:rPr>
          <w:rFonts w:hint="eastAsia" w:ascii="宋体" w:hAnsi="宋体" w:eastAsia="宋体"/>
          <w:color w:val="auto"/>
          <w:sz w:val="32"/>
          <w:szCs w:val="32"/>
        </w:rPr>
        <w:t>年度收入合计</w:t>
      </w:r>
      <w:r>
        <w:rPr>
          <w:rFonts w:hint="eastAsia" w:ascii="宋体" w:hAnsi="宋体" w:eastAsia="宋体"/>
          <w:color w:val="auto"/>
          <w:sz w:val="32"/>
          <w:szCs w:val="32"/>
          <w:lang w:val="en-US" w:eastAsia="zh-CN"/>
        </w:rPr>
        <w:t>16776.42</w:t>
      </w:r>
      <w:r>
        <w:rPr>
          <w:rFonts w:hint="eastAsia" w:ascii="宋体" w:hAnsi="宋体" w:eastAsia="宋体"/>
          <w:color w:val="auto"/>
          <w:sz w:val="32"/>
          <w:szCs w:val="32"/>
        </w:rPr>
        <w:t>万元，其中：财政拨款收入</w:t>
      </w:r>
      <w:r>
        <w:rPr>
          <w:rFonts w:hint="eastAsia" w:ascii="宋体" w:hAnsi="宋体" w:eastAsia="宋体"/>
          <w:color w:val="auto"/>
          <w:sz w:val="32"/>
          <w:szCs w:val="32"/>
          <w:lang w:val="en-US" w:eastAsia="zh-CN"/>
        </w:rPr>
        <w:t>16687.3</w:t>
      </w:r>
      <w:r>
        <w:rPr>
          <w:rFonts w:hint="eastAsia" w:ascii="宋体" w:hAnsi="宋体" w:eastAsia="宋体"/>
          <w:color w:val="auto"/>
          <w:sz w:val="32"/>
          <w:szCs w:val="32"/>
        </w:rPr>
        <w:t>万元，占</w:t>
      </w:r>
      <w:r>
        <w:rPr>
          <w:rFonts w:ascii="宋体" w:hAnsi="宋体" w:eastAsia="宋体"/>
          <w:color w:val="auto"/>
          <w:sz w:val="32"/>
          <w:szCs w:val="32"/>
        </w:rPr>
        <w:t>9</w:t>
      </w:r>
      <w:r>
        <w:rPr>
          <w:rFonts w:hint="eastAsia" w:ascii="宋体" w:hAnsi="宋体" w:eastAsia="宋体"/>
          <w:color w:val="auto"/>
          <w:sz w:val="32"/>
          <w:szCs w:val="32"/>
          <w:lang w:val="en-US" w:eastAsia="zh-CN"/>
        </w:rPr>
        <w:t>9.47</w:t>
      </w:r>
      <w:r>
        <w:rPr>
          <w:rFonts w:ascii="宋体" w:hAnsi="宋体" w:eastAsia="宋体"/>
          <w:color w:val="auto"/>
          <w:sz w:val="32"/>
          <w:szCs w:val="32"/>
        </w:rPr>
        <w:t>%</w:t>
      </w:r>
      <w:r>
        <w:rPr>
          <w:rFonts w:hint="eastAsia" w:ascii="宋体" w:hAnsi="宋体" w:eastAsia="宋体"/>
          <w:color w:val="auto"/>
          <w:sz w:val="32"/>
          <w:szCs w:val="32"/>
        </w:rPr>
        <w:t>；其他收入</w:t>
      </w:r>
      <w:r>
        <w:rPr>
          <w:rFonts w:hint="eastAsia" w:ascii="宋体" w:hAnsi="宋体" w:eastAsia="宋体"/>
          <w:color w:val="auto"/>
          <w:sz w:val="32"/>
          <w:szCs w:val="32"/>
          <w:lang w:val="en-US" w:eastAsia="zh-CN"/>
        </w:rPr>
        <w:t>89.12</w:t>
      </w:r>
      <w:r>
        <w:rPr>
          <w:rFonts w:hint="eastAsia" w:ascii="宋体" w:hAnsi="宋体" w:eastAsia="宋体"/>
          <w:color w:val="auto"/>
          <w:sz w:val="32"/>
          <w:szCs w:val="32"/>
        </w:rPr>
        <w:t>万元，占</w:t>
      </w:r>
      <w:r>
        <w:rPr>
          <w:rFonts w:ascii="宋体" w:hAnsi="宋体" w:eastAsia="宋体"/>
          <w:color w:val="auto"/>
          <w:sz w:val="32"/>
          <w:szCs w:val="32"/>
        </w:rPr>
        <w:t>0.</w:t>
      </w:r>
      <w:r>
        <w:rPr>
          <w:rFonts w:hint="eastAsia" w:ascii="宋体" w:hAnsi="宋体" w:eastAsia="宋体"/>
          <w:color w:val="auto"/>
          <w:sz w:val="32"/>
          <w:szCs w:val="32"/>
          <w:lang w:val="en-US" w:eastAsia="zh-CN"/>
        </w:rPr>
        <w:t>53</w:t>
      </w:r>
      <w:r>
        <w:rPr>
          <w:rFonts w:ascii="宋体" w:hAnsi="宋体" w:eastAsia="宋体"/>
          <w:color w:val="auto"/>
          <w:sz w:val="32"/>
          <w:szCs w:val="32"/>
        </w:rPr>
        <w:t>%</w:t>
      </w:r>
      <w:r>
        <w:rPr>
          <w:rFonts w:hint="eastAsia" w:ascii="宋体" w:hAnsi="宋体" w:eastAsia="宋体"/>
          <w:color w:val="auto"/>
          <w:sz w:val="32"/>
          <w:szCs w:val="32"/>
        </w:rPr>
        <w:t>。</w:t>
      </w:r>
    </w:p>
    <w:p w14:paraId="14E4276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三、支出决算情况说明</w:t>
      </w:r>
    </w:p>
    <w:p w14:paraId="51B8C2DD">
      <w:pPr>
        <w:pStyle w:val="13"/>
        <w:ind w:firstLine="640" w:firstLineChars="200"/>
        <w:rPr>
          <w:rFonts w:ascii="Times New Roman" w:hAnsi="Times New Roman" w:eastAsia="仿宋_GB2312"/>
          <w:color w:val="auto"/>
          <w:sz w:val="32"/>
          <w:szCs w:val="32"/>
        </w:rPr>
      </w:pPr>
      <w:r>
        <w:rPr>
          <w:rFonts w:hint="eastAsia" w:ascii="宋体" w:hAnsi="宋体" w:eastAsia="宋体"/>
          <w:color w:val="auto"/>
          <w:sz w:val="32"/>
          <w:szCs w:val="32"/>
          <w:lang w:eastAsia="zh-CN"/>
        </w:rPr>
        <w:t>2023</w:t>
      </w:r>
      <w:r>
        <w:rPr>
          <w:rFonts w:hint="eastAsia" w:ascii="宋体" w:hAnsi="宋体" w:eastAsia="宋体"/>
          <w:color w:val="auto"/>
          <w:sz w:val="32"/>
          <w:szCs w:val="32"/>
        </w:rPr>
        <w:t>年度支出合计</w:t>
      </w:r>
      <w:r>
        <w:rPr>
          <w:rFonts w:hint="eastAsia" w:ascii="宋体" w:hAnsi="宋体" w:eastAsia="宋体"/>
          <w:color w:val="auto"/>
          <w:sz w:val="32"/>
          <w:szCs w:val="32"/>
          <w:lang w:val="en-US" w:eastAsia="zh-CN"/>
        </w:rPr>
        <w:t>16776.42</w:t>
      </w:r>
      <w:r>
        <w:rPr>
          <w:rFonts w:hint="eastAsia" w:ascii="宋体" w:hAnsi="宋体" w:eastAsia="宋体"/>
          <w:color w:val="auto"/>
          <w:sz w:val="32"/>
          <w:szCs w:val="32"/>
        </w:rPr>
        <w:t>万元，其中：基本支出</w:t>
      </w:r>
      <w:r>
        <w:rPr>
          <w:rFonts w:hint="eastAsia" w:ascii="宋体" w:hAnsi="宋体" w:eastAsia="宋体"/>
          <w:color w:val="auto"/>
          <w:sz w:val="32"/>
          <w:szCs w:val="32"/>
          <w:lang w:val="en-US" w:eastAsia="zh-CN"/>
        </w:rPr>
        <w:t>8422.18</w:t>
      </w:r>
      <w:r>
        <w:rPr>
          <w:rFonts w:hint="eastAsia" w:ascii="宋体" w:hAnsi="宋体" w:eastAsia="宋体"/>
          <w:color w:val="auto"/>
          <w:sz w:val="32"/>
          <w:szCs w:val="32"/>
        </w:rPr>
        <w:t>万元，占</w:t>
      </w:r>
      <w:r>
        <w:rPr>
          <w:rFonts w:hint="eastAsia" w:ascii="宋体" w:hAnsi="宋体" w:eastAsia="宋体"/>
          <w:color w:val="auto"/>
          <w:sz w:val="32"/>
          <w:szCs w:val="32"/>
          <w:lang w:val="en-US" w:eastAsia="zh-CN"/>
        </w:rPr>
        <w:t>50.2</w:t>
      </w:r>
      <w:r>
        <w:rPr>
          <w:rFonts w:ascii="宋体" w:hAnsi="宋体" w:eastAsia="宋体"/>
          <w:color w:val="auto"/>
          <w:sz w:val="32"/>
          <w:szCs w:val="32"/>
        </w:rPr>
        <w:t>%</w:t>
      </w:r>
      <w:r>
        <w:rPr>
          <w:rFonts w:hint="eastAsia" w:ascii="宋体" w:hAnsi="宋体" w:eastAsia="宋体"/>
          <w:color w:val="auto"/>
          <w:sz w:val="32"/>
          <w:szCs w:val="32"/>
        </w:rPr>
        <w:t>；项目支出</w:t>
      </w:r>
      <w:r>
        <w:rPr>
          <w:rFonts w:hint="eastAsia" w:ascii="宋体" w:hAnsi="宋体" w:eastAsia="宋体"/>
          <w:color w:val="auto"/>
          <w:sz w:val="32"/>
          <w:szCs w:val="32"/>
          <w:lang w:val="en-US" w:eastAsia="zh-CN"/>
        </w:rPr>
        <w:t>8354.24</w:t>
      </w:r>
      <w:r>
        <w:rPr>
          <w:rFonts w:hint="eastAsia" w:ascii="宋体" w:hAnsi="宋体" w:eastAsia="宋体"/>
          <w:color w:val="auto"/>
          <w:sz w:val="32"/>
          <w:szCs w:val="32"/>
        </w:rPr>
        <w:t>万元，占</w:t>
      </w:r>
      <w:r>
        <w:rPr>
          <w:rFonts w:hint="eastAsia" w:ascii="宋体" w:hAnsi="宋体" w:eastAsia="宋体"/>
          <w:color w:val="auto"/>
          <w:sz w:val="32"/>
          <w:szCs w:val="32"/>
          <w:lang w:val="en-US" w:eastAsia="zh-CN"/>
        </w:rPr>
        <w:t>49.8</w:t>
      </w:r>
      <w:r>
        <w:rPr>
          <w:rFonts w:ascii="宋体" w:hAnsi="宋体" w:eastAsia="宋体"/>
          <w:color w:val="auto"/>
          <w:sz w:val="32"/>
          <w:szCs w:val="32"/>
        </w:rPr>
        <w:t>%</w:t>
      </w:r>
      <w:r>
        <w:rPr>
          <w:rFonts w:hint="eastAsia" w:ascii="宋体" w:hAnsi="宋体" w:eastAsia="宋体"/>
          <w:color w:val="auto"/>
          <w:sz w:val="32"/>
          <w:szCs w:val="32"/>
        </w:rPr>
        <w:t>。</w:t>
      </w:r>
    </w:p>
    <w:p w14:paraId="402BC871">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四、财政拨款收入支出决算总体情况说明</w:t>
      </w:r>
    </w:p>
    <w:p w14:paraId="00A71D19">
      <w:pPr>
        <w:snapToGrid w:val="0"/>
        <w:spacing w:line="52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 xml:space="preserve">   </w:t>
      </w:r>
      <w:r>
        <w:rPr>
          <w:rFonts w:hint="eastAsia" w:ascii="宋体" w:hAnsi="宋体" w:eastAsia="宋体"/>
          <w:color w:val="auto"/>
          <w:sz w:val="32"/>
          <w:szCs w:val="32"/>
          <w:lang w:eastAsia="zh-CN"/>
        </w:rPr>
        <w:t>2023</w:t>
      </w:r>
      <w:r>
        <w:rPr>
          <w:rFonts w:hint="eastAsia" w:ascii="宋体" w:hAnsi="宋体" w:eastAsia="宋体"/>
          <w:color w:val="auto"/>
          <w:sz w:val="32"/>
          <w:szCs w:val="32"/>
        </w:rPr>
        <w:t>年度财政拨款收、支总计</w:t>
      </w:r>
      <w:r>
        <w:rPr>
          <w:rFonts w:hint="eastAsia" w:ascii="宋体" w:hAnsi="宋体" w:eastAsia="宋体"/>
          <w:color w:val="auto"/>
          <w:sz w:val="32"/>
          <w:szCs w:val="32"/>
          <w:lang w:val="en-US" w:eastAsia="zh-CN"/>
        </w:rPr>
        <w:t>33374.6</w:t>
      </w:r>
      <w:r>
        <w:rPr>
          <w:rFonts w:hint="eastAsia" w:ascii="宋体" w:hAnsi="宋体" w:eastAsia="宋体"/>
          <w:color w:val="auto"/>
          <w:sz w:val="32"/>
          <w:szCs w:val="32"/>
        </w:rPr>
        <w:t>万元，与上年相比，增加</w:t>
      </w:r>
      <w:r>
        <w:rPr>
          <w:rFonts w:hint="eastAsia" w:ascii="宋体" w:hAnsi="宋体" w:eastAsia="宋体"/>
          <w:color w:val="auto"/>
          <w:sz w:val="32"/>
          <w:szCs w:val="32"/>
          <w:lang w:val="en-US" w:eastAsia="zh-CN"/>
        </w:rPr>
        <w:t>1725.4</w:t>
      </w:r>
      <w:r>
        <w:rPr>
          <w:rFonts w:hint="eastAsia" w:ascii="宋体" w:hAnsi="宋体" w:eastAsia="宋体"/>
          <w:color w:val="auto"/>
          <w:sz w:val="32"/>
          <w:szCs w:val="32"/>
        </w:rPr>
        <w:t>万元</w:t>
      </w:r>
      <w:r>
        <w:rPr>
          <w:rFonts w:ascii="宋体" w:hAnsi="宋体" w:eastAsia="宋体"/>
          <w:color w:val="auto"/>
          <w:sz w:val="32"/>
          <w:szCs w:val="32"/>
        </w:rPr>
        <w:t>,</w:t>
      </w:r>
      <w:r>
        <w:rPr>
          <w:rFonts w:hint="eastAsia" w:ascii="宋体" w:hAnsi="宋体" w:eastAsia="宋体"/>
          <w:color w:val="auto"/>
          <w:sz w:val="32"/>
          <w:szCs w:val="32"/>
        </w:rPr>
        <w:t>增长</w:t>
      </w:r>
      <w:r>
        <w:rPr>
          <w:rFonts w:hint="eastAsia" w:ascii="宋体" w:hAnsi="宋体" w:eastAsia="宋体"/>
          <w:color w:val="auto"/>
          <w:sz w:val="32"/>
          <w:szCs w:val="32"/>
          <w:lang w:val="en-US" w:eastAsia="zh-CN"/>
        </w:rPr>
        <w:t>5.45</w:t>
      </w:r>
      <w:r>
        <w:rPr>
          <w:rFonts w:ascii="宋体" w:hAnsi="宋体" w:eastAsia="宋体"/>
          <w:color w:val="auto"/>
          <w:sz w:val="32"/>
          <w:szCs w:val="32"/>
        </w:rPr>
        <w:t>%</w:t>
      </w:r>
      <w:r>
        <w:rPr>
          <w:rFonts w:hint="eastAsia" w:ascii="宋体" w:hAnsi="宋体" w:eastAsia="宋体"/>
          <w:color w:val="auto"/>
          <w:sz w:val="32"/>
          <w:szCs w:val="32"/>
        </w:rPr>
        <w:t>，</w:t>
      </w:r>
      <w:r>
        <w:rPr>
          <w:rFonts w:hint="eastAsia" w:ascii="宋体" w:hAnsi="宋体"/>
          <w:color w:val="auto"/>
          <w:sz w:val="32"/>
          <w:szCs w:val="32"/>
          <w:lang w:eastAsia="zh-CN"/>
        </w:rPr>
        <w:t>原因为：</w:t>
      </w:r>
      <w:r>
        <w:rPr>
          <w:rFonts w:hint="eastAsia" w:ascii="宋体" w:hAnsi="宋体"/>
          <w:color w:val="auto"/>
          <w:sz w:val="32"/>
          <w:szCs w:val="32"/>
          <w:lang w:val="en-US" w:eastAsia="zh-CN"/>
        </w:rPr>
        <w:t>1、收入增加：</w:t>
      </w:r>
      <w:r>
        <w:rPr>
          <w:rFonts w:hint="eastAsia" w:ascii="宋体" w:hAnsi="宋体" w:eastAsia="宋体"/>
          <w:color w:val="auto"/>
          <w:sz w:val="32"/>
          <w:szCs w:val="32"/>
          <w:lang w:val="en-US" w:eastAsia="zh-CN"/>
        </w:rPr>
        <w:t>非税罚没收入2259.9万元，较上年增加1457.11万元，本年罚没款较上年有所增加</w:t>
      </w:r>
      <w:r>
        <w:rPr>
          <w:rFonts w:hint="eastAsia" w:ascii="宋体" w:hAnsi="宋体"/>
          <w:color w:val="auto"/>
          <w:sz w:val="32"/>
          <w:szCs w:val="32"/>
          <w:lang w:val="en-US" w:eastAsia="zh-CN"/>
        </w:rPr>
        <w:t>；2、支出增加：</w:t>
      </w:r>
      <w:r>
        <w:rPr>
          <w:rFonts w:hint="eastAsia" w:ascii="宋体" w:hAnsi="宋体" w:eastAsia="宋体"/>
          <w:color w:val="auto"/>
          <w:sz w:val="32"/>
          <w:szCs w:val="32"/>
          <w:lang w:val="en-US" w:eastAsia="zh-CN"/>
        </w:rPr>
        <w:t>（</w:t>
      </w:r>
      <w:r>
        <w:rPr>
          <w:rFonts w:hint="eastAsia" w:ascii="宋体" w:hAnsi="宋体"/>
          <w:color w:val="auto"/>
          <w:sz w:val="32"/>
          <w:szCs w:val="32"/>
          <w:lang w:val="en-US" w:eastAsia="zh-CN"/>
        </w:rPr>
        <w:t>1</w:t>
      </w:r>
      <w:r>
        <w:rPr>
          <w:rFonts w:hint="eastAsia" w:ascii="宋体" w:hAnsi="宋体" w:eastAsia="宋体"/>
          <w:color w:val="auto"/>
          <w:sz w:val="32"/>
          <w:szCs w:val="32"/>
          <w:lang w:val="en-US" w:eastAsia="zh-CN"/>
        </w:rPr>
        <w:t>）办案</w:t>
      </w:r>
      <w:r>
        <w:rPr>
          <w:rFonts w:hint="eastAsia" w:ascii="宋体" w:hAnsi="宋体"/>
          <w:color w:val="auto"/>
          <w:sz w:val="32"/>
          <w:szCs w:val="32"/>
          <w:lang w:val="en-US" w:eastAsia="zh-CN"/>
        </w:rPr>
        <w:t>需求较上年增加，故办案开支增加</w:t>
      </w:r>
      <w:r>
        <w:rPr>
          <w:rFonts w:hint="eastAsia" w:ascii="宋体" w:hAnsi="宋体" w:eastAsia="宋体"/>
          <w:color w:val="auto"/>
          <w:sz w:val="32"/>
          <w:szCs w:val="32"/>
          <w:lang w:val="en-US" w:eastAsia="zh-CN"/>
        </w:rPr>
        <w:t>；</w:t>
      </w:r>
      <w:r>
        <w:rPr>
          <w:rFonts w:hint="eastAsia" w:ascii="宋体" w:hAnsi="宋体"/>
          <w:color w:val="auto"/>
          <w:sz w:val="32"/>
          <w:szCs w:val="32"/>
          <w:lang w:val="en-US" w:eastAsia="zh-CN"/>
        </w:rPr>
        <w:t>（2</w:t>
      </w:r>
      <w:r>
        <w:rPr>
          <w:rFonts w:hint="eastAsia" w:ascii="宋体" w:hAnsi="宋体" w:eastAsia="宋体"/>
          <w:color w:val="auto"/>
          <w:sz w:val="32"/>
          <w:szCs w:val="32"/>
          <w:lang w:val="en-US" w:eastAsia="zh-CN"/>
        </w:rPr>
        <w:t>）本年较去年新增房屋维修399.24万元（拘留所维修、迎丰所维修、执法办案区提质增效开支</w:t>
      </w:r>
      <w:r>
        <w:rPr>
          <w:rFonts w:hint="eastAsia" w:ascii="宋体" w:hAnsi="宋体"/>
          <w:color w:val="auto"/>
          <w:sz w:val="32"/>
          <w:szCs w:val="32"/>
          <w:lang w:val="en-US" w:eastAsia="zh-CN"/>
        </w:rPr>
        <w:t>）等。</w:t>
      </w:r>
    </w:p>
    <w:p w14:paraId="4A26CB81">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五、一般公共预算财政拨款支出决算情况说明</w:t>
      </w:r>
    </w:p>
    <w:p w14:paraId="1526497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color w:val="auto"/>
          <w:sz w:val="32"/>
          <w:szCs w:val="32"/>
        </w:rPr>
      </w:pPr>
      <w:r>
        <w:rPr>
          <w:rFonts w:hint="eastAsia" w:ascii="楷体" w:hAnsi="楷体" w:eastAsia="楷体" w:cs="楷体"/>
          <w:b w:val="0"/>
          <w:bCs/>
          <w:color w:val="auto"/>
          <w:sz w:val="32"/>
          <w:szCs w:val="32"/>
        </w:rPr>
        <w:t>（一）一般公共预算财政拨款支出决算总体情况</w:t>
      </w:r>
    </w:p>
    <w:p w14:paraId="02503883">
      <w:pPr>
        <w:snapToGrid w:val="0"/>
        <w:spacing w:line="520" w:lineRule="exact"/>
        <w:ind w:firstLine="640" w:firstLineChars="200"/>
        <w:rPr>
          <w:rFonts w:hint="eastAsia" w:ascii="宋体" w:hAnsi="宋体" w:eastAsia="宋体"/>
          <w:color w:val="auto"/>
          <w:sz w:val="32"/>
          <w:szCs w:val="32"/>
          <w:lang w:val="en-US" w:eastAsia="zh-CN"/>
        </w:rPr>
      </w:pPr>
      <w:r>
        <w:rPr>
          <w:rFonts w:hint="eastAsia" w:ascii="宋体" w:hAnsi="宋体" w:eastAsia="宋体"/>
          <w:color w:val="auto"/>
          <w:sz w:val="32"/>
          <w:szCs w:val="32"/>
          <w:lang w:eastAsia="zh-CN"/>
        </w:rPr>
        <w:t>2023</w:t>
      </w:r>
      <w:r>
        <w:rPr>
          <w:rFonts w:hint="eastAsia" w:ascii="宋体" w:hAnsi="宋体" w:eastAsia="宋体"/>
          <w:color w:val="auto"/>
          <w:sz w:val="32"/>
          <w:szCs w:val="32"/>
        </w:rPr>
        <w:t>年度财政拨款支出</w:t>
      </w:r>
      <w:r>
        <w:rPr>
          <w:rFonts w:hint="eastAsia" w:ascii="宋体" w:hAnsi="宋体" w:eastAsia="宋体"/>
          <w:color w:val="auto"/>
          <w:sz w:val="32"/>
          <w:szCs w:val="32"/>
          <w:lang w:val="en-US" w:eastAsia="zh-CN"/>
        </w:rPr>
        <w:t>16687.3</w:t>
      </w:r>
      <w:r>
        <w:rPr>
          <w:rFonts w:hint="eastAsia" w:ascii="宋体" w:hAnsi="宋体" w:eastAsia="宋体"/>
          <w:color w:val="auto"/>
          <w:sz w:val="32"/>
          <w:szCs w:val="32"/>
        </w:rPr>
        <w:t>万元，占本年支出合计的</w:t>
      </w:r>
      <w:r>
        <w:rPr>
          <w:rFonts w:ascii="宋体" w:hAnsi="宋体" w:eastAsia="宋体"/>
          <w:color w:val="auto"/>
          <w:sz w:val="32"/>
          <w:szCs w:val="32"/>
        </w:rPr>
        <w:t>99.</w:t>
      </w:r>
      <w:r>
        <w:rPr>
          <w:rFonts w:hint="eastAsia" w:ascii="宋体" w:hAnsi="宋体" w:eastAsia="宋体"/>
          <w:color w:val="auto"/>
          <w:sz w:val="32"/>
          <w:szCs w:val="32"/>
          <w:lang w:val="en-US" w:eastAsia="zh-CN"/>
        </w:rPr>
        <w:t>46</w:t>
      </w:r>
      <w:r>
        <w:rPr>
          <w:rFonts w:ascii="宋体" w:hAnsi="宋体" w:eastAsia="宋体"/>
          <w:color w:val="auto"/>
          <w:sz w:val="32"/>
          <w:szCs w:val="32"/>
        </w:rPr>
        <w:t>%</w:t>
      </w:r>
      <w:r>
        <w:rPr>
          <w:rFonts w:hint="eastAsia" w:ascii="宋体" w:hAnsi="宋体" w:eastAsia="宋体"/>
          <w:color w:val="auto"/>
          <w:sz w:val="32"/>
          <w:szCs w:val="32"/>
        </w:rPr>
        <w:t>，与上年相比，财政拨款支出增加</w:t>
      </w:r>
      <w:r>
        <w:rPr>
          <w:rFonts w:hint="eastAsia" w:ascii="宋体" w:hAnsi="宋体" w:eastAsia="宋体"/>
          <w:color w:val="auto"/>
          <w:sz w:val="32"/>
          <w:szCs w:val="32"/>
          <w:lang w:val="en-US" w:eastAsia="zh-CN"/>
        </w:rPr>
        <w:t>862.7</w:t>
      </w:r>
      <w:r>
        <w:rPr>
          <w:rFonts w:hint="eastAsia" w:ascii="宋体" w:hAnsi="宋体" w:eastAsia="宋体"/>
          <w:color w:val="auto"/>
          <w:sz w:val="32"/>
          <w:szCs w:val="32"/>
        </w:rPr>
        <w:t>万元，增长</w:t>
      </w:r>
      <w:r>
        <w:rPr>
          <w:rFonts w:hint="eastAsia" w:ascii="宋体" w:hAnsi="宋体" w:eastAsia="宋体"/>
          <w:color w:val="auto"/>
          <w:sz w:val="32"/>
          <w:szCs w:val="32"/>
          <w:lang w:val="en-US" w:eastAsia="zh-CN"/>
        </w:rPr>
        <w:t>5.45</w:t>
      </w:r>
      <w:r>
        <w:rPr>
          <w:rFonts w:ascii="宋体" w:hAnsi="宋体" w:eastAsia="宋体"/>
          <w:color w:val="auto"/>
          <w:sz w:val="32"/>
          <w:szCs w:val="32"/>
        </w:rPr>
        <w:t>%</w:t>
      </w:r>
      <w:r>
        <w:rPr>
          <w:rFonts w:hint="eastAsia" w:ascii="宋体" w:hAnsi="宋体" w:eastAsia="宋体"/>
          <w:color w:val="auto"/>
          <w:sz w:val="32"/>
          <w:szCs w:val="32"/>
        </w:rPr>
        <w:t>，主要是</w:t>
      </w:r>
      <w:r>
        <w:rPr>
          <w:rFonts w:hint="eastAsia" w:ascii="宋体" w:hAnsi="宋体"/>
          <w:color w:val="auto"/>
          <w:sz w:val="32"/>
          <w:szCs w:val="32"/>
          <w:lang w:eastAsia="zh-CN"/>
        </w:rPr>
        <w:t>：</w:t>
      </w:r>
      <w:r>
        <w:rPr>
          <w:rFonts w:hint="eastAsia" w:ascii="宋体" w:hAnsi="宋体" w:eastAsia="宋体"/>
          <w:color w:val="auto"/>
          <w:sz w:val="32"/>
          <w:szCs w:val="32"/>
          <w:lang w:val="en-US" w:eastAsia="zh-CN"/>
        </w:rPr>
        <w:t>（</w:t>
      </w:r>
      <w:r>
        <w:rPr>
          <w:rFonts w:hint="eastAsia" w:ascii="宋体" w:hAnsi="宋体"/>
          <w:color w:val="auto"/>
          <w:sz w:val="32"/>
          <w:szCs w:val="32"/>
          <w:lang w:val="en-US" w:eastAsia="zh-CN"/>
        </w:rPr>
        <w:t>1</w:t>
      </w:r>
      <w:r>
        <w:rPr>
          <w:rFonts w:hint="eastAsia" w:ascii="宋体" w:hAnsi="宋体" w:eastAsia="宋体"/>
          <w:color w:val="auto"/>
          <w:sz w:val="32"/>
          <w:szCs w:val="32"/>
          <w:lang w:val="en-US" w:eastAsia="zh-CN"/>
        </w:rPr>
        <w:t>）办案</w:t>
      </w:r>
      <w:r>
        <w:rPr>
          <w:rFonts w:hint="eastAsia" w:ascii="宋体" w:hAnsi="宋体"/>
          <w:color w:val="auto"/>
          <w:sz w:val="32"/>
          <w:szCs w:val="32"/>
          <w:lang w:val="en-US" w:eastAsia="zh-CN"/>
        </w:rPr>
        <w:t>需求较上年增加，故办案开支增加</w:t>
      </w:r>
      <w:r>
        <w:rPr>
          <w:rFonts w:hint="eastAsia" w:ascii="宋体" w:hAnsi="宋体" w:eastAsia="宋体"/>
          <w:color w:val="auto"/>
          <w:sz w:val="32"/>
          <w:szCs w:val="32"/>
          <w:lang w:val="en-US" w:eastAsia="zh-CN"/>
        </w:rPr>
        <w:t>；</w:t>
      </w:r>
      <w:r>
        <w:rPr>
          <w:rFonts w:hint="eastAsia" w:ascii="宋体" w:hAnsi="宋体"/>
          <w:color w:val="auto"/>
          <w:sz w:val="32"/>
          <w:szCs w:val="32"/>
          <w:lang w:val="en-US" w:eastAsia="zh-CN"/>
        </w:rPr>
        <w:t>（2</w:t>
      </w:r>
      <w:r>
        <w:rPr>
          <w:rFonts w:hint="eastAsia" w:ascii="宋体" w:hAnsi="宋体" w:eastAsia="宋体"/>
          <w:color w:val="auto"/>
          <w:sz w:val="32"/>
          <w:szCs w:val="32"/>
          <w:lang w:val="en-US" w:eastAsia="zh-CN"/>
        </w:rPr>
        <w:t>）本年较去年新增房屋维修399.24万元（拘留所维修、迎丰所维修、执法办案区提质增效开支</w:t>
      </w:r>
      <w:r>
        <w:rPr>
          <w:rFonts w:hint="eastAsia" w:ascii="宋体" w:hAnsi="宋体"/>
          <w:color w:val="auto"/>
          <w:sz w:val="32"/>
          <w:szCs w:val="32"/>
          <w:lang w:val="en-US" w:eastAsia="zh-CN"/>
        </w:rPr>
        <w:t>）等。</w:t>
      </w:r>
    </w:p>
    <w:p w14:paraId="069A71AF">
      <w:pPr>
        <w:pStyle w:val="13"/>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color w:val="auto"/>
          <w:sz w:val="32"/>
          <w:szCs w:val="32"/>
        </w:rPr>
      </w:pPr>
      <w:r>
        <w:rPr>
          <w:rFonts w:hint="eastAsia" w:ascii="楷体" w:hAnsi="楷体" w:eastAsia="楷体" w:cs="楷体"/>
          <w:b w:val="0"/>
          <w:bCs/>
          <w:color w:val="auto"/>
          <w:sz w:val="32"/>
          <w:szCs w:val="32"/>
        </w:rPr>
        <w:t>（二）一般公共预算财政拨款支出决算结构情况</w:t>
      </w:r>
    </w:p>
    <w:p w14:paraId="6275D425">
      <w:pPr>
        <w:pStyle w:val="13"/>
        <w:ind w:firstLine="640" w:firstLineChars="200"/>
        <w:rPr>
          <w:rFonts w:ascii="宋体" w:hAnsi="宋体" w:eastAsia="宋体"/>
          <w:color w:val="auto"/>
          <w:sz w:val="32"/>
          <w:szCs w:val="32"/>
        </w:rPr>
      </w:pPr>
      <w:r>
        <w:rPr>
          <w:rFonts w:hint="eastAsia" w:ascii="宋体" w:hAnsi="宋体" w:eastAsia="宋体"/>
          <w:color w:val="auto"/>
          <w:sz w:val="32"/>
          <w:szCs w:val="32"/>
          <w:lang w:eastAsia="zh-CN"/>
        </w:rPr>
        <w:t>2023</w:t>
      </w:r>
      <w:r>
        <w:rPr>
          <w:rFonts w:hint="eastAsia" w:ascii="宋体" w:hAnsi="宋体" w:eastAsia="宋体"/>
          <w:color w:val="auto"/>
          <w:sz w:val="32"/>
          <w:szCs w:val="32"/>
        </w:rPr>
        <w:t>年度财政拨款支出</w:t>
      </w:r>
      <w:r>
        <w:rPr>
          <w:rFonts w:hint="eastAsia" w:ascii="宋体" w:hAnsi="宋体" w:eastAsia="宋体"/>
          <w:color w:val="auto"/>
          <w:sz w:val="32"/>
          <w:szCs w:val="32"/>
          <w:lang w:val="en-US" w:eastAsia="zh-CN"/>
        </w:rPr>
        <w:t>16687.3</w:t>
      </w:r>
      <w:r>
        <w:rPr>
          <w:rFonts w:hint="eastAsia" w:ascii="宋体" w:hAnsi="宋体" w:eastAsia="宋体"/>
          <w:color w:val="auto"/>
          <w:sz w:val="32"/>
          <w:szCs w:val="32"/>
        </w:rPr>
        <w:t>万元，主要用于以下方面：</w:t>
      </w:r>
      <w:r>
        <w:rPr>
          <w:rFonts w:hint="eastAsia" w:ascii="宋体" w:hAnsi="宋体" w:eastAsia="宋体"/>
          <w:color w:val="auto"/>
          <w:sz w:val="32"/>
          <w:szCs w:val="32"/>
          <w:lang w:eastAsia="zh-CN"/>
        </w:rPr>
        <w:t>一般公安服务支出</w:t>
      </w:r>
      <w:r>
        <w:rPr>
          <w:rFonts w:hint="eastAsia" w:ascii="宋体" w:hAnsi="宋体" w:eastAsia="宋体"/>
          <w:color w:val="auto"/>
          <w:sz w:val="32"/>
          <w:szCs w:val="32"/>
          <w:lang w:val="en-US" w:eastAsia="zh-CN"/>
        </w:rPr>
        <w:t>310.02万元，</w:t>
      </w:r>
      <w:r>
        <w:rPr>
          <w:rFonts w:hint="eastAsia" w:ascii="宋体" w:hAnsi="宋体" w:eastAsia="宋体"/>
          <w:color w:val="auto"/>
          <w:sz w:val="32"/>
          <w:szCs w:val="32"/>
        </w:rPr>
        <w:t>占比</w:t>
      </w:r>
      <w:r>
        <w:rPr>
          <w:rFonts w:hint="eastAsia" w:ascii="宋体" w:hAnsi="宋体" w:eastAsia="宋体"/>
          <w:color w:val="auto"/>
          <w:sz w:val="32"/>
          <w:szCs w:val="32"/>
          <w:lang w:val="en-US" w:eastAsia="zh-CN"/>
        </w:rPr>
        <w:t>1.86</w:t>
      </w:r>
      <w:r>
        <w:rPr>
          <w:rFonts w:hint="default" w:ascii="宋体" w:hAnsi="宋体" w:eastAsia="宋体"/>
          <w:color w:val="auto"/>
          <w:sz w:val="32"/>
          <w:szCs w:val="32"/>
          <w:lang w:val="en-US" w:eastAsia="zh-CN"/>
        </w:rPr>
        <w:t>%</w:t>
      </w:r>
      <w:r>
        <w:rPr>
          <w:rFonts w:hint="eastAsia" w:ascii="宋体" w:hAnsi="宋体" w:eastAsia="宋体"/>
          <w:color w:val="auto"/>
          <w:sz w:val="32"/>
          <w:szCs w:val="32"/>
        </w:rPr>
        <w:t>，公共安全（类）支出</w:t>
      </w:r>
      <w:r>
        <w:rPr>
          <w:rFonts w:hint="eastAsia" w:ascii="宋体" w:hAnsi="宋体" w:eastAsia="宋体"/>
          <w:color w:val="auto"/>
          <w:sz w:val="32"/>
          <w:szCs w:val="32"/>
          <w:lang w:val="en-US" w:eastAsia="zh-CN"/>
        </w:rPr>
        <w:t>14828.46</w:t>
      </w:r>
      <w:r>
        <w:rPr>
          <w:rFonts w:hint="eastAsia" w:ascii="宋体" w:hAnsi="宋体" w:eastAsia="宋体"/>
          <w:color w:val="auto"/>
          <w:sz w:val="32"/>
          <w:szCs w:val="32"/>
        </w:rPr>
        <w:t>万元，占比</w:t>
      </w:r>
      <w:r>
        <w:rPr>
          <w:rFonts w:hint="eastAsia" w:ascii="宋体" w:hAnsi="宋体" w:eastAsia="宋体"/>
          <w:color w:val="auto"/>
          <w:sz w:val="32"/>
          <w:szCs w:val="32"/>
          <w:lang w:val="en-US" w:eastAsia="zh-CN"/>
        </w:rPr>
        <w:t>88.86</w:t>
      </w:r>
      <w:r>
        <w:rPr>
          <w:rFonts w:hint="default" w:ascii="宋体" w:hAnsi="宋体" w:eastAsia="宋体"/>
          <w:color w:val="auto"/>
          <w:sz w:val="32"/>
          <w:szCs w:val="32"/>
          <w:lang w:val="en-US" w:eastAsia="zh-CN"/>
        </w:rPr>
        <w:t>%</w:t>
      </w:r>
      <w:r>
        <w:rPr>
          <w:rFonts w:hint="eastAsia" w:ascii="宋体" w:hAnsi="宋体" w:eastAsia="宋体"/>
          <w:color w:val="auto"/>
          <w:sz w:val="32"/>
          <w:szCs w:val="32"/>
        </w:rPr>
        <w:t>，社会保障和就业（类）支出</w:t>
      </w:r>
      <w:r>
        <w:rPr>
          <w:rFonts w:hint="eastAsia" w:ascii="宋体" w:hAnsi="宋体" w:eastAsia="宋体"/>
          <w:color w:val="auto"/>
          <w:sz w:val="32"/>
          <w:szCs w:val="32"/>
          <w:lang w:val="en-US" w:eastAsia="zh-CN"/>
        </w:rPr>
        <w:t>1000.19</w:t>
      </w:r>
      <w:r>
        <w:rPr>
          <w:rFonts w:hint="eastAsia" w:ascii="宋体" w:hAnsi="宋体" w:eastAsia="宋体"/>
          <w:color w:val="auto"/>
          <w:sz w:val="32"/>
          <w:szCs w:val="32"/>
        </w:rPr>
        <w:t>万元，占比</w:t>
      </w:r>
      <w:r>
        <w:rPr>
          <w:rFonts w:hint="eastAsia" w:ascii="宋体" w:hAnsi="宋体" w:eastAsia="宋体"/>
          <w:color w:val="auto"/>
          <w:sz w:val="32"/>
          <w:szCs w:val="32"/>
          <w:lang w:val="en-US" w:eastAsia="zh-CN"/>
        </w:rPr>
        <w:t>6</w:t>
      </w:r>
      <w:r>
        <w:rPr>
          <w:rFonts w:hint="default" w:ascii="宋体" w:hAnsi="宋体" w:eastAsia="宋体"/>
          <w:color w:val="auto"/>
          <w:sz w:val="32"/>
          <w:szCs w:val="32"/>
          <w:lang w:val="en-US" w:eastAsia="zh-CN"/>
        </w:rPr>
        <w:t>%</w:t>
      </w:r>
      <w:r>
        <w:rPr>
          <w:rFonts w:hint="eastAsia" w:ascii="宋体" w:hAnsi="宋体" w:eastAsia="宋体"/>
          <w:color w:val="auto"/>
          <w:sz w:val="32"/>
          <w:szCs w:val="32"/>
        </w:rPr>
        <w:t>，卫生健康（类）支出</w:t>
      </w:r>
      <w:r>
        <w:rPr>
          <w:rFonts w:hint="eastAsia" w:ascii="宋体" w:hAnsi="宋体" w:eastAsia="宋体"/>
          <w:color w:val="auto"/>
          <w:sz w:val="32"/>
          <w:szCs w:val="32"/>
          <w:lang w:val="en-US" w:eastAsia="zh-CN"/>
        </w:rPr>
        <w:t>539.63</w:t>
      </w:r>
      <w:r>
        <w:rPr>
          <w:rFonts w:hint="eastAsia" w:ascii="宋体" w:hAnsi="宋体" w:eastAsia="宋体"/>
          <w:color w:val="auto"/>
          <w:sz w:val="32"/>
          <w:szCs w:val="32"/>
        </w:rPr>
        <w:t>万元，占比</w:t>
      </w:r>
      <w:r>
        <w:rPr>
          <w:rFonts w:hint="eastAsia" w:ascii="宋体" w:hAnsi="宋体" w:eastAsia="宋体"/>
          <w:color w:val="auto"/>
          <w:sz w:val="32"/>
          <w:szCs w:val="32"/>
          <w:lang w:val="en-US" w:eastAsia="zh-CN"/>
        </w:rPr>
        <w:t>3.23</w:t>
      </w:r>
      <w:r>
        <w:rPr>
          <w:rFonts w:hint="default" w:ascii="宋体" w:hAnsi="宋体" w:eastAsia="宋体"/>
          <w:color w:val="auto"/>
          <w:sz w:val="32"/>
          <w:szCs w:val="32"/>
          <w:lang w:val="en-US" w:eastAsia="zh-CN"/>
        </w:rPr>
        <w:t>%</w:t>
      </w:r>
      <w:r>
        <w:rPr>
          <w:rFonts w:hint="eastAsia" w:ascii="宋体" w:hAnsi="宋体" w:eastAsia="宋体"/>
          <w:color w:val="auto"/>
          <w:sz w:val="32"/>
          <w:szCs w:val="32"/>
        </w:rPr>
        <w:t>，文化旅游体育与传媒支出</w:t>
      </w:r>
      <w:r>
        <w:rPr>
          <w:rFonts w:hint="eastAsia" w:ascii="宋体" w:hAnsi="宋体" w:eastAsia="宋体"/>
          <w:color w:val="auto"/>
          <w:sz w:val="32"/>
          <w:szCs w:val="32"/>
          <w:lang w:val="en-US" w:eastAsia="zh-CN"/>
        </w:rPr>
        <w:t>9</w:t>
      </w:r>
      <w:r>
        <w:rPr>
          <w:rFonts w:hint="eastAsia" w:ascii="宋体" w:hAnsi="宋体" w:eastAsia="宋体"/>
          <w:color w:val="auto"/>
          <w:sz w:val="32"/>
          <w:szCs w:val="32"/>
        </w:rPr>
        <w:t>万元，占比</w:t>
      </w:r>
      <w:r>
        <w:rPr>
          <w:rFonts w:hint="eastAsia" w:ascii="宋体" w:hAnsi="宋体" w:eastAsia="宋体"/>
          <w:color w:val="auto"/>
          <w:sz w:val="32"/>
          <w:szCs w:val="32"/>
          <w:lang w:val="en-US" w:eastAsia="zh-CN"/>
        </w:rPr>
        <w:t>0.05</w:t>
      </w:r>
      <w:r>
        <w:rPr>
          <w:rFonts w:hint="default" w:ascii="宋体" w:hAnsi="宋体" w:eastAsia="宋体"/>
          <w:color w:val="auto"/>
          <w:sz w:val="32"/>
          <w:szCs w:val="32"/>
          <w:lang w:val="en-US" w:eastAsia="zh-CN"/>
        </w:rPr>
        <w:t>%</w:t>
      </w:r>
      <w:r>
        <w:rPr>
          <w:rFonts w:hint="eastAsia" w:ascii="宋体" w:hAnsi="宋体" w:eastAsia="宋体"/>
          <w:color w:val="auto"/>
          <w:sz w:val="32"/>
          <w:szCs w:val="32"/>
        </w:rPr>
        <w:t xml:space="preserve">。 </w:t>
      </w:r>
    </w:p>
    <w:p w14:paraId="7FEC69FC">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color w:val="auto"/>
          <w:sz w:val="32"/>
          <w:szCs w:val="32"/>
        </w:rPr>
      </w:pPr>
      <w:r>
        <w:rPr>
          <w:rFonts w:hint="eastAsia" w:ascii="楷体" w:hAnsi="楷体" w:eastAsia="楷体" w:cs="楷体"/>
          <w:b w:val="0"/>
          <w:bCs/>
          <w:color w:val="auto"/>
          <w:sz w:val="32"/>
          <w:szCs w:val="32"/>
        </w:rPr>
        <w:t>（三）一般公共预算财政拨款支出决算具体情况</w:t>
      </w:r>
    </w:p>
    <w:p w14:paraId="3BDAA6C9">
      <w:pPr>
        <w:pStyle w:val="13"/>
        <w:keepNext w:val="0"/>
        <w:keepLines w:val="0"/>
        <w:pageBreakBefore w:val="0"/>
        <w:kinsoku/>
        <w:wordWrap/>
        <w:overflowPunct/>
        <w:topLinePunct w:val="0"/>
        <w:bidi w:val="0"/>
        <w:snapToGrid/>
        <w:spacing w:line="240" w:lineRule="auto"/>
        <w:ind w:firstLine="800" w:firstLineChars="250"/>
        <w:rPr>
          <w:rFonts w:hint="eastAsia" w:ascii="宋体" w:hAnsi="宋体" w:eastAsia="宋体"/>
          <w:color w:val="auto"/>
          <w:sz w:val="32"/>
          <w:szCs w:val="32"/>
        </w:rPr>
      </w:pPr>
      <w:r>
        <w:rPr>
          <w:rFonts w:hint="eastAsia" w:ascii="宋体" w:hAnsi="宋体" w:eastAsia="宋体"/>
          <w:color w:val="auto"/>
          <w:sz w:val="32"/>
          <w:szCs w:val="32"/>
          <w:lang w:eastAsia="zh-CN"/>
        </w:rPr>
        <w:t>2023</w:t>
      </w:r>
      <w:r>
        <w:rPr>
          <w:rFonts w:hint="eastAsia" w:ascii="宋体" w:hAnsi="宋体" w:eastAsia="宋体"/>
          <w:color w:val="auto"/>
          <w:sz w:val="32"/>
          <w:szCs w:val="32"/>
        </w:rPr>
        <w:t>年度财政拨款支出年初预算数为</w:t>
      </w:r>
      <w:r>
        <w:rPr>
          <w:rFonts w:hint="eastAsia" w:ascii="宋体" w:hAnsi="宋体" w:eastAsia="宋体"/>
          <w:color w:val="auto"/>
          <w:sz w:val="32"/>
          <w:szCs w:val="32"/>
          <w:lang w:val="en-US" w:eastAsia="zh-CN"/>
        </w:rPr>
        <w:t>13862.71</w:t>
      </w:r>
      <w:r>
        <w:rPr>
          <w:rFonts w:hint="eastAsia" w:ascii="宋体" w:hAnsi="宋体" w:eastAsia="宋体"/>
          <w:color w:val="auto"/>
          <w:sz w:val="32"/>
          <w:szCs w:val="32"/>
        </w:rPr>
        <w:t>万元，支出决算数为</w:t>
      </w:r>
      <w:r>
        <w:rPr>
          <w:rFonts w:hint="eastAsia" w:ascii="宋体" w:hAnsi="宋体" w:eastAsia="宋体"/>
          <w:color w:val="auto"/>
          <w:sz w:val="32"/>
          <w:szCs w:val="32"/>
          <w:lang w:val="en-US" w:eastAsia="zh-CN"/>
        </w:rPr>
        <w:t>16687.3</w:t>
      </w:r>
      <w:r>
        <w:rPr>
          <w:rFonts w:hint="eastAsia" w:ascii="宋体" w:hAnsi="宋体" w:eastAsia="宋体"/>
          <w:color w:val="auto"/>
          <w:sz w:val="32"/>
          <w:szCs w:val="32"/>
        </w:rPr>
        <w:t>万元，完成年初预算的</w:t>
      </w:r>
      <w:r>
        <w:rPr>
          <w:rFonts w:hint="eastAsia" w:ascii="宋体" w:hAnsi="宋体" w:eastAsia="宋体"/>
          <w:color w:val="auto"/>
          <w:sz w:val="32"/>
          <w:szCs w:val="32"/>
          <w:lang w:val="en-US" w:eastAsia="zh-CN"/>
        </w:rPr>
        <w:t>120.38</w:t>
      </w:r>
      <w:r>
        <w:rPr>
          <w:rFonts w:ascii="宋体" w:hAnsi="宋体" w:eastAsia="宋体"/>
          <w:color w:val="auto"/>
          <w:sz w:val="32"/>
          <w:szCs w:val="32"/>
        </w:rPr>
        <w:t>%</w:t>
      </w:r>
      <w:r>
        <w:rPr>
          <w:rFonts w:hint="eastAsia" w:ascii="宋体" w:hAnsi="宋体" w:eastAsia="宋体"/>
          <w:color w:val="auto"/>
          <w:sz w:val="32"/>
          <w:szCs w:val="32"/>
        </w:rPr>
        <w:t>，其中：</w:t>
      </w:r>
    </w:p>
    <w:p w14:paraId="06E690F8">
      <w:pPr>
        <w:pStyle w:val="8"/>
        <w:keepNext w:val="0"/>
        <w:keepLines w:val="0"/>
        <w:pageBreakBefore w:val="0"/>
        <w:widowControl/>
        <w:shd w:val="clear" w:color="auto" w:fill="FFFFFF"/>
        <w:kinsoku/>
        <w:wordWrap/>
        <w:overflowPunct/>
        <w:topLinePunct w:val="0"/>
        <w:bidi w:val="0"/>
        <w:snapToGrid/>
        <w:spacing w:before="225" w:beforeAutospacing="0" w:afterAutospacing="0" w:line="240" w:lineRule="auto"/>
        <w:ind w:firstLine="800"/>
        <w:textAlignment w:val="baseline"/>
        <w:rPr>
          <w:rFonts w:ascii="宋体" w:cs="黑体"/>
          <w:color w:val="auto"/>
          <w:sz w:val="32"/>
          <w:szCs w:val="32"/>
        </w:rPr>
      </w:pPr>
      <w:r>
        <w:rPr>
          <w:rFonts w:hint="eastAsia" w:ascii="宋体" w:hAnsi="宋体" w:cs="黑体"/>
          <w:color w:val="auto"/>
          <w:sz w:val="32"/>
          <w:szCs w:val="32"/>
          <w:lang w:val="en-US" w:eastAsia="zh-CN"/>
        </w:rPr>
        <w:t>1</w:t>
      </w:r>
      <w:r>
        <w:rPr>
          <w:rFonts w:hint="eastAsia" w:ascii="宋体" w:hAnsi="宋体" w:cs="黑体"/>
          <w:color w:val="auto"/>
          <w:sz w:val="32"/>
          <w:szCs w:val="32"/>
        </w:rPr>
        <w:t>、</w:t>
      </w:r>
      <w:r>
        <w:rPr>
          <w:rFonts w:hint="eastAsia" w:ascii="宋体" w:hAnsi="宋体" w:cs="黑体"/>
          <w:color w:val="auto"/>
          <w:sz w:val="32"/>
          <w:szCs w:val="32"/>
          <w:u w:val="none"/>
          <w:lang w:val="en-US" w:eastAsia="zh-CN"/>
        </w:rPr>
        <w:t>一般公共服务支出（类）其他一般公共服务支出（款） 其他一般公共服务支出（项）。</w:t>
      </w:r>
    </w:p>
    <w:p w14:paraId="7C1EB5BF">
      <w:pPr>
        <w:pStyle w:val="8"/>
        <w:keepNext w:val="0"/>
        <w:keepLines w:val="0"/>
        <w:pageBreakBefore w:val="0"/>
        <w:widowControl/>
        <w:shd w:val="clear" w:color="auto" w:fill="FFFFFF"/>
        <w:kinsoku/>
        <w:wordWrap/>
        <w:overflowPunct/>
        <w:topLinePunct w:val="0"/>
        <w:bidi w:val="0"/>
        <w:snapToGrid/>
        <w:spacing w:before="225" w:beforeAutospacing="0" w:afterAutospacing="0" w:line="240" w:lineRule="auto"/>
        <w:ind w:firstLine="800"/>
        <w:textAlignment w:val="baseline"/>
        <w:rPr>
          <w:rFonts w:hint="eastAsia" w:ascii="宋体" w:hAnsi="宋体" w:eastAsia="宋体"/>
          <w:color w:val="auto"/>
          <w:sz w:val="32"/>
          <w:szCs w:val="32"/>
        </w:rPr>
      </w:pPr>
      <w:r>
        <w:rPr>
          <w:rFonts w:hint="eastAsia" w:ascii="宋体" w:hAnsi="宋体" w:cs="黑体"/>
          <w:color w:val="auto"/>
          <w:sz w:val="32"/>
          <w:szCs w:val="32"/>
          <w:u w:val="none"/>
        </w:rPr>
        <w:t>年初预算为</w:t>
      </w:r>
      <w:r>
        <w:rPr>
          <w:rFonts w:hint="eastAsia" w:ascii="宋体" w:hAnsi="宋体" w:cs="黑体"/>
          <w:color w:val="auto"/>
          <w:sz w:val="32"/>
          <w:szCs w:val="32"/>
          <w:u w:val="none"/>
          <w:lang w:val="en-US" w:eastAsia="zh-CN"/>
        </w:rPr>
        <w:t>0</w:t>
      </w:r>
      <w:r>
        <w:rPr>
          <w:rFonts w:hint="eastAsia" w:ascii="宋体" w:hAnsi="宋体" w:cs="黑体"/>
          <w:color w:val="auto"/>
          <w:sz w:val="32"/>
          <w:szCs w:val="32"/>
          <w:u w:val="none"/>
        </w:rPr>
        <w:t>万元，支出决算为</w:t>
      </w:r>
      <w:r>
        <w:rPr>
          <w:rFonts w:hint="eastAsia" w:ascii="宋体" w:hAnsi="宋体" w:cs="黑体"/>
          <w:color w:val="auto"/>
          <w:sz w:val="32"/>
          <w:szCs w:val="32"/>
          <w:u w:val="none"/>
          <w:lang w:val="en-US" w:eastAsia="zh-CN"/>
        </w:rPr>
        <w:t>310.02</w:t>
      </w:r>
      <w:r>
        <w:rPr>
          <w:rFonts w:hint="eastAsia" w:ascii="宋体" w:hAnsi="宋体" w:cs="黑体"/>
          <w:color w:val="auto"/>
          <w:sz w:val="32"/>
          <w:szCs w:val="32"/>
          <w:u w:val="none"/>
        </w:rPr>
        <w:t>万元，完成年初预算的</w:t>
      </w:r>
      <w:r>
        <w:rPr>
          <w:rFonts w:hint="eastAsia" w:ascii="宋体" w:hAnsi="宋体" w:cs="黑体"/>
          <w:color w:val="auto"/>
          <w:sz w:val="32"/>
          <w:szCs w:val="32"/>
          <w:u w:val="none"/>
          <w:lang w:val="en-US" w:eastAsia="zh-CN"/>
        </w:rPr>
        <w:t>87.79</w:t>
      </w:r>
      <w:r>
        <w:rPr>
          <w:rFonts w:ascii="宋体" w:hAnsi="宋体" w:cs="黑体"/>
          <w:color w:val="auto"/>
          <w:sz w:val="32"/>
          <w:szCs w:val="32"/>
          <w:u w:val="none"/>
        </w:rPr>
        <w:t>%</w:t>
      </w:r>
      <w:r>
        <w:rPr>
          <w:rFonts w:hint="eastAsia" w:ascii="宋体" w:hAnsi="宋体" w:cs="黑体"/>
          <w:color w:val="auto"/>
          <w:sz w:val="32"/>
          <w:szCs w:val="32"/>
          <w:u w:val="none"/>
        </w:rPr>
        <w:t>，决算数</w:t>
      </w:r>
      <w:r>
        <w:rPr>
          <w:rFonts w:hint="eastAsia" w:ascii="宋体" w:hAnsi="宋体" w:cs="黑体"/>
          <w:color w:val="auto"/>
          <w:sz w:val="32"/>
          <w:szCs w:val="32"/>
          <w:u w:val="none"/>
          <w:lang w:eastAsia="zh-CN"/>
        </w:rPr>
        <w:t>大于</w:t>
      </w:r>
      <w:r>
        <w:rPr>
          <w:rFonts w:hint="eastAsia" w:ascii="宋体" w:hAnsi="宋体" w:cs="黑体"/>
          <w:color w:val="auto"/>
          <w:sz w:val="32"/>
          <w:szCs w:val="32"/>
          <w:u w:val="none"/>
        </w:rPr>
        <w:t>年初预算数的</w:t>
      </w:r>
      <w:r>
        <w:rPr>
          <w:rFonts w:hint="eastAsia" w:ascii="宋体" w:hAnsi="宋体" w:cs="黑体"/>
          <w:color w:val="auto"/>
          <w:sz w:val="32"/>
          <w:szCs w:val="32"/>
          <w:u w:val="none"/>
          <w:lang w:val="en-US" w:eastAsia="zh-CN"/>
        </w:rPr>
        <w:t>主要原因是：该款项主要为年中追加2023年人民警察执勤岗位津贴。</w:t>
      </w:r>
    </w:p>
    <w:p w14:paraId="54501F62">
      <w:pPr>
        <w:pStyle w:val="8"/>
        <w:keepNext w:val="0"/>
        <w:keepLines w:val="0"/>
        <w:pageBreakBefore w:val="0"/>
        <w:widowControl/>
        <w:shd w:val="clear" w:color="auto" w:fill="FFFFFF"/>
        <w:kinsoku/>
        <w:wordWrap/>
        <w:overflowPunct/>
        <w:topLinePunct w:val="0"/>
        <w:bidi w:val="0"/>
        <w:snapToGrid/>
        <w:spacing w:before="225" w:beforeAutospacing="0" w:afterAutospacing="0" w:line="240" w:lineRule="auto"/>
        <w:ind w:firstLine="800"/>
        <w:textAlignment w:val="baseline"/>
        <w:rPr>
          <w:rFonts w:hint="eastAsia" w:ascii="宋体" w:hAnsi="宋体" w:cs="黑体"/>
          <w:color w:val="auto"/>
          <w:sz w:val="32"/>
          <w:szCs w:val="32"/>
          <w:u w:val="none"/>
          <w:lang w:val="en-US" w:eastAsia="zh-CN"/>
        </w:rPr>
      </w:pPr>
      <w:r>
        <w:rPr>
          <w:rFonts w:hint="eastAsia" w:ascii="宋体" w:hAnsi="宋体" w:cs="黑体"/>
          <w:color w:val="auto"/>
          <w:sz w:val="32"/>
          <w:szCs w:val="32"/>
          <w:u w:val="none"/>
          <w:lang w:val="en-US" w:eastAsia="zh-CN"/>
        </w:rPr>
        <w:t>2、公共安全支出（类）公安（款） 行政运行（项）。</w:t>
      </w:r>
    </w:p>
    <w:p w14:paraId="31AC89FB">
      <w:pPr>
        <w:pStyle w:val="8"/>
        <w:keepNext w:val="0"/>
        <w:keepLines w:val="0"/>
        <w:pageBreakBefore w:val="0"/>
        <w:widowControl/>
        <w:shd w:val="clear" w:color="auto" w:fill="FFFFFF"/>
        <w:kinsoku/>
        <w:wordWrap/>
        <w:overflowPunct/>
        <w:topLinePunct w:val="0"/>
        <w:bidi w:val="0"/>
        <w:snapToGrid/>
        <w:spacing w:before="225" w:beforeAutospacing="0" w:afterAutospacing="0" w:line="240" w:lineRule="auto"/>
        <w:ind w:firstLine="800"/>
        <w:textAlignment w:val="baseline"/>
        <w:rPr>
          <w:rFonts w:hint="default" w:ascii="宋体" w:hAnsi="宋体" w:cs="黑体"/>
          <w:color w:val="auto"/>
          <w:sz w:val="32"/>
          <w:szCs w:val="32"/>
          <w:u w:val="none"/>
          <w:lang w:val="en-US" w:eastAsia="zh-CN"/>
        </w:rPr>
      </w:pPr>
      <w:r>
        <w:rPr>
          <w:rFonts w:hint="eastAsia" w:ascii="宋体" w:hAnsi="宋体" w:cs="黑体"/>
          <w:color w:val="auto"/>
          <w:sz w:val="32"/>
          <w:szCs w:val="32"/>
          <w:u w:val="none"/>
          <w:lang w:val="en-US" w:eastAsia="zh-CN"/>
        </w:rPr>
        <w:t>年初预算为7470.95万元，支出决算为6559万元，完成年初预算的87.79%，决算数小于年初预算数的主要原因是：（1）年初预算行政运行的2023年年终绩效奖457万元、退休人员经费170.4万元，财政局在下达指标至别的功能分类科目，（2）行政运行预算公用经费年初预算1332万元，最后调减至1065.6万元。故预决算存在此差异。</w:t>
      </w:r>
    </w:p>
    <w:p w14:paraId="23CF203C">
      <w:pPr>
        <w:pStyle w:val="8"/>
        <w:keepNext w:val="0"/>
        <w:keepLines w:val="0"/>
        <w:pageBreakBefore w:val="0"/>
        <w:widowControl/>
        <w:shd w:val="clear" w:color="auto" w:fill="FFFFFF"/>
        <w:kinsoku/>
        <w:wordWrap/>
        <w:overflowPunct/>
        <w:topLinePunct w:val="0"/>
        <w:bidi w:val="0"/>
        <w:snapToGrid/>
        <w:spacing w:before="225" w:beforeAutospacing="0" w:afterAutospacing="0" w:line="240" w:lineRule="auto"/>
        <w:ind w:firstLine="800"/>
        <w:textAlignment w:val="baseline"/>
        <w:rPr>
          <w:rFonts w:ascii="宋体" w:cs="黑体"/>
          <w:color w:val="auto"/>
          <w:sz w:val="32"/>
          <w:szCs w:val="32"/>
        </w:rPr>
      </w:pPr>
      <w:r>
        <w:rPr>
          <w:rFonts w:hint="eastAsia" w:ascii="宋体" w:hAnsi="宋体" w:cs="黑体"/>
          <w:color w:val="auto"/>
          <w:sz w:val="32"/>
          <w:szCs w:val="32"/>
          <w:lang w:val="en-US" w:eastAsia="zh-CN"/>
        </w:rPr>
        <w:t>3</w:t>
      </w:r>
      <w:r>
        <w:rPr>
          <w:rFonts w:hint="eastAsia" w:ascii="宋体" w:hAnsi="宋体" w:cs="黑体"/>
          <w:color w:val="auto"/>
          <w:sz w:val="32"/>
          <w:szCs w:val="32"/>
        </w:rPr>
        <w:t>、公共安全支出（类）公安（款）</w:t>
      </w:r>
      <w:r>
        <w:rPr>
          <w:rFonts w:ascii="宋体" w:cs="黑体"/>
          <w:color w:val="auto"/>
          <w:sz w:val="32"/>
          <w:szCs w:val="32"/>
        </w:rPr>
        <w:t> </w:t>
      </w:r>
      <w:r>
        <w:rPr>
          <w:rFonts w:hint="eastAsia" w:ascii="宋体" w:hAnsi="宋体" w:cs="黑体"/>
          <w:color w:val="auto"/>
          <w:sz w:val="32"/>
          <w:szCs w:val="32"/>
        </w:rPr>
        <w:t>一般行政管理事务（项）。</w:t>
      </w:r>
    </w:p>
    <w:p w14:paraId="4D051C53">
      <w:pPr>
        <w:pStyle w:val="8"/>
        <w:keepNext w:val="0"/>
        <w:keepLines w:val="0"/>
        <w:pageBreakBefore w:val="0"/>
        <w:widowControl/>
        <w:shd w:val="clear" w:color="auto" w:fill="FFFFFF"/>
        <w:kinsoku/>
        <w:wordWrap/>
        <w:overflowPunct/>
        <w:topLinePunct w:val="0"/>
        <w:bidi w:val="0"/>
        <w:snapToGrid/>
        <w:spacing w:before="225" w:beforeAutospacing="0" w:afterAutospacing="0" w:line="240" w:lineRule="auto"/>
        <w:ind w:firstLine="800"/>
        <w:textAlignment w:val="baseline"/>
        <w:rPr>
          <w:rFonts w:hint="eastAsia" w:ascii="宋体" w:hAnsi="宋体" w:cs="黑体"/>
          <w:color w:val="auto"/>
          <w:sz w:val="32"/>
          <w:szCs w:val="32"/>
        </w:rPr>
      </w:pPr>
      <w:r>
        <w:rPr>
          <w:rFonts w:hint="eastAsia" w:ascii="宋体" w:hAnsi="宋体" w:cs="黑体"/>
          <w:color w:val="auto"/>
          <w:sz w:val="32"/>
          <w:szCs w:val="32"/>
        </w:rPr>
        <w:t>年初预算为</w:t>
      </w:r>
      <w:r>
        <w:rPr>
          <w:rFonts w:hint="eastAsia" w:ascii="宋体" w:hAnsi="宋体" w:cs="黑体"/>
          <w:color w:val="auto"/>
          <w:sz w:val="32"/>
          <w:szCs w:val="32"/>
          <w:lang w:val="en-US" w:eastAsia="zh-CN"/>
        </w:rPr>
        <w:t>0</w:t>
      </w:r>
      <w:r>
        <w:rPr>
          <w:rFonts w:hint="eastAsia" w:ascii="宋体" w:hAnsi="宋体" w:cs="黑体"/>
          <w:color w:val="auto"/>
          <w:sz w:val="32"/>
          <w:szCs w:val="32"/>
        </w:rPr>
        <w:t>万元，支出决算为</w:t>
      </w:r>
      <w:r>
        <w:rPr>
          <w:rFonts w:hint="eastAsia" w:ascii="宋体" w:hAnsi="宋体" w:cs="黑体"/>
          <w:color w:val="auto"/>
          <w:sz w:val="32"/>
          <w:szCs w:val="32"/>
          <w:lang w:val="en-US" w:eastAsia="zh-CN"/>
        </w:rPr>
        <w:t>198.57</w:t>
      </w:r>
      <w:r>
        <w:rPr>
          <w:rFonts w:hint="eastAsia" w:ascii="宋体" w:hAnsi="宋体" w:cs="黑体"/>
          <w:color w:val="auto"/>
          <w:sz w:val="32"/>
          <w:szCs w:val="32"/>
        </w:rPr>
        <w:t>万元，决算数大于年初预算数的主要原因是：</w:t>
      </w:r>
      <w:r>
        <w:rPr>
          <w:rFonts w:hint="eastAsia" w:ascii="宋体" w:hAnsi="宋体" w:cs="黑体"/>
          <w:color w:val="auto"/>
          <w:sz w:val="32"/>
          <w:szCs w:val="32"/>
          <w:u w:val="none"/>
        </w:rPr>
        <w:t>该款项主要为</w:t>
      </w:r>
      <w:r>
        <w:rPr>
          <w:rFonts w:hint="eastAsia" w:ascii="宋体" w:hAnsi="宋体" w:cs="黑体"/>
          <w:color w:val="auto"/>
          <w:sz w:val="32"/>
          <w:szCs w:val="32"/>
          <w:lang w:eastAsia="zh-CN"/>
        </w:rPr>
        <w:t>公安上级转移</w:t>
      </w:r>
      <w:r>
        <w:rPr>
          <w:rFonts w:hint="eastAsia" w:ascii="宋体" w:hAnsi="宋体" w:cs="黑体"/>
          <w:color w:val="auto"/>
          <w:sz w:val="32"/>
          <w:szCs w:val="32"/>
        </w:rPr>
        <w:t>年中追加公安业务及办案专项经费</w:t>
      </w:r>
      <w:r>
        <w:rPr>
          <w:rFonts w:hint="eastAsia" w:ascii="宋体" w:hAnsi="宋体" w:cs="黑体"/>
          <w:color w:val="auto"/>
          <w:sz w:val="32"/>
          <w:szCs w:val="32"/>
          <w:lang w:eastAsia="zh-CN"/>
        </w:rPr>
        <w:t>（公安派出所专项经费、禁毒专项经费、长江大保护专项经费、“一村一辅警”专项经费、两烟工作经费等），</w:t>
      </w:r>
      <w:r>
        <w:rPr>
          <w:rFonts w:hint="eastAsia" w:ascii="宋体" w:hAnsi="宋体" w:cs="黑体"/>
          <w:color w:val="auto"/>
          <w:sz w:val="32"/>
          <w:szCs w:val="32"/>
        </w:rPr>
        <w:t>故预决算存在此差异。</w:t>
      </w:r>
    </w:p>
    <w:p w14:paraId="6F42F301">
      <w:pPr>
        <w:pStyle w:val="8"/>
        <w:keepNext w:val="0"/>
        <w:keepLines w:val="0"/>
        <w:pageBreakBefore w:val="0"/>
        <w:widowControl/>
        <w:shd w:val="clear" w:color="auto" w:fill="FFFFFF"/>
        <w:kinsoku/>
        <w:wordWrap/>
        <w:overflowPunct/>
        <w:topLinePunct w:val="0"/>
        <w:bidi w:val="0"/>
        <w:snapToGrid/>
        <w:spacing w:before="225" w:beforeAutospacing="0" w:afterAutospacing="0" w:line="240" w:lineRule="auto"/>
        <w:ind w:firstLine="800"/>
        <w:textAlignment w:val="baseline"/>
        <w:rPr>
          <w:rFonts w:hint="eastAsia" w:ascii="宋体" w:hAnsi="宋体" w:cs="黑体"/>
          <w:color w:val="auto"/>
          <w:sz w:val="32"/>
          <w:szCs w:val="32"/>
        </w:rPr>
      </w:pPr>
      <w:r>
        <w:rPr>
          <w:rFonts w:hint="eastAsia" w:ascii="宋体" w:hAnsi="宋体" w:cs="黑体"/>
          <w:color w:val="auto"/>
          <w:sz w:val="32"/>
          <w:szCs w:val="32"/>
          <w:lang w:val="en-US" w:eastAsia="zh-CN"/>
        </w:rPr>
        <w:t>4</w:t>
      </w:r>
      <w:r>
        <w:rPr>
          <w:rFonts w:hint="eastAsia" w:ascii="宋体" w:hAnsi="宋体" w:cs="黑体"/>
          <w:color w:val="auto"/>
          <w:sz w:val="32"/>
          <w:szCs w:val="32"/>
        </w:rPr>
        <w:t>、公共安全支出（类）公安（款）执法办案（项）。</w:t>
      </w:r>
    </w:p>
    <w:p w14:paraId="5EF8452B">
      <w:pPr>
        <w:pStyle w:val="8"/>
        <w:keepNext w:val="0"/>
        <w:keepLines w:val="0"/>
        <w:pageBreakBefore w:val="0"/>
        <w:widowControl/>
        <w:shd w:val="clear" w:color="auto" w:fill="FFFFFF"/>
        <w:kinsoku/>
        <w:wordWrap/>
        <w:overflowPunct/>
        <w:topLinePunct w:val="0"/>
        <w:bidi w:val="0"/>
        <w:snapToGrid/>
        <w:spacing w:before="225" w:beforeAutospacing="0" w:afterAutospacing="0" w:line="240" w:lineRule="auto"/>
        <w:ind w:firstLine="800"/>
        <w:textAlignment w:val="baseline"/>
        <w:rPr>
          <w:rFonts w:hint="eastAsia" w:ascii="宋体" w:hAnsi="宋体" w:cs="黑体"/>
          <w:color w:val="auto"/>
          <w:sz w:val="32"/>
          <w:szCs w:val="32"/>
        </w:rPr>
      </w:pPr>
      <w:r>
        <w:rPr>
          <w:rFonts w:hint="eastAsia" w:ascii="宋体" w:hAnsi="宋体" w:cs="黑体"/>
          <w:color w:val="auto"/>
          <w:sz w:val="32"/>
          <w:szCs w:val="32"/>
        </w:rPr>
        <w:t>年初预算为0万元，支出决算为</w:t>
      </w:r>
      <w:r>
        <w:rPr>
          <w:rFonts w:hint="eastAsia" w:ascii="宋体" w:hAnsi="宋体" w:cs="黑体"/>
          <w:color w:val="auto"/>
          <w:sz w:val="32"/>
          <w:szCs w:val="32"/>
          <w:lang w:val="en-US" w:eastAsia="zh-CN"/>
        </w:rPr>
        <w:t>495.1</w:t>
      </w:r>
      <w:r>
        <w:rPr>
          <w:rFonts w:hint="eastAsia" w:ascii="宋体" w:hAnsi="宋体" w:cs="黑体"/>
          <w:color w:val="auto"/>
          <w:sz w:val="32"/>
          <w:szCs w:val="32"/>
        </w:rPr>
        <w:t>万元，决算数大于年初预算数的主要原因是：该款项主要为中央和省级年中追加公安业务及办案专项经费</w:t>
      </w:r>
      <w:r>
        <w:rPr>
          <w:rFonts w:hint="eastAsia" w:ascii="宋体" w:hAnsi="宋体" w:cs="黑体"/>
          <w:color w:val="auto"/>
          <w:sz w:val="32"/>
          <w:szCs w:val="32"/>
          <w:lang w:eastAsia="zh-CN"/>
        </w:rPr>
        <w:t>（二代证工本费、中央转移办案经费等）</w:t>
      </w:r>
      <w:r>
        <w:rPr>
          <w:rFonts w:hint="eastAsia" w:ascii="宋体" w:hAnsi="宋体" w:cs="黑体"/>
          <w:color w:val="auto"/>
          <w:sz w:val="32"/>
          <w:szCs w:val="32"/>
        </w:rPr>
        <w:t>，用于分局公安业务办案专项开支，故预决算存在此差异。</w:t>
      </w:r>
    </w:p>
    <w:p w14:paraId="2125445D">
      <w:pPr>
        <w:pStyle w:val="8"/>
        <w:keepNext w:val="0"/>
        <w:keepLines w:val="0"/>
        <w:pageBreakBefore w:val="0"/>
        <w:widowControl/>
        <w:shd w:val="clear" w:color="auto" w:fill="FFFFFF"/>
        <w:kinsoku/>
        <w:wordWrap/>
        <w:overflowPunct/>
        <w:topLinePunct w:val="0"/>
        <w:bidi w:val="0"/>
        <w:snapToGrid/>
        <w:spacing w:before="225" w:beforeAutospacing="0" w:afterAutospacing="0" w:line="240" w:lineRule="auto"/>
        <w:ind w:firstLine="800"/>
        <w:textAlignment w:val="baseline"/>
        <w:rPr>
          <w:rFonts w:ascii="宋体" w:cs="黑体"/>
          <w:color w:val="auto"/>
          <w:sz w:val="32"/>
          <w:szCs w:val="32"/>
          <w:u w:val="none"/>
        </w:rPr>
      </w:pPr>
      <w:r>
        <w:rPr>
          <w:rFonts w:hint="eastAsia" w:ascii="宋体" w:hAnsi="宋体" w:cs="黑体"/>
          <w:color w:val="auto"/>
          <w:sz w:val="32"/>
          <w:szCs w:val="32"/>
          <w:u w:val="none"/>
          <w:lang w:val="en-US" w:eastAsia="zh-CN"/>
        </w:rPr>
        <w:t>5</w:t>
      </w:r>
      <w:r>
        <w:rPr>
          <w:rFonts w:hint="eastAsia" w:ascii="宋体" w:hAnsi="宋体" w:cs="黑体"/>
          <w:color w:val="auto"/>
          <w:sz w:val="32"/>
          <w:szCs w:val="32"/>
          <w:u w:val="none"/>
        </w:rPr>
        <w:t>、公共安全支出（类）公安（款）</w:t>
      </w:r>
      <w:r>
        <w:rPr>
          <w:rFonts w:ascii="宋体" w:cs="黑体"/>
          <w:color w:val="auto"/>
          <w:sz w:val="32"/>
          <w:szCs w:val="32"/>
          <w:u w:val="none"/>
        </w:rPr>
        <w:t> </w:t>
      </w:r>
      <w:r>
        <w:rPr>
          <w:rFonts w:hint="eastAsia" w:ascii="宋体" w:hAnsi="宋体" w:cs="黑体"/>
          <w:color w:val="auto"/>
          <w:sz w:val="32"/>
          <w:szCs w:val="32"/>
          <w:u w:val="none"/>
        </w:rPr>
        <w:t>其他公安支出（项）。</w:t>
      </w:r>
    </w:p>
    <w:p w14:paraId="57E3E879">
      <w:pPr>
        <w:pStyle w:val="8"/>
        <w:keepNext w:val="0"/>
        <w:keepLines w:val="0"/>
        <w:pageBreakBefore w:val="0"/>
        <w:widowControl/>
        <w:shd w:val="clear" w:color="auto" w:fill="FFFFFF"/>
        <w:kinsoku/>
        <w:wordWrap/>
        <w:overflowPunct/>
        <w:topLinePunct w:val="0"/>
        <w:bidi w:val="0"/>
        <w:snapToGrid/>
        <w:spacing w:before="225" w:beforeAutospacing="0" w:afterAutospacing="0" w:line="240" w:lineRule="auto"/>
        <w:ind w:firstLine="800"/>
        <w:textAlignment w:val="baseline"/>
        <w:rPr>
          <w:rFonts w:hint="default" w:ascii="宋体" w:hAnsi="宋体" w:cs="黑体"/>
          <w:color w:val="auto"/>
          <w:sz w:val="32"/>
          <w:szCs w:val="32"/>
          <w:u w:val="none"/>
          <w:lang w:val="en-US"/>
        </w:rPr>
      </w:pPr>
      <w:r>
        <w:rPr>
          <w:rFonts w:hint="eastAsia" w:ascii="宋体" w:hAnsi="宋体" w:cs="黑体"/>
          <w:color w:val="auto"/>
          <w:sz w:val="32"/>
          <w:szCs w:val="32"/>
          <w:u w:val="none"/>
        </w:rPr>
        <w:t>年初预算为</w:t>
      </w:r>
      <w:r>
        <w:rPr>
          <w:rFonts w:hint="eastAsia" w:ascii="宋体" w:hAnsi="宋体" w:cs="黑体"/>
          <w:color w:val="auto"/>
          <w:sz w:val="32"/>
          <w:szCs w:val="32"/>
          <w:u w:val="none"/>
          <w:lang w:val="en-US" w:eastAsia="zh-CN"/>
        </w:rPr>
        <w:t>4757.99</w:t>
      </w:r>
      <w:r>
        <w:rPr>
          <w:rFonts w:hint="eastAsia" w:ascii="宋体" w:hAnsi="宋体" w:cs="黑体"/>
          <w:color w:val="auto"/>
          <w:sz w:val="32"/>
          <w:szCs w:val="32"/>
          <w:u w:val="none"/>
        </w:rPr>
        <w:t>万元，支出决算为</w:t>
      </w:r>
      <w:r>
        <w:rPr>
          <w:rFonts w:hint="eastAsia" w:ascii="宋体" w:hAnsi="宋体" w:cs="黑体"/>
          <w:color w:val="auto"/>
          <w:sz w:val="32"/>
          <w:szCs w:val="32"/>
          <w:u w:val="none"/>
          <w:lang w:val="en-US" w:eastAsia="zh-CN"/>
        </w:rPr>
        <w:t>7366.52</w:t>
      </w:r>
      <w:r>
        <w:rPr>
          <w:rFonts w:hint="eastAsia" w:ascii="宋体" w:hAnsi="宋体" w:cs="黑体"/>
          <w:color w:val="auto"/>
          <w:sz w:val="32"/>
          <w:szCs w:val="32"/>
          <w:u w:val="none"/>
        </w:rPr>
        <w:t>万元，完成年初预算的</w:t>
      </w:r>
      <w:r>
        <w:rPr>
          <w:rFonts w:hint="eastAsia" w:ascii="宋体" w:hAnsi="宋体" w:cs="黑体"/>
          <w:color w:val="auto"/>
          <w:sz w:val="32"/>
          <w:szCs w:val="32"/>
          <w:u w:val="none"/>
          <w:lang w:val="en-US" w:eastAsia="zh-CN"/>
        </w:rPr>
        <w:t>154.82</w:t>
      </w:r>
      <w:r>
        <w:rPr>
          <w:rFonts w:hint="eastAsia" w:ascii="宋体" w:hAnsi="宋体" w:cs="黑体"/>
          <w:color w:val="auto"/>
          <w:sz w:val="32"/>
          <w:szCs w:val="32"/>
          <w:u w:val="none"/>
        </w:rPr>
        <w:t>%，决算数大于年初预算数的主要原因是：</w:t>
      </w:r>
      <w:r>
        <w:rPr>
          <w:rFonts w:hint="eastAsia" w:ascii="宋体" w:hAnsi="宋体" w:cs="黑体"/>
          <w:color w:val="auto"/>
          <w:sz w:val="32"/>
          <w:szCs w:val="32"/>
          <w:u w:val="none"/>
          <w:lang w:val="en-US" w:eastAsia="zh-CN"/>
        </w:rPr>
        <w:t>（1）非税拨罚没返回款2259.9万元，较年初预算增长2029.2万元，因为年初预算非税返还比例为15%，年终调整至84%；</w:t>
      </w:r>
      <w:r>
        <w:rPr>
          <w:rFonts w:hint="eastAsia" w:ascii="宋体" w:hAnsi="宋体" w:cs="黑体"/>
          <w:color w:val="auto"/>
          <w:sz w:val="32"/>
          <w:szCs w:val="32"/>
          <w:u w:val="none"/>
          <w:lang w:eastAsia="zh-CN"/>
        </w:rPr>
        <w:t>（</w:t>
      </w:r>
      <w:r>
        <w:rPr>
          <w:rFonts w:hint="eastAsia" w:ascii="宋体" w:hAnsi="宋体" w:cs="黑体"/>
          <w:color w:val="auto"/>
          <w:sz w:val="32"/>
          <w:szCs w:val="32"/>
          <w:u w:val="none"/>
          <w:lang w:val="en-US" w:eastAsia="zh-CN"/>
        </w:rPr>
        <w:t>2）有年中追加2023年度绩效考核535万元，故存在此差异。</w:t>
      </w:r>
    </w:p>
    <w:p w14:paraId="5B05A51D">
      <w:pPr>
        <w:pStyle w:val="8"/>
        <w:keepNext w:val="0"/>
        <w:keepLines w:val="0"/>
        <w:pageBreakBefore w:val="0"/>
        <w:widowControl/>
        <w:shd w:val="clear" w:color="auto" w:fill="FFFFFF"/>
        <w:kinsoku/>
        <w:wordWrap/>
        <w:overflowPunct/>
        <w:topLinePunct w:val="0"/>
        <w:bidi w:val="0"/>
        <w:snapToGrid/>
        <w:spacing w:before="225" w:beforeAutospacing="0" w:afterAutospacing="0" w:line="240" w:lineRule="auto"/>
        <w:ind w:left="319" w:leftChars="152" w:firstLine="320" w:firstLineChars="100"/>
        <w:textAlignment w:val="baseline"/>
        <w:rPr>
          <w:rFonts w:hint="eastAsia" w:ascii="宋体" w:hAnsi="宋体" w:eastAsia="宋体" w:cs="黑体"/>
          <w:color w:val="auto"/>
          <w:kern w:val="0"/>
          <w:sz w:val="32"/>
          <w:szCs w:val="32"/>
          <w:lang w:val="en-US" w:eastAsia="zh-CN" w:bidi="ar-SA"/>
        </w:rPr>
      </w:pPr>
      <w:r>
        <w:rPr>
          <w:rFonts w:hint="eastAsia" w:ascii="宋体" w:hAnsi="宋体" w:eastAsia="宋体" w:cs="黑体"/>
          <w:color w:val="auto"/>
          <w:kern w:val="0"/>
          <w:sz w:val="32"/>
          <w:szCs w:val="32"/>
          <w:lang w:val="en-US" w:eastAsia="zh-CN" w:bidi="ar-SA"/>
        </w:rPr>
        <w:t>6、公共安全支出（类）其他公共安全支出（款）其他公共安全支出（项）。</w:t>
      </w:r>
    </w:p>
    <w:p w14:paraId="645D819F">
      <w:pPr>
        <w:pStyle w:val="8"/>
        <w:keepNext w:val="0"/>
        <w:keepLines w:val="0"/>
        <w:pageBreakBefore w:val="0"/>
        <w:widowControl/>
        <w:shd w:val="clear" w:color="auto" w:fill="FFFFFF"/>
        <w:kinsoku/>
        <w:wordWrap/>
        <w:overflowPunct/>
        <w:topLinePunct w:val="0"/>
        <w:bidi w:val="0"/>
        <w:snapToGrid/>
        <w:spacing w:before="225" w:beforeAutospacing="0" w:afterAutospacing="0" w:line="240" w:lineRule="auto"/>
        <w:ind w:firstLine="640" w:firstLineChars="200"/>
        <w:textAlignment w:val="baseline"/>
        <w:rPr>
          <w:rFonts w:hint="default" w:ascii="宋体" w:hAnsi="宋体" w:eastAsia="宋体" w:cs="黑体"/>
          <w:color w:val="auto"/>
          <w:kern w:val="0"/>
          <w:sz w:val="32"/>
          <w:szCs w:val="32"/>
          <w:lang w:val="en-US" w:eastAsia="zh-CN" w:bidi="ar-SA"/>
        </w:rPr>
      </w:pPr>
      <w:r>
        <w:rPr>
          <w:rFonts w:hint="eastAsia" w:ascii="宋体" w:hAnsi="宋体" w:eastAsia="宋体" w:cs="黑体"/>
          <w:color w:val="auto"/>
          <w:kern w:val="0"/>
          <w:sz w:val="32"/>
          <w:szCs w:val="32"/>
          <w:lang w:val="en-US" w:eastAsia="zh-CN" w:bidi="ar-SA"/>
        </w:rPr>
        <w:t>年初预算为0万元，支出决算为209.27万元，决算数大于年初预算数的主要原因是：该款项主要为年中追加扫黑除恶专项经费206万元及三季度羁押人员给养经费，故存在此差异。</w:t>
      </w:r>
    </w:p>
    <w:p w14:paraId="64DAE3DB">
      <w:pPr>
        <w:pStyle w:val="8"/>
        <w:keepNext w:val="0"/>
        <w:keepLines w:val="0"/>
        <w:pageBreakBefore w:val="0"/>
        <w:widowControl/>
        <w:shd w:val="clear" w:color="auto" w:fill="FFFFFF"/>
        <w:kinsoku/>
        <w:wordWrap/>
        <w:overflowPunct/>
        <w:topLinePunct w:val="0"/>
        <w:bidi w:val="0"/>
        <w:snapToGrid/>
        <w:spacing w:before="225" w:beforeAutospacing="0" w:afterAutospacing="0" w:line="240" w:lineRule="auto"/>
        <w:ind w:firstLine="800"/>
        <w:textAlignment w:val="baseline"/>
        <w:rPr>
          <w:rFonts w:ascii="宋体" w:cs="黑体"/>
          <w:color w:val="auto"/>
          <w:sz w:val="32"/>
          <w:szCs w:val="32"/>
          <w:u w:val="none"/>
        </w:rPr>
      </w:pPr>
      <w:r>
        <w:rPr>
          <w:rFonts w:hint="eastAsia" w:ascii="宋体" w:hAnsi="宋体" w:cs="黑体"/>
          <w:color w:val="auto"/>
          <w:sz w:val="32"/>
          <w:szCs w:val="32"/>
          <w:u w:val="none"/>
          <w:lang w:val="en-US" w:eastAsia="zh-CN"/>
        </w:rPr>
        <w:t>7</w:t>
      </w:r>
      <w:r>
        <w:rPr>
          <w:rFonts w:hint="eastAsia" w:ascii="宋体" w:hAnsi="宋体" w:cs="黑体"/>
          <w:color w:val="auto"/>
          <w:sz w:val="32"/>
          <w:szCs w:val="32"/>
          <w:u w:val="none"/>
        </w:rPr>
        <w:t>、文化旅游体育与传媒支出（类）新闻出版电影（款）</w:t>
      </w:r>
      <w:r>
        <w:rPr>
          <w:rFonts w:hint="eastAsia" w:ascii="宋体" w:hAnsi="宋体" w:cs="黑体"/>
          <w:color w:val="auto"/>
          <w:sz w:val="32"/>
          <w:szCs w:val="32"/>
          <w:u w:val="none"/>
          <w:lang w:eastAsia="zh-CN"/>
        </w:rPr>
        <w:t>出版发行</w:t>
      </w:r>
      <w:r>
        <w:rPr>
          <w:rFonts w:hint="eastAsia" w:ascii="宋体" w:hAnsi="宋体" w:cs="黑体"/>
          <w:color w:val="auto"/>
          <w:sz w:val="32"/>
          <w:szCs w:val="32"/>
          <w:u w:val="none"/>
        </w:rPr>
        <w:t>（项）。</w:t>
      </w:r>
    </w:p>
    <w:p w14:paraId="5A9A5C9B">
      <w:pPr>
        <w:pStyle w:val="8"/>
        <w:keepNext w:val="0"/>
        <w:keepLines w:val="0"/>
        <w:pageBreakBefore w:val="0"/>
        <w:widowControl/>
        <w:shd w:val="clear" w:color="auto" w:fill="FFFFFF"/>
        <w:kinsoku/>
        <w:wordWrap/>
        <w:overflowPunct/>
        <w:topLinePunct w:val="0"/>
        <w:bidi w:val="0"/>
        <w:snapToGrid/>
        <w:spacing w:before="225" w:beforeAutospacing="0" w:afterAutospacing="0" w:line="240" w:lineRule="auto"/>
        <w:ind w:firstLine="800"/>
        <w:textAlignment w:val="baseline"/>
        <w:rPr>
          <w:rFonts w:hint="eastAsia" w:ascii="宋体" w:hAnsi="宋体" w:cs="黑体"/>
          <w:color w:val="auto"/>
          <w:sz w:val="32"/>
          <w:szCs w:val="32"/>
          <w:u w:val="none"/>
        </w:rPr>
      </w:pPr>
      <w:r>
        <w:rPr>
          <w:rFonts w:hint="eastAsia" w:ascii="宋体" w:hAnsi="宋体" w:cs="黑体"/>
          <w:color w:val="auto"/>
          <w:sz w:val="32"/>
          <w:szCs w:val="32"/>
          <w:u w:val="none"/>
        </w:rPr>
        <w:t>年初预算为</w:t>
      </w:r>
      <w:r>
        <w:rPr>
          <w:rFonts w:ascii="宋体" w:cs="黑体"/>
          <w:color w:val="auto"/>
          <w:sz w:val="32"/>
          <w:szCs w:val="32"/>
          <w:u w:val="none"/>
        </w:rPr>
        <w:t>0</w:t>
      </w:r>
      <w:r>
        <w:rPr>
          <w:rFonts w:hint="eastAsia" w:ascii="宋体" w:hAnsi="宋体" w:cs="黑体"/>
          <w:color w:val="auto"/>
          <w:sz w:val="32"/>
          <w:szCs w:val="32"/>
          <w:u w:val="none"/>
        </w:rPr>
        <w:t>万元，支出决算为</w:t>
      </w:r>
      <w:r>
        <w:rPr>
          <w:rFonts w:hint="eastAsia" w:ascii="宋体" w:hAnsi="宋体" w:cs="黑体"/>
          <w:color w:val="auto"/>
          <w:sz w:val="32"/>
          <w:szCs w:val="32"/>
          <w:u w:val="none"/>
          <w:lang w:val="en-US" w:eastAsia="zh-CN"/>
        </w:rPr>
        <w:t>9</w:t>
      </w:r>
      <w:r>
        <w:rPr>
          <w:rFonts w:hint="eastAsia" w:ascii="宋体" w:hAnsi="宋体" w:cs="黑体"/>
          <w:color w:val="auto"/>
          <w:sz w:val="32"/>
          <w:szCs w:val="32"/>
          <w:u w:val="none"/>
        </w:rPr>
        <w:t>万元，决算数大于年初预算数的主要原因是：该款项主要为</w:t>
      </w:r>
      <w:r>
        <w:rPr>
          <w:rFonts w:hint="eastAsia" w:ascii="宋体" w:hAnsi="宋体" w:cs="黑体"/>
          <w:color w:val="auto"/>
          <w:sz w:val="32"/>
          <w:szCs w:val="32"/>
          <w:u w:val="none"/>
          <w:lang w:eastAsia="zh-CN"/>
        </w:rPr>
        <w:t>财政年中追加</w:t>
      </w:r>
      <w:r>
        <w:rPr>
          <w:rFonts w:hint="eastAsia" w:ascii="宋体" w:hAnsi="宋体" w:cs="黑体"/>
          <w:color w:val="auto"/>
          <w:sz w:val="32"/>
          <w:szCs w:val="32"/>
          <w:u w:val="none"/>
        </w:rPr>
        <w:t>“扫黄打非”有关补助经费，故预决算存在此差异。</w:t>
      </w:r>
    </w:p>
    <w:p w14:paraId="42887DDD">
      <w:pPr>
        <w:pStyle w:val="8"/>
        <w:keepNext w:val="0"/>
        <w:keepLines w:val="0"/>
        <w:pageBreakBefore w:val="0"/>
        <w:widowControl/>
        <w:shd w:val="clear" w:color="auto" w:fill="FFFFFF"/>
        <w:kinsoku/>
        <w:wordWrap/>
        <w:overflowPunct/>
        <w:topLinePunct w:val="0"/>
        <w:bidi w:val="0"/>
        <w:snapToGrid/>
        <w:spacing w:before="225" w:beforeAutospacing="0" w:afterAutospacing="0" w:line="240" w:lineRule="auto"/>
        <w:ind w:firstLine="800"/>
        <w:textAlignment w:val="baseline"/>
        <w:rPr>
          <w:rFonts w:ascii="宋体" w:cs="黑体"/>
          <w:color w:val="auto"/>
          <w:sz w:val="32"/>
          <w:szCs w:val="32"/>
        </w:rPr>
      </w:pPr>
      <w:r>
        <w:rPr>
          <w:rFonts w:hint="eastAsia" w:ascii="宋体" w:hAnsi="宋体" w:cs="黑体"/>
          <w:color w:val="auto"/>
          <w:sz w:val="32"/>
          <w:szCs w:val="32"/>
          <w:lang w:val="en-US" w:eastAsia="zh-CN"/>
        </w:rPr>
        <w:t>8</w:t>
      </w:r>
      <w:r>
        <w:rPr>
          <w:rFonts w:hint="eastAsia" w:ascii="宋体" w:hAnsi="宋体" w:cs="黑体"/>
          <w:color w:val="auto"/>
          <w:sz w:val="32"/>
          <w:szCs w:val="32"/>
        </w:rPr>
        <w:t>、社会保障和就业支出（类）行政事业单位养老支出（款）行政单位离退休（项）。</w:t>
      </w:r>
    </w:p>
    <w:p w14:paraId="3B00A568">
      <w:pPr>
        <w:pStyle w:val="8"/>
        <w:keepNext w:val="0"/>
        <w:keepLines w:val="0"/>
        <w:pageBreakBefore w:val="0"/>
        <w:widowControl/>
        <w:shd w:val="clear" w:color="auto" w:fill="FFFFFF"/>
        <w:kinsoku/>
        <w:wordWrap/>
        <w:overflowPunct/>
        <w:topLinePunct w:val="0"/>
        <w:bidi w:val="0"/>
        <w:snapToGrid/>
        <w:spacing w:before="225" w:beforeAutospacing="0" w:afterAutospacing="0" w:line="240" w:lineRule="auto"/>
        <w:ind w:firstLine="800"/>
        <w:textAlignment w:val="baseline"/>
        <w:rPr>
          <w:rFonts w:hint="eastAsia" w:ascii="宋体" w:hAnsi="宋体" w:cs="黑体"/>
          <w:color w:val="auto"/>
          <w:sz w:val="32"/>
          <w:szCs w:val="32"/>
          <w:highlight w:val="lightGray"/>
          <w:u w:val="none"/>
        </w:rPr>
      </w:pPr>
      <w:r>
        <w:rPr>
          <w:rFonts w:hint="eastAsia" w:ascii="宋体" w:hAnsi="宋体" w:cs="黑体"/>
          <w:color w:val="auto"/>
          <w:sz w:val="32"/>
          <w:szCs w:val="32"/>
          <w:u w:val="none"/>
        </w:rPr>
        <w:t>年初预算为</w:t>
      </w:r>
      <w:r>
        <w:rPr>
          <w:rFonts w:hint="eastAsia" w:ascii="宋体" w:hAnsi="宋体" w:cs="黑体"/>
          <w:color w:val="auto"/>
          <w:sz w:val="32"/>
          <w:szCs w:val="32"/>
          <w:u w:val="none"/>
          <w:lang w:val="en-US" w:eastAsia="zh-CN"/>
        </w:rPr>
        <w:t>0</w:t>
      </w:r>
      <w:r>
        <w:rPr>
          <w:rFonts w:hint="eastAsia" w:ascii="宋体" w:hAnsi="宋体" w:cs="黑体"/>
          <w:color w:val="auto"/>
          <w:sz w:val="32"/>
          <w:szCs w:val="32"/>
          <w:u w:val="none"/>
        </w:rPr>
        <w:t>万元，支出决算为</w:t>
      </w:r>
      <w:r>
        <w:rPr>
          <w:rFonts w:hint="eastAsia" w:ascii="宋体" w:hAnsi="宋体" w:cs="黑体"/>
          <w:color w:val="auto"/>
          <w:sz w:val="32"/>
          <w:szCs w:val="32"/>
          <w:u w:val="none"/>
          <w:lang w:val="en-US" w:eastAsia="zh-CN"/>
        </w:rPr>
        <w:t>75.37</w:t>
      </w:r>
      <w:r>
        <w:rPr>
          <w:rFonts w:hint="eastAsia" w:ascii="宋体" w:hAnsi="宋体" w:cs="黑体"/>
          <w:color w:val="auto"/>
          <w:sz w:val="32"/>
          <w:szCs w:val="32"/>
          <w:u w:val="none"/>
        </w:rPr>
        <w:t>万元，决算数大于年初预算数的主要原因是：</w:t>
      </w:r>
      <w:r>
        <w:rPr>
          <w:rFonts w:hint="eastAsia" w:ascii="宋体" w:hAnsi="宋体" w:cs="黑体"/>
          <w:color w:val="auto"/>
          <w:sz w:val="32"/>
          <w:szCs w:val="32"/>
        </w:rPr>
        <w:t>该款项主要为离退休人员工资及津补贴</w:t>
      </w:r>
      <w:r>
        <w:rPr>
          <w:rFonts w:hint="eastAsia" w:ascii="宋体" w:hAnsi="宋体" w:cs="黑体"/>
          <w:color w:val="auto"/>
          <w:sz w:val="32"/>
          <w:szCs w:val="32"/>
          <w:lang w:eastAsia="zh-CN"/>
        </w:rPr>
        <w:t>，因年初未作为我单位预算下达，</w:t>
      </w:r>
      <w:r>
        <w:rPr>
          <w:rFonts w:hint="eastAsia" w:ascii="宋体" w:hAnsi="宋体" w:cs="黑体"/>
          <w:color w:val="auto"/>
          <w:sz w:val="32"/>
          <w:szCs w:val="32"/>
        </w:rPr>
        <w:t>故预决算存在此差异。</w:t>
      </w:r>
    </w:p>
    <w:p w14:paraId="7CAEC7C6">
      <w:pPr>
        <w:pStyle w:val="8"/>
        <w:keepNext w:val="0"/>
        <w:keepLines w:val="0"/>
        <w:pageBreakBefore w:val="0"/>
        <w:widowControl/>
        <w:shd w:val="clear" w:color="auto" w:fill="FFFFFF"/>
        <w:kinsoku/>
        <w:wordWrap/>
        <w:overflowPunct/>
        <w:topLinePunct w:val="0"/>
        <w:bidi w:val="0"/>
        <w:snapToGrid/>
        <w:spacing w:before="225" w:beforeAutospacing="0" w:afterAutospacing="0" w:line="240" w:lineRule="auto"/>
        <w:ind w:firstLine="800"/>
        <w:textAlignment w:val="baseline"/>
        <w:rPr>
          <w:rFonts w:ascii="宋体" w:cs="黑体"/>
          <w:color w:val="auto"/>
          <w:sz w:val="32"/>
          <w:szCs w:val="32"/>
          <w:u w:val="none"/>
        </w:rPr>
      </w:pPr>
      <w:r>
        <w:rPr>
          <w:rFonts w:ascii="宋体" w:hAnsi="宋体" w:cs="黑体"/>
          <w:color w:val="auto"/>
          <w:sz w:val="32"/>
          <w:szCs w:val="32"/>
          <w:u w:val="none"/>
        </w:rPr>
        <w:t xml:space="preserve"> </w:t>
      </w:r>
      <w:r>
        <w:rPr>
          <w:rFonts w:hint="eastAsia" w:ascii="宋体" w:hAnsi="宋体" w:cs="黑体"/>
          <w:color w:val="auto"/>
          <w:sz w:val="32"/>
          <w:szCs w:val="32"/>
          <w:u w:val="none"/>
          <w:lang w:val="en-US" w:eastAsia="zh-CN"/>
        </w:rPr>
        <w:t>9</w:t>
      </w:r>
      <w:r>
        <w:rPr>
          <w:rFonts w:hint="eastAsia" w:ascii="宋体" w:hAnsi="宋体" w:cs="黑体"/>
          <w:color w:val="auto"/>
          <w:sz w:val="32"/>
          <w:szCs w:val="32"/>
          <w:u w:val="none"/>
        </w:rPr>
        <w:t>、社会保障和就业支出（类）行政事业单位养老支出（款）机关事业单位基本养老保险缴费支出（项）。</w:t>
      </w:r>
    </w:p>
    <w:p w14:paraId="70AF1AF2">
      <w:pPr>
        <w:pStyle w:val="8"/>
        <w:keepNext w:val="0"/>
        <w:keepLines w:val="0"/>
        <w:pageBreakBefore w:val="0"/>
        <w:widowControl/>
        <w:shd w:val="clear" w:color="auto" w:fill="FFFFFF"/>
        <w:kinsoku/>
        <w:wordWrap/>
        <w:overflowPunct/>
        <w:topLinePunct w:val="0"/>
        <w:bidi w:val="0"/>
        <w:snapToGrid/>
        <w:spacing w:before="225" w:beforeAutospacing="0" w:afterAutospacing="0" w:line="240" w:lineRule="auto"/>
        <w:ind w:firstLine="800"/>
        <w:textAlignment w:val="baseline"/>
        <w:rPr>
          <w:rFonts w:hint="eastAsia" w:ascii="宋体" w:hAnsi="宋体" w:cs="黑体"/>
          <w:color w:val="auto"/>
          <w:sz w:val="32"/>
          <w:szCs w:val="32"/>
          <w:u w:val="none"/>
        </w:rPr>
      </w:pPr>
      <w:r>
        <w:rPr>
          <w:rFonts w:hint="eastAsia" w:ascii="宋体" w:hAnsi="宋体" w:cs="黑体"/>
          <w:color w:val="auto"/>
          <w:sz w:val="32"/>
          <w:szCs w:val="32"/>
          <w:u w:val="none"/>
        </w:rPr>
        <w:t>年初预算为</w:t>
      </w:r>
      <w:r>
        <w:rPr>
          <w:rFonts w:hint="eastAsia" w:ascii="宋体" w:cs="黑体"/>
          <w:color w:val="auto"/>
          <w:sz w:val="32"/>
          <w:szCs w:val="32"/>
          <w:u w:val="none"/>
          <w:lang w:val="en-US" w:eastAsia="zh-CN"/>
        </w:rPr>
        <w:t>696.83</w:t>
      </w:r>
      <w:r>
        <w:rPr>
          <w:rFonts w:hint="eastAsia" w:ascii="宋体" w:hAnsi="宋体" w:cs="黑体"/>
          <w:color w:val="auto"/>
          <w:sz w:val="32"/>
          <w:szCs w:val="32"/>
          <w:u w:val="none"/>
        </w:rPr>
        <w:t>万元，支出决算为</w:t>
      </w:r>
      <w:r>
        <w:rPr>
          <w:rFonts w:hint="eastAsia" w:ascii="宋体" w:hAnsi="宋体" w:cs="黑体"/>
          <w:color w:val="auto"/>
          <w:sz w:val="32"/>
          <w:szCs w:val="32"/>
          <w:u w:val="none"/>
          <w:lang w:val="en-US" w:eastAsia="zh-CN"/>
        </w:rPr>
        <w:t>754.35</w:t>
      </w:r>
      <w:r>
        <w:rPr>
          <w:rFonts w:hint="eastAsia" w:ascii="宋体" w:hAnsi="宋体" w:cs="黑体"/>
          <w:color w:val="auto"/>
          <w:sz w:val="32"/>
          <w:szCs w:val="32"/>
          <w:u w:val="none"/>
        </w:rPr>
        <w:t>万元，完成年初预算的</w:t>
      </w:r>
      <w:r>
        <w:rPr>
          <w:rFonts w:hint="eastAsia" w:ascii="宋体" w:hAnsi="宋体" w:cs="黑体"/>
          <w:color w:val="auto"/>
          <w:sz w:val="32"/>
          <w:szCs w:val="32"/>
          <w:u w:val="none"/>
          <w:lang w:val="en-US" w:eastAsia="zh-CN"/>
        </w:rPr>
        <w:t>108.25</w:t>
      </w:r>
      <w:r>
        <w:rPr>
          <w:rFonts w:ascii="宋体" w:hAnsi="宋体" w:cs="黑体"/>
          <w:color w:val="auto"/>
          <w:sz w:val="32"/>
          <w:szCs w:val="32"/>
          <w:u w:val="none"/>
        </w:rPr>
        <w:t>%</w:t>
      </w:r>
      <w:r>
        <w:rPr>
          <w:rFonts w:hint="eastAsia" w:ascii="宋体" w:hAnsi="宋体" w:cs="黑体"/>
          <w:color w:val="auto"/>
          <w:sz w:val="32"/>
          <w:szCs w:val="32"/>
          <w:u w:val="none"/>
        </w:rPr>
        <w:t>，决算数大于年初预算数的主要原因是：该款项为机关事业单位养老保险缴费支出，</w:t>
      </w:r>
      <w:r>
        <w:rPr>
          <w:rFonts w:hint="eastAsia" w:ascii="宋体" w:hAnsi="宋体" w:cs="黑体"/>
          <w:color w:val="auto"/>
          <w:sz w:val="32"/>
          <w:szCs w:val="32"/>
          <w:u w:val="none"/>
          <w:lang w:eastAsia="zh-CN"/>
        </w:rPr>
        <w:t>因养老基数调整致单位养老保险缴费增加</w:t>
      </w:r>
      <w:r>
        <w:rPr>
          <w:rFonts w:hint="eastAsia" w:ascii="宋体" w:hAnsi="宋体" w:cs="黑体"/>
          <w:color w:val="auto"/>
          <w:sz w:val="32"/>
          <w:szCs w:val="32"/>
          <w:u w:val="none"/>
        </w:rPr>
        <w:t>，故预决算存在此差异。</w:t>
      </w:r>
    </w:p>
    <w:p w14:paraId="60DF0B63">
      <w:pPr>
        <w:pStyle w:val="8"/>
        <w:keepNext w:val="0"/>
        <w:keepLines w:val="0"/>
        <w:pageBreakBefore w:val="0"/>
        <w:widowControl/>
        <w:shd w:val="clear" w:color="auto" w:fill="FFFFFF"/>
        <w:kinsoku/>
        <w:wordWrap/>
        <w:overflowPunct/>
        <w:topLinePunct w:val="0"/>
        <w:bidi w:val="0"/>
        <w:snapToGrid/>
        <w:spacing w:before="225" w:beforeAutospacing="0" w:afterAutospacing="0" w:line="240" w:lineRule="auto"/>
        <w:ind w:firstLine="800"/>
        <w:textAlignment w:val="baseline"/>
        <w:rPr>
          <w:rFonts w:hint="eastAsia" w:ascii="宋体" w:hAnsi="宋体" w:cs="黑体"/>
          <w:color w:val="auto"/>
          <w:sz w:val="32"/>
          <w:szCs w:val="32"/>
          <w:u w:val="none"/>
        </w:rPr>
      </w:pPr>
      <w:r>
        <w:rPr>
          <w:rFonts w:hint="eastAsia" w:ascii="宋体" w:hAnsi="宋体" w:cs="黑体"/>
          <w:color w:val="auto"/>
          <w:sz w:val="32"/>
          <w:szCs w:val="32"/>
          <w:u w:val="none"/>
          <w:lang w:val="en-US" w:eastAsia="zh-CN"/>
        </w:rPr>
        <w:t>10</w:t>
      </w:r>
      <w:r>
        <w:rPr>
          <w:rFonts w:hint="eastAsia" w:ascii="宋体" w:hAnsi="宋体" w:cs="黑体"/>
          <w:color w:val="auto"/>
          <w:sz w:val="32"/>
          <w:szCs w:val="32"/>
          <w:u w:val="none"/>
        </w:rPr>
        <w:t>、社会保障和就业支出（类）行政事业单位养老支出（款）其他行政事业单位养老支出（项）。</w:t>
      </w:r>
    </w:p>
    <w:p w14:paraId="447DAFDA">
      <w:pPr>
        <w:pStyle w:val="8"/>
        <w:keepNext w:val="0"/>
        <w:keepLines w:val="0"/>
        <w:pageBreakBefore w:val="0"/>
        <w:widowControl/>
        <w:shd w:val="clear" w:color="auto" w:fill="FFFFFF"/>
        <w:kinsoku/>
        <w:wordWrap/>
        <w:overflowPunct/>
        <w:topLinePunct w:val="0"/>
        <w:bidi w:val="0"/>
        <w:snapToGrid/>
        <w:spacing w:before="225" w:beforeAutospacing="0" w:afterAutospacing="0" w:line="240" w:lineRule="auto"/>
        <w:ind w:firstLine="800"/>
        <w:textAlignment w:val="baseline"/>
        <w:rPr>
          <w:rFonts w:hint="eastAsia" w:ascii="宋体" w:hAnsi="宋体" w:cs="黑体"/>
          <w:color w:val="auto"/>
          <w:sz w:val="32"/>
          <w:szCs w:val="32"/>
          <w:u w:val="none"/>
        </w:rPr>
      </w:pPr>
      <w:r>
        <w:rPr>
          <w:rFonts w:hint="eastAsia" w:ascii="宋体" w:hAnsi="宋体" w:cs="黑体"/>
          <w:color w:val="auto"/>
          <w:sz w:val="32"/>
          <w:szCs w:val="32"/>
          <w:u w:val="none"/>
        </w:rPr>
        <w:t>年初预算为0万元，支出决算为</w:t>
      </w:r>
      <w:r>
        <w:rPr>
          <w:rFonts w:hint="eastAsia" w:ascii="宋体" w:hAnsi="宋体" w:cs="黑体"/>
          <w:color w:val="auto"/>
          <w:sz w:val="32"/>
          <w:szCs w:val="32"/>
          <w:u w:val="none"/>
          <w:lang w:val="en-US" w:eastAsia="zh-CN"/>
        </w:rPr>
        <w:t>170.46</w:t>
      </w:r>
      <w:r>
        <w:rPr>
          <w:rFonts w:hint="eastAsia" w:ascii="宋体" w:hAnsi="宋体" w:cs="黑体"/>
          <w:color w:val="auto"/>
          <w:sz w:val="32"/>
          <w:szCs w:val="32"/>
          <w:u w:val="none"/>
        </w:rPr>
        <w:t>万元，决算数大于年初预算数的主要原因是：该款项为离退休人员春节一次性生活补助，为社保科年中下达追加预算，故预决算存在此差异。</w:t>
      </w:r>
    </w:p>
    <w:p w14:paraId="55127A45">
      <w:pPr>
        <w:pStyle w:val="8"/>
        <w:keepNext w:val="0"/>
        <w:keepLines w:val="0"/>
        <w:pageBreakBefore w:val="0"/>
        <w:widowControl/>
        <w:shd w:val="clear" w:color="auto" w:fill="FFFFFF"/>
        <w:kinsoku/>
        <w:wordWrap/>
        <w:overflowPunct/>
        <w:topLinePunct w:val="0"/>
        <w:bidi w:val="0"/>
        <w:snapToGrid/>
        <w:spacing w:before="225" w:beforeAutospacing="0" w:afterAutospacing="0" w:line="240" w:lineRule="auto"/>
        <w:ind w:firstLine="800"/>
        <w:textAlignment w:val="baseline"/>
        <w:rPr>
          <w:rFonts w:ascii="宋体" w:cs="黑体"/>
          <w:color w:val="auto"/>
          <w:sz w:val="32"/>
          <w:szCs w:val="32"/>
          <w:u w:val="none"/>
        </w:rPr>
      </w:pPr>
      <w:r>
        <w:rPr>
          <w:rFonts w:ascii="宋体" w:hAnsi="宋体" w:cs="黑体"/>
          <w:color w:val="auto"/>
          <w:sz w:val="32"/>
          <w:szCs w:val="32"/>
          <w:u w:val="none"/>
        </w:rPr>
        <w:t>1</w:t>
      </w:r>
      <w:r>
        <w:rPr>
          <w:rFonts w:hint="eastAsia" w:ascii="宋体" w:hAnsi="宋体" w:cs="黑体"/>
          <w:color w:val="auto"/>
          <w:sz w:val="32"/>
          <w:szCs w:val="32"/>
          <w:u w:val="none"/>
          <w:lang w:val="en-US" w:eastAsia="zh-CN"/>
        </w:rPr>
        <w:t>1</w:t>
      </w:r>
      <w:r>
        <w:rPr>
          <w:rFonts w:hint="eastAsia" w:ascii="宋体" w:hAnsi="宋体" w:cs="黑体"/>
          <w:color w:val="auto"/>
          <w:sz w:val="32"/>
          <w:szCs w:val="32"/>
          <w:u w:val="none"/>
        </w:rPr>
        <w:t>、卫生健康支出（类）公共卫生（款）</w:t>
      </w:r>
      <w:r>
        <w:rPr>
          <w:rFonts w:ascii="宋体" w:cs="黑体"/>
          <w:color w:val="auto"/>
          <w:sz w:val="32"/>
          <w:szCs w:val="32"/>
          <w:u w:val="none"/>
        </w:rPr>
        <w:t> </w:t>
      </w:r>
      <w:r>
        <w:rPr>
          <w:rFonts w:hint="eastAsia" w:ascii="宋体" w:hAnsi="宋体" w:cs="黑体"/>
          <w:color w:val="auto"/>
          <w:sz w:val="32"/>
          <w:szCs w:val="32"/>
          <w:u w:val="none"/>
        </w:rPr>
        <w:t>突发公共卫生事件应急处理（项）。</w:t>
      </w:r>
    </w:p>
    <w:p w14:paraId="248B4545">
      <w:pPr>
        <w:pStyle w:val="8"/>
        <w:keepNext w:val="0"/>
        <w:keepLines w:val="0"/>
        <w:pageBreakBefore w:val="0"/>
        <w:widowControl/>
        <w:shd w:val="clear" w:color="auto" w:fill="FFFFFF"/>
        <w:kinsoku/>
        <w:wordWrap/>
        <w:overflowPunct/>
        <w:topLinePunct w:val="0"/>
        <w:bidi w:val="0"/>
        <w:snapToGrid/>
        <w:spacing w:before="225" w:beforeAutospacing="0" w:afterAutospacing="0" w:line="240" w:lineRule="auto"/>
        <w:ind w:firstLine="800"/>
        <w:textAlignment w:val="baseline"/>
        <w:rPr>
          <w:rFonts w:hint="eastAsia" w:ascii="宋体" w:hAnsi="宋体" w:cs="黑体"/>
          <w:color w:val="auto"/>
          <w:sz w:val="32"/>
          <w:szCs w:val="32"/>
          <w:u w:val="none"/>
        </w:rPr>
      </w:pPr>
      <w:r>
        <w:rPr>
          <w:rFonts w:hint="eastAsia" w:ascii="宋体" w:hAnsi="宋体" w:cs="黑体"/>
          <w:color w:val="auto"/>
          <w:sz w:val="32"/>
          <w:szCs w:val="32"/>
          <w:u w:val="none"/>
        </w:rPr>
        <w:t>年初预算为</w:t>
      </w:r>
      <w:r>
        <w:rPr>
          <w:rFonts w:ascii="宋体" w:cs="黑体"/>
          <w:color w:val="auto"/>
          <w:sz w:val="32"/>
          <w:szCs w:val="32"/>
          <w:u w:val="none"/>
        </w:rPr>
        <w:t>0</w:t>
      </w:r>
      <w:r>
        <w:rPr>
          <w:rFonts w:hint="eastAsia" w:ascii="宋体" w:hAnsi="宋体" w:cs="黑体"/>
          <w:color w:val="auto"/>
          <w:sz w:val="32"/>
          <w:szCs w:val="32"/>
          <w:u w:val="none"/>
        </w:rPr>
        <w:t>万元，支出决算为</w:t>
      </w:r>
      <w:r>
        <w:rPr>
          <w:rFonts w:hint="eastAsia" w:ascii="宋体" w:hAnsi="宋体" w:cs="黑体"/>
          <w:color w:val="auto"/>
          <w:sz w:val="32"/>
          <w:szCs w:val="32"/>
          <w:u w:val="none"/>
          <w:lang w:val="en-US" w:eastAsia="zh-CN"/>
        </w:rPr>
        <w:t>248.86</w:t>
      </w:r>
      <w:r>
        <w:rPr>
          <w:rFonts w:hint="eastAsia" w:ascii="宋体" w:hAnsi="宋体" w:cs="黑体"/>
          <w:color w:val="auto"/>
          <w:sz w:val="32"/>
          <w:szCs w:val="32"/>
          <w:u w:val="none"/>
        </w:rPr>
        <w:t>万元，决算数大于年初预算数的主要原因是：该款项为</w:t>
      </w:r>
      <w:r>
        <w:rPr>
          <w:rFonts w:hint="eastAsia" w:ascii="宋体" w:hAnsi="宋体" w:cs="黑体"/>
          <w:color w:val="auto"/>
          <w:sz w:val="32"/>
          <w:szCs w:val="32"/>
          <w:u w:val="none"/>
          <w:lang w:eastAsia="zh-CN"/>
        </w:rPr>
        <w:t>财政年中追加新冠疫情专项经费</w:t>
      </w:r>
      <w:r>
        <w:rPr>
          <w:rFonts w:hint="eastAsia" w:ascii="宋体" w:hAnsi="宋体" w:cs="黑体"/>
          <w:color w:val="auto"/>
          <w:sz w:val="32"/>
          <w:szCs w:val="32"/>
          <w:u w:val="none"/>
        </w:rPr>
        <w:t>，故预决算存在此差异。</w:t>
      </w:r>
    </w:p>
    <w:p w14:paraId="5B0D55AE">
      <w:pPr>
        <w:pStyle w:val="8"/>
        <w:keepNext w:val="0"/>
        <w:keepLines w:val="0"/>
        <w:pageBreakBefore w:val="0"/>
        <w:widowControl/>
        <w:shd w:val="clear" w:color="auto" w:fill="FFFFFF"/>
        <w:kinsoku/>
        <w:wordWrap/>
        <w:overflowPunct/>
        <w:topLinePunct w:val="0"/>
        <w:bidi w:val="0"/>
        <w:snapToGrid/>
        <w:spacing w:before="225" w:beforeAutospacing="0" w:afterAutospacing="0" w:line="240" w:lineRule="auto"/>
        <w:ind w:firstLine="800"/>
        <w:textAlignment w:val="baseline"/>
        <w:rPr>
          <w:rFonts w:ascii="宋体" w:cs="黑体"/>
          <w:color w:val="auto"/>
          <w:sz w:val="32"/>
          <w:szCs w:val="32"/>
          <w:u w:val="none"/>
        </w:rPr>
      </w:pPr>
      <w:r>
        <w:rPr>
          <w:rFonts w:ascii="宋体" w:hAnsi="宋体" w:cs="黑体"/>
          <w:color w:val="auto"/>
          <w:sz w:val="32"/>
          <w:szCs w:val="32"/>
          <w:u w:val="none"/>
        </w:rPr>
        <w:t>1</w:t>
      </w:r>
      <w:r>
        <w:rPr>
          <w:rFonts w:hint="eastAsia" w:ascii="宋体" w:hAnsi="宋体" w:cs="黑体"/>
          <w:color w:val="auto"/>
          <w:sz w:val="32"/>
          <w:szCs w:val="32"/>
          <w:u w:val="none"/>
          <w:lang w:val="en-US" w:eastAsia="zh-CN"/>
        </w:rPr>
        <w:t>2</w:t>
      </w:r>
      <w:r>
        <w:rPr>
          <w:rFonts w:hint="eastAsia" w:ascii="宋体" w:hAnsi="宋体" w:cs="黑体"/>
          <w:color w:val="auto"/>
          <w:sz w:val="32"/>
          <w:szCs w:val="32"/>
          <w:u w:val="none"/>
        </w:rPr>
        <w:t>、卫生健康支出（类）行政事业单位医疗（款）</w:t>
      </w:r>
      <w:r>
        <w:rPr>
          <w:rFonts w:ascii="宋体" w:cs="黑体"/>
          <w:color w:val="auto"/>
          <w:sz w:val="32"/>
          <w:szCs w:val="32"/>
          <w:u w:val="none"/>
        </w:rPr>
        <w:t> </w:t>
      </w:r>
      <w:r>
        <w:rPr>
          <w:rFonts w:hint="eastAsia" w:ascii="宋体" w:hAnsi="宋体" w:cs="黑体"/>
          <w:color w:val="auto"/>
          <w:sz w:val="32"/>
          <w:szCs w:val="32"/>
          <w:u w:val="none"/>
        </w:rPr>
        <w:t>行政单位医疗（项）。</w:t>
      </w:r>
    </w:p>
    <w:p w14:paraId="5C433566">
      <w:pPr>
        <w:pStyle w:val="8"/>
        <w:keepNext w:val="0"/>
        <w:keepLines w:val="0"/>
        <w:pageBreakBefore w:val="0"/>
        <w:widowControl/>
        <w:shd w:val="clear" w:color="auto" w:fill="FFFFFF"/>
        <w:kinsoku/>
        <w:wordWrap/>
        <w:overflowPunct/>
        <w:topLinePunct w:val="0"/>
        <w:bidi w:val="0"/>
        <w:snapToGrid/>
        <w:spacing w:before="225" w:beforeAutospacing="0" w:afterAutospacing="0" w:line="240" w:lineRule="auto"/>
        <w:ind w:firstLine="800"/>
        <w:textAlignment w:val="baseline"/>
        <w:rPr>
          <w:rFonts w:hint="eastAsia" w:ascii="宋体" w:hAnsi="宋体" w:cs="黑体"/>
          <w:color w:val="auto"/>
          <w:sz w:val="32"/>
          <w:szCs w:val="32"/>
          <w:u w:val="none"/>
        </w:rPr>
      </w:pPr>
      <w:r>
        <w:rPr>
          <w:rFonts w:hint="eastAsia" w:ascii="宋体" w:hAnsi="宋体" w:cs="黑体"/>
          <w:color w:val="auto"/>
          <w:sz w:val="32"/>
          <w:szCs w:val="32"/>
          <w:u w:val="none"/>
        </w:rPr>
        <w:t>年初预算为</w:t>
      </w:r>
      <w:r>
        <w:rPr>
          <w:rFonts w:hint="eastAsia" w:ascii="宋体" w:hAnsi="宋体" w:cs="黑体"/>
          <w:color w:val="auto"/>
          <w:sz w:val="32"/>
          <w:szCs w:val="32"/>
          <w:u w:val="none"/>
          <w:lang w:val="en-US" w:eastAsia="zh-CN"/>
        </w:rPr>
        <w:t>293.56</w:t>
      </w:r>
      <w:r>
        <w:rPr>
          <w:rFonts w:hint="eastAsia" w:ascii="宋体" w:hAnsi="宋体" w:cs="黑体"/>
          <w:color w:val="auto"/>
          <w:sz w:val="32"/>
          <w:szCs w:val="32"/>
          <w:u w:val="none"/>
        </w:rPr>
        <w:t>万元，支出决算为</w:t>
      </w:r>
      <w:r>
        <w:rPr>
          <w:rFonts w:hint="eastAsia" w:ascii="宋体" w:hAnsi="宋体" w:cs="黑体"/>
          <w:color w:val="auto"/>
          <w:sz w:val="32"/>
          <w:szCs w:val="32"/>
          <w:u w:val="none"/>
          <w:lang w:val="en-US" w:eastAsia="zh-CN"/>
        </w:rPr>
        <w:t>288.78</w:t>
      </w:r>
      <w:r>
        <w:rPr>
          <w:rFonts w:hint="eastAsia" w:ascii="宋体" w:hAnsi="宋体" w:cs="黑体"/>
          <w:color w:val="auto"/>
          <w:sz w:val="32"/>
          <w:szCs w:val="32"/>
          <w:u w:val="none"/>
        </w:rPr>
        <w:t>万元，完成年初预算的</w:t>
      </w:r>
      <w:r>
        <w:rPr>
          <w:rFonts w:hint="eastAsia" w:ascii="宋体" w:hAnsi="宋体" w:cs="黑体"/>
          <w:color w:val="auto"/>
          <w:sz w:val="32"/>
          <w:szCs w:val="32"/>
          <w:u w:val="none"/>
          <w:lang w:val="en-US" w:eastAsia="zh-CN"/>
        </w:rPr>
        <w:t>98.37</w:t>
      </w:r>
      <w:r>
        <w:rPr>
          <w:rFonts w:hint="eastAsia" w:ascii="宋体" w:hAnsi="宋体" w:cs="黑体"/>
          <w:color w:val="auto"/>
          <w:sz w:val="32"/>
          <w:szCs w:val="32"/>
          <w:u w:val="none"/>
        </w:rPr>
        <w:t>%，决算数</w:t>
      </w:r>
      <w:r>
        <w:rPr>
          <w:rFonts w:hint="eastAsia" w:ascii="宋体" w:hAnsi="宋体" w:cs="黑体"/>
          <w:color w:val="auto"/>
          <w:sz w:val="32"/>
          <w:szCs w:val="32"/>
          <w:u w:val="none"/>
          <w:lang w:eastAsia="zh-CN"/>
        </w:rPr>
        <w:t>小于</w:t>
      </w:r>
      <w:r>
        <w:rPr>
          <w:rFonts w:hint="eastAsia" w:ascii="宋体" w:hAnsi="宋体" w:cs="黑体"/>
          <w:color w:val="auto"/>
          <w:sz w:val="32"/>
          <w:szCs w:val="32"/>
          <w:u w:val="none"/>
        </w:rPr>
        <w:t>年初预算数的主要原因是：该款项为行政事业单位配套基本医保，</w:t>
      </w:r>
      <w:r>
        <w:rPr>
          <w:rFonts w:hint="eastAsia" w:ascii="宋体" w:hAnsi="宋体" w:cs="黑体"/>
          <w:color w:val="auto"/>
          <w:sz w:val="32"/>
          <w:szCs w:val="32"/>
          <w:u w:val="none"/>
          <w:lang w:eastAsia="zh-CN"/>
        </w:rPr>
        <w:t>因支付流程原因，造成当年有</w:t>
      </w:r>
      <w:r>
        <w:rPr>
          <w:rFonts w:hint="eastAsia" w:ascii="宋体" w:hAnsi="宋体" w:cs="黑体"/>
          <w:color w:val="auto"/>
          <w:sz w:val="32"/>
          <w:szCs w:val="32"/>
          <w:u w:val="none"/>
          <w:lang w:val="en-US" w:eastAsia="zh-CN"/>
        </w:rPr>
        <w:t>4.78万元结余</w:t>
      </w:r>
      <w:r>
        <w:rPr>
          <w:rFonts w:hint="eastAsia" w:ascii="宋体" w:hAnsi="宋体" w:cs="黑体"/>
          <w:color w:val="auto"/>
          <w:sz w:val="32"/>
          <w:szCs w:val="32"/>
          <w:u w:val="none"/>
        </w:rPr>
        <w:t>，故预决算存在此差异。</w:t>
      </w:r>
    </w:p>
    <w:p w14:paraId="09D9F666">
      <w:pPr>
        <w:pStyle w:val="8"/>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240" w:lineRule="auto"/>
        <w:ind w:firstLine="640" w:firstLineChars="200"/>
        <w:textAlignment w:val="baseline"/>
        <w:rPr>
          <w:rFonts w:hint="eastAsia" w:ascii="宋体" w:hAnsi="宋体" w:cs="黑体"/>
          <w:color w:val="auto"/>
          <w:sz w:val="32"/>
          <w:szCs w:val="32"/>
          <w:u w:val="none"/>
        </w:rPr>
      </w:pPr>
      <w:r>
        <w:rPr>
          <w:rFonts w:hint="eastAsia" w:ascii="宋体" w:hAnsi="宋体" w:cs="黑体"/>
          <w:color w:val="auto"/>
          <w:sz w:val="32"/>
          <w:szCs w:val="32"/>
          <w:u w:val="none"/>
        </w:rPr>
        <w:t>13、卫生健康支出（类）医疗救助（款）其他医疗救助支出（项）</w:t>
      </w:r>
    </w:p>
    <w:p w14:paraId="48712A65">
      <w:pPr>
        <w:pStyle w:val="8"/>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240" w:lineRule="auto"/>
        <w:ind w:firstLine="640" w:firstLineChars="200"/>
        <w:textAlignment w:val="baseline"/>
        <w:rPr>
          <w:rFonts w:hint="eastAsia" w:ascii="宋体" w:hAnsi="宋体" w:cs="黑体"/>
          <w:color w:val="auto"/>
          <w:sz w:val="32"/>
          <w:szCs w:val="32"/>
          <w:u w:val="none"/>
        </w:rPr>
      </w:pPr>
      <w:r>
        <w:rPr>
          <w:rFonts w:hint="eastAsia" w:ascii="宋体" w:hAnsi="宋体" w:cs="黑体"/>
          <w:color w:val="auto"/>
          <w:sz w:val="32"/>
          <w:szCs w:val="32"/>
          <w:u w:val="none"/>
        </w:rPr>
        <w:t>年初预算为</w:t>
      </w:r>
      <w:r>
        <w:rPr>
          <w:rFonts w:hint="eastAsia" w:ascii="宋体" w:hAnsi="宋体" w:cs="黑体"/>
          <w:color w:val="auto"/>
          <w:sz w:val="32"/>
          <w:szCs w:val="32"/>
          <w:u w:val="none"/>
          <w:lang w:val="en-US" w:eastAsia="zh-CN"/>
        </w:rPr>
        <w:t>0</w:t>
      </w:r>
      <w:r>
        <w:rPr>
          <w:rFonts w:hint="eastAsia" w:ascii="宋体" w:hAnsi="宋体" w:cs="黑体"/>
          <w:color w:val="auto"/>
          <w:sz w:val="32"/>
          <w:szCs w:val="32"/>
          <w:u w:val="none"/>
        </w:rPr>
        <w:t>万元，支出决算为</w:t>
      </w:r>
      <w:r>
        <w:rPr>
          <w:rFonts w:hint="eastAsia" w:ascii="宋体" w:hAnsi="宋体" w:cs="黑体"/>
          <w:color w:val="auto"/>
          <w:sz w:val="32"/>
          <w:szCs w:val="32"/>
          <w:u w:val="none"/>
          <w:lang w:val="en-US" w:eastAsia="zh-CN"/>
        </w:rPr>
        <w:t>2</w:t>
      </w:r>
      <w:r>
        <w:rPr>
          <w:rFonts w:hint="eastAsia" w:ascii="宋体" w:hAnsi="宋体" w:cs="黑体"/>
          <w:color w:val="auto"/>
          <w:sz w:val="32"/>
          <w:szCs w:val="32"/>
          <w:u w:val="none"/>
        </w:rPr>
        <w:t>万元，决算数</w:t>
      </w:r>
      <w:r>
        <w:rPr>
          <w:rFonts w:hint="eastAsia" w:ascii="宋体" w:hAnsi="宋体" w:cs="黑体"/>
          <w:color w:val="auto"/>
          <w:sz w:val="32"/>
          <w:szCs w:val="32"/>
          <w:u w:val="none"/>
          <w:lang w:eastAsia="zh-CN"/>
        </w:rPr>
        <w:t>大于</w:t>
      </w:r>
      <w:r>
        <w:rPr>
          <w:rFonts w:hint="eastAsia" w:ascii="宋体" w:hAnsi="宋体" w:cs="黑体"/>
          <w:color w:val="auto"/>
          <w:sz w:val="32"/>
          <w:szCs w:val="32"/>
          <w:u w:val="none"/>
        </w:rPr>
        <w:t>年初预算数的主要原因是：该款项为</w:t>
      </w:r>
      <w:r>
        <w:rPr>
          <w:rFonts w:hint="eastAsia" w:ascii="宋体" w:hAnsi="宋体" w:cs="黑体"/>
          <w:color w:val="auto"/>
          <w:sz w:val="32"/>
          <w:szCs w:val="32"/>
          <w:u w:val="none"/>
          <w:lang w:eastAsia="zh-CN"/>
        </w:rPr>
        <w:t>财政年中追加唐松平医疗救助补助</w:t>
      </w:r>
      <w:r>
        <w:rPr>
          <w:rFonts w:hint="eastAsia" w:ascii="宋体" w:hAnsi="宋体" w:cs="黑体"/>
          <w:color w:val="auto"/>
          <w:sz w:val="32"/>
          <w:szCs w:val="32"/>
          <w:u w:val="none"/>
        </w:rPr>
        <w:t>，故预决算存在此差异。</w:t>
      </w:r>
    </w:p>
    <w:p w14:paraId="6D879699">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六、一般公共预算财政拨款基本支出决算情况说明</w:t>
      </w:r>
    </w:p>
    <w:p w14:paraId="20921CEE">
      <w:pPr>
        <w:pStyle w:val="13"/>
        <w:ind w:firstLine="640" w:firstLineChars="200"/>
        <w:rPr>
          <w:rFonts w:hint="eastAsia" w:ascii="宋体" w:hAnsi="宋体" w:eastAsia="宋体"/>
          <w:color w:val="auto"/>
          <w:sz w:val="32"/>
          <w:szCs w:val="32"/>
        </w:rPr>
      </w:pPr>
      <w:r>
        <w:rPr>
          <w:rFonts w:hint="eastAsia" w:ascii="宋体" w:hAnsi="宋体" w:eastAsia="宋体"/>
          <w:color w:val="auto"/>
          <w:sz w:val="32"/>
          <w:szCs w:val="32"/>
          <w:lang w:eastAsia="zh-CN"/>
        </w:rPr>
        <w:t>2023</w:t>
      </w:r>
      <w:r>
        <w:rPr>
          <w:rFonts w:hint="eastAsia" w:ascii="宋体" w:hAnsi="宋体" w:eastAsia="宋体"/>
          <w:color w:val="auto"/>
          <w:sz w:val="32"/>
          <w:szCs w:val="32"/>
        </w:rPr>
        <w:t>年度财政拨款基本支出</w:t>
      </w:r>
      <w:r>
        <w:rPr>
          <w:rFonts w:hint="eastAsia" w:ascii="宋体" w:hAnsi="宋体" w:eastAsia="宋体"/>
          <w:color w:val="auto"/>
          <w:sz w:val="32"/>
          <w:szCs w:val="32"/>
          <w:lang w:val="en-US" w:eastAsia="zh-CN"/>
        </w:rPr>
        <w:t>8333.06</w:t>
      </w:r>
      <w:r>
        <w:rPr>
          <w:rFonts w:hint="eastAsia" w:ascii="宋体" w:hAnsi="宋体" w:eastAsia="宋体"/>
          <w:color w:val="auto"/>
          <w:sz w:val="32"/>
          <w:szCs w:val="32"/>
        </w:rPr>
        <w:t>万元，其中：</w:t>
      </w:r>
    </w:p>
    <w:p w14:paraId="3746BD67">
      <w:pPr>
        <w:pStyle w:val="13"/>
        <w:ind w:firstLine="640" w:firstLineChars="200"/>
        <w:rPr>
          <w:rFonts w:hint="eastAsia" w:ascii="宋体" w:hAnsi="宋体" w:eastAsia="宋体"/>
          <w:color w:val="auto"/>
          <w:sz w:val="32"/>
          <w:szCs w:val="32"/>
        </w:rPr>
      </w:pPr>
      <w:r>
        <w:rPr>
          <w:rFonts w:hint="eastAsia" w:ascii="宋体" w:hAnsi="宋体" w:eastAsia="宋体"/>
          <w:color w:val="auto"/>
          <w:sz w:val="32"/>
          <w:szCs w:val="32"/>
        </w:rPr>
        <w:t>人员经费</w:t>
      </w:r>
      <w:r>
        <w:rPr>
          <w:rFonts w:hint="eastAsia" w:ascii="宋体" w:hAnsi="宋体" w:eastAsia="宋体"/>
          <w:color w:val="auto"/>
          <w:sz w:val="32"/>
          <w:szCs w:val="32"/>
          <w:lang w:val="en-US" w:eastAsia="zh-CN"/>
        </w:rPr>
        <w:t>7159.73</w:t>
      </w:r>
      <w:r>
        <w:rPr>
          <w:rFonts w:hint="eastAsia" w:ascii="宋体" w:hAnsi="宋体" w:eastAsia="宋体"/>
          <w:color w:val="auto"/>
          <w:sz w:val="32"/>
          <w:szCs w:val="32"/>
        </w:rPr>
        <w:t>万元，占基本支出的</w:t>
      </w:r>
      <w:r>
        <w:rPr>
          <w:rFonts w:hint="eastAsia" w:ascii="宋体" w:hAnsi="宋体" w:eastAsia="宋体"/>
          <w:color w:val="auto"/>
          <w:sz w:val="32"/>
          <w:szCs w:val="32"/>
          <w:lang w:val="en-US" w:eastAsia="zh-CN"/>
        </w:rPr>
        <w:t>85.92</w:t>
      </w:r>
      <w:r>
        <w:rPr>
          <w:rFonts w:ascii="宋体" w:hAnsi="宋体" w:eastAsia="宋体"/>
          <w:color w:val="auto"/>
          <w:sz w:val="32"/>
          <w:szCs w:val="32"/>
        </w:rPr>
        <w:t>%,</w:t>
      </w:r>
      <w:r>
        <w:rPr>
          <w:rFonts w:hint="eastAsia" w:ascii="宋体" w:hAnsi="宋体" w:eastAsia="宋体"/>
          <w:color w:val="auto"/>
          <w:sz w:val="32"/>
          <w:szCs w:val="32"/>
        </w:rPr>
        <w:t>主要包括基本工资、津贴补贴、奖金、伙食补助费、机关事业单位基本养老保险缴费、职工基本医疗保险缴费、其他社会保障缴费、住房公积金、其他工资福利支出、离休费、抚恤金、生活补助、奖励金、其他对个人和家庭的补助等；</w:t>
      </w:r>
    </w:p>
    <w:p w14:paraId="453C0B1A">
      <w:pPr>
        <w:pStyle w:val="13"/>
        <w:ind w:firstLine="640" w:firstLineChars="200"/>
        <w:rPr>
          <w:rFonts w:ascii="宋体" w:hAnsi="宋体" w:eastAsia="宋体"/>
          <w:color w:val="auto"/>
          <w:sz w:val="32"/>
          <w:szCs w:val="32"/>
        </w:rPr>
      </w:pPr>
      <w:r>
        <w:rPr>
          <w:rFonts w:hint="eastAsia" w:ascii="宋体" w:hAnsi="宋体" w:eastAsia="宋体"/>
          <w:color w:val="auto"/>
          <w:sz w:val="32"/>
          <w:szCs w:val="32"/>
        </w:rPr>
        <w:t>公用经费</w:t>
      </w:r>
      <w:r>
        <w:rPr>
          <w:rFonts w:hint="eastAsia" w:ascii="宋体" w:hAnsi="宋体" w:eastAsia="宋体"/>
          <w:color w:val="auto"/>
          <w:sz w:val="32"/>
          <w:szCs w:val="32"/>
          <w:lang w:val="en-US" w:eastAsia="zh-CN"/>
        </w:rPr>
        <w:t>1173.34</w:t>
      </w:r>
      <w:r>
        <w:rPr>
          <w:rFonts w:hint="eastAsia" w:ascii="宋体" w:hAnsi="宋体" w:eastAsia="宋体"/>
          <w:color w:val="auto"/>
          <w:sz w:val="32"/>
          <w:szCs w:val="32"/>
        </w:rPr>
        <w:t>万元，占基本支出的</w:t>
      </w:r>
      <w:r>
        <w:rPr>
          <w:rFonts w:hint="eastAsia" w:ascii="宋体" w:hAnsi="宋体" w:eastAsia="宋体"/>
          <w:color w:val="auto"/>
          <w:sz w:val="32"/>
          <w:szCs w:val="32"/>
          <w:lang w:val="en-US" w:eastAsia="zh-CN"/>
        </w:rPr>
        <w:t>14.08</w:t>
      </w:r>
      <w:r>
        <w:rPr>
          <w:rFonts w:ascii="宋体" w:hAnsi="宋体" w:eastAsia="宋体"/>
          <w:color w:val="auto"/>
          <w:sz w:val="32"/>
          <w:szCs w:val="32"/>
        </w:rPr>
        <w:t>%</w:t>
      </w:r>
      <w:r>
        <w:rPr>
          <w:rFonts w:hint="eastAsia" w:ascii="宋体" w:hAnsi="宋体" w:eastAsia="宋体"/>
          <w:color w:val="auto"/>
          <w:sz w:val="32"/>
          <w:szCs w:val="32"/>
        </w:rPr>
        <w:t>，主要包括办公费、印刷费、水费、电费、邮电费、差旅费、维修（护）费、租赁费、培训费、公务接待费、专用材料费、专用燃料费、劳务费等。</w:t>
      </w:r>
    </w:p>
    <w:p w14:paraId="099ABDB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color w:val="auto"/>
          <w:sz w:val="32"/>
          <w:szCs w:val="32"/>
        </w:rPr>
      </w:pPr>
      <w:r>
        <w:rPr>
          <w:rFonts w:hint="eastAsia" w:ascii="黑体" w:hAnsi="黑体" w:eastAsia="黑体" w:cs="黑体"/>
          <w:b w:val="0"/>
          <w:bCs/>
          <w:color w:val="auto"/>
          <w:sz w:val="32"/>
          <w:szCs w:val="32"/>
        </w:rPr>
        <w:t>七、财政拨款三公经费支出决算情况说明</w:t>
      </w:r>
    </w:p>
    <w:p w14:paraId="0300560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color w:val="auto"/>
          <w:sz w:val="32"/>
          <w:szCs w:val="32"/>
        </w:rPr>
      </w:pPr>
      <w:r>
        <w:rPr>
          <w:rFonts w:hint="eastAsia" w:ascii="楷体" w:hAnsi="楷体" w:eastAsia="楷体" w:cs="楷体"/>
          <w:b/>
          <w:bCs w:val="0"/>
          <w:color w:val="auto"/>
          <w:sz w:val="32"/>
          <w:szCs w:val="32"/>
        </w:rPr>
        <w:t>（一）“三公”经费财政拨款支出决算总体情况说明</w:t>
      </w:r>
    </w:p>
    <w:p w14:paraId="5EB77543">
      <w:pPr>
        <w:pStyle w:val="13"/>
        <w:ind w:firstLine="800" w:firstLineChars="250"/>
        <w:rPr>
          <w:rFonts w:ascii="宋体" w:hAnsi="宋体" w:eastAsia="宋体"/>
          <w:color w:val="auto"/>
          <w:sz w:val="32"/>
          <w:szCs w:val="32"/>
        </w:rPr>
      </w:pPr>
      <w:r>
        <w:rPr>
          <w:rFonts w:hint="eastAsia" w:ascii="宋体" w:hAnsi="宋体" w:eastAsia="宋体"/>
          <w:color w:val="auto"/>
          <w:sz w:val="32"/>
          <w:szCs w:val="32"/>
          <w:lang w:eastAsia="zh-CN"/>
        </w:rPr>
        <w:t>2023</w:t>
      </w:r>
      <w:r>
        <w:rPr>
          <w:rFonts w:hint="eastAsia" w:ascii="宋体" w:hAnsi="宋体" w:eastAsia="宋体"/>
          <w:color w:val="auto"/>
          <w:sz w:val="32"/>
          <w:szCs w:val="32"/>
        </w:rPr>
        <w:t>年度“三公”经费财政拨款支出预算为</w:t>
      </w:r>
      <w:r>
        <w:rPr>
          <w:rFonts w:hint="eastAsia" w:ascii="宋体" w:hAnsi="宋体" w:eastAsia="宋体"/>
          <w:color w:val="auto"/>
          <w:sz w:val="32"/>
          <w:szCs w:val="32"/>
          <w:lang w:val="en-US" w:eastAsia="zh-CN"/>
        </w:rPr>
        <w:t>314</w:t>
      </w:r>
      <w:r>
        <w:rPr>
          <w:rFonts w:hint="eastAsia" w:ascii="宋体" w:hAnsi="宋体" w:eastAsia="宋体"/>
          <w:color w:val="auto"/>
          <w:sz w:val="32"/>
          <w:szCs w:val="32"/>
        </w:rPr>
        <w:t>万元，支出决算为</w:t>
      </w:r>
      <w:r>
        <w:rPr>
          <w:rFonts w:hint="eastAsia" w:ascii="宋体" w:hAnsi="宋体" w:eastAsia="宋体"/>
          <w:color w:val="auto"/>
          <w:sz w:val="32"/>
          <w:szCs w:val="32"/>
          <w:lang w:val="en-US" w:eastAsia="zh-CN"/>
        </w:rPr>
        <w:t>314</w:t>
      </w:r>
      <w:r>
        <w:rPr>
          <w:rFonts w:hint="eastAsia" w:ascii="宋体" w:hAnsi="宋体" w:eastAsia="宋体"/>
          <w:color w:val="auto"/>
          <w:sz w:val="32"/>
          <w:szCs w:val="32"/>
        </w:rPr>
        <w:t>万元，完成预算的</w:t>
      </w:r>
      <w:r>
        <w:rPr>
          <w:rFonts w:hint="eastAsia" w:ascii="宋体" w:hAnsi="宋体" w:eastAsia="宋体"/>
          <w:color w:val="auto"/>
          <w:sz w:val="32"/>
          <w:szCs w:val="32"/>
          <w:lang w:val="en-US" w:eastAsia="zh-CN"/>
        </w:rPr>
        <w:t>100</w:t>
      </w:r>
      <w:r>
        <w:rPr>
          <w:rFonts w:ascii="宋体" w:hAnsi="宋体" w:eastAsia="宋体"/>
          <w:color w:val="auto"/>
          <w:sz w:val="32"/>
          <w:szCs w:val="32"/>
        </w:rPr>
        <w:t>%</w:t>
      </w:r>
      <w:r>
        <w:rPr>
          <w:rFonts w:hint="eastAsia" w:ascii="宋体" w:hAnsi="宋体" w:eastAsia="宋体"/>
          <w:color w:val="auto"/>
          <w:sz w:val="32"/>
          <w:szCs w:val="32"/>
        </w:rPr>
        <w:t>，</w:t>
      </w:r>
      <w:r>
        <w:rPr>
          <w:rFonts w:hint="eastAsia" w:ascii="宋体" w:hAnsi="宋体" w:eastAsia="宋体"/>
          <w:color w:val="auto"/>
          <w:sz w:val="32"/>
          <w:szCs w:val="32"/>
          <w:lang w:eastAsia="zh-CN"/>
        </w:rPr>
        <w:t>预决算一致，</w:t>
      </w:r>
      <w:r>
        <w:rPr>
          <w:rFonts w:hint="eastAsia" w:ascii="宋体" w:hAnsi="宋体" w:eastAsia="宋体"/>
          <w:color w:val="auto"/>
          <w:sz w:val="32"/>
          <w:szCs w:val="32"/>
        </w:rPr>
        <w:t>其中：</w:t>
      </w:r>
    </w:p>
    <w:p w14:paraId="43638B86">
      <w:pPr>
        <w:pStyle w:val="8"/>
        <w:widowControl/>
        <w:shd w:val="clear" w:color="auto" w:fill="FFFFFF"/>
        <w:spacing w:before="225" w:beforeAutospacing="0" w:afterAutospacing="0" w:line="600" w:lineRule="exact"/>
        <w:ind w:firstLine="800"/>
        <w:textAlignment w:val="baseline"/>
        <w:rPr>
          <w:rFonts w:hint="eastAsia" w:ascii="宋体" w:hAnsi="宋体" w:cs="黑体"/>
          <w:color w:val="auto"/>
          <w:sz w:val="32"/>
          <w:szCs w:val="32"/>
        </w:rPr>
      </w:pPr>
      <w:r>
        <w:rPr>
          <w:rFonts w:hint="eastAsia" w:ascii="宋体" w:hAnsi="宋体" w:cs="黑体"/>
          <w:color w:val="auto"/>
          <w:sz w:val="32"/>
          <w:szCs w:val="32"/>
        </w:rPr>
        <w:t>因公出国（境）费支出预算为0万元，支出决算为0万元，决算数年初预算数一致，与上年相比持平</w:t>
      </w:r>
      <w:r>
        <w:rPr>
          <w:rFonts w:hint="eastAsia" w:ascii="宋体" w:hAnsi="宋体" w:cs="黑体"/>
          <w:color w:val="auto"/>
          <w:sz w:val="32"/>
          <w:szCs w:val="32"/>
          <w:lang w:eastAsia="zh-CN"/>
        </w:rPr>
        <w:t>，主要原因为我单位一直无此项开支</w:t>
      </w:r>
      <w:r>
        <w:rPr>
          <w:rFonts w:hint="eastAsia" w:ascii="宋体" w:hAnsi="宋体" w:cs="黑体"/>
          <w:color w:val="auto"/>
          <w:sz w:val="32"/>
          <w:szCs w:val="32"/>
        </w:rPr>
        <w:t>。</w:t>
      </w:r>
    </w:p>
    <w:p w14:paraId="122EBB4A">
      <w:pPr>
        <w:pStyle w:val="8"/>
        <w:widowControl/>
        <w:shd w:val="clear" w:color="auto" w:fill="FFFFFF"/>
        <w:spacing w:before="225" w:beforeAutospacing="0" w:afterAutospacing="0" w:line="600" w:lineRule="exact"/>
        <w:ind w:firstLine="800"/>
        <w:textAlignment w:val="baseline"/>
        <w:rPr>
          <w:rFonts w:hint="eastAsia" w:ascii="宋体" w:hAnsi="宋体" w:cs="黑体"/>
          <w:color w:val="auto"/>
          <w:sz w:val="32"/>
          <w:szCs w:val="32"/>
        </w:rPr>
      </w:pPr>
      <w:r>
        <w:rPr>
          <w:rFonts w:hint="eastAsia" w:ascii="宋体" w:hAnsi="宋体" w:cs="黑体"/>
          <w:color w:val="auto"/>
          <w:sz w:val="32"/>
          <w:szCs w:val="32"/>
        </w:rPr>
        <w:t>公务接待费支出预算为</w:t>
      </w:r>
      <w:r>
        <w:rPr>
          <w:rFonts w:hint="eastAsia" w:ascii="宋体" w:hAnsi="宋体" w:cs="黑体"/>
          <w:color w:val="auto"/>
          <w:sz w:val="32"/>
          <w:szCs w:val="32"/>
          <w:lang w:val="en-US" w:eastAsia="zh-CN"/>
        </w:rPr>
        <w:t>0</w:t>
      </w:r>
      <w:r>
        <w:rPr>
          <w:rFonts w:hint="eastAsia" w:ascii="宋体" w:hAnsi="宋体" w:cs="黑体"/>
          <w:color w:val="auto"/>
          <w:sz w:val="32"/>
          <w:szCs w:val="32"/>
        </w:rPr>
        <w:t>万元，支出决算为</w:t>
      </w:r>
      <w:r>
        <w:rPr>
          <w:rFonts w:hint="eastAsia" w:ascii="宋体" w:hAnsi="宋体" w:cs="黑体"/>
          <w:color w:val="auto"/>
          <w:sz w:val="32"/>
          <w:szCs w:val="32"/>
          <w:lang w:val="en-US" w:eastAsia="zh-CN"/>
        </w:rPr>
        <w:t>0</w:t>
      </w:r>
      <w:r>
        <w:rPr>
          <w:rFonts w:hint="eastAsia" w:ascii="宋体" w:hAnsi="宋体" w:cs="黑体"/>
          <w:color w:val="auto"/>
          <w:sz w:val="32"/>
          <w:szCs w:val="32"/>
        </w:rPr>
        <w:t>万元，</w:t>
      </w:r>
      <w:r>
        <w:rPr>
          <w:rFonts w:hint="eastAsia" w:ascii="宋体" w:hAnsi="宋体" w:cs="黑体"/>
          <w:color w:val="auto"/>
          <w:sz w:val="32"/>
          <w:szCs w:val="32"/>
          <w:lang w:eastAsia="zh-CN"/>
        </w:rPr>
        <w:t>预决算持平，主要原因为根据本年实际情况对全年预算数按规定程序调整后与决算持平，</w:t>
      </w:r>
      <w:r>
        <w:rPr>
          <w:rFonts w:hint="eastAsia" w:ascii="宋体" w:hAnsi="宋体" w:cs="黑体"/>
          <w:color w:val="auto"/>
          <w:sz w:val="32"/>
          <w:szCs w:val="32"/>
        </w:rPr>
        <w:t>本年公务接待</w:t>
      </w:r>
      <w:r>
        <w:rPr>
          <w:rFonts w:hint="eastAsia" w:ascii="宋体" w:hAnsi="宋体" w:cs="黑体"/>
          <w:color w:val="auto"/>
          <w:sz w:val="32"/>
          <w:szCs w:val="32"/>
          <w:lang w:eastAsia="zh-CN"/>
        </w:rPr>
        <w:t>未开支</w:t>
      </w:r>
      <w:r>
        <w:rPr>
          <w:rFonts w:hint="eastAsia" w:ascii="宋体" w:hAnsi="宋体" w:cs="黑体"/>
          <w:color w:val="auto"/>
          <w:sz w:val="32"/>
          <w:szCs w:val="32"/>
        </w:rPr>
        <w:t>。与上年相比</w:t>
      </w:r>
      <w:r>
        <w:rPr>
          <w:rFonts w:hint="eastAsia" w:ascii="宋体" w:hAnsi="宋体" w:cs="黑体"/>
          <w:color w:val="auto"/>
          <w:sz w:val="32"/>
          <w:szCs w:val="32"/>
          <w:lang w:eastAsia="zh-CN"/>
        </w:rPr>
        <w:t>减少</w:t>
      </w:r>
      <w:r>
        <w:rPr>
          <w:rFonts w:hint="eastAsia" w:ascii="宋体" w:hAnsi="宋体" w:cs="黑体"/>
          <w:color w:val="auto"/>
          <w:sz w:val="32"/>
          <w:szCs w:val="32"/>
          <w:lang w:val="en-US" w:eastAsia="zh-CN"/>
        </w:rPr>
        <w:t>0.71</w:t>
      </w:r>
      <w:r>
        <w:rPr>
          <w:rFonts w:hint="eastAsia" w:ascii="宋体" w:hAnsi="宋体" w:cs="黑体"/>
          <w:color w:val="auto"/>
          <w:sz w:val="32"/>
          <w:szCs w:val="32"/>
        </w:rPr>
        <w:t>万元,主要原因为本年本年公务接待</w:t>
      </w:r>
      <w:r>
        <w:rPr>
          <w:rFonts w:hint="eastAsia" w:ascii="宋体" w:hAnsi="宋体" w:cs="黑体"/>
          <w:color w:val="auto"/>
          <w:sz w:val="32"/>
          <w:szCs w:val="32"/>
          <w:lang w:eastAsia="zh-CN"/>
        </w:rPr>
        <w:t>未开支</w:t>
      </w:r>
      <w:r>
        <w:rPr>
          <w:rFonts w:hint="eastAsia" w:ascii="宋体" w:hAnsi="宋体" w:cs="黑体"/>
          <w:color w:val="auto"/>
          <w:sz w:val="32"/>
          <w:szCs w:val="32"/>
        </w:rPr>
        <w:t>。</w:t>
      </w:r>
    </w:p>
    <w:p w14:paraId="1C8F5998">
      <w:pPr>
        <w:pStyle w:val="8"/>
        <w:widowControl/>
        <w:shd w:val="clear" w:color="auto" w:fill="FFFFFF"/>
        <w:spacing w:before="225" w:beforeAutospacing="0" w:afterAutospacing="0" w:line="600" w:lineRule="exact"/>
        <w:ind w:firstLine="800"/>
        <w:textAlignment w:val="baseline"/>
        <w:rPr>
          <w:rFonts w:hint="eastAsia" w:ascii="宋体" w:hAnsi="宋体" w:cs="黑体"/>
          <w:color w:val="auto"/>
          <w:sz w:val="32"/>
          <w:szCs w:val="32"/>
        </w:rPr>
      </w:pPr>
      <w:r>
        <w:rPr>
          <w:rFonts w:hint="eastAsia" w:ascii="宋体" w:hAnsi="宋体" w:cs="黑体"/>
          <w:color w:val="auto"/>
          <w:sz w:val="32"/>
          <w:szCs w:val="32"/>
        </w:rPr>
        <w:t>公务用车购置费支出预算数</w:t>
      </w:r>
      <w:r>
        <w:rPr>
          <w:rFonts w:hint="eastAsia" w:ascii="宋体" w:hAnsi="宋体" w:cs="黑体"/>
          <w:color w:val="auto"/>
          <w:sz w:val="32"/>
          <w:szCs w:val="32"/>
          <w:lang w:val="en-US" w:eastAsia="zh-CN"/>
        </w:rPr>
        <w:t>0</w:t>
      </w:r>
      <w:r>
        <w:rPr>
          <w:rFonts w:hint="eastAsia" w:ascii="宋体" w:hAnsi="宋体" w:cs="黑体"/>
          <w:color w:val="auto"/>
          <w:sz w:val="32"/>
          <w:szCs w:val="32"/>
        </w:rPr>
        <w:t>万元,支出决算数为</w:t>
      </w:r>
      <w:r>
        <w:rPr>
          <w:rFonts w:hint="eastAsia" w:ascii="宋体" w:hAnsi="宋体" w:cs="黑体"/>
          <w:color w:val="auto"/>
          <w:sz w:val="32"/>
          <w:szCs w:val="32"/>
          <w:lang w:val="en-US" w:eastAsia="zh-CN"/>
        </w:rPr>
        <w:t>0</w:t>
      </w:r>
      <w:r>
        <w:rPr>
          <w:rFonts w:hint="eastAsia" w:ascii="宋体" w:hAnsi="宋体" w:cs="黑体"/>
          <w:color w:val="auto"/>
          <w:sz w:val="32"/>
          <w:szCs w:val="32"/>
        </w:rPr>
        <w:t>万元,</w:t>
      </w:r>
      <w:r>
        <w:rPr>
          <w:rFonts w:hint="eastAsia" w:ascii="宋体" w:hAnsi="宋体" w:cs="黑体"/>
          <w:color w:val="auto"/>
          <w:sz w:val="32"/>
          <w:szCs w:val="32"/>
          <w:lang w:eastAsia="zh-CN"/>
        </w:rPr>
        <w:t>预决算持平，主要原因为根据本年实际情况对全年预算数按规定程序调整后与决算持平，</w:t>
      </w:r>
      <w:r>
        <w:rPr>
          <w:rFonts w:hint="eastAsia" w:ascii="宋体" w:hAnsi="宋体" w:cs="黑体"/>
          <w:color w:val="auto"/>
          <w:sz w:val="32"/>
          <w:szCs w:val="32"/>
        </w:rPr>
        <w:t>本年</w:t>
      </w:r>
      <w:r>
        <w:rPr>
          <w:rFonts w:hint="eastAsia" w:ascii="宋体" w:hAnsi="宋体" w:cs="黑体"/>
          <w:color w:val="auto"/>
          <w:sz w:val="32"/>
          <w:szCs w:val="32"/>
          <w:lang w:eastAsia="zh-CN"/>
        </w:rPr>
        <w:t>无公务用车购置开支</w:t>
      </w:r>
      <w:r>
        <w:rPr>
          <w:rFonts w:hint="eastAsia" w:ascii="宋体" w:hAnsi="宋体" w:cs="黑体"/>
          <w:color w:val="auto"/>
          <w:sz w:val="32"/>
          <w:szCs w:val="32"/>
        </w:rPr>
        <w:t>。与上年相比</w:t>
      </w:r>
      <w:r>
        <w:rPr>
          <w:rFonts w:hint="eastAsia" w:ascii="宋体" w:hAnsi="宋体" w:cs="黑体"/>
          <w:color w:val="auto"/>
          <w:sz w:val="32"/>
          <w:szCs w:val="32"/>
          <w:lang w:eastAsia="zh-CN"/>
        </w:rPr>
        <w:t>减少</w:t>
      </w:r>
      <w:r>
        <w:rPr>
          <w:rFonts w:hint="eastAsia" w:ascii="宋体" w:hAnsi="宋体" w:cs="黑体"/>
          <w:color w:val="auto"/>
          <w:sz w:val="32"/>
          <w:szCs w:val="32"/>
          <w:lang w:val="en-US" w:eastAsia="zh-CN"/>
        </w:rPr>
        <w:t>281.77</w:t>
      </w:r>
      <w:r>
        <w:rPr>
          <w:rFonts w:hint="eastAsia" w:ascii="宋体" w:hAnsi="宋体" w:cs="黑体"/>
          <w:color w:val="auto"/>
          <w:sz w:val="32"/>
          <w:szCs w:val="32"/>
        </w:rPr>
        <w:t>万元，</w:t>
      </w:r>
      <w:r>
        <w:rPr>
          <w:rFonts w:hint="eastAsia" w:ascii="宋体" w:hAnsi="宋体" w:cs="黑体"/>
          <w:color w:val="auto"/>
          <w:sz w:val="32"/>
          <w:szCs w:val="32"/>
          <w:lang w:eastAsia="zh-CN"/>
        </w:rPr>
        <w:t>减少</w:t>
      </w:r>
      <w:r>
        <w:rPr>
          <w:rFonts w:hint="eastAsia" w:ascii="宋体" w:hAnsi="宋体" w:cs="黑体"/>
          <w:color w:val="auto"/>
          <w:sz w:val="32"/>
          <w:szCs w:val="32"/>
        </w:rPr>
        <w:t>的主要原因</w:t>
      </w:r>
      <w:r>
        <w:rPr>
          <w:rFonts w:hint="eastAsia" w:ascii="宋体" w:hAnsi="宋体" w:cs="黑体"/>
          <w:color w:val="auto"/>
          <w:sz w:val="32"/>
          <w:szCs w:val="32"/>
          <w:lang w:eastAsia="zh-CN"/>
        </w:rPr>
        <w:t>本年基层所队无执勤执法车辆以旧换新，故无公务用车购置开支</w:t>
      </w:r>
      <w:r>
        <w:rPr>
          <w:rFonts w:hint="eastAsia" w:ascii="宋体" w:hAnsi="宋体" w:cs="黑体"/>
          <w:color w:val="auto"/>
          <w:sz w:val="32"/>
          <w:szCs w:val="32"/>
        </w:rPr>
        <w:t>。</w:t>
      </w:r>
    </w:p>
    <w:p w14:paraId="406FFA0E">
      <w:pPr>
        <w:spacing w:line="520" w:lineRule="exact"/>
        <w:ind w:firstLine="672" w:firstLineChars="210"/>
        <w:jc w:val="left"/>
        <w:rPr>
          <w:rFonts w:ascii="宋体"/>
          <w:color w:val="auto"/>
          <w:sz w:val="32"/>
          <w:szCs w:val="32"/>
        </w:rPr>
      </w:pPr>
      <w:r>
        <w:rPr>
          <w:rFonts w:hint="eastAsia" w:ascii="宋体" w:hAnsi="宋体" w:eastAsia="宋体" w:cs="黑体"/>
          <w:color w:val="auto"/>
          <w:kern w:val="0"/>
          <w:sz w:val="32"/>
          <w:szCs w:val="32"/>
          <w:lang w:val="en-US" w:eastAsia="zh-CN" w:bidi="ar-SA"/>
        </w:rPr>
        <w:t>公车运行维护费支出预算为</w:t>
      </w:r>
      <w:r>
        <w:rPr>
          <w:rFonts w:hint="eastAsia" w:ascii="宋体" w:hAnsi="宋体" w:cs="黑体"/>
          <w:color w:val="auto"/>
          <w:kern w:val="0"/>
          <w:sz w:val="32"/>
          <w:szCs w:val="32"/>
          <w:lang w:val="en-US" w:eastAsia="zh-CN" w:bidi="ar-SA"/>
        </w:rPr>
        <w:t>314</w:t>
      </w:r>
      <w:r>
        <w:rPr>
          <w:rFonts w:hint="eastAsia" w:ascii="宋体" w:hAnsi="宋体" w:eastAsia="宋体" w:cs="黑体"/>
          <w:color w:val="auto"/>
          <w:kern w:val="0"/>
          <w:sz w:val="32"/>
          <w:szCs w:val="32"/>
          <w:lang w:val="en-US" w:eastAsia="zh-CN" w:bidi="ar-SA"/>
        </w:rPr>
        <w:t>万元，支出决算为</w:t>
      </w:r>
      <w:r>
        <w:rPr>
          <w:rFonts w:hint="eastAsia" w:ascii="宋体" w:hAnsi="宋体" w:cs="黑体"/>
          <w:color w:val="auto"/>
          <w:kern w:val="0"/>
          <w:sz w:val="32"/>
          <w:szCs w:val="32"/>
          <w:lang w:val="en-US" w:eastAsia="zh-CN" w:bidi="ar-SA"/>
        </w:rPr>
        <w:t>314</w:t>
      </w:r>
      <w:r>
        <w:rPr>
          <w:rFonts w:hint="eastAsia" w:ascii="宋体" w:hAnsi="宋体" w:eastAsia="宋体" w:cs="黑体"/>
          <w:color w:val="auto"/>
          <w:kern w:val="0"/>
          <w:sz w:val="32"/>
          <w:szCs w:val="32"/>
          <w:lang w:val="en-US" w:eastAsia="zh-CN" w:bidi="ar-SA"/>
        </w:rPr>
        <w:t>万元，完成预算的100%;预决算持平，主要原因为根据本年实际情况对全年预算数按规定程序调整后与决算持平。与上年相比</w:t>
      </w:r>
      <w:r>
        <w:rPr>
          <w:rFonts w:hint="eastAsia" w:ascii="宋体" w:hAnsi="宋体" w:cs="黑体"/>
          <w:color w:val="auto"/>
          <w:kern w:val="0"/>
          <w:sz w:val="32"/>
          <w:szCs w:val="32"/>
          <w:lang w:val="en-US" w:eastAsia="zh-CN" w:bidi="ar-SA"/>
        </w:rPr>
        <w:t>减少23.91</w:t>
      </w:r>
      <w:r>
        <w:rPr>
          <w:rFonts w:hint="eastAsia" w:ascii="宋体" w:hAnsi="宋体" w:eastAsia="宋体" w:cs="黑体"/>
          <w:color w:val="auto"/>
          <w:kern w:val="0"/>
          <w:sz w:val="32"/>
          <w:szCs w:val="32"/>
          <w:lang w:val="en-US" w:eastAsia="zh-CN" w:bidi="ar-SA"/>
        </w:rPr>
        <w:t>万元，</w:t>
      </w:r>
      <w:r>
        <w:rPr>
          <w:rFonts w:hint="eastAsia" w:ascii="宋体" w:hAnsi="宋体" w:cs="黑体"/>
          <w:color w:val="auto"/>
          <w:kern w:val="0"/>
          <w:sz w:val="32"/>
          <w:szCs w:val="32"/>
          <w:lang w:val="en-US" w:eastAsia="zh-CN" w:bidi="ar-SA"/>
        </w:rPr>
        <w:t>减少7.08</w:t>
      </w:r>
      <w:r>
        <w:rPr>
          <w:rFonts w:hint="eastAsia" w:ascii="宋体" w:hAnsi="宋体" w:eastAsia="宋体" w:cs="黑体"/>
          <w:color w:val="auto"/>
          <w:kern w:val="0"/>
          <w:sz w:val="32"/>
          <w:szCs w:val="32"/>
          <w:lang w:val="en-US" w:eastAsia="zh-CN" w:bidi="ar-SA"/>
        </w:rPr>
        <w:t>%,主要原因为</w:t>
      </w:r>
      <w:r>
        <w:rPr>
          <w:rFonts w:hint="eastAsia" w:ascii="宋体" w:hAnsi="宋体" w:cs="黑体"/>
          <w:color w:val="auto"/>
          <w:kern w:val="0"/>
          <w:sz w:val="32"/>
          <w:szCs w:val="32"/>
          <w:lang w:val="en-US" w:eastAsia="zh-CN" w:bidi="ar-SA"/>
        </w:rPr>
        <w:t>本年</w:t>
      </w:r>
      <w:r>
        <w:rPr>
          <w:rFonts w:hint="eastAsia" w:ascii="宋体" w:hAnsi="宋体" w:eastAsia="宋体" w:cs="黑体"/>
          <w:color w:val="auto"/>
          <w:kern w:val="0"/>
          <w:sz w:val="32"/>
          <w:szCs w:val="32"/>
          <w:lang w:val="en-US" w:eastAsia="zh-CN" w:bidi="ar-SA"/>
        </w:rPr>
        <w:t>公车运行维护费支出预算</w:t>
      </w:r>
      <w:r>
        <w:rPr>
          <w:rFonts w:hint="eastAsia" w:ascii="宋体" w:hAnsi="宋体" w:cs="黑体"/>
          <w:color w:val="auto"/>
          <w:kern w:val="0"/>
          <w:sz w:val="32"/>
          <w:szCs w:val="32"/>
          <w:lang w:val="en-US" w:eastAsia="zh-CN" w:bidi="ar-SA"/>
        </w:rPr>
        <w:t>314万元，全年只能开支314万元，故较去年有所减少</w:t>
      </w:r>
      <w:r>
        <w:rPr>
          <w:rFonts w:hint="eastAsia" w:ascii="宋体" w:hAnsi="宋体" w:eastAsia="宋体" w:cs="黑体"/>
          <w:color w:val="auto"/>
          <w:kern w:val="0"/>
          <w:sz w:val="32"/>
          <w:szCs w:val="32"/>
          <w:lang w:val="en-US" w:eastAsia="zh-CN" w:bidi="ar-SA"/>
        </w:rPr>
        <w:t>。</w:t>
      </w:r>
    </w:p>
    <w:p w14:paraId="11C3AFDA">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color w:val="auto"/>
          <w:sz w:val="32"/>
          <w:szCs w:val="32"/>
        </w:rPr>
      </w:pPr>
      <w:r>
        <w:rPr>
          <w:rFonts w:hint="eastAsia" w:ascii="楷体" w:hAnsi="楷体" w:eastAsia="楷体" w:cs="楷体"/>
          <w:b/>
          <w:bCs w:val="0"/>
          <w:color w:val="auto"/>
          <w:sz w:val="32"/>
          <w:szCs w:val="32"/>
        </w:rPr>
        <w:t>（二）“三公”经费财政拨款支出决算具体情况说明</w:t>
      </w:r>
    </w:p>
    <w:p w14:paraId="2B2E408E">
      <w:pPr>
        <w:pStyle w:val="13"/>
        <w:ind w:firstLine="640" w:firstLineChars="200"/>
        <w:rPr>
          <w:rFonts w:ascii="宋体" w:hAnsi="宋体" w:eastAsia="宋体"/>
          <w:color w:val="auto"/>
          <w:sz w:val="32"/>
          <w:szCs w:val="32"/>
        </w:rPr>
      </w:pPr>
      <w:r>
        <w:rPr>
          <w:rFonts w:hint="eastAsia" w:ascii="宋体" w:hAnsi="宋体" w:eastAsia="宋体"/>
          <w:color w:val="auto"/>
          <w:sz w:val="32"/>
          <w:szCs w:val="32"/>
          <w:lang w:eastAsia="zh-CN"/>
        </w:rPr>
        <w:t>2023</w:t>
      </w:r>
      <w:r>
        <w:rPr>
          <w:rFonts w:hint="eastAsia" w:ascii="宋体" w:hAnsi="宋体" w:eastAsia="宋体"/>
          <w:color w:val="auto"/>
          <w:sz w:val="32"/>
          <w:szCs w:val="32"/>
        </w:rPr>
        <w:t>年度“三公”经费财政拨款支出决算中，公务接待费支出决算</w:t>
      </w:r>
      <w:r>
        <w:rPr>
          <w:rFonts w:hint="eastAsia" w:ascii="宋体" w:hAnsi="宋体" w:eastAsia="宋体"/>
          <w:color w:val="auto"/>
          <w:sz w:val="32"/>
          <w:szCs w:val="32"/>
          <w:lang w:val="en-US" w:eastAsia="zh-CN"/>
        </w:rPr>
        <w:t>0</w:t>
      </w:r>
      <w:r>
        <w:rPr>
          <w:rFonts w:hint="eastAsia" w:ascii="宋体" w:hAnsi="宋体" w:eastAsia="宋体"/>
          <w:color w:val="auto"/>
          <w:sz w:val="32"/>
          <w:szCs w:val="32"/>
        </w:rPr>
        <w:t>万元，占</w:t>
      </w:r>
      <w:r>
        <w:rPr>
          <w:rFonts w:hint="eastAsia" w:ascii="宋体" w:hAnsi="宋体" w:eastAsia="宋体"/>
          <w:color w:val="auto"/>
          <w:sz w:val="32"/>
          <w:szCs w:val="32"/>
          <w:lang w:val="en-US" w:eastAsia="zh-CN"/>
        </w:rPr>
        <w:t>0</w:t>
      </w:r>
      <w:r>
        <w:rPr>
          <w:rFonts w:ascii="宋体" w:hAnsi="宋体" w:eastAsia="宋体"/>
          <w:color w:val="auto"/>
          <w:sz w:val="32"/>
          <w:szCs w:val="32"/>
        </w:rPr>
        <w:t>%,</w:t>
      </w:r>
      <w:r>
        <w:rPr>
          <w:rFonts w:hint="eastAsia" w:ascii="宋体" w:hAnsi="宋体" w:eastAsia="宋体"/>
          <w:color w:val="auto"/>
          <w:sz w:val="32"/>
          <w:szCs w:val="32"/>
        </w:rPr>
        <w:t>因公出国（境）费支出决算</w:t>
      </w:r>
      <w:r>
        <w:rPr>
          <w:rFonts w:ascii="宋体" w:hAnsi="宋体" w:eastAsia="宋体"/>
          <w:color w:val="auto"/>
          <w:sz w:val="32"/>
          <w:szCs w:val="32"/>
        </w:rPr>
        <w:t>0</w:t>
      </w:r>
      <w:r>
        <w:rPr>
          <w:rFonts w:hint="eastAsia" w:ascii="宋体" w:hAnsi="宋体" w:eastAsia="宋体"/>
          <w:color w:val="auto"/>
          <w:sz w:val="32"/>
          <w:szCs w:val="32"/>
        </w:rPr>
        <w:t>万元，</w:t>
      </w:r>
      <w:r>
        <w:rPr>
          <w:rFonts w:hint="eastAsia" w:ascii="仿宋" w:hAnsi="仿宋" w:eastAsia="仿宋" w:cs="仿宋"/>
          <w:color w:val="auto"/>
          <w:sz w:val="30"/>
          <w:szCs w:val="30"/>
          <w:shd w:val="clear" w:color="auto" w:fill="FFFFFF"/>
        </w:rPr>
        <w:t>占</w:t>
      </w:r>
      <w:r>
        <w:rPr>
          <w:rFonts w:ascii="仿宋" w:hAnsi="仿宋" w:eastAsia="仿宋" w:cs="仿宋"/>
          <w:color w:val="auto"/>
          <w:sz w:val="30"/>
          <w:szCs w:val="30"/>
          <w:shd w:val="clear" w:color="auto" w:fill="FFFFFF"/>
        </w:rPr>
        <w:t>0%,</w:t>
      </w:r>
      <w:r>
        <w:rPr>
          <w:rFonts w:hint="eastAsia" w:ascii="宋体" w:hAnsi="宋体" w:eastAsia="宋体"/>
          <w:color w:val="auto"/>
          <w:sz w:val="32"/>
          <w:szCs w:val="32"/>
        </w:rPr>
        <w:t>公务用车购置费及运行维护费支出决算</w:t>
      </w:r>
      <w:r>
        <w:rPr>
          <w:rFonts w:hint="eastAsia" w:ascii="宋体" w:hAnsi="宋体" w:eastAsia="宋体"/>
          <w:color w:val="auto"/>
          <w:sz w:val="32"/>
          <w:szCs w:val="32"/>
          <w:lang w:val="en-US" w:eastAsia="zh-CN"/>
        </w:rPr>
        <w:t>314</w:t>
      </w:r>
      <w:r>
        <w:rPr>
          <w:rFonts w:hint="eastAsia" w:ascii="宋体" w:hAnsi="宋体" w:eastAsia="宋体"/>
          <w:color w:val="auto"/>
          <w:sz w:val="32"/>
          <w:szCs w:val="32"/>
        </w:rPr>
        <w:t>万元，占</w:t>
      </w:r>
      <w:r>
        <w:rPr>
          <w:rFonts w:hint="eastAsia" w:ascii="宋体" w:hAnsi="宋体" w:eastAsia="宋体"/>
          <w:color w:val="auto"/>
          <w:sz w:val="32"/>
          <w:szCs w:val="32"/>
          <w:lang w:val="en-US" w:eastAsia="zh-CN"/>
        </w:rPr>
        <w:t>100</w:t>
      </w:r>
      <w:r>
        <w:rPr>
          <w:rFonts w:ascii="宋体" w:hAnsi="宋体" w:eastAsia="宋体"/>
          <w:color w:val="auto"/>
          <w:sz w:val="32"/>
          <w:szCs w:val="32"/>
        </w:rPr>
        <w:t>%</w:t>
      </w:r>
      <w:r>
        <w:rPr>
          <w:rFonts w:hint="eastAsia" w:ascii="宋体" w:hAnsi="宋体" w:eastAsia="宋体"/>
          <w:color w:val="auto"/>
          <w:sz w:val="32"/>
          <w:szCs w:val="32"/>
        </w:rPr>
        <w:t>。其中：</w:t>
      </w:r>
    </w:p>
    <w:p w14:paraId="0590C254">
      <w:pPr>
        <w:pStyle w:val="8"/>
        <w:widowControl/>
        <w:shd w:val="clear" w:color="auto" w:fill="FFFFFF"/>
        <w:spacing w:before="225" w:beforeAutospacing="0" w:afterAutospacing="0" w:line="600" w:lineRule="exact"/>
        <w:ind w:firstLine="640"/>
        <w:textAlignment w:val="baseline"/>
        <w:rPr>
          <w:rFonts w:ascii="宋体" w:cs="黑体"/>
          <w:color w:val="auto"/>
          <w:sz w:val="32"/>
          <w:szCs w:val="32"/>
        </w:rPr>
      </w:pPr>
      <w:r>
        <w:rPr>
          <w:rFonts w:ascii="宋体" w:hAnsi="宋体" w:cs="黑体"/>
          <w:color w:val="auto"/>
          <w:sz w:val="32"/>
          <w:szCs w:val="32"/>
        </w:rPr>
        <w:t>1</w:t>
      </w:r>
      <w:r>
        <w:rPr>
          <w:rFonts w:hint="eastAsia" w:ascii="宋体" w:hAnsi="宋体" w:cs="黑体"/>
          <w:color w:val="auto"/>
          <w:sz w:val="32"/>
          <w:szCs w:val="32"/>
        </w:rPr>
        <w:t>、因公出国（境）费支出决算为</w:t>
      </w:r>
      <w:r>
        <w:rPr>
          <w:rFonts w:ascii="宋体" w:cs="黑体"/>
          <w:color w:val="auto"/>
          <w:sz w:val="32"/>
          <w:szCs w:val="32"/>
        </w:rPr>
        <w:t>0</w:t>
      </w:r>
      <w:r>
        <w:rPr>
          <w:rFonts w:hint="eastAsia" w:ascii="宋体" w:hAnsi="宋体" w:cs="黑体"/>
          <w:color w:val="auto"/>
          <w:sz w:val="32"/>
          <w:szCs w:val="32"/>
        </w:rPr>
        <w:t>万元，全年安排因公出国（境）团组</w:t>
      </w:r>
      <w:r>
        <w:rPr>
          <w:rFonts w:ascii="宋体" w:cs="黑体"/>
          <w:color w:val="auto"/>
          <w:sz w:val="32"/>
          <w:szCs w:val="32"/>
        </w:rPr>
        <w:t>0</w:t>
      </w:r>
      <w:r>
        <w:rPr>
          <w:rFonts w:hint="eastAsia" w:ascii="宋体" w:hAnsi="宋体" w:cs="黑体"/>
          <w:color w:val="auto"/>
          <w:sz w:val="32"/>
          <w:szCs w:val="32"/>
        </w:rPr>
        <w:t>个，累计</w:t>
      </w:r>
      <w:r>
        <w:rPr>
          <w:rFonts w:ascii="宋体" w:cs="黑体"/>
          <w:color w:val="auto"/>
          <w:sz w:val="32"/>
          <w:szCs w:val="32"/>
        </w:rPr>
        <w:t>0</w:t>
      </w:r>
      <w:r>
        <w:rPr>
          <w:rFonts w:hint="eastAsia" w:ascii="宋体" w:hAnsi="宋体" w:cs="黑体"/>
          <w:color w:val="auto"/>
          <w:sz w:val="32"/>
          <w:szCs w:val="32"/>
        </w:rPr>
        <w:t>人次。</w:t>
      </w:r>
    </w:p>
    <w:p w14:paraId="2BA6289E">
      <w:pPr>
        <w:pStyle w:val="8"/>
        <w:widowControl/>
        <w:shd w:val="clear" w:color="auto" w:fill="FFFFFF"/>
        <w:spacing w:before="225" w:beforeAutospacing="0" w:afterAutospacing="0" w:line="600" w:lineRule="exact"/>
        <w:ind w:firstLine="800"/>
        <w:textAlignment w:val="baseline"/>
        <w:rPr>
          <w:rFonts w:ascii="宋体" w:cs="黑体"/>
          <w:color w:val="auto"/>
          <w:sz w:val="32"/>
          <w:szCs w:val="32"/>
        </w:rPr>
      </w:pPr>
      <w:r>
        <w:rPr>
          <w:rFonts w:ascii="宋体" w:hAnsi="宋体" w:cs="黑体"/>
          <w:color w:val="auto"/>
          <w:sz w:val="32"/>
          <w:szCs w:val="32"/>
        </w:rPr>
        <w:t>2</w:t>
      </w:r>
      <w:r>
        <w:rPr>
          <w:rFonts w:hint="eastAsia" w:ascii="宋体" w:hAnsi="宋体" w:cs="黑体"/>
          <w:color w:val="auto"/>
          <w:sz w:val="32"/>
          <w:szCs w:val="32"/>
        </w:rPr>
        <w:t>、公务接待费支出决算为</w:t>
      </w:r>
      <w:r>
        <w:rPr>
          <w:rFonts w:hint="eastAsia" w:ascii="宋体" w:hAnsi="宋体" w:cs="黑体"/>
          <w:color w:val="auto"/>
          <w:sz w:val="32"/>
          <w:szCs w:val="32"/>
          <w:lang w:val="en-US" w:eastAsia="zh-CN"/>
        </w:rPr>
        <w:t>0</w:t>
      </w:r>
      <w:r>
        <w:rPr>
          <w:rFonts w:hint="eastAsia" w:ascii="宋体" w:hAnsi="宋体" w:cs="黑体"/>
          <w:color w:val="auto"/>
          <w:sz w:val="32"/>
          <w:szCs w:val="32"/>
        </w:rPr>
        <w:t>万元，全年共接待来访团组</w:t>
      </w:r>
      <w:r>
        <w:rPr>
          <w:rFonts w:hint="eastAsia" w:ascii="宋体" w:hAnsi="宋体" w:cs="黑体"/>
          <w:color w:val="auto"/>
          <w:sz w:val="32"/>
          <w:szCs w:val="32"/>
          <w:lang w:val="en-US" w:eastAsia="zh-CN"/>
        </w:rPr>
        <w:t>0</w:t>
      </w:r>
      <w:r>
        <w:rPr>
          <w:rFonts w:hint="eastAsia" w:ascii="宋体" w:hAnsi="宋体" w:cs="黑体"/>
          <w:color w:val="auto"/>
          <w:sz w:val="32"/>
          <w:szCs w:val="32"/>
        </w:rPr>
        <w:t>个、来宾</w:t>
      </w:r>
      <w:r>
        <w:rPr>
          <w:rFonts w:hint="eastAsia" w:ascii="宋体" w:hAnsi="宋体" w:cs="黑体"/>
          <w:color w:val="auto"/>
          <w:sz w:val="32"/>
          <w:szCs w:val="32"/>
          <w:lang w:val="en-US" w:eastAsia="zh-CN"/>
        </w:rPr>
        <w:t>0</w:t>
      </w:r>
      <w:r>
        <w:rPr>
          <w:rFonts w:hint="eastAsia" w:ascii="宋体" w:hAnsi="宋体" w:cs="黑体"/>
          <w:color w:val="auto"/>
          <w:sz w:val="32"/>
          <w:szCs w:val="32"/>
        </w:rPr>
        <w:t>人次。</w:t>
      </w:r>
    </w:p>
    <w:p w14:paraId="6A12482B">
      <w:pPr>
        <w:widowControl/>
        <w:shd w:val="clear" w:color="auto" w:fill="FFFFFF"/>
        <w:spacing w:before="225" w:line="600" w:lineRule="exact"/>
        <w:ind w:firstLine="800"/>
        <w:jc w:val="left"/>
        <w:textAlignment w:val="baseline"/>
        <w:rPr>
          <w:rFonts w:ascii="宋体" w:hAnsi="宋体" w:eastAsia="宋体"/>
          <w:color w:val="auto"/>
          <w:sz w:val="32"/>
          <w:szCs w:val="32"/>
          <w:u w:val="none"/>
        </w:rPr>
      </w:pPr>
      <w:r>
        <w:rPr>
          <w:rFonts w:ascii="宋体" w:hAnsi="宋体" w:cs="黑体"/>
          <w:color w:val="auto"/>
          <w:kern w:val="0"/>
          <w:sz w:val="32"/>
          <w:szCs w:val="32"/>
        </w:rPr>
        <w:t>3</w:t>
      </w:r>
      <w:r>
        <w:rPr>
          <w:rFonts w:hint="eastAsia" w:ascii="宋体" w:hAnsi="宋体" w:cs="黑体"/>
          <w:color w:val="auto"/>
          <w:kern w:val="0"/>
          <w:sz w:val="32"/>
          <w:szCs w:val="32"/>
        </w:rPr>
        <w:t>、公务用车购置费及运行维护费支出决算为</w:t>
      </w:r>
      <w:r>
        <w:rPr>
          <w:rFonts w:hint="eastAsia" w:ascii="宋体" w:hAnsi="宋体" w:cs="黑体"/>
          <w:color w:val="auto"/>
          <w:kern w:val="0"/>
          <w:sz w:val="32"/>
          <w:szCs w:val="32"/>
          <w:lang w:val="en-US" w:eastAsia="zh-CN"/>
        </w:rPr>
        <w:t>314</w:t>
      </w:r>
      <w:r>
        <w:rPr>
          <w:rFonts w:hint="eastAsia" w:ascii="宋体" w:hAnsi="宋体" w:cs="黑体"/>
          <w:color w:val="auto"/>
          <w:kern w:val="0"/>
          <w:sz w:val="32"/>
          <w:szCs w:val="32"/>
        </w:rPr>
        <w:t>万元，其中：公务用车购置费</w:t>
      </w:r>
      <w:r>
        <w:rPr>
          <w:rFonts w:hint="eastAsia" w:ascii="宋体" w:hAnsi="宋体" w:cs="黑体"/>
          <w:color w:val="auto"/>
          <w:kern w:val="0"/>
          <w:sz w:val="32"/>
          <w:szCs w:val="32"/>
          <w:lang w:val="en-US" w:eastAsia="zh-CN"/>
        </w:rPr>
        <w:t>0</w:t>
      </w:r>
      <w:r>
        <w:rPr>
          <w:rFonts w:hint="eastAsia" w:ascii="宋体" w:hAnsi="宋体" w:cs="黑体"/>
          <w:color w:val="auto"/>
          <w:kern w:val="0"/>
          <w:sz w:val="32"/>
          <w:szCs w:val="32"/>
        </w:rPr>
        <w:t>万元，公务用车运行维护费</w:t>
      </w:r>
      <w:r>
        <w:rPr>
          <w:rFonts w:hint="eastAsia" w:ascii="宋体" w:hAnsi="宋体" w:cs="黑体"/>
          <w:color w:val="auto"/>
          <w:kern w:val="0"/>
          <w:sz w:val="32"/>
          <w:szCs w:val="32"/>
          <w:lang w:val="en-US" w:eastAsia="zh-CN"/>
        </w:rPr>
        <w:t>314</w:t>
      </w:r>
      <w:r>
        <w:rPr>
          <w:rFonts w:hint="eastAsia" w:ascii="宋体" w:hAnsi="宋体" w:cs="黑体"/>
          <w:color w:val="auto"/>
          <w:kern w:val="0"/>
          <w:sz w:val="32"/>
          <w:szCs w:val="32"/>
        </w:rPr>
        <w:t>万元，主要是基层所队日常车辆汽油费、维修费等支出，截至</w:t>
      </w:r>
      <w:r>
        <w:rPr>
          <w:rFonts w:hint="eastAsia" w:ascii="宋体" w:hAnsi="宋体" w:cs="黑体"/>
          <w:color w:val="auto"/>
          <w:kern w:val="0"/>
          <w:sz w:val="32"/>
          <w:szCs w:val="32"/>
          <w:lang w:eastAsia="zh-CN"/>
        </w:rPr>
        <w:t>2023</w:t>
      </w:r>
      <w:r>
        <w:rPr>
          <w:rFonts w:hint="eastAsia" w:ascii="宋体" w:hAnsi="宋体" w:cs="黑体"/>
          <w:color w:val="auto"/>
          <w:kern w:val="0"/>
          <w:sz w:val="32"/>
          <w:szCs w:val="32"/>
        </w:rPr>
        <w:t>年</w:t>
      </w:r>
      <w:r>
        <w:rPr>
          <w:rFonts w:ascii="宋体" w:hAnsi="宋体" w:cs="黑体"/>
          <w:color w:val="auto"/>
          <w:kern w:val="0"/>
          <w:sz w:val="32"/>
          <w:szCs w:val="32"/>
        </w:rPr>
        <w:t>12</w:t>
      </w:r>
      <w:r>
        <w:rPr>
          <w:rFonts w:hint="eastAsia" w:ascii="宋体" w:hAnsi="宋体" w:cs="黑体"/>
          <w:color w:val="auto"/>
          <w:kern w:val="0"/>
          <w:sz w:val="32"/>
          <w:szCs w:val="32"/>
        </w:rPr>
        <w:t>月</w:t>
      </w:r>
      <w:r>
        <w:rPr>
          <w:rFonts w:ascii="宋体" w:hAnsi="宋体" w:cs="黑体"/>
          <w:color w:val="auto"/>
          <w:kern w:val="0"/>
          <w:sz w:val="32"/>
          <w:szCs w:val="32"/>
        </w:rPr>
        <w:t>31</w:t>
      </w:r>
      <w:r>
        <w:rPr>
          <w:rFonts w:hint="eastAsia" w:ascii="宋体" w:hAnsi="宋体" w:cs="黑体"/>
          <w:color w:val="auto"/>
          <w:kern w:val="0"/>
          <w:sz w:val="32"/>
          <w:szCs w:val="32"/>
        </w:rPr>
        <w:t>日，</w:t>
      </w:r>
      <w:r>
        <w:rPr>
          <w:rFonts w:hint="eastAsia" w:ascii="宋体" w:hAnsi="宋体" w:cs="黑体"/>
          <w:color w:val="auto"/>
          <w:kern w:val="0"/>
          <w:sz w:val="32"/>
          <w:szCs w:val="32"/>
          <w:u w:val="none"/>
        </w:rPr>
        <w:t>我单位财政拨款的公务用车保有量为</w:t>
      </w:r>
      <w:r>
        <w:rPr>
          <w:rFonts w:hint="eastAsia" w:ascii="宋体" w:hAnsi="宋体" w:cs="黑体"/>
          <w:color w:val="auto"/>
          <w:kern w:val="0"/>
          <w:sz w:val="32"/>
          <w:szCs w:val="32"/>
          <w:u w:val="none"/>
          <w:lang w:val="en-US" w:eastAsia="zh-CN"/>
        </w:rPr>
        <w:t>7</w:t>
      </w:r>
      <w:r>
        <w:rPr>
          <w:rFonts w:ascii="宋体" w:hAnsi="宋体" w:cs="黑体"/>
          <w:color w:val="auto"/>
          <w:kern w:val="0"/>
          <w:sz w:val="32"/>
          <w:szCs w:val="32"/>
          <w:u w:val="none"/>
        </w:rPr>
        <w:t>1</w:t>
      </w:r>
      <w:r>
        <w:rPr>
          <w:rFonts w:hint="eastAsia" w:ascii="宋体" w:hAnsi="宋体" w:cs="黑体"/>
          <w:color w:val="auto"/>
          <w:kern w:val="0"/>
          <w:sz w:val="32"/>
          <w:szCs w:val="32"/>
          <w:u w:val="none"/>
        </w:rPr>
        <w:t>辆。</w:t>
      </w:r>
    </w:p>
    <w:p w14:paraId="44888AE5">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八、政府性基金预算收入支出决算情况</w:t>
      </w:r>
    </w:p>
    <w:p w14:paraId="0D67CADA">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宋体" w:hAnsi="宋体" w:cs="黑体"/>
          <w:color w:val="auto"/>
          <w:sz w:val="32"/>
          <w:szCs w:val="32"/>
          <w:lang w:eastAsia="zh-CN"/>
        </w:rPr>
      </w:pPr>
      <w:r>
        <w:rPr>
          <w:rFonts w:hint="eastAsia" w:ascii="Times New Roman" w:hAnsi="Times New Roman" w:eastAsia="仿宋_GB2312"/>
          <w:color w:val="auto"/>
          <w:sz w:val="32"/>
          <w:szCs w:val="32"/>
        </w:rPr>
        <w:t xml:space="preserve">   </w:t>
      </w:r>
      <w:r>
        <w:rPr>
          <w:rFonts w:hint="eastAsia" w:ascii="宋体" w:hAnsi="宋体" w:cs="黑体"/>
          <w:color w:val="auto"/>
          <w:sz w:val="32"/>
          <w:szCs w:val="32"/>
        </w:rPr>
        <w:t>本单位无政府性基金收支</w:t>
      </w:r>
      <w:r>
        <w:rPr>
          <w:rFonts w:hint="eastAsia" w:ascii="宋体" w:hAnsi="宋体" w:cs="黑体"/>
          <w:color w:val="auto"/>
          <w:sz w:val="32"/>
          <w:szCs w:val="32"/>
          <w:lang w:eastAsia="zh-CN"/>
        </w:rPr>
        <w:t>。</w:t>
      </w:r>
    </w:p>
    <w:p w14:paraId="23117ABA">
      <w:pPr>
        <w:pStyle w:val="13"/>
        <w:ind w:firstLine="640" w:firstLineChars="200"/>
        <w:rPr>
          <w:rFonts w:hint="eastAsia" w:hAnsi="黑体"/>
          <w:b/>
          <w:color w:val="auto"/>
          <w:sz w:val="32"/>
          <w:szCs w:val="32"/>
          <w:lang w:val="en-US" w:eastAsia="zh-CN"/>
        </w:rPr>
      </w:pPr>
      <w:r>
        <w:rPr>
          <w:rFonts w:hint="eastAsia" w:hAnsi="黑体"/>
          <w:b/>
          <w:color w:val="auto"/>
          <w:sz w:val="32"/>
          <w:szCs w:val="32"/>
          <w:lang w:val="en-US" w:eastAsia="zh-CN"/>
        </w:rPr>
        <w:t>九、国有资本经营预算财政拨款支出</w:t>
      </w:r>
      <w:r>
        <w:rPr>
          <w:rFonts w:hint="eastAsia" w:hAnsi="黑体"/>
          <w:b/>
          <w:color w:val="auto"/>
          <w:sz w:val="32"/>
          <w:szCs w:val="32"/>
        </w:rPr>
        <w:t>决算情况</w:t>
      </w:r>
      <w:r>
        <w:rPr>
          <w:rFonts w:hint="eastAsia" w:hAnsi="黑体"/>
          <w:b/>
          <w:color w:val="auto"/>
          <w:sz w:val="32"/>
          <w:szCs w:val="32"/>
          <w:lang w:val="en-US" w:eastAsia="zh-CN"/>
        </w:rPr>
        <w:t>说明</w:t>
      </w:r>
    </w:p>
    <w:p w14:paraId="03B65F00">
      <w:pPr>
        <w:pStyle w:val="13"/>
        <w:keepNext w:val="0"/>
        <w:keepLines w:val="0"/>
        <w:pageBreakBefore w:val="0"/>
        <w:numPr>
          <w:ilvl w:val="0"/>
          <w:numId w:val="0"/>
        </w:numPr>
        <w:kinsoku/>
        <w:wordWrap/>
        <w:overflowPunct/>
        <w:topLinePunct w:val="0"/>
        <w:bidi w:val="0"/>
        <w:snapToGrid/>
        <w:spacing w:line="600" w:lineRule="exact"/>
        <w:ind w:firstLine="642"/>
        <w:textAlignment w:val="auto"/>
        <w:rPr>
          <w:rFonts w:hint="eastAsia" w:ascii="宋体" w:hAnsi="宋体" w:cs="黑体"/>
          <w:color w:val="auto"/>
          <w:sz w:val="32"/>
          <w:szCs w:val="32"/>
          <w:lang w:eastAsia="zh-CN"/>
        </w:rPr>
      </w:pPr>
      <w:r>
        <w:rPr>
          <w:rFonts w:hint="eastAsia" w:ascii="宋体" w:hAnsi="宋体" w:eastAsia="宋体" w:cs="黑体"/>
          <w:color w:val="auto"/>
          <w:kern w:val="0"/>
          <w:sz w:val="32"/>
          <w:szCs w:val="32"/>
          <w:lang w:val="en-US" w:eastAsia="zh-CN" w:bidi="ar-SA"/>
        </w:rPr>
        <w:t>本单位无国有资本经营预算财政拨款支出。</w:t>
      </w:r>
    </w:p>
    <w:p w14:paraId="6D6960D6">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color w:val="auto"/>
          <w:sz w:val="32"/>
          <w:szCs w:val="32"/>
        </w:rPr>
      </w:pPr>
      <w:r>
        <w:rPr>
          <w:rFonts w:hint="eastAsia" w:ascii="Times New Roman" w:hAnsi="Times New Roman" w:eastAsia="仿宋_GB2312"/>
          <w:b/>
          <w:color w:val="auto"/>
          <w:sz w:val="32"/>
          <w:szCs w:val="32"/>
          <w:lang w:eastAsia="zh-CN"/>
        </w:rPr>
        <w:t>十</w:t>
      </w:r>
      <w:r>
        <w:rPr>
          <w:rFonts w:hint="eastAsia" w:ascii="Times New Roman" w:hAnsi="Times New Roman" w:eastAsia="仿宋_GB2312"/>
          <w:b/>
          <w:color w:val="auto"/>
          <w:sz w:val="32"/>
          <w:szCs w:val="32"/>
        </w:rPr>
        <w:t>、关于机关运行经费支出说明</w:t>
      </w:r>
    </w:p>
    <w:p w14:paraId="1BF449E8">
      <w:pPr>
        <w:pStyle w:val="13"/>
        <w:ind w:firstLine="645"/>
        <w:rPr>
          <w:rFonts w:hint="eastAsia" w:ascii="宋体" w:hAnsi="宋体" w:eastAsia="宋体"/>
          <w:color w:val="auto"/>
          <w:sz w:val="32"/>
          <w:szCs w:val="32"/>
          <w:lang w:eastAsia="zh-CN"/>
        </w:rPr>
      </w:pPr>
      <w:r>
        <w:rPr>
          <w:rFonts w:hint="eastAsia" w:ascii="宋体" w:hAnsi="宋体" w:eastAsia="宋体"/>
          <w:color w:val="auto"/>
          <w:sz w:val="32"/>
          <w:szCs w:val="32"/>
        </w:rPr>
        <w:t>本部门</w:t>
      </w:r>
      <w:r>
        <w:rPr>
          <w:rFonts w:hint="eastAsia" w:ascii="宋体" w:hAnsi="宋体" w:eastAsia="宋体"/>
          <w:color w:val="auto"/>
          <w:sz w:val="32"/>
          <w:szCs w:val="32"/>
          <w:lang w:eastAsia="zh-CN"/>
        </w:rPr>
        <w:t>2023</w:t>
      </w:r>
      <w:r>
        <w:rPr>
          <w:rFonts w:hint="eastAsia" w:ascii="宋体" w:hAnsi="宋体" w:eastAsia="宋体"/>
          <w:color w:val="auto"/>
          <w:sz w:val="32"/>
          <w:szCs w:val="32"/>
        </w:rPr>
        <w:t>年度机关运行经费支出</w:t>
      </w:r>
      <w:r>
        <w:rPr>
          <w:rFonts w:hint="eastAsia" w:ascii="宋体" w:hAnsi="宋体" w:eastAsia="宋体"/>
          <w:color w:val="auto"/>
          <w:sz w:val="32"/>
          <w:szCs w:val="32"/>
          <w:lang w:val="en-US" w:eastAsia="zh-CN"/>
        </w:rPr>
        <w:t>1173.34</w:t>
      </w:r>
      <w:r>
        <w:rPr>
          <w:rFonts w:hint="eastAsia" w:ascii="宋体" w:hAnsi="宋体" w:eastAsia="宋体"/>
          <w:color w:val="auto"/>
          <w:sz w:val="32"/>
          <w:szCs w:val="32"/>
        </w:rPr>
        <w:t>万元，比上年决算数</w:t>
      </w:r>
      <w:r>
        <w:rPr>
          <w:rFonts w:hint="eastAsia" w:ascii="宋体" w:hAnsi="宋体" w:eastAsia="宋体"/>
          <w:color w:val="auto"/>
          <w:sz w:val="32"/>
          <w:szCs w:val="32"/>
          <w:lang w:eastAsia="zh-CN"/>
        </w:rPr>
        <w:t>减少</w:t>
      </w:r>
      <w:r>
        <w:rPr>
          <w:rFonts w:hint="eastAsia" w:ascii="宋体" w:hAnsi="宋体" w:eastAsia="宋体"/>
          <w:color w:val="auto"/>
          <w:sz w:val="32"/>
          <w:szCs w:val="32"/>
          <w:lang w:val="en-US" w:eastAsia="zh-CN"/>
        </w:rPr>
        <w:t>143.27</w:t>
      </w:r>
      <w:r>
        <w:rPr>
          <w:rFonts w:hint="eastAsia" w:ascii="宋体" w:hAnsi="宋体" w:eastAsia="宋体"/>
          <w:color w:val="auto"/>
          <w:sz w:val="32"/>
          <w:szCs w:val="32"/>
        </w:rPr>
        <w:t>万元，</w:t>
      </w:r>
      <w:r>
        <w:rPr>
          <w:rFonts w:hint="eastAsia" w:ascii="宋体" w:hAnsi="宋体" w:eastAsia="宋体"/>
          <w:color w:val="auto"/>
          <w:sz w:val="32"/>
          <w:szCs w:val="32"/>
          <w:lang w:eastAsia="zh-CN"/>
        </w:rPr>
        <w:t>减少</w:t>
      </w:r>
      <w:r>
        <w:rPr>
          <w:rFonts w:hint="eastAsia" w:ascii="宋体" w:hAnsi="宋体" w:eastAsia="宋体"/>
          <w:color w:val="auto"/>
          <w:sz w:val="32"/>
          <w:szCs w:val="32"/>
          <w:lang w:val="en-US" w:eastAsia="zh-CN"/>
        </w:rPr>
        <w:t>10.88</w:t>
      </w:r>
      <w:r>
        <w:rPr>
          <w:rFonts w:ascii="宋体" w:hAnsi="宋体" w:eastAsia="宋体"/>
          <w:color w:val="auto"/>
          <w:sz w:val="32"/>
          <w:szCs w:val="32"/>
        </w:rPr>
        <w:t>%</w:t>
      </w:r>
      <w:r>
        <w:rPr>
          <w:rFonts w:hint="eastAsia" w:ascii="宋体" w:hAnsi="宋体" w:eastAsia="宋体"/>
          <w:color w:val="auto"/>
          <w:sz w:val="32"/>
          <w:szCs w:val="32"/>
        </w:rPr>
        <w:t>。主要原因是：</w:t>
      </w:r>
      <w:r>
        <w:rPr>
          <w:rFonts w:hint="eastAsia" w:ascii="宋体" w:hAnsi="宋体" w:eastAsia="宋体"/>
          <w:color w:val="auto"/>
          <w:sz w:val="32"/>
          <w:szCs w:val="32"/>
          <w:lang w:eastAsia="zh-CN"/>
        </w:rPr>
        <w:t>日常运行开支厉行节约，故本年机关运行费较上年减少。</w:t>
      </w:r>
    </w:p>
    <w:p w14:paraId="2A7BBB1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eastAsia="zh-CN"/>
        </w:rPr>
        <w:t>一</w:t>
      </w:r>
      <w:r>
        <w:rPr>
          <w:rFonts w:hint="eastAsia" w:ascii="黑体" w:hAnsi="黑体" w:eastAsia="黑体" w:cs="黑体"/>
          <w:b w:val="0"/>
          <w:bCs/>
          <w:color w:val="auto"/>
          <w:sz w:val="32"/>
          <w:szCs w:val="32"/>
        </w:rPr>
        <w:t>、一般性支出情况说明</w:t>
      </w:r>
    </w:p>
    <w:p w14:paraId="1F4ACDFD">
      <w:pPr>
        <w:snapToGrid w:val="0"/>
        <w:spacing w:line="520" w:lineRule="exact"/>
        <w:ind w:firstLine="640" w:firstLineChars="200"/>
        <w:rPr>
          <w:rFonts w:hint="eastAsia" w:ascii="宋体" w:hAnsi="宋体" w:cs="黑体"/>
          <w:color w:val="auto"/>
          <w:kern w:val="0"/>
          <w:sz w:val="32"/>
          <w:szCs w:val="32"/>
          <w:lang w:val="en-US" w:eastAsia="zh-CN"/>
        </w:rPr>
      </w:pPr>
      <w:r>
        <w:rPr>
          <w:rFonts w:hint="eastAsia" w:ascii="宋体" w:hAnsi="宋体" w:cs="黑体"/>
          <w:color w:val="auto"/>
          <w:kern w:val="0"/>
          <w:sz w:val="32"/>
          <w:szCs w:val="32"/>
          <w:lang w:eastAsia="zh-CN"/>
        </w:rPr>
        <w:t>2023</w:t>
      </w:r>
      <w:r>
        <w:rPr>
          <w:rFonts w:hint="eastAsia" w:ascii="宋体" w:hAnsi="宋体" w:cs="黑体"/>
          <w:color w:val="auto"/>
          <w:kern w:val="0"/>
          <w:sz w:val="32"/>
          <w:szCs w:val="32"/>
        </w:rPr>
        <w:t>年本部门</w:t>
      </w:r>
      <w:r>
        <w:rPr>
          <w:rFonts w:hint="eastAsia" w:ascii="宋体" w:hAnsi="宋体" w:cs="黑体"/>
          <w:color w:val="auto"/>
          <w:kern w:val="0"/>
          <w:sz w:val="32"/>
          <w:szCs w:val="32"/>
          <w:lang w:eastAsia="zh-CN"/>
        </w:rPr>
        <w:t>无</w:t>
      </w:r>
      <w:r>
        <w:rPr>
          <w:rFonts w:hint="eastAsia" w:ascii="宋体" w:hAnsi="宋体" w:cs="黑体"/>
          <w:color w:val="auto"/>
          <w:kern w:val="0"/>
          <w:sz w:val="32"/>
          <w:szCs w:val="32"/>
        </w:rPr>
        <w:t>会议费开支；未举办节庆、晚会、论坛、赛事等活动；全年开支培训费</w:t>
      </w:r>
      <w:r>
        <w:rPr>
          <w:rFonts w:hint="eastAsia" w:ascii="宋体" w:hAnsi="宋体" w:cs="黑体"/>
          <w:color w:val="auto"/>
          <w:kern w:val="0"/>
          <w:sz w:val="32"/>
          <w:szCs w:val="32"/>
          <w:lang w:val="en-US" w:eastAsia="zh-CN"/>
        </w:rPr>
        <w:t>11.34</w:t>
      </w:r>
      <w:r>
        <w:rPr>
          <w:rFonts w:hint="eastAsia" w:ascii="宋体" w:hAnsi="宋体" w:cs="黑体"/>
          <w:color w:val="auto"/>
          <w:kern w:val="0"/>
          <w:sz w:val="32"/>
          <w:szCs w:val="32"/>
        </w:rPr>
        <w:t>万元，</w:t>
      </w:r>
      <w:r>
        <w:rPr>
          <w:rFonts w:hint="eastAsia" w:ascii="宋体" w:hAnsi="宋体" w:cs="黑体"/>
          <w:color w:val="auto"/>
          <w:kern w:val="0"/>
          <w:sz w:val="32"/>
          <w:szCs w:val="32"/>
          <w:lang w:val="en-US" w:eastAsia="zh-CN"/>
        </w:rPr>
        <w:t>用于分局巡特警训练培训，人数49人，内容为分局巡特警全年专业训练培训；用于分局民警执法资格考试培训，人数46人，内容为分局民警执法资格考试培训；</w:t>
      </w:r>
      <w:r>
        <w:rPr>
          <w:rFonts w:hint="eastAsia" w:ascii="宋体" w:hAnsi="宋体" w:cs="黑体"/>
          <w:color w:val="auto"/>
          <w:kern w:val="0"/>
          <w:sz w:val="32"/>
          <w:szCs w:val="32"/>
        </w:rPr>
        <w:t>用于分局辅警警务技能业务培训，人数</w:t>
      </w:r>
      <w:r>
        <w:rPr>
          <w:rFonts w:hint="eastAsia" w:ascii="宋体" w:hAnsi="宋体" w:cs="黑体"/>
          <w:color w:val="auto"/>
          <w:kern w:val="0"/>
          <w:sz w:val="32"/>
          <w:szCs w:val="32"/>
          <w:lang w:val="en-US" w:eastAsia="zh-CN"/>
        </w:rPr>
        <w:t>710</w:t>
      </w:r>
      <w:r>
        <w:rPr>
          <w:rFonts w:hint="eastAsia" w:ascii="宋体" w:hAnsi="宋体" w:cs="黑体"/>
          <w:color w:val="auto"/>
          <w:kern w:val="0"/>
          <w:sz w:val="32"/>
          <w:szCs w:val="32"/>
        </w:rPr>
        <w:t>人，内容为分局</w:t>
      </w:r>
      <w:r>
        <w:rPr>
          <w:rFonts w:hint="eastAsia" w:ascii="宋体" w:hAnsi="宋体" w:cs="黑体"/>
          <w:color w:val="auto"/>
          <w:kern w:val="0"/>
          <w:sz w:val="32"/>
          <w:szCs w:val="32"/>
          <w:lang w:eastAsia="zh-CN"/>
        </w:rPr>
        <w:t>辅警</w:t>
      </w:r>
      <w:r>
        <w:rPr>
          <w:rFonts w:hint="eastAsia" w:ascii="宋体" w:hAnsi="宋体" w:cs="黑体"/>
          <w:color w:val="auto"/>
          <w:kern w:val="0"/>
          <w:sz w:val="32"/>
          <w:szCs w:val="32"/>
        </w:rPr>
        <w:t>进行警务技能业务培训</w:t>
      </w:r>
      <w:r>
        <w:rPr>
          <w:rFonts w:hint="eastAsia" w:ascii="宋体" w:hAnsi="宋体" w:cs="黑体"/>
          <w:color w:val="auto"/>
          <w:kern w:val="0"/>
          <w:sz w:val="32"/>
          <w:szCs w:val="32"/>
          <w:lang w:eastAsia="zh-CN"/>
        </w:rPr>
        <w:t>；用于</w:t>
      </w:r>
      <w:r>
        <w:rPr>
          <w:rFonts w:hint="eastAsia" w:ascii="宋体" w:hAnsi="宋体" w:cs="黑体"/>
          <w:color w:val="auto"/>
          <w:kern w:val="0"/>
          <w:sz w:val="32"/>
          <w:szCs w:val="32"/>
        </w:rPr>
        <w:t>法医专业培训</w:t>
      </w:r>
      <w:r>
        <w:rPr>
          <w:rFonts w:hint="eastAsia" w:ascii="宋体" w:hAnsi="宋体" w:cs="黑体"/>
          <w:color w:val="auto"/>
          <w:kern w:val="0"/>
          <w:sz w:val="32"/>
          <w:szCs w:val="32"/>
          <w:lang w:eastAsia="zh-CN"/>
        </w:rPr>
        <w:t>，人数</w:t>
      </w:r>
      <w:r>
        <w:rPr>
          <w:rFonts w:hint="eastAsia" w:ascii="宋体" w:hAnsi="宋体" w:cs="黑体"/>
          <w:color w:val="auto"/>
          <w:kern w:val="0"/>
          <w:sz w:val="32"/>
          <w:szCs w:val="32"/>
          <w:lang w:val="en-US" w:eastAsia="zh-CN"/>
        </w:rPr>
        <w:t>1人，内容为</w:t>
      </w:r>
      <w:r>
        <w:rPr>
          <w:rFonts w:hint="eastAsia" w:ascii="宋体" w:hAnsi="宋体" w:cs="黑体"/>
          <w:color w:val="auto"/>
          <w:kern w:val="0"/>
          <w:sz w:val="32"/>
          <w:szCs w:val="32"/>
        </w:rPr>
        <w:t>法医专业培训</w:t>
      </w:r>
      <w:r>
        <w:rPr>
          <w:rFonts w:hint="eastAsia" w:ascii="宋体" w:hAnsi="宋体" w:cs="黑体"/>
          <w:color w:val="auto"/>
          <w:kern w:val="0"/>
          <w:sz w:val="32"/>
          <w:szCs w:val="32"/>
          <w:lang w:eastAsia="zh-CN"/>
        </w:rPr>
        <w:t>。</w:t>
      </w:r>
    </w:p>
    <w:p w14:paraId="30CE3AA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eastAsia="zh-CN"/>
        </w:rPr>
        <w:t>二</w:t>
      </w:r>
      <w:r>
        <w:rPr>
          <w:rFonts w:hint="eastAsia" w:ascii="黑体" w:hAnsi="黑体" w:eastAsia="黑体" w:cs="黑体"/>
          <w:b w:val="0"/>
          <w:bCs/>
          <w:color w:val="auto"/>
          <w:sz w:val="32"/>
          <w:szCs w:val="32"/>
        </w:rPr>
        <w:t>、关于政府采购支出说明</w:t>
      </w:r>
    </w:p>
    <w:p w14:paraId="2E4710DE">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宋体" w:hAnsi="宋体" w:cs="黑体" w:eastAsiaTheme="minorEastAsia"/>
          <w:color w:val="auto"/>
          <w:kern w:val="0"/>
          <w:sz w:val="32"/>
          <w:szCs w:val="32"/>
          <w:lang w:val="en-US" w:eastAsia="zh-CN" w:bidi="ar-SA"/>
        </w:rPr>
      </w:pPr>
      <w:r>
        <w:rPr>
          <w:rFonts w:hint="eastAsia" w:ascii="宋体" w:hAnsi="宋体" w:cs="黑体" w:eastAsiaTheme="minorEastAsia"/>
          <w:color w:val="auto"/>
          <w:kern w:val="0"/>
          <w:sz w:val="32"/>
          <w:szCs w:val="32"/>
          <w:lang w:val="en-US" w:eastAsia="zh-CN" w:bidi="ar-SA"/>
        </w:rPr>
        <w:t>本部门2023年度政府采购支出总额223.69万元，其中：政府采购货物支出0万元、政府采购工程支出223.69万元、政府采购服务支出0万元。授予中小企业合同金额223.69万元，占政府采购支出总额的100%，其中：授予小微企业合同金额223.69万元，占授予中小企业合同金额的100%。工程采购授予中小企业合同金额占工程支出金额的100%。</w:t>
      </w:r>
    </w:p>
    <w:p w14:paraId="360C74A6">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eastAsia="zh-CN"/>
        </w:rPr>
        <w:t>三</w:t>
      </w:r>
      <w:r>
        <w:rPr>
          <w:rFonts w:hint="eastAsia" w:ascii="黑体" w:hAnsi="黑体" w:eastAsia="黑体" w:cs="黑体"/>
          <w:b w:val="0"/>
          <w:bCs/>
          <w:color w:val="auto"/>
          <w:sz w:val="32"/>
          <w:szCs w:val="32"/>
        </w:rPr>
        <w:t>、关于国有资产占用情况说明</w:t>
      </w:r>
    </w:p>
    <w:p w14:paraId="0842F535">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宋体" w:hAnsi="宋体" w:cs="黑体" w:eastAsiaTheme="minorEastAsia"/>
          <w:color w:val="auto"/>
          <w:kern w:val="0"/>
          <w:sz w:val="32"/>
          <w:szCs w:val="32"/>
          <w:lang w:val="en-US" w:eastAsia="zh-CN" w:bidi="ar-SA"/>
        </w:rPr>
      </w:pPr>
      <w:r>
        <w:rPr>
          <w:rFonts w:hint="eastAsia" w:ascii="宋体" w:hAnsi="宋体" w:cs="黑体" w:eastAsiaTheme="minorEastAsia"/>
          <w:color w:val="auto"/>
          <w:kern w:val="0"/>
          <w:sz w:val="32"/>
          <w:szCs w:val="32"/>
          <w:lang w:val="en-US" w:eastAsia="zh-CN" w:bidi="ar-SA"/>
        </w:rPr>
        <w:t>截至2023年12月31日，本单位共有车辆71辆，其中，机要通信用车1辆、执法执勤用车70辆；单位价值50万元以上通用设备0台（套）；单位价值100万元以上专用设备0台（套）。</w:t>
      </w:r>
    </w:p>
    <w:p w14:paraId="5D208468">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eastAsia="zh-CN"/>
        </w:rPr>
        <w:t>四</w:t>
      </w:r>
      <w:r>
        <w:rPr>
          <w:rFonts w:hint="eastAsia" w:ascii="黑体" w:hAnsi="黑体" w:eastAsia="黑体" w:cs="黑体"/>
          <w:b w:val="0"/>
          <w:bCs/>
          <w:color w:val="auto"/>
          <w:sz w:val="32"/>
          <w:szCs w:val="32"/>
        </w:rPr>
        <w:t>、关于</w:t>
      </w: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3</w:t>
      </w:r>
      <w:r>
        <w:rPr>
          <w:rFonts w:hint="eastAsia" w:ascii="黑体" w:hAnsi="黑体" w:eastAsia="黑体" w:cs="黑体"/>
          <w:b w:val="0"/>
          <w:bCs/>
          <w:color w:val="auto"/>
          <w:sz w:val="32"/>
          <w:szCs w:val="32"/>
        </w:rPr>
        <w:t>年度</w:t>
      </w:r>
      <w:r>
        <w:rPr>
          <w:rFonts w:hint="eastAsia" w:hAnsi="黑体" w:cs="黑体"/>
          <w:b w:val="0"/>
          <w:bCs/>
          <w:color w:val="auto"/>
          <w:sz w:val="32"/>
          <w:szCs w:val="32"/>
          <w:lang w:eastAsia="zh-CN"/>
        </w:rPr>
        <w:t>预算</w:t>
      </w:r>
      <w:r>
        <w:rPr>
          <w:rFonts w:hint="eastAsia" w:ascii="黑体" w:hAnsi="黑体" w:eastAsia="黑体" w:cs="黑体"/>
          <w:b w:val="0"/>
          <w:bCs/>
          <w:color w:val="auto"/>
          <w:sz w:val="32"/>
          <w:szCs w:val="32"/>
        </w:rPr>
        <w:t>绩效情况的说明</w:t>
      </w:r>
    </w:p>
    <w:p w14:paraId="13A2A7AC">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color w:val="auto"/>
          <w:sz w:val="32"/>
          <w:szCs w:val="32"/>
          <w:lang w:eastAsia="zh-CN"/>
        </w:rPr>
      </w:pPr>
      <w:r>
        <w:rPr>
          <w:rFonts w:hint="eastAsia" w:ascii="楷体" w:hAnsi="楷体" w:eastAsia="楷体" w:cs="楷体"/>
          <w:b/>
          <w:bCs/>
          <w:color w:val="auto"/>
          <w:sz w:val="32"/>
          <w:szCs w:val="32"/>
          <w:lang w:eastAsia="zh-CN"/>
        </w:rPr>
        <w:t>（一）绩效管理工作开展情况</w:t>
      </w:r>
    </w:p>
    <w:p w14:paraId="65E43922">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宋体" w:hAnsi="宋体" w:cs="黑体" w:eastAsiaTheme="minorEastAsia"/>
          <w:color w:val="auto"/>
          <w:kern w:val="0"/>
          <w:sz w:val="32"/>
          <w:szCs w:val="32"/>
          <w:lang w:val="en-US" w:eastAsia="zh-CN" w:bidi="ar-SA"/>
        </w:rPr>
      </w:pPr>
      <w:r>
        <w:rPr>
          <w:rFonts w:hint="eastAsia" w:ascii="宋体" w:hAnsi="宋体" w:cs="黑体" w:eastAsiaTheme="minorEastAsia"/>
          <w:color w:val="auto"/>
          <w:kern w:val="0"/>
          <w:sz w:val="32"/>
          <w:szCs w:val="32"/>
          <w:lang w:val="en-US" w:eastAsia="zh-CN" w:bidi="ar-SA"/>
        </w:rPr>
        <w:t>分局根据《怀化市财政局关于开展2023年度市级财政资金绩效自评工作的通知》的文件要求，积极组织对2023年度本单位支出进行了整体及专项绩效自评，并完成绩效评价报告。</w:t>
      </w:r>
    </w:p>
    <w:p w14:paraId="06F9ABBF">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color w:val="auto"/>
          <w:sz w:val="32"/>
          <w:szCs w:val="32"/>
        </w:rPr>
      </w:pPr>
      <w:r>
        <w:rPr>
          <w:rFonts w:hint="eastAsia" w:ascii="楷体" w:hAnsi="楷体" w:eastAsia="楷体" w:cs="楷体"/>
          <w:b/>
          <w:bCs/>
          <w:color w:val="auto"/>
          <w:sz w:val="32"/>
          <w:szCs w:val="32"/>
          <w:lang w:eastAsia="zh-CN"/>
        </w:rPr>
        <w:t>（二）</w:t>
      </w:r>
      <w:r>
        <w:rPr>
          <w:rFonts w:hint="eastAsia" w:ascii="楷体" w:hAnsi="楷体" w:eastAsia="楷体" w:cs="楷体"/>
          <w:b/>
          <w:bCs/>
          <w:color w:val="auto"/>
          <w:sz w:val="32"/>
          <w:szCs w:val="32"/>
        </w:rPr>
        <w:t>部门</w:t>
      </w:r>
      <w:r>
        <w:rPr>
          <w:rFonts w:hint="eastAsia" w:ascii="楷体" w:hAnsi="楷体" w:eastAsia="楷体" w:cs="楷体"/>
          <w:b/>
          <w:bCs/>
          <w:color w:val="auto"/>
          <w:sz w:val="32"/>
          <w:szCs w:val="32"/>
          <w:lang w:eastAsia="zh-CN"/>
        </w:rPr>
        <w:t>（单位）</w:t>
      </w:r>
      <w:r>
        <w:rPr>
          <w:rFonts w:hint="eastAsia" w:ascii="楷体" w:hAnsi="楷体" w:eastAsia="楷体" w:cs="楷体"/>
          <w:b/>
          <w:bCs/>
          <w:color w:val="auto"/>
          <w:sz w:val="32"/>
          <w:szCs w:val="32"/>
        </w:rPr>
        <w:t>整体支出绩效情况</w:t>
      </w:r>
    </w:p>
    <w:p w14:paraId="5AF5B13C">
      <w:pPr>
        <w:widowControl/>
        <w:shd w:val="clear" w:color="auto" w:fill="FFFFFF"/>
        <w:spacing w:before="225" w:line="600" w:lineRule="exact"/>
        <w:ind w:firstLine="1273" w:firstLineChars="398"/>
        <w:jc w:val="left"/>
        <w:textAlignment w:val="baseline"/>
        <w:rPr>
          <w:rFonts w:hint="eastAsia" w:ascii="宋体" w:hAnsi="宋体" w:cs="黑体"/>
          <w:color w:val="auto"/>
          <w:kern w:val="0"/>
          <w:sz w:val="32"/>
          <w:szCs w:val="32"/>
          <w:lang w:val="en-US" w:eastAsia="zh-CN"/>
        </w:rPr>
      </w:pPr>
      <w:r>
        <w:rPr>
          <w:rFonts w:hint="eastAsia" w:ascii="宋体" w:hAnsi="宋体" w:cs="黑体"/>
          <w:color w:val="auto"/>
          <w:kern w:val="0"/>
          <w:sz w:val="32"/>
          <w:szCs w:val="32"/>
          <w:lang w:val="en-US" w:eastAsia="zh-CN"/>
        </w:rPr>
        <w:t>1、综合评价结论。</w:t>
      </w:r>
    </w:p>
    <w:p w14:paraId="53522611">
      <w:pPr>
        <w:widowControl/>
        <w:shd w:val="clear" w:color="auto" w:fill="FFFFFF"/>
        <w:spacing w:before="225" w:line="600" w:lineRule="exact"/>
        <w:ind w:firstLine="627"/>
        <w:jc w:val="left"/>
        <w:textAlignment w:val="baseline"/>
        <w:rPr>
          <w:rFonts w:hint="eastAsia" w:ascii="宋体" w:hAnsi="宋体" w:cs="黑体"/>
          <w:color w:val="auto"/>
          <w:kern w:val="0"/>
          <w:sz w:val="32"/>
          <w:szCs w:val="32"/>
          <w:lang w:val="en-US" w:eastAsia="zh-CN"/>
        </w:rPr>
      </w:pPr>
      <w:r>
        <w:rPr>
          <w:rFonts w:hint="eastAsia" w:ascii="宋体" w:hAnsi="宋体" w:cs="黑体"/>
          <w:color w:val="auto"/>
          <w:kern w:val="0"/>
          <w:sz w:val="32"/>
          <w:szCs w:val="32"/>
        </w:rPr>
        <w:t xml:space="preserve"> </w:t>
      </w:r>
      <w:r>
        <w:rPr>
          <w:rFonts w:hint="eastAsia" w:ascii="宋体" w:hAnsi="宋体" w:cs="黑体"/>
          <w:color w:val="auto"/>
          <w:kern w:val="0"/>
          <w:sz w:val="32"/>
          <w:szCs w:val="32"/>
          <w:lang w:val="en-US" w:eastAsia="zh-CN"/>
        </w:rPr>
        <w:t xml:space="preserve">  </w:t>
      </w:r>
      <w:r>
        <w:rPr>
          <w:rFonts w:hint="eastAsia" w:ascii="宋体" w:hAnsi="宋体" w:cs="黑体"/>
          <w:color w:val="auto"/>
          <w:kern w:val="0"/>
          <w:sz w:val="32"/>
          <w:szCs w:val="32"/>
        </w:rPr>
        <w:t>202</w:t>
      </w:r>
      <w:r>
        <w:rPr>
          <w:rFonts w:hint="eastAsia" w:ascii="宋体" w:hAnsi="宋体" w:cs="黑体"/>
          <w:color w:val="auto"/>
          <w:kern w:val="0"/>
          <w:sz w:val="32"/>
          <w:szCs w:val="32"/>
          <w:lang w:val="en-US" w:eastAsia="zh-CN"/>
        </w:rPr>
        <w:t>3</w:t>
      </w:r>
      <w:r>
        <w:rPr>
          <w:rFonts w:hint="eastAsia" w:ascii="宋体" w:hAnsi="宋体" w:cs="黑体"/>
          <w:color w:val="auto"/>
          <w:kern w:val="0"/>
          <w:sz w:val="32"/>
          <w:szCs w:val="32"/>
        </w:rPr>
        <w:t>年，分局通过加强预算收支管理，不断建立健全内部管理制度，梳理内部管理流程，部门整体支出管理水平得到提升。根据部门整体支出绩效评价指标体系，分局202</w:t>
      </w:r>
      <w:r>
        <w:rPr>
          <w:rFonts w:hint="eastAsia" w:ascii="宋体" w:hAnsi="宋体" w:cs="黑体"/>
          <w:color w:val="auto"/>
          <w:kern w:val="0"/>
          <w:sz w:val="32"/>
          <w:szCs w:val="32"/>
          <w:lang w:val="en-US" w:eastAsia="zh-CN"/>
        </w:rPr>
        <w:t>3</w:t>
      </w:r>
      <w:r>
        <w:rPr>
          <w:rFonts w:hint="eastAsia" w:ascii="宋体" w:hAnsi="宋体" w:cs="黑体"/>
          <w:color w:val="auto"/>
          <w:kern w:val="0"/>
          <w:sz w:val="32"/>
          <w:szCs w:val="32"/>
        </w:rPr>
        <w:t>年度整体支出绩效评价共性指标表评价得分为</w:t>
      </w:r>
      <w:r>
        <w:rPr>
          <w:rFonts w:hint="eastAsia" w:ascii="宋体" w:hAnsi="宋体" w:cs="黑体"/>
          <w:color w:val="auto"/>
          <w:kern w:val="0"/>
          <w:sz w:val="32"/>
          <w:szCs w:val="32"/>
          <w:lang w:val="en-US" w:eastAsia="zh-CN"/>
        </w:rPr>
        <w:t>98</w:t>
      </w:r>
      <w:r>
        <w:rPr>
          <w:rFonts w:hint="eastAsia" w:ascii="宋体" w:hAnsi="宋体" w:cs="黑体"/>
          <w:color w:val="auto"/>
          <w:kern w:val="0"/>
          <w:sz w:val="32"/>
          <w:szCs w:val="32"/>
        </w:rPr>
        <w:t>分。</w:t>
      </w:r>
    </w:p>
    <w:p w14:paraId="4F2CC66F">
      <w:pPr>
        <w:widowControl/>
        <w:shd w:val="clear" w:color="auto" w:fill="FFFFFF"/>
        <w:spacing w:before="225" w:line="600" w:lineRule="exact"/>
        <w:ind w:firstLine="1273" w:firstLineChars="398"/>
        <w:jc w:val="left"/>
        <w:textAlignment w:val="baseline"/>
        <w:rPr>
          <w:rFonts w:hint="eastAsia" w:ascii="宋体" w:hAnsi="宋体" w:cs="黑体"/>
          <w:color w:val="auto"/>
          <w:kern w:val="0"/>
          <w:sz w:val="32"/>
          <w:szCs w:val="32"/>
          <w:lang w:val="en-US" w:eastAsia="zh-CN"/>
        </w:rPr>
      </w:pPr>
      <w:r>
        <w:rPr>
          <w:rFonts w:hint="eastAsia" w:ascii="宋体" w:hAnsi="宋体" w:cs="黑体"/>
          <w:color w:val="auto"/>
          <w:kern w:val="0"/>
          <w:sz w:val="32"/>
          <w:szCs w:val="32"/>
          <w:lang w:val="en-US" w:eastAsia="zh-CN"/>
        </w:rPr>
        <w:t>2、评价指标分析</w:t>
      </w:r>
    </w:p>
    <w:p w14:paraId="61E71360">
      <w:pPr>
        <w:widowControl/>
        <w:shd w:val="clear" w:color="auto" w:fill="FFFFFF"/>
        <w:spacing w:before="225" w:line="600" w:lineRule="exact"/>
        <w:ind w:firstLine="640" w:firstLineChars="200"/>
        <w:jc w:val="left"/>
        <w:textAlignment w:val="baseline"/>
        <w:rPr>
          <w:rFonts w:hint="eastAsia" w:ascii="宋体" w:hAnsi="宋体" w:cs="黑体"/>
          <w:color w:val="auto"/>
          <w:kern w:val="0"/>
          <w:sz w:val="32"/>
          <w:szCs w:val="32"/>
          <w:lang w:val="en-US" w:eastAsia="zh-CN"/>
        </w:rPr>
      </w:pPr>
      <w:r>
        <w:rPr>
          <w:rFonts w:hint="eastAsia" w:ascii="宋体" w:hAnsi="宋体" w:cs="黑体"/>
          <w:color w:val="auto"/>
          <w:kern w:val="0"/>
          <w:sz w:val="32"/>
          <w:szCs w:val="32"/>
          <w:lang w:val="en-US" w:eastAsia="zh-CN"/>
        </w:rPr>
        <w:t>（1）整体绩效目标设定</w:t>
      </w:r>
    </w:p>
    <w:p w14:paraId="037BAAAF">
      <w:pPr>
        <w:widowControl/>
        <w:shd w:val="clear" w:color="auto" w:fill="FFFFFF"/>
        <w:spacing w:before="225" w:line="600" w:lineRule="exact"/>
        <w:ind w:firstLine="627"/>
        <w:jc w:val="left"/>
        <w:textAlignment w:val="baseline"/>
        <w:rPr>
          <w:rFonts w:hint="eastAsia" w:ascii="宋体" w:hAnsi="宋体" w:cs="黑体"/>
          <w:color w:val="auto"/>
          <w:kern w:val="0"/>
          <w:sz w:val="32"/>
          <w:szCs w:val="32"/>
          <w:lang w:eastAsia="zh-CN"/>
        </w:rPr>
      </w:pPr>
      <w:r>
        <w:rPr>
          <w:rFonts w:hint="eastAsia" w:ascii="宋体" w:hAnsi="宋体" w:cs="黑体"/>
          <w:color w:val="auto"/>
          <w:kern w:val="0"/>
          <w:sz w:val="32"/>
          <w:szCs w:val="32"/>
          <w:lang w:eastAsia="zh-CN"/>
        </w:rPr>
        <w:t>本年整体绩效目标：维护国家安全，维护社会治安秩序，保护公民的人身安全、人身自由和合法财产，保护公共财产，预防、制止和惩治违法犯罪活动，促进我市区社会治安群众满意率提升，为怀化经济发展保驾护航。</w:t>
      </w:r>
    </w:p>
    <w:p w14:paraId="26FA9CE1">
      <w:pPr>
        <w:widowControl/>
        <w:shd w:val="clear" w:color="auto" w:fill="FFFFFF"/>
        <w:spacing w:before="225" w:line="600" w:lineRule="exact"/>
        <w:ind w:firstLine="960" w:firstLineChars="300"/>
        <w:jc w:val="left"/>
        <w:textAlignment w:val="baseline"/>
        <w:rPr>
          <w:rFonts w:hint="eastAsia" w:ascii="宋体" w:hAnsi="宋体" w:cs="黑体"/>
          <w:color w:val="auto"/>
          <w:kern w:val="0"/>
          <w:sz w:val="32"/>
          <w:szCs w:val="32"/>
          <w:lang w:val="en-US" w:eastAsia="zh-CN"/>
        </w:rPr>
      </w:pPr>
      <w:r>
        <w:rPr>
          <w:rFonts w:hint="eastAsia" w:ascii="宋体" w:hAnsi="宋体" w:cs="黑体"/>
          <w:color w:val="auto"/>
          <w:kern w:val="0"/>
          <w:sz w:val="32"/>
          <w:szCs w:val="32"/>
          <w:lang w:val="en-US" w:eastAsia="zh-CN"/>
        </w:rPr>
        <w:t>（2）预算配置</w:t>
      </w:r>
    </w:p>
    <w:p w14:paraId="283062A1">
      <w:pPr>
        <w:widowControl/>
        <w:shd w:val="clear" w:color="auto" w:fill="FFFFFF"/>
        <w:spacing w:before="225" w:line="600" w:lineRule="exact"/>
        <w:ind w:firstLine="627"/>
        <w:jc w:val="left"/>
        <w:textAlignment w:val="baseline"/>
        <w:rPr>
          <w:rFonts w:hint="eastAsia" w:ascii="宋体" w:hAnsi="宋体" w:cs="黑体"/>
          <w:color w:val="auto"/>
          <w:kern w:val="0"/>
          <w:sz w:val="32"/>
          <w:szCs w:val="32"/>
        </w:rPr>
      </w:pPr>
      <w:r>
        <w:rPr>
          <w:rFonts w:hint="eastAsia" w:ascii="宋体" w:hAnsi="宋体" w:cs="黑体"/>
          <w:color w:val="auto"/>
          <w:kern w:val="0"/>
          <w:sz w:val="32"/>
          <w:szCs w:val="32"/>
          <w:lang w:val="en-US" w:eastAsia="zh-CN"/>
        </w:rPr>
        <w:t xml:space="preserve"> </w:t>
      </w:r>
      <w:r>
        <w:rPr>
          <w:rFonts w:hint="eastAsia" w:ascii="宋体" w:hAnsi="宋体" w:cs="黑体"/>
          <w:color w:val="auto"/>
          <w:kern w:val="0"/>
          <w:sz w:val="32"/>
          <w:szCs w:val="32"/>
        </w:rPr>
        <w:t>202</w:t>
      </w:r>
      <w:r>
        <w:rPr>
          <w:rFonts w:hint="eastAsia" w:ascii="宋体" w:hAnsi="宋体" w:cs="黑体"/>
          <w:color w:val="auto"/>
          <w:kern w:val="0"/>
          <w:sz w:val="32"/>
          <w:szCs w:val="32"/>
          <w:lang w:val="en-US" w:eastAsia="zh-CN"/>
        </w:rPr>
        <w:t>3</w:t>
      </w:r>
      <w:r>
        <w:rPr>
          <w:rFonts w:hint="eastAsia" w:ascii="宋体" w:hAnsi="宋体" w:cs="黑体"/>
          <w:color w:val="auto"/>
          <w:kern w:val="0"/>
          <w:sz w:val="32"/>
          <w:szCs w:val="32"/>
        </w:rPr>
        <w:t>年年初预算</w:t>
      </w:r>
      <w:r>
        <w:rPr>
          <w:rFonts w:hint="eastAsia" w:ascii="宋体" w:hAnsi="宋体" w:cs="黑体"/>
          <w:color w:val="auto"/>
          <w:kern w:val="0"/>
          <w:sz w:val="32"/>
          <w:szCs w:val="32"/>
          <w:lang w:val="en-US" w:eastAsia="zh-CN"/>
        </w:rPr>
        <w:t>13873.93万元，其中</w:t>
      </w:r>
      <w:r>
        <w:rPr>
          <w:rFonts w:hint="eastAsia" w:ascii="宋体" w:hAnsi="宋体" w:cs="黑体"/>
          <w:color w:val="auto"/>
          <w:kern w:val="0"/>
          <w:sz w:val="32"/>
          <w:szCs w:val="32"/>
        </w:rPr>
        <w:t>基本支出为</w:t>
      </w:r>
      <w:r>
        <w:rPr>
          <w:rFonts w:hint="eastAsia" w:ascii="宋体" w:hAnsi="宋体" w:cs="黑体"/>
          <w:color w:val="auto"/>
          <w:kern w:val="0"/>
          <w:sz w:val="32"/>
          <w:szCs w:val="32"/>
          <w:lang w:val="en-US" w:eastAsia="zh-CN"/>
        </w:rPr>
        <w:t>9089.72</w:t>
      </w:r>
      <w:r>
        <w:rPr>
          <w:rFonts w:hint="eastAsia" w:ascii="宋体" w:hAnsi="宋体" w:cs="黑体"/>
          <w:color w:val="auto"/>
          <w:kern w:val="0"/>
          <w:sz w:val="32"/>
          <w:szCs w:val="32"/>
        </w:rPr>
        <w:t>万元</w:t>
      </w:r>
      <w:r>
        <w:rPr>
          <w:rFonts w:hint="eastAsia" w:ascii="宋体" w:hAnsi="宋体" w:cs="黑体"/>
          <w:color w:val="auto"/>
          <w:kern w:val="0"/>
          <w:sz w:val="32"/>
          <w:szCs w:val="32"/>
          <w:lang w:eastAsia="zh-CN"/>
        </w:rPr>
        <w:t>（</w:t>
      </w:r>
      <w:r>
        <w:rPr>
          <w:rFonts w:hint="eastAsia" w:ascii="宋体" w:hAnsi="宋体" w:cs="黑体"/>
          <w:color w:val="auto"/>
          <w:kern w:val="0"/>
          <w:sz w:val="32"/>
          <w:szCs w:val="32"/>
        </w:rPr>
        <w:t>人员经费</w:t>
      </w:r>
      <w:r>
        <w:rPr>
          <w:rFonts w:hint="eastAsia" w:ascii="宋体" w:hAnsi="宋体" w:cs="黑体"/>
          <w:color w:val="auto"/>
          <w:kern w:val="0"/>
          <w:sz w:val="32"/>
          <w:szCs w:val="32"/>
          <w:lang w:val="en-US" w:eastAsia="zh-CN"/>
        </w:rPr>
        <w:t>7757.72</w:t>
      </w:r>
      <w:r>
        <w:rPr>
          <w:rFonts w:hint="eastAsia" w:ascii="宋体" w:hAnsi="宋体" w:cs="黑体"/>
          <w:color w:val="auto"/>
          <w:kern w:val="0"/>
          <w:sz w:val="32"/>
          <w:szCs w:val="32"/>
        </w:rPr>
        <w:t>万元,日常公用经费</w:t>
      </w:r>
      <w:r>
        <w:rPr>
          <w:rFonts w:hint="eastAsia" w:ascii="宋体" w:hAnsi="宋体" w:cs="黑体"/>
          <w:color w:val="auto"/>
          <w:kern w:val="0"/>
          <w:sz w:val="32"/>
          <w:szCs w:val="32"/>
          <w:lang w:val="en-US" w:eastAsia="zh-CN"/>
        </w:rPr>
        <w:t>1332</w:t>
      </w:r>
      <w:r>
        <w:rPr>
          <w:rFonts w:hint="eastAsia" w:ascii="宋体" w:hAnsi="宋体" w:cs="黑体"/>
          <w:color w:val="auto"/>
          <w:kern w:val="0"/>
          <w:sz w:val="32"/>
          <w:szCs w:val="32"/>
        </w:rPr>
        <w:t>万元</w:t>
      </w:r>
      <w:r>
        <w:rPr>
          <w:rFonts w:hint="eastAsia" w:ascii="宋体" w:hAnsi="宋体" w:cs="黑体"/>
          <w:color w:val="auto"/>
          <w:kern w:val="0"/>
          <w:sz w:val="32"/>
          <w:szCs w:val="32"/>
          <w:lang w:eastAsia="zh-CN"/>
        </w:rPr>
        <w:t>），</w:t>
      </w:r>
      <w:r>
        <w:rPr>
          <w:rFonts w:hint="eastAsia" w:ascii="宋体" w:hAnsi="宋体" w:cs="黑体"/>
          <w:color w:val="auto"/>
          <w:kern w:val="0"/>
          <w:sz w:val="32"/>
          <w:szCs w:val="32"/>
        </w:rPr>
        <w:t>项目支出为</w:t>
      </w:r>
      <w:r>
        <w:rPr>
          <w:rFonts w:hint="eastAsia" w:ascii="宋体" w:hAnsi="宋体" w:cs="黑体"/>
          <w:color w:val="auto"/>
          <w:kern w:val="0"/>
          <w:sz w:val="32"/>
          <w:szCs w:val="32"/>
          <w:lang w:val="en-US" w:eastAsia="zh-CN"/>
        </w:rPr>
        <w:t>4784.22</w:t>
      </w:r>
      <w:r>
        <w:rPr>
          <w:rFonts w:hint="eastAsia" w:ascii="宋体" w:hAnsi="宋体" w:cs="黑体"/>
          <w:color w:val="auto"/>
          <w:kern w:val="0"/>
          <w:sz w:val="32"/>
          <w:szCs w:val="32"/>
        </w:rPr>
        <w:t>万元。</w:t>
      </w:r>
    </w:p>
    <w:p w14:paraId="7633E9E6">
      <w:pPr>
        <w:widowControl/>
        <w:shd w:val="clear" w:color="auto" w:fill="FFFFFF"/>
        <w:spacing w:before="225" w:line="600" w:lineRule="exact"/>
        <w:ind w:firstLine="960" w:firstLineChars="300"/>
        <w:jc w:val="left"/>
        <w:textAlignment w:val="baseline"/>
        <w:rPr>
          <w:rFonts w:hint="eastAsia" w:ascii="宋体" w:hAnsi="宋体" w:cs="黑体"/>
          <w:color w:val="auto"/>
          <w:kern w:val="0"/>
          <w:sz w:val="32"/>
          <w:szCs w:val="32"/>
          <w:lang w:val="en-US" w:eastAsia="zh-CN"/>
        </w:rPr>
      </w:pPr>
      <w:r>
        <w:rPr>
          <w:rFonts w:hint="eastAsia" w:ascii="宋体" w:hAnsi="宋体" w:cs="黑体"/>
          <w:color w:val="auto"/>
          <w:kern w:val="0"/>
          <w:sz w:val="32"/>
          <w:szCs w:val="32"/>
          <w:lang w:val="en-US" w:eastAsia="zh-CN"/>
        </w:rPr>
        <w:t>（3）预算执行</w:t>
      </w:r>
    </w:p>
    <w:p w14:paraId="71DB69EF">
      <w:pPr>
        <w:widowControl/>
        <w:shd w:val="clear" w:color="auto" w:fill="FFFFFF"/>
        <w:spacing w:before="225" w:line="600" w:lineRule="exact"/>
        <w:ind w:firstLine="627"/>
        <w:jc w:val="left"/>
        <w:textAlignment w:val="baseline"/>
        <w:rPr>
          <w:rFonts w:hint="eastAsia" w:ascii="宋体" w:hAnsi="宋体" w:cs="黑体"/>
          <w:color w:val="auto"/>
          <w:kern w:val="0"/>
          <w:sz w:val="32"/>
          <w:szCs w:val="32"/>
          <w:lang w:val="en-US" w:eastAsia="zh-CN"/>
        </w:rPr>
      </w:pPr>
      <w:r>
        <w:rPr>
          <w:rFonts w:hint="eastAsia" w:ascii="宋体" w:hAnsi="宋体" w:cs="黑体"/>
          <w:color w:val="auto"/>
          <w:kern w:val="0"/>
          <w:sz w:val="32"/>
          <w:szCs w:val="32"/>
          <w:lang w:val="en-US" w:eastAsia="zh-CN"/>
        </w:rPr>
        <w:t xml:space="preserve"> </w:t>
      </w:r>
      <w:r>
        <w:rPr>
          <w:rFonts w:hint="eastAsia" w:ascii="宋体" w:hAnsi="宋体" w:cs="黑体"/>
          <w:color w:val="auto"/>
          <w:kern w:val="0"/>
          <w:sz w:val="32"/>
          <w:szCs w:val="32"/>
        </w:rPr>
        <w:t>202</w:t>
      </w:r>
      <w:r>
        <w:rPr>
          <w:rFonts w:hint="eastAsia" w:ascii="宋体" w:hAnsi="宋体" w:cs="黑体"/>
          <w:color w:val="auto"/>
          <w:kern w:val="0"/>
          <w:sz w:val="32"/>
          <w:szCs w:val="32"/>
          <w:lang w:val="en-US" w:eastAsia="zh-CN"/>
        </w:rPr>
        <w:t>3</w:t>
      </w:r>
      <w:r>
        <w:rPr>
          <w:rFonts w:hint="eastAsia" w:ascii="宋体" w:hAnsi="宋体" w:cs="黑体"/>
          <w:color w:val="auto"/>
          <w:kern w:val="0"/>
          <w:sz w:val="32"/>
          <w:szCs w:val="32"/>
        </w:rPr>
        <w:t>年分局决算实际总支出</w:t>
      </w:r>
      <w:r>
        <w:rPr>
          <w:rFonts w:hint="eastAsia" w:ascii="宋体" w:hAnsi="宋体" w:cs="黑体"/>
          <w:color w:val="auto"/>
          <w:kern w:val="0"/>
          <w:sz w:val="32"/>
          <w:szCs w:val="32"/>
          <w:lang w:val="en-US" w:eastAsia="zh-CN"/>
        </w:rPr>
        <w:t>16776.42</w:t>
      </w:r>
      <w:r>
        <w:rPr>
          <w:rFonts w:hint="eastAsia" w:ascii="宋体" w:hAnsi="宋体" w:cs="黑体"/>
          <w:color w:val="auto"/>
          <w:kern w:val="0"/>
          <w:sz w:val="32"/>
          <w:szCs w:val="32"/>
        </w:rPr>
        <w:t>万元：其中基本支出</w:t>
      </w:r>
      <w:r>
        <w:rPr>
          <w:rFonts w:hint="eastAsia" w:ascii="宋体" w:hAnsi="宋体" w:cs="黑体"/>
          <w:color w:val="auto"/>
          <w:kern w:val="0"/>
          <w:sz w:val="32"/>
          <w:szCs w:val="32"/>
          <w:lang w:val="en-US" w:eastAsia="zh-CN"/>
        </w:rPr>
        <w:t>8422.18</w:t>
      </w:r>
      <w:r>
        <w:rPr>
          <w:rFonts w:hint="eastAsia" w:ascii="宋体" w:hAnsi="宋体" w:cs="黑体"/>
          <w:color w:val="auto"/>
          <w:kern w:val="0"/>
          <w:sz w:val="32"/>
          <w:szCs w:val="32"/>
        </w:rPr>
        <w:t>万元（含人员经费</w:t>
      </w:r>
      <w:r>
        <w:rPr>
          <w:rFonts w:hint="eastAsia" w:ascii="宋体" w:hAnsi="宋体" w:cs="黑体"/>
          <w:color w:val="auto"/>
          <w:kern w:val="0"/>
          <w:sz w:val="32"/>
          <w:szCs w:val="32"/>
          <w:lang w:val="en-US" w:eastAsia="zh-CN"/>
        </w:rPr>
        <w:t>7218.52</w:t>
      </w:r>
      <w:r>
        <w:rPr>
          <w:rFonts w:hint="eastAsia" w:ascii="宋体" w:hAnsi="宋体" w:cs="黑体"/>
          <w:color w:val="auto"/>
          <w:kern w:val="0"/>
          <w:sz w:val="32"/>
          <w:szCs w:val="32"/>
        </w:rPr>
        <w:t>万元，日常公用经费</w:t>
      </w:r>
      <w:r>
        <w:rPr>
          <w:rFonts w:hint="eastAsia" w:ascii="宋体" w:hAnsi="宋体" w:cs="黑体"/>
          <w:color w:val="auto"/>
          <w:kern w:val="0"/>
          <w:sz w:val="32"/>
          <w:szCs w:val="32"/>
          <w:lang w:val="en-US" w:eastAsia="zh-CN"/>
        </w:rPr>
        <w:t>1203.66</w:t>
      </w:r>
      <w:r>
        <w:rPr>
          <w:rFonts w:hint="eastAsia" w:ascii="宋体" w:hAnsi="宋体" w:cs="黑体"/>
          <w:color w:val="auto"/>
          <w:kern w:val="0"/>
          <w:sz w:val="32"/>
          <w:szCs w:val="32"/>
        </w:rPr>
        <w:t>万元）；项目支出</w:t>
      </w:r>
      <w:r>
        <w:rPr>
          <w:rFonts w:hint="eastAsia" w:ascii="宋体" w:hAnsi="宋体" w:cs="黑体"/>
          <w:color w:val="auto"/>
          <w:kern w:val="0"/>
          <w:sz w:val="32"/>
          <w:szCs w:val="32"/>
          <w:lang w:val="en-US" w:eastAsia="zh-CN"/>
        </w:rPr>
        <w:t>8354.24</w:t>
      </w:r>
      <w:r>
        <w:rPr>
          <w:rFonts w:hint="eastAsia" w:ascii="宋体" w:hAnsi="宋体" w:cs="黑体"/>
          <w:color w:val="auto"/>
          <w:kern w:val="0"/>
          <w:sz w:val="32"/>
          <w:szCs w:val="32"/>
        </w:rPr>
        <w:t>万元，为行政事业类项目支出。</w:t>
      </w:r>
      <w:r>
        <w:rPr>
          <w:rFonts w:hint="eastAsia" w:ascii="宋体" w:hAnsi="宋体" w:cs="黑体"/>
          <w:color w:val="auto"/>
          <w:kern w:val="0"/>
          <w:sz w:val="32"/>
          <w:szCs w:val="32"/>
          <w:lang w:eastAsia="zh-CN"/>
        </w:rPr>
        <w:t>较年初预算增加</w:t>
      </w:r>
      <w:r>
        <w:rPr>
          <w:rFonts w:hint="eastAsia" w:ascii="宋体" w:hAnsi="宋体" w:cs="黑体"/>
          <w:color w:val="auto"/>
          <w:kern w:val="0"/>
          <w:sz w:val="32"/>
          <w:szCs w:val="32"/>
          <w:lang w:val="en-US" w:eastAsia="zh-CN"/>
        </w:rPr>
        <w:t>2902.49万元。</w:t>
      </w:r>
    </w:p>
    <w:p w14:paraId="3D90F4D0">
      <w:pPr>
        <w:widowControl/>
        <w:shd w:val="clear" w:color="auto" w:fill="FFFFFF"/>
        <w:spacing w:before="225" w:line="600" w:lineRule="exact"/>
        <w:ind w:firstLine="627"/>
        <w:jc w:val="left"/>
        <w:textAlignment w:val="baseline"/>
        <w:rPr>
          <w:rFonts w:hint="eastAsia" w:ascii="宋体" w:hAnsi="宋体" w:cs="黑体"/>
          <w:color w:val="auto"/>
          <w:kern w:val="0"/>
          <w:sz w:val="32"/>
          <w:szCs w:val="32"/>
          <w:lang w:val="en-US" w:eastAsia="zh-CN"/>
        </w:rPr>
      </w:pPr>
      <w:r>
        <w:rPr>
          <w:rFonts w:hint="eastAsia" w:ascii="宋体" w:hAnsi="宋体" w:cs="黑体"/>
          <w:color w:val="auto"/>
          <w:kern w:val="0"/>
          <w:sz w:val="32"/>
          <w:szCs w:val="32"/>
          <w:lang w:val="en-US" w:eastAsia="zh-CN"/>
        </w:rPr>
        <w:t>（4）预算管理</w:t>
      </w:r>
    </w:p>
    <w:p w14:paraId="0CFE0ACF">
      <w:pPr>
        <w:widowControl/>
        <w:shd w:val="clear" w:color="auto" w:fill="FFFFFF"/>
        <w:spacing w:before="225" w:line="600" w:lineRule="exact"/>
        <w:ind w:firstLine="627"/>
        <w:jc w:val="left"/>
        <w:textAlignment w:val="baseline"/>
        <w:rPr>
          <w:rFonts w:hint="eastAsia" w:ascii="宋体" w:hAnsi="宋体" w:cs="黑体"/>
          <w:color w:val="auto"/>
          <w:kern w:val="0"/>
          <w:sz w:val="32"/>
          <w:szCs w:val="32"/>
          <w:lang w:val="en-US" w:eastAsia="zh-CN"/>
        </w:rPr>
      </w:pPr>
      <w:r>
        <w:rPr>
          <w:rFonts w:hint="eastAsia" w:ascii="宋体" w:hAnsi="宋体" w:cs="黑体"/>
          <w:color w:val="auto"/>
          <w:kern w:val="0"/>
          <w:sz w:val="32"/>
          <w:szCs w:val="32"/>
          <w:lang w:val="en-US" w:eastAsia="zh-CN"/>
        </w:rPr>
        <w:t>分局年度预算编制总体目标、局部门预算、部门预算分解方案和年度预算追加或调整方案，特别是重大项目立项和经费分配使用计划都须由局党委会通过决定。警务保障室再将通过党委会的预算上报市财政局，且负责将内部预算分解至局属各单位。局属各单位需按年初分解预算指标执行全年预算。分局通过预算管理，明确预算管理各个业务环节、流程节点、机构职责的管理，防范预算业务活动相关风险，确保预算管理规范有序。</w:t>
      </w:r>
    </w:p>
    <w:p w14:paraId="1B8CAC8C">
      <w:pPr>
        <w:widowControl/>
        <w:shd w:val="clear" w:color="auto" w:fill="FFFFFF"/>
        <w:spacing w:before="225" w:line="600" w:lineRule="exact"/>
        <w:ind w:firstLine="627"/>
        <w:jc w:val="left"/>
        <w:textAlignment w:val="baseline"/>
        <w:rPr>
          <w:rFonts w:hint="default" w:ascii="宋体" w:hAnsi="宋体" w:cs="黑体"/>
          <w:color w:val="auto"/>
          <w:kern w:val="0"/>
          <w:sz w:val="32"/>
          <w:szCs w:val="32"/>
          <w:lang w:val="en-US" w:eastAsia="zh-CN"/>
        </w:rPr>
      </w:pPr>
      <w:r>
        <w:rPr>
          <w:rFonts w:hint="eastAsia" w:ascii="宋体" w:hAnsi="宋体" w:cs="黑体"/>
          <w:color w:val="auto"/>
          <w:kern w:val="0"/>
          <w:sz w:val="32"/>
          <w:szCs w:val="32"/>
          <w:lang w:val="en-US" w:eastAsia="zh-CN"/>
        </w:rPr>
        <w:t>（5）资产管理</w:t>
      </w:r>
    </w:p>
    <w:p w14:paraId="63214042">
      <w:pPr>
        <w:widowControl/>
        <w:shd w:val="clear" w:color="auto" w:fill="FFFFFF"/>
        <w:spacing w:before="225" w:line="600" w:lineRule="exact"/>
        <w:ind w:firstLine="627"/>
        <w:jc w:val="left"/>
        <w:textAlignment w:val="baseline"/>
        <w:rPr>
          <w:rFonts w:hint="eastAsia" w:ascii="宋体" w:hAnsi="宋体" w:cs="黑体"/>
          <w:color w:val="auto"/>
          <w:kern w:val="0"/>
          <w:sz w:val="32"/>
          <w:szCs w:val="32"/>
        </w:rPr>
      </w:pPr>
      <w:r>
        <w:rPr>
          <w:rFonts w:hint="eastAsia" w:ascii="宋体" w:hAnsi="宋体" w:cs="黑体"/>
          <w:color w:val="auto"/>
          <w:kern w:val="0"/>
          <w:sz w:val="32"/>
          <w:szCs w:val="32"/>
        </w:rPr>
        <w:t>根据《行政单位国有资产管理暂行办法》（财政部令第35号）的规定，分局建立建全资产管理的各项规章制度， 有购置、申领、使用、报废处置等内部控制制度，保障资产管理落实到位。在执行中按规定落实国有资产清查、登记、上报制度，设置固定资产卡片、总帐及明细账簿，并定期进行了清查盘点，及时更新国有资产管理</w:t>
      </w:r>
      <w:r>
        <w:rPr>
          <w:rFonts w:hint="eastAsia" w:ascii="宋体" w:hAnsi="宋体" w:cs="黑体"/>
          <w:color w:val="auto"/>
          <w:kern w:val="0"/>
          <w:sz w:val="32"/>
          <w:szCs w:val="32"/>
        </w:rPr>
        <w:fldChar w:fldCharType="begin"/>
      </w:r>
      <w:r>
        <w:rPr>
          <w:rFonts w:hint="eastAsia" w:ascii="宋体" w:hAnsi="宋体" w:cs="黑体"/>
          <w:color w:val="auto"/>
          <w:kern w:val="0"/>
          <w:sz w:val="32"/>
          <w:szCs w:val="32"/>
        </w:rPr>
        <w:instrText xml:space="preserve"> HYPERLINK "http://www.haoword.com/syfanwen/jianbao/" </w:instrText>
      </w:r>
      <w:r>
        <w:rPr>
          <w:rFonts w:hint="eastAsia" w:ascii="宋体" w:hAnsi="宋体" w:cs="黑体"/>
          <w:color w:val="auto"/>
          <w:kern w:val="0"/>
          <w:sz w:val="32"/>
          <w:szCs w:val="32"/>
        </w:rPr>
        <w:fldChar w:fldCharType="separate"/>
      </w:r>
      <w:r>
        <w:rPr>
          <w:rFonts w:hint="eastAsia" w:ascii="宋体" w:hAnsi="宋体" w:cs="黑体"/>
          <w:color w:val="auto"/>
          <w:kern w:val="0"/>
          <w:sz w:val="32"/>
          <w:szCs w:val="32"/>
        </w:rPr>
        <w:t>信息</w:t>
      </w:r>
      <w:r>
        <w:rPr>
          <w:rFonts w:hint="eastAsia" w:ascii="宋体" w:hAnsi="宋体" w:cs="黑体"/>
          <w:color w:val="auto"/>
          <w:kern w:val="0"/>
          <w:sz w:val="32"/>
          <w:szCs w:val="32"/>
        </w:rPr>
        <w:fldChar w:fldCharType="end"/>
      </w:r>
      <w:r>
        <w:rPr>
          <w:rFonts w:hint="eastAsia" w:ascii="宋体" w:hAnsi="宋体" w:cs="黑体"/>
          <w:color w:val="auto"/>
          <w:kern w:val="0"/>
          <w:sz w:val="32"/>
          <w:szCs w:val="32"/>
        </w:rPr>
        <w:t>系统，并配备专项管理人员，明确责任并履行好职责，进一步加强分局国有资产管理，确保国有资产安全完整有效利用。</w:t>
      </w:r>
    </w:p>
    <w:p w14:paraId="1FB286BF">
      <w:pPr>
        <w:widowControl/>
        <w:shd w:val="clear" w:color="auto" w:fill="FFFFFF"/>
        <w:spacing w:before="225" w:line="600" w:lineRule="exact"/>
        <w:ind w:firstLine="627"/>
        <w:jc w:val="left"/>
        <w:textAlignment w:val="baseline"/>
        <w:rPr>
          <w:rFonts w:hint="eastAsia" w:ascii="宋体" w:hAnsi="宋体" w:cs="黑体"/>
          <w:color w:val="auto"/>
          <w:kern w:val="0"/>
          <w:sz w:val="32"/>
          <w:szCs w:val="32"/>
          <w:lang w:val="en-US" w:eastAsia="zh-CN"/>
        </w:rPr>
      </w:pPr>
      <w:r>
        <w:rPr>
          <w:rFonts w:hint="eastAsia" w:ascii="宋体" w:hAnsi="宋体" w:cs="黑体"/>
          <w:color w:val="auto"/>
          <w:kern w:val="0"/>
          <w:sz w:val="32"/>
          <w:szCs w:val="32"/>
          <w:lang w:val="en-US" w:eastAsia="zh-CN"/>
        </w:rPr>
        <w:t>（6）职责履行</w:t>
      </w:r>
    </w:p>
    <w:p w14:paraId="39FAA93B">
      <w:pPr>
        <w:widowControl/>
        <w:shd w:val="clear" w:color="auto" w:fill="FFFFFF"/>
        <w:spacing w:before="225" w:line="600" w:lineRule="exact"/>
        <w:ind w:firstLine="627"/>
        <w:jc w:val="left"/>
        <w:textAlignment w:val="baseline"/>
        <w:rPr>
          <w:rFonts w:hint="eastAsia" w:ascii="宋体" w:hAnsi="宋体" w:cs="黑体"/>
          <w:color w:val="auto"/>
          <w:kern w:val="0"/>
          <w:sz w:val="32"/>
          <w:szCs w:val="32"/>
        </w:rPr>
      </w:pPr>
      <w:r>
        <w:rPr>
          <w:rFonts w:hint="eastAsia" w:ascii="宋体" w:hAnsi="宋体" w:cs="黑体"/>
          <w:color w:val="auto"/>
          <w:kern w:val="0"/>
          <w:sz w:val="32"/>
          <w:szCs w:val="32"/>
        </w:rPr>
        <w:t>2023年，鹤城公安分局在市局党委的坚强领导下，</w:t>
      </w:r>
      <w:r>
        <w:rPr>
          <w:rFonts w:hint="eastAsia" w:ascii="宋体" w:hAnsi="宋体" w:cs="黑体"/>
          <w:color w:val="auto"/>
          <w:kern w:val="0"/>
          <w:sz w:val="32"/>
          <w:szCs w:val="32"/>
          <w:lang w:eastAsia="zh-CN"/>
        </w:rPr>
        <w:t>积极履行职责：</w:t>
      </w:r>
      <w:r>
        <w:rPr>
          <w:rFonts w:hint="eastAsia" w:ascii="宋体" w:hAnsi="宋体" w:cs="黑体"/>
          <w:color w:val="auto"/>
          <w:kern w:val="0"/>
          <w:sz w:val="32"/>
          <w:szCs w:val="32"/>
        </w:rPr>
        <w:t>预防、制止和侦查违法犯罪活动；维护社会治安秩序，制止危害社会治安秩序的行为；管理户政、国籍、入境出境事务和外国人在中国境内居留、旅行的有关事务；监督管理计算机信息系统的安全保护工作；指导和监督国家机关、社会团体、企业事业组织和重点建设工程的治安保卫工作，指导治安保卫委员会等群众性组织的治安防范工作；法律、法规规定的其他职责。</w:t>
      </w:r>
    </w:p>
    <w:p w14:paraId="4A711652">
      <w:pPr>
        <w:widowControl/>
        <w:shd w:val="clear" w:color="auto" w:fill="FFFFFF"/>
        <w:spacing w:before="225" w:line="600" w:lineRule="exact"/>
        <w:ind w:firstLine="627"/>
        <w:jc w:val="left"/>
        <w:textAlignment w:val="baseline"/>
        <w:rPr>
          <w:rFonts w:hint="eastAsia" w:ascii="宋体" w:hAnsi="宋体" w:cs="黑体"/>
          <w:color w:val="auto"/>
          <w:kern w:val="0"/>
          <w:sz w:val="32"/>
          <w:szCs w:val="32"/>
          <w:lang w:val="en-US" w:eastAsia="zh-CN"/>
        </w:rPr>
      </w:pPr>
      <w:r>
        <w:rPr>
          <w:rFonts w:hint="eastAsia" w:ascii="宋体" w:hAnsi="宋体" w:cs="黑体"/>
          <w:color w:val="auto"/>
          <w:kern w:val="0"/>
          <w:sz w:val="32"/>
          <w:szCs w:val="32"/>
          <w:lang w:val="en-US" w:eastAsia="zh-CN"/>
        </w:rPr>
        <w:t>（7）履职效益</w:t>
      </w:r>
    </w:p>
    <w:p w14:paraId="4463F22E">
      <w:pPr>
        <w:widowControl/>
        <w:shd w:val="clear" w:color="auto" w:fill="FFFFFF"/>
        <w:spacing w:before="225" w:line="600" w:lineRule="exact"/>
        <w:ind w:firstLine="627"/>
        <w:jc w:val="left"/>
        <w:textAlignment w:val="baseline"/>
        <w:rPr>
          <w:rFonts w:hint="eastAsia" w:ascii="宋体" w:hAnsi="宋体" w:cs="黑体"/>
          <w:color w:val="auto"/>
          <w:kern w:val="0"/>
          <w:sz w:val="32"/>
          <w:szCs w:val="32"/>
          <w:lang w:val="en-US" w:eastAsia="zh-CN"/>
        </w:rPr>
      </w:pPr>
      <w:r>
        <w:rPr>
          <w:rFonts w:hint="eastAsia" w:ascii="宋体" w:hAnsi="宋体" w:cs="黑体"/>
          <w:color w:val="auto"/>
          <w:kern w:val="0"/>
          <w:sz w:val="32"/>
          <w:szCs w:val="32"/>
          <w:lang w:val="en-US" w:eastAsia="zh-CN"/>
        </w:rPr>
        <w:t>①社会效益</w:t>
      </w:r>
    </w:p>
    <w:p w14:paraId="01E5B8AB">
      <w:pPr>
        <w:widowControl/>
        <w:shd w:val="clear" w:color="auto" w:fill="FFFFFF"/>
        <w:spacing w:before="225" w:line="600" w:lineRule="exact"/>
        <w:ind w:firstLine="627"/>
        <w:jc w:val="left"/>
        <w:textAlignment w:val="baseline"/>
        <w:rPr>
          <w:rFonts w:hint="eastAsia" w:ascii="宋体" w:hAnsi="宋体" w:cs="黑体"/>
          <w:color w:val="auto"/>
          <w:kern w:val="0"/>
          <w:sz w:val="32"/>
          <w:szCs w:val="32"/>
          <w:lang w:val="en-US" w:eastAsia="zh-CN"/>
        </w:rPr>
      </w:pPr>
      <w:r>
        <w:rPr>
          <w:rFonts w:hint="eastAsia" w:ascii="宋体" w:hAnsi="宋体" w:cs="黑体"/>
          <w:color w:val="auto"/>
          <w:kern w:val="0"/>
          <w:sz w:val="32"/>
          <w:szCs w:val="32"/>
          <w:lang w:val="en-US" w:eastAsia="zh-CN"/>
        </w:rPr>
        <w:t>分局全力以赴防风险、保安全、护稳定、促发展，全区社会治安持续向好:绩效考核排名全市第一，分局荣获全市公安机关综合保障、安保维稳、侦破打击、法治公安、队伍管理五个类别和保密工作成绩突出集体，充分展现了主城区“当表率、作示范、走在前”的果敢担当。</w:t>
      </w:r>
    </w:p>
    <w:p w14:paraId="7A23CE9A">
      <w:pPr>
        <w:widowControl/>
        <w:shd w:val="clear" w:color="auto" w:fill="FFFFFF"/>
        <w:spacing w:before="225" w:line="600" w:lineRule="exact"/>
        <w:ind w:firstLine="627"/>
        <w:jc w:val="left"/>
        <w:textAlignment w:val="baseline"/>
        <w:rPr>
          <w:rFonts w:hint="eastAsia" w:ascii="宋体" w:hAnsi="宋体" w:cs="黑体"/>
          <w:color w:val="auto"/>
          <w:kern w:val="0"/>
          <w:sz w:val="32"/>
          <w:szCs w:val="32"/>
          <w:lang w:val="en-US" w:eastAsia="zh-CN"/>
        </w:rPr>
      </w:pPr>
      <w:r>
        <w:rPr>
          <w:rFonts w:hint="eastAsia" w:ascii="宋体" w:hAnsi="宋体" w:cs="黑体"/>
          <w:color w:val="auto"/>
          <w:kern w:val="0"/>
          <w:sz w:val="32"/>
          <w:szCs w:val="32"/>
          <w:lang w:val="en-US" w:eastAsia="zh-CN"/>
        </w:rPr>
        <w:t xml:space="preserve"> ②生态效益</w:t>
      </w:r>
    </w:p>
    <w:p w14:paraId="30678E24">
      <w:pPr>
        <w:widowControl/>
        <w:shd w:val="clear" w:color="auto" w:fill="FFFFFF"/>
        <w:spacing w:before="225" w:line="600" w:lineRule="exact"/>
        <w:ind w:firstLine="627"/>
        <w:jc w:val="left"/>
        <w:textAlignment w:val="baseline"/>
        <w:rPr>
          <w:rFonts w:hint="eastAsia" w:ascii="宋体" w:hAnsi="宋体" w:cs="黑体"/>
          <w:color w:val="auto"/>
          <w:kern w:val="0"/>
          <w:sz w:val="32"/>
          <w:szCs w:val="32"/>
          <w:lang w:val="en-US" w:eastAsia="zh-CN"/>
        </w:rPr>
      </w:pPr>
      <w:r>
        <w:rPr>
          <w:rFonts w:hint="eastAsia" w:ascii="宋体" w:hAnsi="宋体" w:cs="黑体"/>
          <w:color w:val="auto"/>
          <w:kern w:val="0"/>
          <w:sz w:val="32"/>
          <w:szCs w:val="32"/>
          <w:lang w:val="en-US" w:eastAsia="zh-CN"/>
        </w:rPr>
        <w:t>以可持续，有利于保护生态环境为指导，分局经费支出严格经费开支要求执行。</w:t>
      </w:r>
    </w:p>
    <w:p w14:paraId="21782B8E">
      <w:pPr>
        <w:widowControl/>
        <w:shd w:val="clear" w:color="auto" w:fill="FFFFFF"/>
        <w:spacing w:before="225" w:line="600" w:lineRule="exact"/>
        <w:ind w:firstLine="627"/>
        <w:jc w:val="left"/>
        <w:textAlignment w:val="baseline"/>
        <w:rPr>
          <w:rFonts w:hint="eastAsia" w:ascii="宋体" w:hAnsi="宋体" w:cs="黑体"/>
          <w:color w:val="auto"/>
          <w:kern w:val="0"/>
          <w:sz w:val="32"/>
          <w:szCs w:val="32"/>
          <w:lang w:val="en-US" w:eastAsia="zh-CN"/>
        </w:rPr>
      </w:pPr>
      <w:r>
        <w:rPr>
          <w:rFonts w:hint="eastAsia" w:ascii="宋体" w:hAnsi="宋体" w:cs="黑体"/>
          <w:color w:val="auto"/>
          <w:kern w:val="0"/>
          <w:sz w:val="32"/>
          <w:szCs w:val="32"/>
          <w:lang w:val="en-US" w:eastAsia="zh-CN"/>
        </w:rPr>
        <w:t xml:space="preserve">  ③可持续影响</w:t>
      </w:r>
    </w:p>
    <w:p w14:paraId="159C787C">
      <w:pPr>
        <w:widowControl/>
        <w:shd w:val="clear" w:color="auto" w:fill="FFFFFF"/>
        <w:spacing w:before="225" w:line="600" w:lineRule="exact"/>
        <w:ind w:firstLine="627"/>
        <w:jc w:val="left"/>
        <w:textAlignment w:val="baseline"/>
        <w:rPr>
          <w:rFonts w:hint="eastAsia" w:ascii="宋体" w:hAnsi="宋体" w:cs="黑体"/>
          <w:color w:val="auto"/>
          <w:kern w:val="0"/>
          <w:sz w:val="32"/>
          <w:szCs w:val="32"/>
          <w:lang w:val="en-US" w:eastAsia="zh-CN"/>
        </w:rPr>
      </w:pPr>
      <w:r>
        <w:rPr>
          <w:rFonts w:hint="eastAsia" w:ascii="宋体" w:hAnsi="宋体" w:cs="黑体"/>
          <w:color w:val="auto"/>
          <w:kern w:val="0"/>
          <w:sz w:val="32"/>
          <w:szCs w:val="32"/>
          <w:lang w:val="en-US" w:eastAsia="zh-CN"/>
        </w:rPr>
        <w:t>公安办案效率显著提升，对违法犯罪增长势头持续遏制，社会治安持续向好。</w:t>
      </w:r>
    </w:p>
    <w:p w14:paraId="2B1557D4">
      <w:pPr>
        <w:widowControl/>
        <w:shd w:val="clear" w:color="auto" w:fill="FFFFFF"/>
        <w:spacing w:before="225" w:line="600" w:lineRule="exact"/>
        <w:ind w:firstLine="960" w:firstLineChars="300"/>
        <w:jc w:val="left"/>
        <w:textAlignment w:val="baseline"/>
        <w:rPr>
          <w:rFonts w:hint="eastAsia" w:ascii="宋体" w:hAnsi="宋体" w:cs="黑体"/>
          <w:color w:val="auto"/>
          <w:kern w:val="0"/>
          <w:sz w:val="32"/>
          <w:szCs w:val="32"/>
          <w:lang w:val="en-US" w:eastAsia="zh-CN"/>
        </w:rPr>
      </w:pPr>
      <w:r>
        <w:rPr>
          <w:rFonts w:hint="eastAsia" w:ascii="宋体" w:hAnsi="宋体" w:cs="黑体"/>
          <w:color w:val="auto"/>
          <w:kern w:val="0"/>
          <w:sz w:val="32"/>
          <w:szCs w:val="32"/>
          <w:lang w:val="en-US" w:eastAsia="zh-CN"/>
        </w:rPr>
        <w:t>④满意度情况</w:t>
      </w:r>
    </w:p>
    <w:p w14:paraId="26D23C2A">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宋体" w:hAnsi="宋体" w:cs="黑体" w:eastAsiaTheme="minorEastAsia"/>
          <w:color w:val="auto"/>
          <w:kern w:val="0"/>
          <w:sz w:val="32"/>
          <w:szCs w:val="32"/>
          <w:lang w:val="en-US" w:eastAsia="zh-CN" w:bidi="ar-SA"/>
        </w:rPr>
      </w:pPr>
      <w:bookmarkStart w:id="0" w:name="_GoBack"/>
      <w:r>
        <w:rPr>
          <w:rFonts w:hint="eastAsia" w:ascii="宋体" w:hAnsi="宋体" w:cs="黑体" w:eastAsiaTheme="minorEastAsia"/>
          <w:color w:val="auto"/>
          <w:kern w:val="0"/>
          <w:sz w:val="32"/>
          <w:szCs w:val="32"/>
          <w:lang w:val="en-US" w:eastAsia="zh-CN" w:bidi="ar-SA"/>
        </w:rPr>
        <w:t>社会环境持续好转，群众满意度较好，群众满意度评分92.89分。</w:t>
      </w:r>
    </w:p>
    <w:bookmarkEnd w:id="0"/>
    <w:p w14:paraId="4C3680FB">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color w:val="auto"/>
          <w:sz w:val="32"/>
          <w:szCs w:val="32"/>
        </w:rPr>
      </w:pPr>
      <w:r>
        <w:rPr>
          <w:rFonts w:hint="eastAsia" w:ascii="楷体" w:hAnsi="楷体" w:eastAsia="楷体" w:cs="楷体"/>
          <w:b/>
          <w:bCs/>
          <w:color w:val="auto"/>
          <w:sz w:val="32"/>
          <w:szCs w:val="32"/>
          <w:lang w:eastAsia="zh-CN"/>
        </w:rPr>
        <w:t>（三）</w:t>
      </w:r>
      <w:r>
        <w:rPr>
          <w:rFonts w:hint="eastAsia" w:ascii="楷体" w:hAnsi="楷体" w:eastAsia="楷体" w:cs="楷体"/>
          <w:b/>
          <w:bCs/>
          <w:color w:val="auto"/>
          <w:sz w:val="32"/>
          <w:szCs w:val="32"/>
        </w:rPr>
        <w:t>存在的问题及原因分析</w:t>
      </w:r>
    </w:p>
    <w:p w14:paraId="335FB156">
      <w:pPr>
        <w:ind w:firstLine="640" w:firstLineChars="200"/>
        <w:rPr>
          <w:rFonts w:hint="eastAsia" w:ascii="宋体" w:hAnsi="宋体" w:cs="黑体"/>
          <w:color w:val="auto"/>
          <w:kern w:val="0"/>
          <w:sz w:val="32"/>
          <w:szCs w:val="32"/>
          <w:lang w:val="en-US" w:eastAsia="zh-CN"/>
        </w:rPr>
      </w:pPr>
      <w:r>
        <w:rPr>
          <w:rFonts w:hint="eastAsia" w:ascii="宋体" w:hAnsi="宋体" w:cs="黑体"/>
          <w:color w:val="auto"/>
          <w:kern w:val="0"/>
          <w:sz w:val="32"/>
          <w:szCs w:val="32"/>
          <w:lang w:val="en-US" w:eastAsia="zh-CN"/>
        </w:rPr>
        <w:t>存在的主要问题是收支预决算存在差异。本年收入调整预算数16776.42万元，年初预算13873.94元，相差2902.48万元其主要原因为单位财政拨款调整：基本工资支出较年初预算增加137.49%，主要原因为：（1）非税拨罚没返回款2259.9万元，较年初预算增长2029.2万元，因为年初预算非税返还比例为15%，年终调整至84%，故有此差异。（2）其他交通费用较年初预算增加362.14万元，该预算为财政部门统一预算，年初预算未做预算导致此差异。（3）中央省级转移资金1123.3万元，较年初预算增长339.71万元，部分专项经费如实战训练、长江大保护、扫黑除恶、禁毒专项等经费为年中调整预算。</w:t>
      </w:r>
    </w:p>
    <w:p w14:paraId="4ACFA296">
      <w:pPr>
        <w:pStyle w:val="13"/>
        <w:jc w:val="both"/>
        <w:rPr>
          <w:color w:val="auto"/>
          <w:sz w:val="72"/>
          <w:szCs w:val="72"/>
        </w:rPr>
      </w:pPr>
    </w:p>
    <w:p w14:paraId="6D9D4E7A">
      <w:pPr>
        <w:pStyle w:val="13"/>
        <w:jc w:val="center"/>
        <w:rPr>
          <w:color w:val="auto"/>
          <w:sz w:val="72"/>
          <w:szCs w:val="72"/>
        </w:rPr>
      </w:pPr>
    </w:p>
    <w:p w14:paraId="46CC006D">
      <w:pPr>
        <w:pStyle w:val="13"/>
        <w:jc w:val="center"/>
        <w:rPr>
          <w:color w:val="auto"/>
          <w:sz w:val="72"/>
          <w:szCs w:val="72"/>
        </w:rPr>
      </w:pPr>
    </w:p>
    <w:p w14:paraId="04D28297">
      <w:pPr>
        <w:pStyle w:val="13"/>
        <w:jc w:val="center"/>
        <w:rPr>
          <w:color w:val="auto"/>
          <w:sz w:val="72"/>
          <w:szCs w:val="72"/>
        </w:rPr>
      </w:pPr>
    </w:p>
    <w:p w14:paraId="70FEC5F4">
      <w:pPr>
        <w:pStyle w:val="13"/>
        <w:jc w:val="center"/>
        <w:rPr>
          <w:color w:val="auto"/>
          <w:sz w:val="72"/>
          <w:szCs w:val="72"/>
        </w:rPr>
      </w:pPr>
    </w:p>
    <w:p w14:paraId="47C454A1">
      <w:pPr>
        <w:pStyle w:val="13"/>
        <w:jc w:val="center"/>
        <w:rPr>
          <w:color w:val="auto"/>
          <w:sz w:val="72"/>
          <w:szCs w:val="72"/>
        </w:rPr>
      </w:pPr>
    </w:p>
    <w:p w14:paraId="76B11504">
      <w:pPr>
        <w:pStyle w:val="13"/>
        <w:jc w:val="center"/>
        <w:rPr>
          <w:color w:val="auto"/>
          <w:sz w:val="72"/>
          <w:szCs w:val="72"/>
        </w:rPr>
      </w:pPr>
    </w:p>
    <w:p w14:paraId="0B340BF5">
      <w:pPr>
        <w:pStyle w:val="13"/>
        <w:jc w:val="center"/>
        <w:rPr>
          <w:color w:val="auto"/>
          <w:sz w:val="72"/>
          <w:szCs w:val="72"/>
        </w:rPr>
      </w:pPr>
    </w:p>
    <w:p w14:paraId="04DEC40D">
      <w:pPr>
        <w:pStyle w:val="13"/>
        <w:jc w:val="center"/>
        <w:rPr>
          <w:color w:val="auto"/>
          <w:sz w:val="72"/>
          <w:szCs w:val="72"/>
        </w:rPr>
      </w:pPr>
    </w:p>
    <w:p w14:paraId="0B14FFB3">
      <w:pPr>
        <w:pStyle w:val="13"/>
        <w:jc w:val="both"/>
        <w:rPr>
          <w:rFonts w:hint="eastAsia" w:ascii="方正小标宋_GBK" w:hAnsi="方正小标宋_GBK" w:eastAsia="方正小标宋_GBK" w:cs="方正小标宋_GBK"/>
          <w:color w:val="auto"/>
          <w:sz w:val="72"/>
          <w:szCs w:val="72"/>
        </w:rPr>
      </w:pPr>
    </w:p>
    <w:p w14:paraId="4D640ECA">
      <w:pPr>
        <w:pStyle w:val="13"/>
        <w:jc w:val="center"/>
        <w:rPr>
          <w:rFonts w:hint="eastAsia" w:ascii="方正小标宋_GBK" w:hAnsi="方正小标宋_GBK" w:eastAsia="方正小标宋_GBK" w:cs="方正小标宋_GBK"/>
          <w:color w:val="auto"/>
          <w:sz w:val="72"/>
          <w:szCs w:val="72"/>
        </w:rPr>
      </w:pPr>
    </w:p>
    <w:p w14:paraId="03061584">
      <w:pPr>
        <w:pStyle w:val="13"/>
        <w:jc w:val="center"/>
        <w:rPr>
          <w:rFonts w:hint="eastAsia" w:ascii="方正小标宋_GBK" w:hAnsi="方正小标宋_GBK" w:eastAsia="方正小标宋_GBK" w:cs="方正小标宋_GBK"/>
          <w:color w:val="auto"/>
          <w:sz w:val="72"/>
          <w:szCs w:val="72"/>
        </w:rPr>
      </w:pPr>
    </w:p>
    <w:p w14:paraId="2058DF04">
      <w:pPr>
        <w:pStyle w:val="13"/>
        <w:jc w:val="center"/>
        <w:rPr>
          <w:rFonts w:hint="eastAsia" w:ascii="方正小标宋_GBK" w:hAnsi="方正小标宋_GBK" w:eastAsia="方正小标宋_GBK" w:cs="方正小标宋_GBK"/>
          <w:color w:val="auto"/>
          <w:sz w:val="72"/>
          <w:szCs w:val="72"/>
        </w:rPr>
      </w:pPr>
      <w:r>
        <w:rPr>
          <w:rFonts w:hint="eastAsia" w:ascii="方正小标宋_GBK" w:hAnsi="方正小标宋_GBK" w:eastAsia="方正小标宋_GBK" w:cs="方正小标宋_GBK"/>
          <w:color w:val="auto"/>
          <w:sz w:val="72"/>
          <w:szCs w:val="72"/>
        </w:rPr>
        <w:t>第四部分</w:t>
      </w:r>
    </w:p>
    <w:p w14:paraId="64AB333A">
      <w:pPr>
        <w:jc w:val="center"/>
        <w:rPr>
          <w:rFonts w:hint="eastAsia" w:ascii="方正小标宋_GBK" w:hAnsi="方正小标宋_GBK" w:eastAsia="方正小标宋_GBK" w:cs="方正小标宋_GBK"/>
          <w:color w:val="auto"/>
          <w:kern w:val="0"/>
          <w:sz w:val="70"/>
          <w:szCs w:val="70"/>
        </w:rPr>
      </w:pPr>
    </w:p>
    <w:p w14:paraId="3745D57D">
      <w:pPr>
        <w:jc w:val="center"/>
        <w:rPr>
          <w:rFonts w:hint="eastAsia" w:ascii="方正小标宋_GBK" w:hAnsi="方正小标宋_GBK" w:eastAsia="方正小标宋_GBK" w:cs="方正小标宋_GBK"/>
          <w:color w:val="auto"/>
          <w:kern w:val="0"/>
          <w:sz w:val="70"/>
          <w:szCs w:val="70"/>
        </w:rPr>
      </w:pPr>
      <w:r>
        <w:rPr>
          <w:rFonts w:hint="eastAsia" w:ascii="方正小标宋_GBK" w:hAnsi="方正小标宋_GBK" w:eastAsia="方正小标宋_GBK" w:cs="方正小标宋_GBK"/>
          <w:color w:val="auto"/>
          <w:kern w:val="0"/>
          <w:sz w:val="70"/>
          <w:szCs w:val="70"/>
        </w:rPr>
        <w:t>名词解释</w:t>
      </w:r>
    </w:p>
    <w:p w14:paraId="545EC01F">
      <w:pPr>
        <w:widowControl/>
        <w:jc w:val="left"/>
        <w:rPr>
          <w:rFonts w:cs="黑体" w:asciiTheme="minorEastAsia" w:hAnsiTheme="minorEastAsia"/>
          <w:color w:val="auto"/>
          <w:kern w:val="0"/>
          <w:sz w:val="32"/>
          <w:szCs w:val="32"/>
        </w:rPr>
      </w:pPr>
    </w:p>
    <w:p w14:paraId="62134D40">
      <w:pPr>
        <w:widowControl/>
        <w:shd w:val="clear" w:color="auto" w:fill="FFFFFF"/>
        <w:spacing w:before="225" w:line="600" w:lineRule="exact"/>
        <w:ind w:firstLine="640"/>
        <w:jc w:val="left"/>
        <w:textAlignment w:val="baseline"/>
        <w:rPr>
          <w:rFonts w:ascii="仿宋" w:hAnsi="仿宋" w:eastAsia="仿宋" w:cs="仿宋"/>
          <w:color w:val="auto"/>
          <w:sz w:val="30"/>
          <w:szCs w:val="30"/>
        </w:rPr>
      </w:pPr>
      <w:r>
        <w:rPr>
          <w:rFonts w:hint="eastAsia" w:ascii="仿宋" w:hAnsi="仿宋" w:eastAsia="仿宋" w:cs="仿宋"/>
          <w:b/>
          <w:bCs/>
          <w:color w:val="auto"/>
          <w:kern w:val="0"/>
          <w:sz w:val="30"/>
          <w:szCs w:val="30"/>
          <w:shd w:val="clear" w:color="auto" w:fill="FFFFFF"/>
        </w:rPr>
        <w:t>一、机关运行经费：</w:t>
      </w:r>
      <w:r>
        <w:rPr>
          <w:rFonts w:hint="eastAsia" w:ascii="仿宋" w:hAnsi="仿宋" w:eastAsia="仿宋" w:cs="仿宋"/>
          <w:color w:val="auto"/>
          <w:kern w:val="0"/>
          <w:sz w:val="30"/>
          <w:szCs w:val="30"/>
          <w:shd w:val="clear" w:color="auto" w:fill="FFFFFF"/>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14:paraId="50CFC739">
      <w:pPr>
        <w:widowControl/>
        <w:shd w:val="clear" w:color="auto" w:fill="FFFFFF"/>
        <w:spacing w:before="225" w:line="600" w:lineRule="exact"/>
        <w:ind w:firstLine="640"/>
        <w:jc w:val="left"/>
        <w:textAlignment w:val="baseline"/>
        <w:rPr>
          <w:rFonts w:ascii="仿宋" w:hAnsi="仿宋" w:eastAsia="仿宋" w:cs="仿宋"/>
          <w:color w:val="auto"/>
          <w:kern w:val="0"/>
          <w:sz w:val="30"/>
          <w:szCs w:val="30"/>
          <w:shd w:val="clear" w:color="auto" w:fill="FFFFFF"/>
        </w:rPr>
      </w:pPr>
      <w:r>
        <w:rPr>
          <w:rFonts w:hint="eastAsia" w:ascii="仿宋" w:hAnsi="仿宋" w:eastAsia="仿宋" w:cs="仿宋"/>
          <w:b/>
          <w:bCs/>
          <w:color w:val="auto"/>
          <w:kern w:val="0"/>
          <w:sz w:val="30"/>
          <w:szCs w:val="30"/>
          <w:shd w:val="clear" w:color="auto" w:fill="FFFFFF"/>
        </w:rPr>
        <w:t>二、“三公”经费：</w:t>
      </w:r>
      <w:r>
        <w:rPr>
          <w:rFonts w:hint="eastAsia" w:ascii="仿宋" w:hAnsi="仿宋" w:eastAsia="仿宋" w:cs="仿宋"/>
          <w:color w:val="auto"/>
          <w:kern w:val="0"/>
          <w:sz w:val="30"/>
          <w:szCs w:val="30"/>
          <w:shd w:val="clear" w:color="auto" w:fill="FFFFFF"/>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2569B311">
      <w:pPr>
        <w:rPr>
          <w:rFonts w:hint="eastAsia" w:ascii="方正小标宋_GBK" w:hAnsi="方正小标宋_GBK" w:eastAsia="方正小标宋_GBK" w:cs="方正小标宋_GBK"/>
          <w:color w:val="auto"/>
          <w:sz w:val="72"/>
          <w:szCs w:val="72"/>
        </w:rPr>
      </w:pPr>
    </w:p>
    <w:p w14:paraId="5F7FDC00">
      <w:pPr>
        <w:pStyle w:val="13"/>
        <w:jc w:val="center"/>
        <w:rPr>
          <w:rFonts w:hint="eastAsia" w:ascii="方正小标宋_GBK" w:hAnsi="方正小标宋_GBK" w:eastAsia="方正小标宋_GBK" w:cs="方正小标宋_GBK"/>
          <w:color w:val="auto"/>
          <w:sz w:val="72"/>
          <w:szCs w:val="72"/>
        </w:rPr>
      </w:pPr>
    </w:p>
    <w:p w14:paraId="2B907065">
      <w:pPr>
        <w:pStyle w:val="13"/>
        <w:jc w:val="center"/>
        <w:rPr>
          <w:rFonts w:hint="eastAsia" w:ascii="方正小标宋_GBK" w:hAnsi="方正小标宋_GBK" w:eastAsia="方正小标宋_GBK" w:cs="方正小标宋_GBK"/>
          <w:color w:val="auto"/>
          <w:sz w:val="72"/>
          <w:szCs w:val="72"/>
        </w:rPr>
      </w:pPr>
    </w:p>
    <w:p w14:paraId="2F79BF47">
      <w:pPr>
        <w:pStyle w:val="13"/>
        <w:jc w:val="center"/>
        <w:rPr>
          <w:rFonts w:hint="eastAsia" w:ascii="方正小标宋_GBK" w:hAnsi="方正小标宋_GBK" w:eastAsia="方正小标宋_GBK" w:cs="方正小标宋_GBK"/>
          <w:color w:val="auto"/>
          <w:sz w:val="72"/>
          <w:szCs w:val="72"/>
        </w:rPr>
      </w:pPr>
    </w:p>
    <w:p w14:paraId="7A9A569E">
      <w:pPr>
        <w:pStyle w:val="13"/>
        <w:jc w:val="center"/>
        <w:rPr>
          <w:rFonts w:hint="eastAsia" w:ascii="方正小标宋_GBK" w:hAnsi="方正小标宋_GBK" w:eastAsia="方正小标宋_GBK" w:cs="方正小标宋_GBK"/>
          <w:color w:val="auto"/>
          <w:sz w:val="72"/>
          <w:szCs w:val="72"/>
        </w:rPr>
      </w:pPr>
    </w:p>
    <w:p w14:paraId="565E0B6F">
      <w:pPr>
        <w:pStyle w:val="13"/>
        <w:jc w:val="center"/>
        <w:rPr>
          <w:rFonts w:hint="eastAsia" w:ascii="方正小标宋_GBK" w:hAnsi="方正小标宋_GBK" w:eastAsia="方正小标宋_GBK" w:cs="方正小标宋_GBK"/>
          <w:color w:val="auto"/>
          <w:sz w:val="72"/>
          <w:szCs w:val="72"/>
        </w:rPr>
      </w:pPr>
      <w:r>
        <w:rPr>
          <w:rFonts w:hint="eastAsia" w:ascii="方正小标宋_GBK" w:hAnsi="方正小标宋_GBK" w:eastAsia="方正小标宋_GBK" w:cs="方正小标宋_GBK"/>
          <w:color w:val="auto"/>
          <w:sz w:val="72"/>
          <w:szCs w:val="72"/>
        </w:rPr>
        <w:t>第</w:t>
      </w:r>
      <w:r>
        <w:rPr>
          <w:rFonts w:hint="eastAsia" w:ascii="方正小标宋_GBK" w:hAnsi="方正小标宋_GBK" w:eastAsia="方正小标宋_GBK" w:cs="方正小标宋_GBK"/>
          <w:color w:val="auto"/>
          <w:sz w:val="72"/>
          <w:szCs w:val="72"/>
          <w:lang w:eastAsia="zh-CN"/>
        </w:rPr>
        <w:t>五</w:t>
      </w:r>
      <w:r>
        <w:rPr>
          <w:rFonts w:hint="eastAsia" w:ascii="方正小标宋_GBK" w:hAnsi="方正小标宋_GBK" w:eastAsia="方正小标宋_GBK" w:cs="方正小标宋_GBK"/>
          <w:color w:val="auto"/>
          <w:sz w:val="72"/>
          <w:szCs w:val="72"/>
        </w:rPr>
        <w:t>部分</w:t>
      </w:r>
    </w:p>
    <w:p w14:paraId="78DE1CC7">
      <w:pPr>
        <w:pStyle w:val="13"/>
        <w:jc w:val="center"/>
        <w:rPr>
          <w:rFonts w:hint="eastAsia" w:ascii="方正小标宋_GBK" w:hAnsi="方正小标宋_GBK" w:eastAsia="方正小标宋_GBK" w:cs="方正小标宋_GBK"/>
          <w:color w:val="auto"/>
          <w:sz w:val="70"/>
          <w:szCs w:val="70"/>
        </w:rPr>
      </w:pPr>
    </w:p>
    <w:p w14:paraId="1CA61410">
      <w:pPr>
        <w:pStyle w:val="13"/>
        <w:jc w:val="center"/>
        <w:rPr>
          <w:rFonts w:hint="eastAsia" w:eastAsia="黑体"/>
          <w:color w:val="auto"/>
          <w:sz w:val="72"/>
          <w:szCs w:val="72"/>
          <w:lang w:eastAsia="zh-CN"/>
        </w:rPr>
      </w:pPr>
      <w:r>
        <w:rPr>
          <w:rFonts w:hint="eastAsia" w:ascii="方正小标宋_GBK" w:hAnsi="方正小标宋_GBK" w:eastAsia="方正小标宋_GBK" w:cs="方正小标宋_GBK"/>
          <w:color w:val="auto"/>
          <w:sz w:val="70"/>
          <w:szCs w:val="70"/>
          <w:lang w:eastAsia="zh-CN"/>
        </w:rPr>
        <w:t>附</w:t>
      </w:r>
      <w:r>
        <w:rPr>
          <w:rFonts w:hint="eastAsia" w:ascii="方正小标宋_GBK" w:hAnsi="方正小标宋_GBK" w:eastAsia="方正小标宋_GBK" w:cs="方正小标宋_GBK"/>
          <w:color w:val="auto"/>
          <w:sz w:val="70"/>
          <w:szCs w:val="70"/>
          <w:lang w:val="en-US" w:eastAsia="zh-CN"/>
        </w:rPr>
        <w:t xml:space="preserve"> </w:t>
      </w:r>
      <w:r>
        <w:rPr>
          <w:rFonts w:hint="eastAsia" w:ascii="方正小标宋_GBK" w:hAnsi="方正小标宋_GBK" w:eastAsia="方正小标宋_GBK" w:cs="方正小标宋_GBK"/>
          <w:color w:val="auto"/>
          <w:sz w:val="70"/>
          <w:szCs w:val="70"/>
          <w:lang w:eastAsia="zh-CN"/>
        </w:rPr>
        <w:t>件</w:t>
      </w:r>
    </w:p>
    <w:p w14:paraId="04110F8A">
      <w:pPr>
        <w:rPr>
          <w:color w:val="auto"/>
          <w:sz w:val="72"/>
          <w:szCs w:val="72"/>
        </w:rPr>
      </w:pPr>
      <w:r>
        <w:rPr>
          <w:color w:val="auto"/>
          <w:sz w:val="72"/>
          <w:szCs w:val="72"/>
        </w:rPr>
        <w:br w:type="page"/>
      </w:r>
    </w:p>
    <w:p w14:paraId="5B7040C0">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color w:val="auto"/>
          <w:sz w:val="32"/>
          <w:szCs w:val="32"/>
          <w:lang w:val="en-US" w:eastAsia="zh-CN"/>
        </w:rPr>
      </w:pPr>
      <w:r>
        <w:rPr>
          <w:rFonts w:hint="eastAsia" w:ascii="楷体" w:hAnsi="楷体" w:eastAsia="楷体" w:cs="楷体"/>
          <w:b/>
          <w:bCs/>
          <w:color w:val="auto"/>
          <w:sz w:val="32"/>
          <w:szCs w:val="32"/>
          <w:lang w:eastAsia="zh-CN"/>
        </w:rPr>
        <w:t>一、</w:t>
      </w:r>
      <w:r>
        <w:rPr>
          <w:rFonts w:hint="eastAsia" w:ascii="Times New Roman" w:hAnsi="Times New Roman" w:eastAsia="仿宋_GB2312"/>
          <w:color w:val="auto"/>
          <w:sz w:val="32"/>
          <w:szCs w:val="32"/>
          <w:lang w:val="en-US" w:eastAsia="zh-CN"/>
        </w:rPr>
        <w:t>2023年度部门整体支出绩效自评报告</w:t>
      </w:r>
    </w:p>
    <w:p w14:paraId="3B314EC9">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color w:val="auto"/>
          <w:sz w:val="32"/>
          <w:szCs w:val="32"/>
          <w:lang w:val="en-US" w:eastAsia="zh-CN"/>
        </w:rPr>
      </w:pPr>
      <w:r>
        <w:rPr>
          <w:rFonts w:hint="eastAsia" w:ascii="楷体" w:hAnsi="楷体" w:eastAsia="楷体" w:cs="楷体"/>
          <w:b/>
          <w:bCs/>
          <w:color w:val="auto"/>
          <w:sz w:val="32"/>
          <w:szCs w:val="32"/>
          <w:lang w:eastAsia="zh-CN"/>
        </w:rPr>
        <w:t>二、</w:t>
      </w:r>
      <w:r>
        <w:rPr>
          <w:rFonts w:hint="eastAsia" w:ascii="Times New Roman" w:hAnsi="Times New Roman" w:eastAsia="仿宋_GB2312"/>
          <w:color w:val="auto"/>
          <w:sz w:val="32"/>
          <w:szCs w:val="32"/>
          <w:lang w:val="en-US" w:eastAsia="zh-CN"/>
        </w:rPr>
        <w:t>2023年度部门专项支出绩效自评报告</w:t>
      </w:r>
    </w:p>
    <w:p w14:paraId="2F42038B">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default"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三、2023年度部门决算公开表</w:t>
      </w:r>
    </w:p>
    <w:p w14:paraId="4ADA4C40">
      <w:pPr>
        <w:pStyle w:val="13"/>
        <w:jc w:val="center"/>
        <w:rPr>
          <w:color w:val="auto"/>
          <w:sz w:val="72"/>
          <w:szCs w:val="72"/>
        </w:rPr>
      </w:pPr>
    </w:p>
    <w:p w14:paraId="3723B082">
      <w:pPr>
        <w:pStyle w:val="13"/>
        <w:jc w:val="center"/>
        <w:rPr>
          <w:color w:val="auto"/>
          <w:sz w:val="72"/>
          <w:szCs w:val="72"/>
        </w:rPr>
      </w:pPr>
    </w:p>
    <w:p w14:paraId="6076BDDD">
      <w:pPr>
        <w:jc w:val="left"/>
        <w:rPr>
          <w:rFonts w:cs="黑体" w:asciiTheme="minorEastAsia" w:hAnsiTheme="minorEastAsia"/>
          <w:color w:val="auto"/>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E5MDI5NGEwZTIwOWNmYzQwZWVjN2QyZDRiOGJlOTQ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20941A3"/>
    <w:rsid w:val="0E356BBF"/>
    <w:rsid w:val="1D97DEFF"/>
    <w:rsid w:val="1DFF72E5"/>
    <w:rsid w:val="1EFC6F07"/>
    <w:rsid w:val="25E60A73"/>
    <w:rsid w:val="27171D8A"/>
    <w:rsid w:val="2EC4140B"/>
    <w:rsid w:val="2FDF85B8"/>
    <w:rsid w:val="2FFFEE04"/>
    <w:rsid w:val="34DF85B0"/>
    <w:rsid w:val="37AA2816"/>
    <w:rsid w:val="3B8F36BC"/>
    <w:rsid w:val="41FD1500"/>
    <w:rsid w:val="440873F0"/>
    <w:rsid w:val="45562F29"/>
    <w:rsid w:val="491FF225"/>
    <w:rsid w:val="4E6F61BB"/>
    <w:rsid w:val="4FFD214C"/>
    <w:rsid w:val="52B17829"/>
    <w:rsid w:val="5777D4F5"/>
    <w:rsid w:val="59042B99"/>
    <w:rsid w:val="59DD8326"/>
    <w:rsid w:val="5DEF592A"/>
    <w:rsid w:val="5FC6BB1E"/>
    <w:rsid w:val="5FF720F1"/>
    <w:rsid w:val="66E71979"/>
    <w:rsid w:val="67FF5C0B"/>
    <w:rsid w:val="6EFC0924"/>
    <w:rsid w:val="6FB74722"/>
    <w:rsid w:val="6FEF8B7E"/>
    <w:rsid w:val="70462FAC"/>
    <w:rsid w:val="71A6591B"/>
    <w:rsid w:val="737D59BA"/>
    <w:rsid w:val="77C37683"/>
    <w:rsid w:val="79FF515B"/>
    <w:rsid w:val="7E9E1962"/>
    <w:rsid w:val="7E9F11B4"/>
    <w:rsid w:val="7F37EC1E"/>
    <w:rsid w:val="7F7DCD9D"/>
    <w:rsid w:val="7F8435B0"/>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Balloon Text"/>
    <w:basedOn w:val="1"/>
    <w:link w:val="15"/>
    <w:semiHidden/>
    <w:unhideWhenUsed/>
    <w:qFormat/>
    <w:uiPriority w:val="99"/>
    <w:rPr>
      <w:sz w:val="18"/>
      <w:szCs w:val="18"/>
    </w:rPr>
  </w:style>
  <w:style w:type="paragraph" w:styleId="6">
    <w:name w:val="footer"/>
    <w:basedOn w:val="1"/>
    <w:link w:val="12"/>
    <w:unhideWhenUsed/>
    <w:qFormat/>
    <w:uiPriority w:val="99"/>
    <w:pPr>
      <w:tabs>
        <w:tab w:val="center" w:pos="4153"/>
        <w:tab w:val="right" w:pos="8306"/>
      </w:tabs>
      <w:snapToGrid w:val="0"/>
      <w:jc w:val="left"/>
    </w:pPr>
    <w:rPr>
      <w:sz w:val="18"/>
      <w:szCs w:val="18"/>
    </w:rPr>
  </w:style>
  <w:style w:type="paragraph" w:styleId="7">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99"/>
    <w:pPr>
      <w:spacing w:beforeAutospacing="1" w:afterAutospacing="1"/>
      <w:jc w:val="left"/>
    </w:pPr>
    <w:rPr>
      <w:kern w:val="0"/>
      <w:sz w:val="24"/>
    </w:rPr>
  </w:style>
  <w:style w:type="character" w:customStyle="1" w:styleId="11">
    <w:name w:val="页眉 Char"/>
    <w:basedOn w:val="10"/>
    <w:link w:val="7"/>
    <w:qFormat/>
    <w:uiPriority w:val="99"/>
    <w:rPr>
      <w:sz w:val="18"/>
      <w:szCs w:val="18"/>
    </w:rPr>
  </w:style>
  <w:style w:type="character" w:customStyle="1" w:styleId="12">
    <w:name w:val="页脚 Char"/>
    <w:basedOn w:val="10"/>
    <w:link w:val="6"/>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10"/>
    <w:link w:val="5"/>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21</Pages>
  <Words>6854</Words>
  <Characters>7568</Characters>
  <Lines>63</Lines>
  <Paragraphs>18</Paragraphs>
  <TotalTime>6</TotalTime>
  <ScaleCrop>false</ScaleCrop>
  <LinksUpToDate>false</LinksUpToDate>
  <CharactersWithSpaces>7598</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Administrator</cp:lastModifiedBy>
  <cp:lastPrinted>2024-08-08T10:20:00Z</cp:lastPrinted>
  <dcterms:modified xsi:type="dcterms:W3CDTF">2024-09-24T10:05:18Z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CCA85C1F0FED4F6BBF993774C2B4F837</vt:lpwstr>
  </property>
</Properties>
</file>