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4E4919">
      <w:pPr>
        <w:pStyle w:val="9"/>
        <w:jc w:val="center"/>
        <w:rPr>
          <w:rFonts w:hint="eastAsia" w:ascii="方正小标宋_GBK" w:hAnsi="方正小标宋_GBK" w:eastAsia="方正小标宋_GBK" w:cs="方正小标宋_GBK"/>
          <w:sz w:val="52"/>
          <w:szCs w:val="52"/>
        </w:rPr>
      </w:pPr>
    </w:p>
    <w:p w14:paraId="42AC3013">
      <w:pPr>
        <w:pStyle w:val="9"/>
        <w:jc w:val="center"/>
        <w:rPr>
          <w:rFonts w:hint="eastAsia" w:ascii="方正小标宋_GBK" w:hAnsi="方正小标宋_GBK" w:eastAsia="方正小标宋_GBK" w:cs="方正小标宋_GBK"/>
          <w:sz w:val="84"/>
          <w:szCs w:val="84"/>
        </w:rPr>
      </w:pPr>
    </w:p>
    <w:p w14:paraId="79275B18">
      <w:pPr>
        <w:pStyle w:val="9"/>
        <w:jc w:val="center"/>
        <w:rPr>
          <w:rFonts w:hint="eastAsia" w:ascii="方正小标宋_GBK" w:hAnsi="方正小标宋_GBK" w:eastAsia="方正小标宋_GBK" w:cs="方正小标宋_GBK"/>
          <w:sz w:val="84"/>
          <w:szCs w:val="84"/>
        </w:rPr>
      </w:pPr>
    </w:p>
    <w:p w14:paraId="13FD15A6">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5DC0C44D">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怀化市看守所</w:t>
      </w:r>
      <w:r>
        <w:rPr>
          <w:rFonts w:hint="eastAsia" w:ascii="方正小标宋_GBK" w:hAnsi="方正小标宋_GBK" w:eastAsia="方正小标宋_GBK" w:cs="方正小标宋_GBK"/>
          <w:sz w:val="84"/>
          <w:szCs w:val="84"/>
        </w:rPr>
        <w:t>部门决算</w:t>
      </w:r>
    </w:p>
    <w:p w14:paraId="41431713">
      <w:pPr>
        <w:pStyle w:val="9"/>
        <w:jc w:val="center"/>
        <w:rPr>
          <w:rFonts w:hint="eastAsia" w:ascii="方正小标宋_GBK" w:hAnsi="方正小标宋_GBK" w:eastAsia="方正小标宋_GBK" w:cs="方正小标宋_GBK"/>
          <w:sz w:val="44"/>
          <w:szCs w:val="44"/>
        </w:rPr>
      </w:pPr>
    </w:p>
    <w:p w14:paraId="61FF8E14">
      <w:pPr>
        <w:pStyle w:val="9"/>
        <w:spacing w:line="500" w:lineRule="exact"/>
        <w:jc w:val="center"/>
        <w:rPr>
          <w:rFonts w:hint="eastAsia"/>
          <w:b/>
          <w:sz w:val="36"/>
          <w:szCs w:val="28"/>
        </w:rPr>
      </w:pPr>
    </w:p>
    <w:p w14:paraId="4A8DF76E">
      <w:pPr>
        <w:pStyle w:val="9"/>
        <w:spacing w:line="500" w:lineRule="exact"/>
        <w:jc w:val="center"/>
        <w:rPr>
          <w:rFonts w:hint="eastAsia"/>
          <w:b/>
          <w:sz w:val="36"/>
          <w:szCs w:val="28"/>
        </w:rPr>
      </w:pPr>
    </w:p>
    <w:p w14:paraId="45C4B94A">
      <w:pPr>
        <w:pStyle w:val="9"/>
        <w:spacing w:line="500" w:lineRule="exact"/>
        <w:jc w:val="center"/>
        <w:rPr>
          <w:rFonts w:hint="eastAsia"/>
          <w:b/>
          <w:sz w:val="36"/>
          <w:szCs w:val="28"/>
        </w:rPr>
      </w:pPr>
    </w:p>
    <w:p w14:paraId="1AACA859">
      <w:pPr>
        <w:pStyle w:val="9"/>
        <w:spacing w:line="500" w:lineRule="exact"/>
        <w:jc w:val="center"/>
        <w:rPr>
          <w:rFonts w:hint="eastAsia"/>
          <w:b/>
          <w:sz w:val="36"/>
          <w:szCs w:val="28"/>
        </w:rPr>
      </w:pPr>
    </w:p>
    <w:p w14:paraId="4C40D3DF">
      <w:pPr>
        <w:pStyle w:val="9"/>
        <w:spacing w:line="500" w:lineRule="exact"/>
        <w:jc w:val="center"/>
        <w:rPr>
          <w:rFonts w:hint="eastAsia"/>
          <w:b/>
          <w:sz w:val="36"/>
          <w:szCs w:val="28"/>
        </w:rPr>
      </w:pPr>
    </w:p>
    <w:p w14:paraId="02A746E2">
      <w:pPr>
        <w:pStyle w:val="9"/>
        <w:spacing w:line="500" w:lineRule="exact"/>
        <w:jc w:val="center"/>
        <w:rPr>
          <w:rFonts w:hint="eastAsia"/>
          <w:b/>
          <w:sz w:val="36"/>
          <w:szCs w:val="28"/>
        </w:rPr>
      </w:pPr>
    </w:p>
    <w:p w14:paraId="39C41CAA">
      <w:pPr>
        <w:pStyle w:val="9"/>
        <w:spacing w:line="500" w:lineRule="exact"/>
        <w:jc w:val="center"/>
        <w:rPr>
          <w:rFonts w:hint="eastAsia"/>
          <w:b/>
          <w:sz w:val="36"/>
          <w:szCs w:val="28"/>
        </w:rPr>
      </w:pPr>
    </w:p>
    <w:p w14:paraId="3A362BD8">
      <w:pPr>
        <w:pStyle w:val="9"/>
        <w:spacing w:line="500" w:lineRule="exact"/>
        <w:jc w:val="center"/>
        <w:rPr>
          <w:rFonts w:hint="eastAsia"/>
          <w:b/>
          <w:sz w:val="36"/>
          <w:szCs w:val="28"/>
        </w:rPr>
      </w:pPr>
    </w:p>
    <w:p w14:paraId="442331AA">
      <w:pPr>
        <w:pStyle w:val="9"/>
        <w:spacing w:line="500" w:lineRule="exact"/>
        <w:jc w:val="center"/>
        <w:rPr>
          <w:rFonts w:hint="eastAsia"/>
          <w:b/>
          <w:sz w:val="36"/>
          <w:szCs w:val="28"/>
        </w:rPr>
      </w:pPr>
    </w:p>
    <w:p w14:paraId="0E7E570F">
      <w:pPr>
        <w:pStyle w:val="9"/>
        <w:spacing w:line="500" w:lineRule="exact"/>
        <w:jc w:val="center"/>
        <w:rPr>
          <w:rFonts w:hint="eastAsia"/>
          <w:b/>
          <w:sz w:val="36"/>
          <w:szCs w:val="28"/>
        </w:rPr>
      </w:pPr>
    </w:p>
    <w:p w14:paraId="606BB8D4">
      <w:pPr>
        <w:pStyle w:val="9"/>
        <w:spacing w:line="500" w:lineRule="exact"/>
        <w:jc w:val="center"/>
        <w:rPr>
          <w:rFonts w:hint="eastAsia"/>
          <w:b/>
          <w:sz w:val="36"/>
          <w:szCs w:val="28"/>
        </w:rPr>
      </w:pPr>
    </w:p>
    <w:p w14:paraId="70D2F60D">
      <w:pPr>
        <w:pStyle w:val="9"/>
        <w:spacing w:line="500" w:lineRule="exact"/>
        <w:jc w:val="center"/>
        <w:rPr>
          <w:rFonts w:hint="eastAsia"/>
          <w:b/>
          <w:sz w:val="36"/>
          <w:szCs w:val="28"/>
        </w:rPr>
      </w:pPr>
    </w:p>
    <w:p w14:paraId="097C73B4">
      <w:pPr>
        <w:pStyle w:val="9"/>
        <w:spacing w:line="500" w:lineRule="exact"/>
        <w:jc w:val="center"/>
        <w:rPr>
          <w:rFonts w:hint="eastAsia"/>
          <w:b/>
          <w:sz w:val="36"/>
          <w:szCs w:val="28"/>
        </w:rPr>
      </w:pPr>
    </w:p>
    <w:p w14:paraId="77355D99">
      <w:pPr>
        <w:pStyle w:val="9"/>
        <w:spacing w:line="500" w:lineRule="exact"/>
        <w:jc w:val="center"/>
        <w:rPr>
          <w:rFonts w:hint="eastAsia"/>
          <w:b/>
          <w:sz w:val="36"/>
          <w:szCs w:val="28"/>
        </w:rPr>
      </w:pPr>
    </w:p>
    <w:p w14:paraId="729C7541">
      <w:pPr>
        <w:pStyle w:val="9"/>
        <w:spacing w:line="500" w:lineRule="exact"/>
        <w:jc w:val="center"/>
        <w:rPr>
          <w:rFonts w:hint="eastAsia"/>
          <w:b/>
          <w:sz w:val="36"/>
          <w:szCs w:val="28"/>
        </w:rPr>
      </w:pPr>
      <w:r>
        <w:rPr>
          <w:rFonts w:hint="eastAsia"/>
          <w:b/>
          <w:sz w:val="36"/>
          <w:szCs w:val="28"/>
        </w:rPr>
        <w:t>目录</w:t>
      </w:r>
    </w:p>
    <w:p w14:paraId="466ABE06">
      <w:pPr>
        <w:pStyle w:val="9"/>
        <w:spacing w:line="500" w:lineRule="exact"/>
        <w:jc w:val="center"/>
        <w:rPr>
          <w:rFonts w:hint="eastAsia"/>
          <w:b/>
          <w:sz w:val="36"/>
          <w:szCs w:val="28"/>
        </w:rPr>
      </w:pPr>
    </w:p>
    <w:p w14:paraId="340A569A">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单位</w:t>
      </w:r>
      <w:r>
        <w:rPr>
          <w:rFonts w:hint="eastAsia" w:ascii="黑体" w:hAnsi="黑体" w:eastAsia="黑体" w:cs="黑体"/>
          <w:b w:val="0"/>
          <w:bCs/>
          <w:sz w:val="28"/>
          <w:szCs w:val="28"/>
        </w:rPr>
        <w:t>概况</w:t>
      </w:r>
    </w:p>
    <w:p w14:paraId="11E60DAD">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一、部门职责</w:t>
      </w:r>
    </w:p>
    <w:p w14:paraId="6CDCF071">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二、机构设置</w:t>
      </w:r>
    </w:p>
    <w:p w14:paraId="7E2B02B0">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83C377C">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一、收入支出决算总表</w:t>
      </w:r>
    </w:p>
    <w:p w14:paraId="6B62EE52">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二、收入决算表</w:t>
      </w:r>
    </w:p>
    <w:p w14:paraId="39430456">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三、支出决算表</w:t>
      </w:r>
    </w:p>
    <w:p w14:paraId="33E67911">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四、财政拨款收入支出决算总表</w:t>
      </w:r>
    </w:p>
    <w:p w14:paraId="341D8B4C">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五、一般公共预算财政拨款支出决算表</w:t>
      </w:r>
    </w:p>
    <w:p w14:paraId="2D34C8F8">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六、一般公共预算财政拨款基本支出决算明细表</w:t>
      </w:r>
    </w:p>
    <w:p w14:paraId="67549136">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七、政府性基金预算财政拨款收入支出决算表</w:t>
      </w:r>
    </w:p>
    <w:p w14:paraId="66F5855C">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八、国有资本经营预算财政拨款支出决算表</w:t>
      </w:r>
    </w:p>
    <w:p w14:paraId="49306963">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九、财政拨款“三公”经费支出决算表</w:t>
      </w:r>
    </w:p>
    <w:p w14:paraId="647CBAFE">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211D24E4">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一、收入支出决算总体情况说明</w:t>
      </w:r>
    </w:p>
    <w:p w14:paraId="142E1AA2">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二、收入决算情况说明</w:t>
      </w:r>
    </w:p>
    <w:p w14:paraId="43C92A9B">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三、支出决算情况说明</w:t>
      </w:r>
    </w:p>
    <w:p w14:paraId="6F692EA6">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四、财政拨款收入支出决算总体情况说明</w:t>
      </w:r>
    </w:p>
    <w:p w14:paraId="217FE919">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五、一般公共预算财政拨款支出决算情况说明</w:t>
      </w:r>
    </w:p>
    <w:p w14:paraId="3CEBD222">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六、一般公共预算财政拨款基本支出决算情况说明</w:t>
      </w:r>
    </w:p>
    <w:p w14:paraId="09137401">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七、一般公共预算财政拨款三公经费支出决算情况说明</w:t>
      </w:r>
    </w:p>
    <w:p w14:paraId="707933ED">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八、政府性基金预算收入支出决算情况</w:t>
      </w:r>
    </w:p>
    <w:p w14:paraId="116E102F">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九、关于机关运行经费支出说明</w:t>
      </w:r>
    </w:p>
    <w:p w14:paraId="2C4F4CAC">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十、一般性支出情况说明</w:t>
      </w:r>
    </w:p>
    <w:p w14:paraId="26EC23BE">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十一、关于政府采购支出说明</w:t>
      </w:r>
    </w:p>
    <w:p w14:paraId="42077841">
      <w:pPr>
        <w:widowControl/>
        <w:spacing w:line="600" w:lineRule="exac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十二、关于国有资产占用情况说明</w:t>
      </w:r>
    </w:p>
    <w:p w14:paraId="094ADFEE">
      <w:pPr>
        <w:pStyle w:val="9"/>
        <w:spacing w:line="500" w:lineRule="exact"/>
        <w:ind w:firstLine="560" w:firstLineChars="200"/>
        <w:rPr>
          <w:rFonts w:hint="eastAsia" w:ascii="仿宋_GB2312" w:hAnsi="仿宋_GB2312" w:eastAsia="仿宋_GB2312" w:cs="仿宋_GB2312"/>
          <w:sz w:val="28"/>
          <w:szCs w:val="28"/>
        </w:rPr>
      </w:pPr>
      <w:r>
        <w:rPr>
          <w:rFonts w:hint="eastAsia" w:ascii="仿宋" w:hAnsi="仿宋" w:eastAsia="仿宋" w:cs="Times New Roman"/>
          <w:color w:val="auto"/>
          <w:kern w:val="2"/>
          <w:sz w:val="28"/>
          <w:szCs w:val="28"/>
          <w:highlight w:val="none"/>
          <w:lang w:val="en-US" w:eastAsia="zh-CN" w:bidi="ar-SA"/>
        </w:rPr>
        <w:t>十三、</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45F3D82C">
      <w:pPr>
        <w:pStyle w:val="9"/>
        <w:spacing w:line="500" w:lineRule="exact"/>
        <w:rPr>
          <w:rFonts w:hint="eastAsia" w:ascii="方正小标宋_GBK" w:hAnsi="方正小标宋_GBK" w:eastAsia="方正小标宋_GBK" w:cs="方正小标宋_GBK"/>
          <w:sz w:val="44"/>
          <w:szCs w:val="44"/>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529561D2">
      <w:pPr>
        <w:pStyle w:val="9"/>
        <w:jc w:val="center"/>
        <w:rPr>
          <w:rFonts w:hint="eastAsia" w:ascii="方正小标宋_GBK" w:hAnsi="方正小标宋_GBK" w:eastAsia="方正小标宋_GBK" w:cs="方正小标宋_GBK"/>
          <w:sz w:val="44"/>
          <w:szCs w:val="44"/>
        </w:rPr>
      </w:pPr>
    </w:p>
    <w:p w14:paraId="25B5F1D7">
      <w:pPr>
        <w:pStyle w:val="9"/>
        <w:jc w:val="center"/>
        <w:rPr>
          <w:rFonts w:hint="eastAsia" w:ascii="方正小标宋_GBK" w:hAnsi="方正小标宋_GBK" w:eastAsia="方正小标宋_GBK" w:cs="方正小标宋_GBK"/>
          <w:sz w:val="44"/>
          <w:szCs w:val="44"/>
        </w:rPr>
      </w:pPr>
    </w:p>
    <w:p w14:paraId="0D7E91B5">
      <w:pPr>
        <w:pStyle w:val="9"/>
        <w:jc w:val="center"/>
        <w:rPr>
          <w:rFonts w:hint="eastAsia" w:ascii="方正小标宋_GBK" w:hAnsi="方正小标宋_GBK" w:eastAsia="方正小标宋_GBK" w:cs="方正小标宋_GBK"/>
          <w:sz w:val="44"/>
          <w:szCs w:val="44"/>
        </w:rPr>
      </w:pPr>
    </w:p>
    <w:p w14:paraId="70616927">
      <w:pPr>
        <w:pStyle w:val="9"/>
        <w:jc w:val="center"/>
        <w:rPr>
          <w:rFonts w:hint="eastAsia" w:ascii="方正小标宋_GBK" w:hAnsi="方正小标宋_GBK" w:eastAsia="方正小标宋_GBK" w:cs="方正小标宋_GBK"/>
          <w:sz w:val="44"/>
          <w:szCs w:val="44"/>
        </w:rPr>
      </w:pPr>
    </w:p>
    <w:p w14:paraId="2DB8565C">
      <w:pPr>
        <w:pStyle w:val="9"/>
        <w:jc w:val="center"/>
        <w:rPr>
          <w:rFonts w:hint="eastAsia" w:ascii="方正小标宋_GBK" w:hAnsi="方正小标宋_GBK" w:eastAsia="方正小标宋_GBK" w:cs="方正小标宋_GBK"/>
          <w:sz w:val="44"/>
          <w:szCs w:val="44"/>
        </w:rPr>
      </w:pPr>
    </w:p>
    <w:p w14:paraId="67B363C9">
      <w:pPr>
        <w:pStyle w:val="9"/>
        <w:jc w:val="center"/>
        <w:rPr>
          <w:rFonts w:hint="eastAsia" w:ascii="方正小标宋_GBK" w:hAnsi="方正小标宋_GBK" w:eastAsia="方正小标宋_GBK" w:cs="方正小标宋_GBK"/>
          <w:sz w:val="44"/>
          <w:szCs w:val="44"/>
        </w:rPr>
      </w:pPr>
    </w:p>
    <w:p w14:paraId="49FE4DD0">
      <w:pPr>
        <w:pStyle w:val="9"/>
        <w:jc w:val="center"/>
        <w:rPr>
          <w:rFonts w:hint="eastAsia" w:ascii="方正小标宋_GBK" w:hAnsi="方正小标宋_GBK" w:eastAsia="方正小标宋_GBK" w:cs="方正小标宋_GBK"/>
          <w:sz w:val="44"/>
          <w:szCs w:val="44"/>
        </w:rPr>
      </w:pPr>
    </w:p>
    <w:p w14:paraId="4ABEDBAF">
      <w:pPr>
        <w:pStyle w:val="9"/>
        <w:jc w:val="center"/>
        <w:rPr>
          <w:rFonts w:hint="eastAsia" w:ascii="方正小标宋_GBK" w:hAnsi="方正小标宋_GBK" w:eastAsia="方正小标宋_GBK" w:cs="方正小标宋_GBK"/>
          <w:sz w:val="44"/>
          <w:szCs w:val="44"/>
        </w:rPr>
      </w:pPr>
    </w:p>
    <w:p w14:paraId="25F141B7">
      <w:pPr>
        <w:pStyle w:val="9"/>
        <w:jc w:val="center"/>
        <w:rPr>
          <w:rFonts w:hint="eastAsia" w:ascii="方正小标宋_GBK" w:hAnsi="方正小标宋_GBK" w:eastAsia="方正小标宋_GBK" w:cs="方正小标宋_GBK"/>
          <w:sz w:val="52"/>
          <w:szCs w:val="52"/>
        </w:rPr>
      </w:pPr>
    </w:p>
    <w:p w14:paraId="1FC41960">
      <w:pPr>
        <w:pStyle w:val="9"/>
        <w:jc w:val="center"/>
        <w:rPr>
          <w:rFonts w:hint="eastAsia" w:ascii="方正小标宋_GBK" w:hAnsi="方正小标宋_GBK" w:eastAsia="方正小标宋_GBK" w:cs="方正小标宋_GBK"/>
          <w:sz w:val="52"/>
          <w:szCs w:val="52"/>
        </w:rPr>
      </w:pPr>
    </w:p>
    <w:p w14:paraId="264FAA74">
      <w:pPr>
        <w:pStyle w:val="9"/>
        <w:jc w:val="center"/>
        <w:rPr>
          <w:rFonts w:hint="eastAsia" w:ascii="方正小标宋_GBK" w:hAnsi="方正小标宋_GBK" w:eastAsia="方正小标宋_GBK" w:cs="方正小标宋_GBK"/>
          <w:sz w:val="52"/>
          <w:szCs w:val="52"/>
        </w:rPr>
      </w:pPr>
    </w:p>
    <w:p w14:paraId="505D3D45">
      <w:pPr>
        <w:pStyle w:val="9"/>
        <w:jc w:val="center"/>
        <w:rPr>
          <w:rFonts w:hint="eastAsia" w:ascii="方正小标宋_GBK" w:hAnsi="方正小标宋_GBK" w:eastAsia="方正小标宋_GBK" w:cs="方正小标宋_GBK"/>
          <w:sz w:val="52"/>
          <w:szCs w:val="52"/>
        </w:rPr>
      </w:pPr>
    </w:p>
    <w:p w14:paraId="14E5325A">
      <w:pPr>
        <w:pStyle w:val="9"/>
        <w:jc w:val="center"/>
        <w:rPr>
          <w:rFonts w:hint="eastAsia" w:ascii="方正小标宋_GBK" w:hAnsi="方正小标宋_GBK" w:eastAsia="方正小标宋_GBK" w:cs="方正小标宋_GBK"/>
          <w:sz w:val="52"/>
          <w:szCs w:val="52"/>
        </w:rPr>
      </w:pPr>
    </w:p>
    <w:p w14:paraId="556166DA">
      <w:pPr>
        <w:pStyle w:val="9"/>
        <w:jc w:val="center"/>
        <w:rPr>
          <w:rFonts w:hint="eastAsia" w:ascii="方正小标宋_GBK" w:hAnsi="方正小标宋_GBK" w:eastAsia="方正小标宋_GBK" w:cs="方正小标宋_GBK"/>
          <w:sz w:val="52"/>
          <w:szCs w:val="52"/>
        </w:rPr>
      </w:pPr>
    </w:p>
    <w:p w14:paraId="102855A9">
      <w:pPr>
        <w:pStyle w:val="9"/>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 xml:space="preserve">第一部分 </w:t>
      </w:r>
    </w:p>
    <w:p w14:paraId="6BC525FF">
      <w:pPr>
        <w:pStyle w:val="9"/>
        <w:jc w:val="center"/>
        <w:rPr>
          <w:sz w:val="52"/>
          <w:szCs w:val="52"/>
        </w:rPr>
      </w:pPr>
      <w:r>
        <w:rPr>
          <w:rFonts w:hint="eastAsia" w:ascii="方正小标宋_GBK" w:hAnsi="方正小标宋_GBK" w:eastAsia="方正小标宋_GBK" w:cs="方正小标宋_GBK"/>
          <w:sz w:val="52"/>
          <w:szCs w:val="52"/>
          <w:lang w:eastAsia="zh-CN"/>
        </w:rPr>
        <w:t>怀化市看守所</w:t>
      </w:r>
      <w:r>
        <w:rPr>
          <w:rFonts w:hint="eastAsia" w:ascii="方正小标宋_GBK" w:hAnsi="方正小标宋_GBK" w:eastAsia="方正小标宋_GBK" w:cs="方正小标宋_GBK"/>
          <w:sz w:val="52"/>
          <w:szCs w:val="52"/>
        </w:rPr>
        <w:t>概况</w:t>
      </w:r>
    </w:p>
    <w:p w14:paraId="352FDF82">
      <w:pPr>
        <w:pStyle w:val="10"/>
        <w:numPr>
          <w:ilvl w:val="0"/>
          <w:numId w:val="0"/>
        </w:numPr>
        <w:ind w:leftChars="0"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部门职责</w:t>
      </w:r>
    </w:p>
    <w:p w14:paraId="4F76F04F">
      <w:pPr>
        <w:keepNext w:val="0"/>
        <w:keepLines w:val="0"/>
        <w:pageBreakBefore w:val="0"/>
        <w:widowControl/>
        <w:kinsoku/>
        <w:wordWrap/>
        <w:overflowPunct/>
        <w:topLinePunct w:val="0"/>
        <w:autoSpaceDE/>
        <w:autoSpaceDN/>
        <w:bidi w:val="0"/>
        <w:adjustRightInd/>
        <w:snapToGrid/>
        <w:ind w:firstLine="560" w:firstLineChars="200"/>
        <w:jc w:val="left"/>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怀化市看守所担负着市本级、鹤城区、中方县的公、检、法送押的被刑事拘留、逮捕人员以及其他11个县（市、区）送押的女性和未成年嫌疑犯的羁押、管理和教育任务，月均关押1000人。2023年我所的主要工作任务及目标是：依据国家法律对市直、鹤城、中方县及其他县市区女犯和未成年的犯罪嫌疑人、被告人实行武装警戒看守，保障安全；对人犯进行教育；管理人犯的生活和卫生；保障侦察起诉和审判工作的顺利进行。</w:t>
      </w:r>
    </w:p>
    <w:p w14:paraId="777B7876">
      <w:pPr>
        <w:keepNext w:val="0"/>
        <w:keepLines w:val="0"/>
        <w:pageBreakBefore w:val="0"/>
        <w:widowControl/>
        <w:kinsoku/>
        <w:wordWrap/>
        <w:overflowPunct/>
        <w:topLinePunct w:val="0"/>
        <w:autoSpaceDE/>
        <w:autoSpaceDN/>
        <w:bidi w:val="0"/>
        <w:adjustRightInd/>
        <w:snapToGrid/>
        <w:ind w:firstLine="560" w:firstLineChars="200"/>
        <w:jc w:val="left"/>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二、机构设置及决算单位构成</w:t>
      </w:r>
    </w:p>
    <w:p w14:paraId="454B12B3">
      <w:pPr>
        <w:keepNext w:val="0"/>
        <w:keepLines w:val="0"/>
        <w:pageBreakBefore w:val="0"/>
        <w:widowControl/>
        <w:kinsoku/>
        <w:wordWrap/>
        <w:overflowPunct/>
        <w:topLinePunct w:val="0"/>
        <w:autoSpaceDE/>
        <w:autoSpaceDN/>
        <w:bidi w:val="0"/>
        <w:adjustRightInd/>
        <w:snapToGrid/>
        <w:ind w:firstLine="560" w:firstLineChars="200"/>
        <w:jc w:val="left"/>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（一）内设机构设置。本部门作为一级部门预算单位，高配副处单位，内设大队为：管教大队、看押大队、后勤管理大队、收押大队以及女子监管大队，其中在编民警40人，辅警74人</w:t>
      </w:r>
    </w:p>
    <w:p w14:paraId="5D45F44A">
      <w:pPr>
        <w:keepNext w:val="0"/>
        <w:keepLines w:val="0"/>
        <w:pageBreakBefore w:val="0"/>
        <w:widowControl/>
        <w:kinsoku/>
        <w:wordWrap/>
        <w:overflowPunct/>
        <w:topLinePunct w:val="0"/>
        <w:autoSpaceDE/>
        <w:autoSpaceDN/>
        <w:bidi w:val="0"/>
        <w:adjustRightInd/>
        <w:snapToGrid/>
        <w:ind w:firstLine="560" w:firstLineChars="200"/>
        <w:jc w:val="left"/>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（二）决算单位构成。怀化市看守所单位2023年部门决算汇总公开单位构成包括：怀化市看守所单位本级。</w:t>
      </w:r>
    </w:p>
    <w:p w14:paraId="44CD63D5">
      <w:pPr>
        <w:jc w:val="center"/>
        <w:rPr>
          <w:rFonts w:hint="eastAsia" w:ascii="黑体" w:hAnsi="黑体" w:eastAsia="黑体" w:cs="黑体"/>
          <w:b w:val="0"/>
          <w:bCs/>
          <w:kern w:val="0"/>
          <w:sz w:val="32"/>
          <w:szCs w:val="32"/>
          <w:lang w:val="en-US" w:eastAsia="zh-CN" w:bidi="ar-SA"/>
        </w:rPr>
      </w:pPr>
    </w:p>
    <w:p w14:paraId="6B5A594E">
      <w:pPr>
        <w:jc w:val="center"/>
        <w:rPr>
          <w:rFonts w:hint="eastAsia" w:ascii="黑体" w:hAnsi="黑体" w:eastAsia="黑体" w:cs="黑体"/>
          <w:b w:val="0"/>
          <w:bCs/>
          <w:kern w:val="0"/>
          <w:sz w:val="32"/>
          <w:szCs w:val="32"/>
          <w:lang w:val="en-US" w:eastAsia="zh-CN" w:bidi="ar-SA"/>
        </w:rPr>
      </w:pPr>
    </w:p>
    <w:p w14:paraId="202D94FC">
      <w:pPr>
        <w:jc w:val="center"/>
        <w:rPr>
          <w:rFonts w:ascii="黑体" w:hAnsi="黑体" w:eastAsia="黑体"/>
          <w:sz w:val="28"/>
          <w:szCs w:val="28"/>
        </w:rPr>
      </w:pPr>
    </w:p>
    <w:p w14:paraId="0795638F">
      <w:pPr>
        <w:jc w:val="center"/>
        <w:rPr>
          <w:rFonts w:ascii="黑体" w:hAnsi="黑体" w:eastAsia="黑体"/>
          <w:sz w:val="28"/>
          <w:szCs w:val="28"/>
        </w:rPr>
      </w:pPr>
    </w:p>
    <w:p w14:paraId="68BCD51F">
      <w:pPr>
        <w:jc w:val="center"/>
        <w:rPr>
          <w:rFonts w:ascii="黑体" w:hAnsi="黑体" w:eastAsia="黑体"/>
          <w:sz w:val="28"/>
          <w:szCs w:val="28"/>
        </w:rPr>
      </w:pPr>
    </w:p>
    <w:p w14:paraId="3C8C23E5">
      <w:pPr>
        <w:jc w:val="center"/>
        <w:rPr>
          <w:rFonts w:ascii="黑体" w:hAnsi="黑体" w:eastAsia="黑体"/>
          <w:sz w:val="28"/>
          <w:szCs w:val="28"/>
        </w:rPr>
      </w:pPr>
    </w:p>
    <w:p w14:paraId="64421C9C">
      <w:pPr>
        <w:jc w:val="center"/>
        <w:rPr>
          <w:rFonts w:ascii="黑体" w:hAnsi="黑体" w:eastAsia="黑体"/>
          <w:sz w:val="28"/>
          <w:szCs w:val="28"/>
        </w:rPr>
      </w:pPr>
    </w:p>
    <w:p w14:paraId="61129A4D">
      <w:pPr>
        <w:jc w:val="center"/>
        <w:rPr>
          <w:rFonts w:ascii="黑体" w:hAnsi="黑体" w:eastAsia="黑体"/>
          <w:sz w:val="28"/>
          <w:szCs w:val="28"/>
        </w:rPr>
      </w:pPr>
    </w:p>
    <w:p w14:paraId="6368DCDE">
      <w:pPr>
        <w:jc w:val="center"/>
        <w:rPr>
          <w:rFonts w:ascii="黑体" w:hAnsi="黑体" w:eastAsia="黑体"/>
          <w:sz w:val="28"/>
          <w:szCs w:val="28"/>
        </w:rPr>
      </w:pPr>
    </w:p>
    <w:p w14:paraId="77CF5DA5">
      <w:pPr>
        <w:pStyle w:val="9"/>
        <w:jc w:val="center"/>
        <w:rPr>
          <w:rFonts w:hint="eastAsia" w:ascii="方正小标宋_GBK" w:hAnsi="方正小标宋_GBK" w:eastAsia="方正小标宋_GBK" w:cs="方正小标宋_GBK"/>
          <w:sz w:val="84"/>
          <w:szCs w:val="84"/>
        </w:rPr>
      </w:pPr>
    </w:p>
    <w:p w14:paraId="6BDB9C74">
      <w:pPr>
        <w:pStyle w:val="9"/>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第二部分</w:t>
      </w:r>
    </w:p>
    <w:p w14:paraId="6A7AB030">
      <w:pPr>
        <w:pStyle w:val="9"/>
        <w:jc w:val="center"/>
        <w:rPr>
          <w:rFonts w:hint="eastAsia" w:ascii="方正小标宋_GBK" w:hAnsi="方正小标宋_GBK" w:eastAsia="方正小标宋_GBK" w:cs="方正小标宋_GBK"/>
          <w:sz w:val="52"/>
          <w:szCs w:val="52"/>
        </w:rPr>
      </w:pPr>
    </w:p>
    <w:p w14:paraId="6C3C949B">
      <w:pPr>
        <w:pStyle w:val="9"/>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部门决算表</w:t>
      </w:r>
    </w:p>
    <w:p w14:paraId="6382DE59">
      <w:pPr>
        <w:pStyle w:val="9"/>
        <w:jc w:val="center"/>
        <w:rPr>
          <w:rFonts w:hint="eastAsia" w:ascii="方正小标宋_GBK" w:hAnsi="方正小标宋_GBK" w:eastAsia="方正小标宋_GBK" w:cs="方正小标宋_GBK"/>
          <w:sz w:val="52"/>
          <w:szCs w:val="52"/>
          <w:lang w:val="en-US" w:eastAsia="zh-CN"/>
        </w:rPr>
      </w:pPr>
      <w:r>
        <w:rPr>
          <w:rFonts w:hint="eastAsia" w:ascii="方正小标宋_GBK" w:hAnsi="方正小标宋_GBK" w:eastAsia="方正小标宋_GBK" w:cs="方正小标宋_GBK"/>
          <w:sz w:val="52"/>
          <w:szCs w:val="52"/>
          <w:lang w:val="en-US" w:eastAsia="zh-CN"/>
        </w:rPr>
        <w:t>( 见附表）</w:t>
      </w:r>
    </w:p>
    <w:p w14:paraId="17EC0A88">
      <w:pPr>
        <w:jc w:val="center"/>
        <w:rPr>
          <w:sz w:val="52"/>
          <w:szCs w:val="52"/>
        </w:rPr>
      </w:pPr>
    </w:p>
    <w:p w14:paraId="09EB6BFC">
      <w:pPr>
        <w:jc w:val="center"/>
        <w:rPr>
          <w:sz w:val="52"/>
          <w:szCs w:val="52"/>
        </w:rPr>
      </w:pPr>
    </w:p>
    <w:p w14:paraId="1C146BBB">
      <w:pPr>
        <w:widowControl/>
        <w:jc w:val="both"/>
        <w:rPr>
          <w:sz w:val="52"/>
          <w:szCs w:val="52"/>
        </w:rPr>
        <w:sectPr>
          <w:pgSz w:w="11906" w:h="16838"/>
          <w:pgMar w:top="720" w:right="720" w:bottom="720" w:left="720" w:header="851" w:footer="992" w:gutter="0"/>
          <w:cols w:space="425" w:num="1"/>
          <w:docGrid w:type="lines" w:linePitch="312" w:charSpace="0"/>
        </w:sectPr>
      </w:pPr>
      <w:r>
        <w:rPr>
          <w:rFonts w:ascii="黑体" w:hAnsi="黑体" w:eastAsia="黑体"/>
          <w:sz w:val="52"/>
          <w:szCs w:val="52"/>
        </w:rPr>
        <w:br w:type="page"/>
      </w:r>
    </w:p>
    <w:p w14:paraId="3C617305">
      <w:pPr>
        <w:pStyle w:val="9"/>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第三部分</w:t>
      </w:r>
    </w:p>
    <w:p w14:paraId="0A98DC46">
      <w:pPr>
        <w:pStyle w:val="9"/>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lang w:eastAsia="zh-CN"/>
        </w:rPr>
        <w:t>2023</w:t>
      </w:r>
      <w:r>
        <w:rPr>
          <w:rFonts w:hint="eastAsia" w:ascii="方正小标宋_GBK" w:hAnsi="方正小标宋_GBK" w:eastAsia="方正小标宋_GBK" w:cs="方正小标宋_GBK"/>
          <w:sz w:val="52"/>
          <w:szCs w:val="52"/>
        </w:rPr>
        <w:t>年度部门决算情况说明</w:t>
      </w:r>
    </w:p>
    <w:p w14:paraId="0BC3F216">
      <w:pPr>
        <w:widowControl/>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一、收入支出决算总体情况说明</w:t>
      </w:r>
    </w:p>
    <w:p w14:paraId="0178913D">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2023年度收、支总计2115.18万元。与上年相比，增加135.4万元，增加6.83%，主要是因为2023年收、支增加了其他收入资金部分。</w:t>
      </w:r>
    </w:p>
    <w:p w14:paraId="4E45784B">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二、收入决算情况说明</w:t>
      </w:r>
    </w:p>
    <w:p w14:paraId="2797820B">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2023年度收入合计2115.18万元，其中：财政拨款收入1819.7万元，占86%；上级补助收入0万元，占0%；事业收入0万元，占0%；经营收入0万元，占0%；附属单位上缴收入0万元，占0%；其他收入295.48万元，占14%。</w:t>
      </w:r>
    </w:p>
    <w:p w14:paraId="7ECCB663">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三、支出决算情况说明</w:t>
      </w:r>
    </w:p>
    <w:p w14:paraId="4851AB02">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2023年度支出合计2115.18万元，其中：基本支出1092.62万元，占51.66%；项目支出1022.56万元，占48.34%；上缴上级支出0万元，占0%；经营支出0万元，占0%；对附属单位补助支出0万元，占0%。</w:t>
      </w:r>
    </w:p>
    <w:p w14:paraId="72A6F7FF">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四、财政拨款收入支出决算总体情况说明</w:t>
      </w:r>
    </w:p>
    <w:p w14:paraId="29F867C0">
      <w:pPr>
        <w:pStyle w:val="9"/>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 xml:space="preserve">    2023年度财政拨款收、支总计1819.7万元，与上年相比，减少120.52万元,减少6.21%，主要是因为2023年项目建设经费减少；在押人员给养费按实际关押量拨付，实际拨付金额减少；增加了目标单位保障武警中队的预算经费。</w:t>
      </w:r>
    </w:p>
    <w:p w14:paraId="02227E71">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五、一般公共预算财政拨款支出决算情况说明</w:t>
      </w:r>
    </w:p>
    <w:p w14:paraId="25DD6CC5">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（一）财政拨款支出决算总体情况</w:t>
      </w:r>
    </w:p>
    <w:p w14:paraId="1EBDB328">
      <w:pPr>
        <w:pStyle w:val="9"/>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2023年度财政拨款支出1819.7万元，占本年支出合计的86%，与上年相比，财政拨款支出减少120.52万元，减少6.21%，主要是因为项目建设减少、在押人员给养费减少，目标单位保障武警中队支出增加。</w:t>
      </w:r>
    </w:p>
    <w:p w14:paraId="0CCCFDC8">
      <w:pPr>
        <w:pStyle w:val="9"/>
        <w:keepNext w:val="0"/>
        <w:keepLines w:val="0"/>
        <w:pageBreakBefore w:val="0"/>
        <w:widowControl w:val="0"/>
        <w:kinsoku/>
        <w:wordWrap/>
        <w:overflowPunct/>
        <w:topLinePunct w:val="0"/>
        <w:bidi w:val="0"/>
        <w:snapToGrid/>
        <w:spacing w:line="600" w:lineRule="exact"/>
        <w:ind w:firstLine="420" w:firstLineChars="15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（二）财政拨款支出决算结构情况</w:t>
      </w:r>
    </w:p>
    <w:p w14:paraId="1CE33216">
      <w:pPr>
        <w:pStyle w:val="9"/>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 xml:space="preserve">2023年度财政拨款支出1819.7万元，主要用于以下方面：公共安全（类）支出1681.47万元，占92.4%;社会保障和就业（类）支出90.73万元，占4.99%；卫生健康（类）支出21.44万元，占1.18%；一般公共服务支出26.06万元，占1.43%。 </w:t>
      </w:r>
    </w:p>
    <w:p w14:paraId="63432DC9">
      <w:pPr>
        <w:pStyle w:val="9"/>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（三）财政拨款支出决算具体情况</w:t>
      </w:r>
    </w:p>
    <w:p w14:paraId="49232889">
      <w:pPr>
        <w:pStyle w:val="9"/>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2023年度财政拨款支出年初预算数为1494.36万元，支出决算数为1819.7万元，完成年初预算的121.77%，其中：</w:t>
      </w:r>
    </w:p>
    <w:p w14:paraId="01949DA4">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1.公共安全（类）公安（款）行政运行（项）</w:t>
      </w:r>
    </w:p>
    <w:p w14:paraId="7FD3142C">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年初预算为661.33万元，支出决算为603.26万元，完成年初预算91.22%，决算数小于年初预算数，主要原因是实际支出时列支在其他项目中。</w:t>
      </w:r>
    </w:p>
    <w:p w14:paraId="395FE286">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2.公共安全（类）公安（款） 一般行政管理事务（项）</w:t>
      </w:r>
    </w:p>
    <w:p w14:paraId="66BD56FD">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年初预算为0万元，支出决算为26.59万元，完成年初预算100%，主要原因是此项为收到年中下达的转移支付资金。</w:t>
      </w:r>
    </w:p>
    <w:p w14:paraId="63C0C0B2">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3.公共安全（类）公安（款）执法办案（项）</w:t>
      </w:r>
    </w:p>
    <w:p w14:paraId="6816B807">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年初预算为0万元，支出决算为6.5万元，完成年初预算100%，主要原因是此项中有年中下达的转移支付资金及未纳入预算的在押人员给养费。</w:t>
      </w:r>
    </w:p>
    <w:p w14:paraId="66FCB93F">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4.公共安全（类）公安（款）其他公安支出（项）</w:t>
      </w:r>
    </w:p>
    <w:p w14:paraId="4A68EFF4">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年初预算为618.2万元，支出决算为955.68万元，完成年初预算154.59%，主要原因是此项中有项目经费支出及未纳入年初预算按照关押实际人数进行拨付的在押人员给养费。</w:t>
      </w:r>
    </w:p>
    <w:p w14:paraId="684BDF24">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5.公共安全（类）公安（款）其他公共安全支出（项）</w:t>
      </w:r>
    </w:p>
    <w:p w14:paraId="01E7467C">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年初预算0万元，决算支出为89.44万元，完成年初预算100%，主要原因是项目经费支出主要列支在其他公安支出项中。</w:t>
      </w:r>
    </w:p>
    <w:p w14:paraId="3D0AC0FB">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6. 社会保障和就业（类）行政事业单位养老支出（款）行政单位离退休（项）</w:t>
      </w:r>
    </w:p>
    <w:p w14:paraId="4E7C057A">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年初预算76.85万元，支出决算为15.13万元，完成年初预算的19.69%。主要原因是年初预算支出时详细列支在其他行政事业单位养老保险支出中。</w:t>
      </w:r>
    </w:p>
    <w:p w14:paraId="043C7366">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7.社会保障和就业（类）行政事业单位养老（款）机关事业单位基本养老保险缴费支出（项）</w:t>
      </w:r>
    </w:p>
    <w:p w14:paraId="795B6282">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年初预算61.51万元，支出决算为35.87万元，完成年初预算的58.32%，主要原因是：部分机关事业单位基本养老保险缴费支出列入了行政运行项目中。</w:t>
      </w:r>
    </w:p>
    <w:p w14:paraId="21634B17">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8.社会保障和就业（类）行政事业单位养老（款）其他行政事业单位养老保险支出（项）</w:t>
      </w:r>
    </w:p>
    <w:p w14:paraId="0CDE60C8">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年初预算0万元，支出决算为39.73万元，完成年初预算的0%，主要原因是：年初预算未下达其他行政事业单位养老保险支出，此项列支的是行政单位离退休支出。</w:t>
      </w:r>
    </w:p>
    <w:p w14:paraId="5A62D1F7">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9.卫生健康（类）行政事业单位医疗（款）行政单位医疗（项）</w:t>
      </w:r>
    </w:p>
    <w:p w14:paraId="10481825">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年初预算25.77万元，支出决算21.44万元，完成年初预算的83.19%，主要原因是医疗保险部分支出列入了行政运行项目中。</w:t>
      </w:r>
    </w:p>
    <w:p w14:paraId="27D3F0E9">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10.住房保障支出（类）住房公积金（项）</w:t>
      </w:r>
    </w:p>
    <w:p w14:paraId="74CA5297">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年初预算50.7万元，支出决算0万元，完成年初预算的0%，主要原因是支出列入了行政运行项目中。</w:t>
      </w:r>
    </w:p>
    <w:p w14:paraId="5048D6B0">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11.一般公共服务支出（类）其他一般公共服务支出（项）</w:t>
      </w:r>
    </w:p>
    <w:p w14:paraId="1DA74C56">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年初预算0万元，支出决算26.06万元，完成年初预算的100%，主要原因是年初无预算，实际列支的津补贴支出。</w:t>
      </w:r>
    </w:p>
    <w:p w14:paraId="1B1E1AAE">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六、一般公共预算财政拨款基本支出决算情况说明</w:t>
      </w:r>
    </w:p>
    <w:p w14:paraId="22A1AC69">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2023年度财政拨款基本支出797.14万元，其中：</w:t>
      </w:r>
    </w:p>
    <w:p w14:paraId="4BC5A22E">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人员经费688.98万元，占基本支出的86.43%,主要包括基本工资、津贴补贴、奖金、伙食补助费、机关事业单位基本养老保险缴费、职业年金缴费、职工基本医疗保险缴费、公务员医疗补助缴费、其他社会保障缴费、住房公积金、其他工资福利支出、退休费、生活补助、奖励金。</w:t>
      </w:r>
    </w:p>
    <w:p w14:paraId="0BC99DCE">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公用经费57.48万元，占基本支出的72%，主要包括办公费、印刷费、差旅费、邮电费、水电费、劳务费、委托业务费、工会经费、公务用车运行维护费、其他商品和服务支出。</w:t>
      </w:r>
    </w:p>
    <w:p w14:paraId="63AA5D35">
      <w:pPr>
        <w:pStyle w:val="9"/>
        <w:keepNext w:val="0"/>
        <w:keepLines w:val="0"/>
        <w:pageBreakBefore w:val="0"/>
        <w:widowControl w:val="0"/>
        <w:numPr>
          <w:ilvl w:val="0"/>
          <w:numId w:val="1"/>
        </w:numPr>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财政拨款三公经费支出决算情况说明</w:t>
      </w:r>
    </w:p>
    <w:p w14:paraId="79B615A7">
      <w:pPr>
        <w:pStyle w:val="9"/>
        <w:keepNext w:val="0"/>
        <w:keepLines w:val="0"/>
        <w:pageBreakBefore w:val="0"/>
        <w:widowControl w:val="0"/>
        <w:numPr>
          <w:ilvl w:val="0"/>
          <w:numId w:val="0"/>
        </w:numPr>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（一）“三公”经费财政拨款支出决算总体情况说明</w:t>
      </w:r>
    </w:p>
    <w:p w14:paraId="28D75C5D">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“三公”经费财政拨款支出预算为12.6万元，支出决算为11.91万元，完成预算的94.52%，其中：</w:t>
      </w:r>
    </w:p>
    <w:p w14:paraId="73CA6A38">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因公出国（境）费支出预算为0万元，支出决算为0万元，完成预算的0%，决算数等于预算数的主要原因是单位特殊限制公务人员出境，与上年相比减少（增加）0万元，减少0%。</w:t>
      </w:r>
    </w:p>
    <w:p w14:paraId="679CFCB0">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公务接待费支出预算为0.6万元，支出决算为0万元，完成预算的0%，决算数等于预算数的主要原因是本年度厉行节约无公务接待费，与上年相比减少（增加）0万元，减少（增长0%,减少（增长）的主要原因是本年度厉行节约无公务接待费。</w:t>
      </w:r>
    </w:p>
    <w:p w14:paraId="23AD493C">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公务用车运行维护费支出预算为12万元，支出决算为11.91万元，完成预算的94.52%，决算数小于预算数的主要原因是厉行节约，对车辆</w:t>
      </w:r>
      <w:bookmarkStart w:id="0" w:name="_GoBack"/>
      <w:bookmarkEnd w:id="0"/>
      <w:r>
        <w:rPr>
          <w:rFonts w:hint="eastAsia" w:ascii="仿宋" w:hAnsi="仿宋" w:eastAsia="仿宋" w:cs="Times New Roman"/>
          <w:color w:val="auto"/>
          <w:kern w:val="2"/>
          <w:sz w:val="28"/>
          <w:szCs w:val="28"/>
          <w:highlight w:val="none"/>
          <w:lang w:val="en-US" w:eastAsia="zh-CN" w:bidi="ar-SA"/>
        </w:rPr>
        <w:t>的使用进行统一调度，节约了车辆使用的费用。与上年相比减少0.98万元，减少7.6%,减少的主要原因是对车辆的使用进行统一调度，节约了车辆使用的费用。</w:t>
      </w:r>
    </w:p>
    <w:p w14:paraId="1EE4E304">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（二）“三公”经费财政拨款支出决算具体情况说明</w:t>
      </w:r>
    </w:p>
    <w:p w14:paraId="68ED9EF4">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2023年度“三公”经费财政拨款支出决算中，公务接待费支出决算0万元，占0%,因公出国（境）费支出决算0万元，占0%,公车运行维护费支出决算11.91万元，占100%。其中：</w:t>
      </w:r>
    </w:p>
    <w:p w14:paraId="68AD40D2">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1、因公出国（境）费支出决算为0万元，全年安排因公出国（境）团组0个，累计0人次。</w:t>
      </w:r>
    </w:p>
    <w:p w14:paraId="01ED7C92">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2、公务接待费支出决算为0万元，全年共接待来访团组0个、来宾0人次。</w:t>
      </w:r>
    </w:p>
    <w:p w14:paraId="072EBFC6">
      <w:pPr>
        <w:pStyle w:val="15"/>
        <w:widowControl/>
        <w:spacing w:line="600" w:lineRule="exact"/>
        <w:ind w:firstLine="56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3、公车运行维护费支出决算11.91万元，主要是日常油费、保养维修及保险支出，截止2023年12月31日，我单位开支财政拨款的公务用车保有量为4辆。</w:t>
      </w:r>
    </w:p>
    <w:p w14:paraId="0FE4B8A3">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八、政府性基金预算收入支出决算情况</w:t>
      </w:r>
    </w:p>
    <w:p w14:paraId="63C76A48">
      <w:pPr>
        <w:pStyle w:val="9"/>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 xml:space="preserve">     2023年度本单位无政府性基金收支。</w:t>
      </w:r>
    </w:p>
    <w:p w14:paraId="358DD164">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九、关于机关运行经费支出说明</w:t>
      </w:r>
    </w:p>
    <w:p w14:paraId="5F1367DF">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default"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本部门2023年度机关运行经费支出57.48万元，比上年决算数比减少30.76万元，降低34.86%。主要原因是：公用经费年初预算压减28.7万元，2023年未发生公务接待、无会议费，部分资金用于补充人员经费的不足。</w:t>
      </w:r>
    </w:p>
    <w:p w14:paraId="2F7B8DA5">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十、一般性支出情况说明</w:t>
      </w:r>
    </w:p>
    <w:p w14:paraId="6C4D4905">
      <w:pPr>
        <w:autoSpaceDE w:val="0"/>
        <w:autoSpaceDN w:val="0"/>
        <w:adjustRightInd w:val="0"/>
        <w:spacing w:line="600" w:lineRule="exact"/>
        <w:ind w:firstLine="560" w:firstLineChars="200"/>
        <w:jc w:val="left"/>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 xml:space="preserve">2023年本部门开支会议费0万元，开支培训费0万元，无培训支出；未举办节庆、晚会、论坛、赛事活动。 </w:t>
      </w:r>
    </w:p>
    <w:p w14:paraId="43F97F1E">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十一、关于政府采购支出说明</w:t>
      </w:r>
    </w:p>
    <w:p w14:paraId="36050153">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本部门2023年度政府采购支出总额342.7万元，其中：政府采购货物支出125.7万元、政府采购工程支出39.9万元、政府采购服务支出177.1万元。授予中小企业合同金额242.7万元，占政府采购支出总额的70.82%，其中：授予小微企业合同金额242.7万元，占政府采购支出总额的70.82%。货物采购授予中小企业合同金额占货物支出金额的100%，工程采购授予中小企业合同金额占工程支出金额的100%，服务采购授予中小企业合同金额占服务支出金额的43.53%。</w:t>
      </w:r>
    </w:p>
    <w:p w14:paraId="162D80A1">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十二、关于国有资产占用情况说明</w:t>
      </w:r>
    </w:p>
    <w:p w14:paraId="137073BA">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截至2023年12月31日，本单位共有车辆4辆，其中，主要领导干部用车0辆，机要通信用车0辆、应急保障用车0辆、执法执勤用车4辆、特种专业技术用车0辆、其他用车0辆；单位价值50万元以上通用设备0台（套）；单位价值100万元以上专用设备0台（套）。</w:t>
      </w:r>
    </w:p>
    <w:p w14:paraId="183E9996">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十三、关于2023年度预算绩效情况的说明</w:t>
      </w:r>
    </w:p>
    <w:p w14:paraId="7987541E">
      <w:pPr>
        <w:pStyle w:val="9"/>
        <w:keepNext w:val="0"/>
        <w:keepLines w:val="0"/>
        <w:pageBreakBefore w:val="0"/>
        <w:widowControl w:val="0"/>
        <w:kinsoku/>
        <w:wordWrap/>
        <w:overflowPunct/>
        <w:topLinePunct w:val="0"/>
        <w:bidi w:val="0"/>
        <w:snapToGrid/>
        <w:spacing w:line="600" w:lineRule="exact"/>
        <w:ind w:firstLine="560" w:firstLineChars="200"/>
        <w:jc w:val="left"/>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（一）部门整体支出绩效情况</w:t>
      </w:r>
    </w:p>
    <w:p w14:paraId="688F7738">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default"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2023年本单位年初总预算为1779.36万元，其中基本支出共876.16万元，项目支出903.2万元。2023年支出总额为2115.18万元，其中基本支出1092.62万元，项目支出1022.56万元，预算执行率达1.19%。</w:t>
      </w:r>
    </w:p>
    <w:p w14:paraId="2E343CDB">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default"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全年实际支出2115.18万元，其中基本支出1092.62万元，主要用于人员经费和公用经费开支。人员经费为894.14万元，用于工作人员工资发放、保险缴纳等，公用经费支出198.48万元，用于日常办公支出，水电、公车运行、差旅等商品和服务支出开支。项目支出实际支出为1090.4万元，项目支出包括羁押人员给养费、专项业务经费（公务费）、监区内维护及悬挂点清理改造费、在押人员被服费、门诊部医疗社会化服务专项、辅警经费等，此项支出用于在押人员的生活健康维护，维持监区正常运行等。其中给养费的拨付按照上季度实际的在押人员数量乘以320元/人予以拨款。</w:t>
      </w:r>
    </w:p>
    <w:p w14:paraId="3F787B33">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Times New Roman"/>
          <w:color w:val="auto"/>
          <w:kern w:val="2"/>
          <w:sz w:val="28"/>
          <w:szCs w:val="28"/>
          <w:highlight w:val="none"/>
          <w:lang w:val="zh-TW" w:eastAsia="zh-TW" w:bidi="ar-SA"/>
        </w:rPr>
      </w:pPr>
      <w:r>
        <w:rPr>
          <w:rFonts w:hint="eastAsia" w:ascii="仿宋" w:hAnsi="仿宋" w:eastAsia="仿宋" w:cs="Times New Roman"/>
          <w:color w:val="auto"/>
          <w:kern w:val="2"/>
          <w:sz w:val="28"/>
          <w:szCs w:val="28"/>
          <w:highlight w:val="none"/>
          <w:lang w:val="en-US" w:eastAsia="zh-CN" w:bidi="ar-SA"/>
        </w:rPr>
        <w:t>本单位2023年度“三公”经费支出11.19万元，年初预算12万元，预决算差异率7.2%。其中：因公出国（境）费0万元，年初预算0万元，预决算差异率0%。公务运行维护费11.19万元，公车购置支出0万元。年初预算12万元，形成差异的主要原因是年初预算中未含公车购置费。公务接待费0元，年初预算0.6万元，预决算差异率100%，形成预决算差异的主要原因是我所严格控制公务接待支出，公务接待规模和标准，公务接待费用逐年下降。</w:t>
      </w:r>
    </w:p>
    <w:p w14:paraId="6DEFF237">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从经济性分析、效率性分析、效益性分析三方面来看，预算配置控制较好，预算执行比较到位，预算完成率达到100%以上，根据整体支出绩效自评指标值90分，自评得88分，自评为“良”。预算管理基本合理，制度执行总体有效，圆满完成全年的工作任务，保障了在押人员的合法权益，在押人员的身体健康得到了全面的保障，保障了刑事诉讼活动的顺利进行，确保了监所的绝对安全，全年未发生一起安全事故。</w:t>
      </w:r>
    </w:p>
    <w:p w14:paraId="32582CE8">
      <w:pPr>
        <w:pStyle w:val="9"/>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本单位本年度无重点支出项目。</w:t>
      </w:r>
    </w:p>
    <w:p w14:paraId="01860BE1">
      <w:pPr>
        <w:pStyle w:val="9"/>
        <w:keepNext w:val="0"/>
        <w:keepLines w:val="0"/>
        <w:pageBreakBefore w:val="0"/>
        <w:widowControl w:val="0"/>
        <w:kinsoku/>
        <w:wordWrap/>
        <w:overflowPunct/>
        <w:topLinePunct w:val="0"/>
        <w:bidi w:val="0"/>
        <w:snapToGrid/>
        <w:spacing w:line="600" w:lineRule="exact"/>
        <w:ind w:firstLine="560" w:firstLineChars="200"/>
        <w:jc w:val="left"/>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（二）存在的问题及原因分析</w:t>
      </w:r>
    </w:p>
    <w:p w14:paraId="0D9E056C">
      <w:pPr>
        <w:keepNext w:val="0"/>
        <w:keepLines w:val="0"/>
        <w:pageBreakBefore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1.政策性经费支出预算安排不足。预算项目资金安排不足，无法满足实际需求。如在押人员给养费中的医疗费，财政预算是按每人每月20元的标准发放，但由于现在的应收尽收的要求，在押人员的健康状况无法估计与控制，实际支出均大于财政预算；监区因使用了十年以上，现在的维修维护较多，支出远大于预算项目审批的资金。故资金缺口职能调剂其他资金使用。</w:t>
      </w:r>
    </w:p>
    <w:p w14:paraId="35E81222">
      <w:pPr>
        <w:keepNext w:val="0"/>
        <w:keepLines w:val="0"/>
        <w:pageBreakBefore w:val="0"/>
        <w:numPr>
          <w:ilvl w:val="0"/>
          <w:numId w:val="0"/>
        </w:numPr>
        <w:kinsoku/>
        <w:wordWrap/>
        <w:overflowPunct/>
        <w:topLinePunct w:val="0"/>
        <w:autoSpaceDE/>
        <w:autoSpaceDN/>
        <w:bidi w:val="0"/>
        <w:adjustRightInd/>
        <w:snapToGrid/>
        <w:spacing w:line="240" w:lineRule="auto"/>
        <w:ind w:firstLine="560" w:firstLineChars="200"/>
        <w:textAlignment w:val="auto"/>
        <w:rPr>
          <w:rFonts w:hint="default"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2.未在预算内的资金支出增加，以前年度因因疫情等特殊情况导致监所实行封闭执勤，同时导致的支出增加，2023年开始支付封闭执勤相关支出，因无法安排相关的预算项目，造成资金缺口加大。</w:t>
      </w:r>
    </w:p>
    <w:p w14:paraId="0B1F2DC5">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default"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3.支付不及时。在年底关账前支付的款项，因对方账号错误等原因未能成功支付，导致支付被银行退回，对于预算支出执行率有一定的影响。</w:t>
      </w:r>
    </w:p>
    <w:p w14:paraId="68687035">
      <w:pPr>
        <w:pStyle w:val="9"/>
        <w:jc w:val="center"/>
        <w:rPr>
          <w:sz w:val="72"/>
          <w:szCs w:val="72"/>
        </w:rPr>
      </w:pPr>
    </w:p>
    <w:p w14:paraId="78A4F636">
      <w:pPr>
        <w:pStyle w:val="9"/>
        <w:jc w:val="center"/>
        <w:rPr>
          <w:sz w:val="72"/>
          <w:szCs w:val="72"/>
        </w:rPr>
      </w:pPr>
    </w:p>
    <w:p w14:paraId="0D0C69C7">
      <w:pPr>
        <w:pStyle w:val="9"/>
        <w:jc w:val="center"/>
        <w:rPr>
          <w:sz w:val="72"/>
          <w:szCs w:val="72"/>
        </w:rPr>
      </w:pPr>
    </w:p>
    <w:p w14:paraId="6F09F6C9">
      <w:pPr>
        <w:pStyle w:val="9"/>
        <w:jc w:val="center"/>
        <w:rPr>
          <w:sz w:val="72"/>
          <w:szCs w:val="72"/>
        </w:rPr>
      </w:pPr>
    </w:p>
    <w:p w14:paraId="651C219D">
      <w:pPr>
        <w:pStyle w:val="9"/>
        <w:jc w:val="center"/>
        <w:rPr>
          <w:sz w:val="72"/>
          <w:szCs w:val="72"/>
        </w:rPr>
      </w:pPr>
    </w:p>
    <w:p w14:paraId="63DD015D">
      <w:pPr>
        <w:pStyle w:val="9"/>
        <w:jc w:val="center"/>
        <w:rPr>
          <w:sz w:val="72"/>
          <w:szCs w:val="72"/>
        </w:rPr>
      </w:pPr>
    </w:p>
    <w:p w14:paraId="33D1A937">
      <w:pPr>
        <w:pStyle w:val="9"/>
        <w:jc w:val="center"/>
        <w:rPr>
          <w:sz w:val="72"/>
          <w:szCs w:val="72"/>
        </w:rPr>
      </w:pPr>
    </w:p>
    <w:p w14:paraId="187A4507">
      <w:pPr>
        <w:pStyle w:val="9"/>
        <w:jc w:val="center"/>
        <w:rPr>
          <w:sz w:val="72"/>
          <w:szCs w:val="72"/>
        </w:rPr>
      </w:pPr>
    </w:p>
    <w:p w14:paraId="40D7E76C">
      <w:pPr>
        <w:pStyle w:val="9"/>
        <w:jc w:val="center"/>
        <w:rPr>
          <w:sz w:val="72"/>
          <w:szCs w:val="72"/>
        </w:rPr>
      </w:pPr>
    </w:p>
    <w:p w14:paraId="21327062">
      <w:pPr>
        <w:pStyle w:val="9"/>
        <w:jc w:val="center"/>
        <w:rPr>
          <w:sz w:val="72"/>
          <w:szCs w:val="72"/>
        </w:rPr>
      </w:pPr>
    </w:p>
    <w:p w14:paraId="098AB567">
      <w:pPr>
        <w:pStyle w:val="9"/>
        <w:jc w:val="center"/>
        <w:rPr>
          <w:rFonts w:hint="eastAsia" w:ascii="方正小标宋_GBK" w:hAnsi="方正小标宋_GBK" w:eastAsia="方正小标宋_GBK" w:cs="方正小标宋_GBK"/>
          <w:sz w:val="44"/>
          <w:szCs w:val="44"/>
        </w:rPr>
      </w:pPr>
    </w:p>
    <w:p w14:paraId="26AFFD00">
      <w:pPr>
        <w:pStyle w:val="9"/>
        <w:jc w:val="center"/>
        <w:rPr>
          <w:rFonts w:hint="eastAsia" w:ascii="方正小标宋_GBK" w:hAnsi="方正小标宋_GBK" w:eastAsia="方正小标宋_GBK" w:cs="方正小标宋_GBK"/>
          <w:color w:val="000000"/>
          <w:kern w:val="0"/>
          <w:sz w:val="52"/>
          <w:szCs w:val="52"/>
        </w:rPr>
      </w:pPr>
      <w:r>
        <w:rPr>
          <w:rFonts w:hint="eastAsia" w:ascii="方正小标宋_GBK" w:hAnsi="方正小标宋_GBK" w:eastAsia="方正小标宋_GBK" w:cs="方正小标宋_GBK"/>
          <w:sz w:val="52"/>
          <w:szCs w:val="52"/>
        </w:rPr>
        <w:t>第四部分</w:t>
      </w:r>
      <w:r>
        <w:rPr>
          <w:rFonts w:hint="eastAsia" w:ascii="方正小标宋_GBK" w:hAnsi="方正小标宋_GBK" w:eastAsia="方正小标宋_GBK" w:cs="方正小标宋_GBK"/>
          <w:sz w:val="52"/>
          <w:szCs w:val="52"/>
          <w:lang w:val="en-US" w:eastAsia="zh-CN"/>
        </w:rPr>
        <w:t xml:space="preserve">  </w:t>
      </w:r>
      <w:r>
        <w:rPr>
          <w:rFonts w:hint="eastAsia" w:ascii="方正小标宋_GBK" w:hAnsi="方正小标宋_GBK" w:eastAsia="方正小标宋_GBK" w:cs="方正小标宋_GBK"/>
          <w:color w:val="000000"/>
          <w:kern w:val="0"/>
          <w:sz w:val="52"/>
          <w:szCs w:val="52"/>
        </w:rPr>
        <w:t>名词解释</w:t>
      </w:r>
    </w:p>
    <w:p w14:paraId="2AFE27FD">
      <w:pPr>
        <w:widowControl/>
        <w:ind w:firstLine="560" w:firstLineChars="200"/>
        <w:jc w:val="left"/>
        <w:rPr>
          <w:rFonts w:ascii="仿宋" w:hAnsi="仿宋" w:eastAsia="仿宋"/>
          <w:sz w:val="30"/>
          <w:szCs w:val="30"/>
        </w:rPr>
      </w:pPr>
      <w:r>
        <w:rPr>
          <w:rFonts w:hint="eastAsia" w:ascii="宋体" w:hAnsi="宋体" w:eastAsia="宋体" w:cs="Times New Roman"/>
          <w:b/>
          <w:color w:val="auto"/>
          <w:kern w:val="2"/>
          <w:sz w:val="28"/>
          <w:szCs w:val="28"/>
        </w:rPr>
        <w:t>（一）机关运行经费：</w:t>
      </w:r>
      <w:r>
        <w:rPr>
          <w:rFonts w:hint="eastAsia" w:ascii="仿宋" w:hAnsi="仿宋" w:eastAsia="仿宋"/>
          <w:sz w:val="30"/>
          <w:szCs w:val="30"/>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38B5CA10">
      <w:pPr>
        <w:widowControl/>
        <w:spacing w:line="600" w:lineRule="exact"/>
        <w:ind w:firstLine="560" w:firstLineChars="200"/>
        <w:jc w:val="left"/>
        <w:rPr>
          <w:rFonts w:ascii="仿宋" w:hAnsi="仿宋" w:eastAsia="仿宋"/>
          <w:sz w:val="30"/>
          <w:szCs w:val="30"/>
        </w:rPr>
      </w:pPr>
      <w:r>
        <w:rPr>
          <w:rFonts w:hint="eastAsia" w:ascii="宋体" w:hAnsi="宋体"/>
          <w:b/>
          <w:sz w:val="28"/>
          <w:szCs w:val="28"/>
        </w:rPr>
        <w:t>（二）“三公”经费：</w:t>
      </w:r>
      <w:r>
        <w:rPr>
          <w:rFonts w:hint="eastAsia" w:ascii="仿宋" w:hAnsi="仿宋" w:eastAsia="仿宋"/>
          <w:sz w:val="30"/>
          <w:szCs w:val="30"/>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43E243D">
      <w:pPr>
        <w:pStyle w:val="9"/>
        <w:jc w:val="center"/>
        <w:rPr>
          <w:sz w:val="72"/>
          <w:szCs w:val="72"/>
        </w:rPr>
      </w:pPr>
    </w:p>
    <w:p w14:paraId="01542828">
      <w:pPr>
        <w:pStyle w:val="9"/>
        <w:jc w:val="center"/>
        <w:rPr>
          <w:sz w:val="72"/>
          <w:szCs w:val="72"/>
        </w:rPr>
      </w:pPr>
    </w:p>
    <w:p w14:paraId="6ADB3BB0">
      <w:pPr>
        <w:pStyle w:val="9"/>
        <w:jc w:val="center"/>
        <w:rPr>
          <w:sz w:val="72"/>
          <w:szCs w:val="72"/>
        </w:rPr>
      </w:pPr>
    </w:p>
    <w:p w14:paraId="4FEB64C0">
      <w:pPr>
        <w:pStyle w:val="9"/>
        <w:jc w:val="both"/>
        <w:rPr>
          <w:sz w:val="72"/>
          <w:szCs w:val="72"/>
        </w:rPr>
      </w:pPr>
    </w:p>
    <w:p w14:paraId="1594965A">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6C22CD"/>
    <w:multiLevelType w:val="singleLevel"/>
    <w:tmpl w:val="E96C22CD"/>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lZDExZTk3YjBiNzE4NThmMzJjMzA2OTVmNzQ2ZDk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357D8"/>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86997"/>
    <w:rsid w:val="00EA2B72"/>
    <w:rsid w:val="00F74360"/>
    <w:rsid w:val="00FB462F"/>
    <w:rsid w:val="00FE16FA"/>
    <w:rsid w:val="00FE328A"/>
    <w:rsid w:val="00FE6269"/>
    <w:rsid w:val="00FF5CD6"/>
    <w:rsid w:val="01545A05"/>
    <w:rsid w:val="025E15B1"/>
    <w:rsid w:val="030459FE"/>
    <w:rsid w:val="03F92894"/>
    <w:rsid w:val="05202571"/>
    <w:rsid w:val="05CA098C"/>
    <w:rsid w:val="065F3C29"/>
    <w:rsid w:val="090A25C2"/>
    <w:rsid w:val="0B666A61"/>
    <w:rsid w:val="0FA4562A"/>
    <w:rsid w:val="114E6649"/>
    <w:rsid w:val="14F22EE3"/>
    <w:rsid w:val="15FD7FC2"/>
    <w:rsid w:val="16E145B9"/>
    <w:rsid w:val="17C158F2"/>
    <w:rsid w:val="19521223"/>
    <w:rsid w:val="1A554870"/>
    <w:rsid w:val="1AB82A4F"/>
    <w:rsid w:val="1B0B13E3"/>
    <w:rsid w:val="1B9E7CB1"/>
    <w:rsid w:val="1BE22134"/>
    <w:rsid w:val="1E7F0D6B"/>
    <w:rsid w:val="1EB1580E"/>
    <w:rsid w:val="1F991E4F"/>
    <w:rsid w:val="21DD6E7E"/>
    <w:rsid w:val="23A90FD2"/>
    <w:rsid w:val="24420EF2"/>
    <w:rsid w:val="25715F1D"/>
    <w:rsid w:val="25A93CC2"/>
    <w:rsid w:val="267F3FA6"/>
    <w:rsid w:val="27673E35"/>
    <w:rsid w:val="28665E9B"/>
    <w:rsid w:val="28837410"/>
    <w:rsid w:val="29216A8F"/>
    <w:rsid w:val="292673D8"/>
    <w:rsid w:val="292C158B"/>
    <w:rsid w:val="29642C20"/>
    <w:rsid w:val="297665B1"/>
    <w:rsid w:val="2A3F0751"/>
    <w:rsid w:val="2BE64385"/>
    <w:rsid w:val="2C9C57A7"/>
    <w:rsid w:val="2CE54D5A"/>
    <w:rsid w:val="2D5B77E0"/>
    <w:rsid w:val="2D8E211C"/>
    <w:rsid w:val="2E0B376C"/>
    <w:rsid w:val="2E224612"/>
    <w:rsid w:val="2EDD3CA8"/>
    <w:rsid w:val="2F7D3E12"/>
    <w:rsid w:val="34031DE2"/>
    <w:rsid w:val="355F0F7C"/>
    <w:rsid w:val="35EC1631"/>
    <w:rsid w:val="36323860"/>
    <w:rsid w:val="38163439"/>
    <w:rsid w:val="38ED6F2F"/>
    <w:rsid w:val="39F63332"/>
    <w:rsid w:val="3A2A7ACA"/>
    <w:rsid w:val="3AB3706B"/>
    <w:rsid w:val="3D1A4390"/>
    <w:rsid w:val="3DDA2813"/>
    <w:rsid w:val="3E5339E3"/>
    <w:rsid w:val="3F6251B6"/>
    <w:rsid w:val="3F9C164B"/>
    <w:rsid w:val="3FB3156E"/>
    <w:rsid w:val="40F84914"/>
    <w:rsid w:val="41C90CF3"/>
    <w:rsid w:val="424010B3"/>
    <w:rsid w:val="437219DB"/>
    <w:rsid w:val="43761230"/>
    <w:rsid w:val="43F860E9"/>
    <w:rsid w:val="44B76782"/>
    <w:rsid w:val="44D97CC8"/>
    <w:rsid w:val="450E5233"/>
    <w:rsid w:val="47153174"/>
    <w:rsid w:val="473B28A6"/>
    <w:rsid w:val="48B54EED"/>
    <w:rsid w:val="4C027B30"/>
    <w:rsid w:val="4DBB1AD3"/>
    <w:rsid w:val="4EBD67DA"/>
    <w:rsid w:val="4F2935FA"/>
    <w:rsid w:val="510B7A55"/>
    <w:rsid w:val="529F5BD6"/>
    <w:rsid w:val="52BD7DA4"/>
    <w:rsid w:val="53073C53"/>
    <w:rsid w:val="55151B93"/>
    <w:rsid w:val="55AB384D"/>
    <w:rsid w:val="5777D4F5"/>
    <w:rsid w:val="59110EAE"/>
    <w:rsid w:val="5D7B72D9"/>
    <w:rsid w:val="5FC6BB1E"/>
    <w:rsid w:val="5FF720F1"/>
    <w:rsid w:val="623E35CD"/>
    <w:rsid w:val="644879B3"/>
    <w:rsid w:val="65163480"/>
    <w:rsid w:val="65560103"/>
    <w:rsid w:val="65652A5B"/>
    <w:rsid w:val="67B11F87"/>
    <w:rsid w:val="69586B5E"/>
    <w:rsid w:val="6A486CB7"/>
    <w:rsid w:val="6A4B4C19"/>
    <w:rsid w:val="6B52565D"/>
    <w:rsid w:val="6CF60051"/>
    <w:rsid w:val="6D4B3CCE"/>
    <w:rsid w:val="6D8A428A"/>
    <w:rsid w:val="6E59714D"/>
    <w:rsid w:val="6E7D5AE1"/>
    <w:rsid w:val="6E9F2B3A"/>
    <w:rsid w:val="6F32169E"/>
    <w:rsid w:val="72895FDA"/>
    <w:rsid w:val="737D59BA"/>
    <w:rsid w:val="74BA54A7"/>
    <w:rsid w:val="74FF4332"/>
    <w:rsid w:val="75F97D38"/>
    <w:rsid w:val="768A6E2C"/>
    <w:rsid w:val="77B83135"/>
    <w:rsid w:val="77C37683"/>
    <w:rsid w:val="788816FC"/>
    <w:rsid w:val="79FF515B"/>
    <w:rsid w:val="7A0B1E21"/>
    <w:rsid w:val="7A9E45ED"/>
    <w:rsid w:val="7BEF1159"/>
    <w:rsid w:val="7CE04710"/>
    <w:rsid w:val="7D4742D3"/>
    <w:rsid w:val="7E4159BB"/>
    <w:rsid w:val="7E9F11B4"/>
    <w:rsid w:val="7EBB580E"/>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 w:type="paragraph" w:customStyle="1" w:styleId="15">
    <w:name w:val="列出段落1"/>
    <w:qFormat/>
    <w:uiPriority w:val="0"/>
    <w:pPr>
      <w:widowControl w:val="0"/>
      <w:ind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5112</Words>
  <Characters>5709</Characters>
  <Lines>63</Lines>
  <Paragraphs>18</Paragraphs>
  <TotalTime>18</TotalTime>
  <ScaleCrop>false</ScaleCrop>
  <LinksUpToDate>false</LinksUpToDate>
  <CharactersWithSpaces>5730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红鲤鱼绿鲤鱼与驴</cp:lastModifiedBy>
  <cp:lastPrinted>2023-08-15T09:28:00Z</cp:lastPrinted>
  <dcterms:modified xsi:type="dcterms:W3CDTF">2024-09-24T03:50:08Z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3D22CE02EB224221A725324CDD1528F3_12</vt:lpwstr>
  </property>
</Properties>
</file>