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50" w:lineRule="atLeast"/>
        <w:ind w:left="0" w:right="0" w:firstLine="0"/>
        <w:jc w:val="center"/>
        <w:rPr>
          <w:rFonts w:hint="eastAsia" w:ascii="Times New Roman" w:hAnsi="Times New Roman" w:eastAsia="楷体_GB2312" w:cs="Times New Roman"/>
          <w:bCs/>
          <w:kern w:val="0"/>
          <w:sz w:val="32"/>
          <w:szCs w:val="32"/>
          <w:lang w:val="en-US" w:eastAsia="zh-CN"/>
        </w:rPr>
      </w:pPr>
      <w:r>
        <w:rPr>
          <w:rFonts w:hint="eastAsia" w:ascii="黑体" w:hAnsi="黑体" w:eastAsia="黑体" w:cs="黑体"/>
          <w:bCs/>
          <w:kern w:val="0"/>
          <w:sz w:val="48"/>
          <w:szCs w:val="48"/>
          <w:lang w:val="en-US" w:eastAsia="zh-CN" w:bidi="ar-SA"/>
        </w:rPr>
        <w:t>2021年怀化市公安局交通警察支队部门决算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50" w:lineRule="atLeast"/>
        <w:ind w:left="0" w:right="0" w:firstLine="0"/>
        <w:jc w:val="center"/>
        <w:rPr>
          <w:rFonts w:hint="eastAsia" w:ascii="Times New Roman" w:hAnsi="Times New Roman" w:eastAsia="黑体" w:cs="Times New Roman"/>
          <w:bCs/>
          <w:kern w:val="0"/>
          <w:sz w:val="32"/>
          <w:szCs w:val="32"/>
        </w:rPr>
      </w:pPr>
      <w:r>
        <w:rPr>
          <w:rFonts w:hint="eastAsia" w:ascii="Times New Roman" w:hAnsi="Times New Roman" w:eastAsia="黑体" w:cs="Times New Roman"/>
          <w:bCs/>
          <w:kern w:val="0"/>
          <w:sz w:val="32"/>
          <w:szCs w:val="32"/>
          <w:lang w:val="en-US" w:eastAsia="zh-CN" w:bidi="ar-SA"/>
        </w:rPr>
        <w:t>目 录</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第一部分</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怀化市公安局交通警察支队概况</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一、部门职责</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二、机构设置</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第二部分</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2021年度部门决算表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二、收入决算表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三、支出决算表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八、政府性基金预算财政拨款收入支出决算表</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九、国有资本经营预算财政拨款支出决算表</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第三部分</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2021年度部门决算情况说明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一、收入支出决算总体情况说明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二、收入决算情况说明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三、支出决算情况说明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七、一般公共预算财政拨款三公经费支出决算情况说明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八、政府性基金预算收入支出决算情况</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九、国有资本经营预算财政拨款支出决算情况说明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十、关于机关运行经费支出说明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十一、一般性支出情况说明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十二、关于政府采购支出说明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十三、关于国有资产占用情况说明</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十四、关于2021年度预算绩效情况的说明</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第四部分</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名词解释</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第五部分</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附件</w:t>
      </w:r>
    </w:p>
    <w:p>
      <w:pPr>
        <w:keepNext w:val="0"/>
        <w:keepLines w:val="0"/>
        <w:pageBreakBefore w:val="0"/>
        <w:kinsoku/>
        <w:wordWrap/>
        <w:overflowPunct/>
        <w:topLinePunct w:val="0"/>
        <w:bidi w:val="0"/>
        <w:snapToGrid/>
        <w:spacing w:line="600" w:lineRule="exact"/>
        <w:textAlignment w:val="auto"/>
        <w:rPr>
          <w:rFonts w:hint="eastAsia" w:ascii="宋体" w:hAnsi="宋体" w:eastAsia="宋体" w:cs="宋体"/>
          <w:i w:val="0"/>
          <w:iCs w:val="0"/>
          <w:caps w:val="0"/>
          <w:color w:val="3D3D3D"/>
          <w:spacing w:val="0"/>
          <w:sz w:val="24"/>
          <w:szCs w:val="24"/>
          <w:shd w:val="clear" w:fill="FFFFFF"/>
        </w:rPr>
      </w:pPr>
      <w:r>
        <w:rPr>
          <w:rFonts w:hint="eastAsia" w:ascii="宋体" w:hAnsi="宋体" w:eastAsia="宋体" w:cs="宋体"/>
          <w:i w:val="0"/>
          <w:iCs w:val="0"/>
          <w:caps w:val="0"/>
          <w:color w:val="3D3D3D"/>
          <w:spacing w:val="0"/>
          <w:sz w:val="24"/>
          <w:szCs w:val="24"/>
          <w:shd w:val="clear" w:fill="FFFFFF"/>
        </w:rPr>
        <w:br w:type="page"/>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宋体" w:hAnsi="宋体" w:eastAsia="宋体" w:cs="宋体"/>
          <w:i w:val="0"/>
          <w:iCs w:val="0"/>
          <w:caps w:val="0"/>
          <w:color w:val="3D3D3D"/>
          <w:spacing w:val="0"/>
          <w:sz w:val="24"/>
          <w:szCs w:val="24"/>
          <w:shd w:val="clear" w:fill="FFFFFF"/>
        </w:rPr>
        <w:t> </w:t>
      </w:r>
      <w:r>
        <w:rPr>
          <w:rFonts w:hint="eastAsia" w:ascii="黑体" w:hAnsi="黑体" w:eastAsia="黑体" w:cs="黑体"/>
          <w:b w:val="0"/>
          <w:bCs w:val="0"/>
          <w:i w:val="0"/>
          <w:iCs w:val="0"/>
          <w:caps w:val="0"/>
          <w:color w:val="3D3D3D"/>
          <w:spacing w:val="0"/>
          <w:sz w:val="48"/>
          <w:szCs w:val="48"/>
          <w:shd w:val="clear" w:fill="FFFFFF"/>
        </w:rPr>
        <w:t>第一部分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3D3D3D"/>
          <w:spacing w:val="0"/>
          <w:sz w:val="48"/>
          <w:szCs w:val="48"/>
          <w:shd w:val="clear" w:fill="FFFFFF"/>
        </w:rPr>
        <w:t>怀化市公安局交通警察支队概况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i w:val="0"/>
          <w:iCs w:val="0"/>
          <w:caps w:val="0"/>
          <w:color w:val="3D3D3D"/>
          <w:spacing w:val="0"/>
          <w:sz w:val="24"/>
          <w:szCs w:val="24"/>
        </w:rPr>
      </w:pPr>
      <w:r>
        <w:rPr>
          <w:rFonts w:hint="eastAsia" w:ascii="宋体" w:hAnsi="宋体" w:eastAsia="宋体" w:cs="宋体"/>
          <w:i w:val="0"/>
          <w:iCs w:val="0"/>
          <w:caps w:val="0"/>
          <w:color w:val="3D3D3D"/>
          <w:spacing w:val="0"/>
          <w:sz w:val="24"/>
          <w:szCs w:val="24"/>
          <w:shd w:val="clear" w:fill="FFFFFF"/>
        </w:rPr>
        <w:t> </w:t>
      </w:r>
    </w:p>
    <w:p>
      <w:pPr>
        <w:keepNext w:val="0"/>
        <w:keepLines w:val="0"/>
        <w:pageBreakBefore w:val="0"/>
        <w:widowControl/>
        <w:numPr>
          <w:ilvl w:val="0"/>
          <w:numId w:val="1"/>
        </w:numPr>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部门职责</w:t>
      </w:r>
    </w:p>
    <w:p>
      <w:pPr>
        <w:keepNext w:val="0"/>
        <w:keepLines w:val="0"/>
        <w:pageBreakBefore w:val="0"/>
        <w:widowControl/>
        <w:numPr>
          <w:ilvl w:val="0"/>
          <w:numId w:val="2"/>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怀化市公安局交通警察支队（以下简称市交警支队）是行政单位。</w:t>
      </w:r>
    </w:p>
    <w:p>
      <w:pPr>
        <w:keepNext w:val="0"/>
        <w:keepLines w:val="0"/>
        <w:pageBreakBefore w:val="0"/>
        <w:widowControl/>
        <w:numPr>
          <w:ilvl w:val="0"/>
          <w:numId w:val="0"/>
        </w:numPr>
        <w:kinsoku/>
        <w:wordWrap/>
        <w:overflowPunct/>
        <w:topLinePunct w:val="0"/>
        <w:bidi w:val="0"/>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二、机构设置及决算单位构成</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一）内设机构设置。怀化市公安局交通警察支队作为一级部门预算单位，为副处级行政机构。根据市编委核定，怀化市公安局交通警察支队内设16个科室：办公室、交通管理指挥中心、政工科、宣传教育科、警务保障科、法制科、交通安全管理科、车辆管理所、驾驶人考试管理所、交通科技管理科、交通设施管理科、道路交通安全违法处罚科、重点车辆监管所、工会、事故社会救助基金管理所，监察室单设，下设5个直属机构，直属一大队、直属二大队、直属三大队、直属四大队、特勤大队。</w:t>
      </w:r>
    </w:p>
    <w:p>
      <w:pPr>
        <w:pStyle w:val="5"/>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rPr>
      </w:pPr>
      <w:r>
        <w:rPr>
          <w:rFonts w:hint="eastAsia" w:ascii="仿宋" w:hAnsi="仿宋" w:eastAsia="仿宋" w:cs="仿宋"/>
          <w:sz w:val="32"/>
          <w:szCs w:val="32"/>
        </w:rPr>
        <w:t>（二）决算单位构成。市交警支队2021年部门决算汇总公开单位构成为本单位。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textAlignment w:val="auto"/>
        <w:rPr>
          <w:rFonts w:hint="eastAsia" w:ascii="宋体" w:hAnsi="宋体" w:eastAsia="宋体" w:cs="宋体"/>
          <w:i w:val="0"/>
          <w:iCs w:val="0"/>
          <w:caps w:val="0"/>
          <w:color w:val="3D3D3D"/>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000000"/>
          <w:spacing w:val="0"/>
          <w:sz w:val="48"/>
          <w:szCs w:val="48"/>
          <w:shd w:val="clear" w:fill="FFFFFF"/>
        </w:rPr>
        <w:t>第二部分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000000"/>
          <w:spacing w:val="0"/>
          <w:sz w:val="48"/>
          <w:szCs w:val="48"/>
          <w:shd w:val="clear" w:fill="FFFFFF"/>
        </w:rPr>
        <w:t> 公开表格自行上传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i w:val="0"/>
          <w:iCs w:val="0"/>
          <w:caps w:val="0"/>
          <w:color w:val="3D3D3D"/>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000000"/>
          <w:spacing w:val="0"/>
          <w:sz w:val="48"/>
          <w:szCs w:val="48"/>
          <w:shd w:val="clear" w:fill="FFFFFF"/>
        </w:rPr>
        <w:t>第三部分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b/>
          <w:bCs/>
          <w:i w:val="0"/>
          <w:iCs w:val="0"/>
          <w:caps w:val="0"/>
          <w:color w:val="000000"/>
          <w:spacing w:val="0"/>
          <w:sz w:val="27"/>
          <w:szCs w:val="27"/>
          <w:shd w:val="clear" w:fill="FFFFFF"/>
        </w:rPr>
      </w:pPr>
      <w:r>
        <w:rPr>
          <w:rFonts w:hint="eastAsia" w:ascii="黑体" w:hAnsi="黑体" w:eastAsia="黑体" w:cs="黑体"/>
          <w:b w:val="0"/>
          <w:bCs w:val="0"/>
          <w:i w:val="0"/>
          <w:iCs w:val="0"/>
          <w:caps w:val="0"/>
          <w:color w:val="000000"/>
          <w:spacing w:val="0"/>
          <w:sz w:val="48"/>
          <w:szCs w:val="48"/>
          <w:shd w:val="clear" w:fill="FFFFFF"/>
        </w:rPr>
        <w:t>2021年度部门决算情况说明</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一、收入支出决算总体情况说明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2021年度收、支总计各13489.91万元。与上年相比，减少2191.69万元，减少13.98%，主要是因为人员经费减少以及根据中央、省以及市委、市政府的相关要求，厉行勤俭节约，压减了一般性支出。</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二、收入决算情况说明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本年收入合计13094.88万元，其中：财政拨款收入13093.88万元，占99.99%；上级补助收入0.00万元，占0%；事业收入0.00万元，占0%；经营收入0.00万元，占0%；附属单位上缴收入0.00万元，占0%；其他收入1万元，占0.01%。</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三、支出决算情况说明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本年支出合计13489.91万元，其中：基本支出6382.15万元，占47.31%；项目支出7107.76万元，占52.69%；上缴上级支出0.00万元，占0%；经营支出0.00万元，占0%；对附属单位补助支出0.00万元，占0%。</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四、财政拨款收入支出决算总体情况说明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2021年度财政拨款收、支总计各13489.91万元，与上年相比，减少1191.69万元,减少8.12%，主要是因为人员经费减少以及根据中央、省以及市委、市政府的相关要求，厉行勤俭节约，压减了一般性支出。</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五、一般公共预算财政拨款支出决算情况说明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（一）财政拨款支出决算总体情况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财政拨款支出13488.91万元，占本年支出合计的99.99%，与上年相比，财政拨款支出减少797.22万元，减少5.58%，主要是因为人员经费减少以及根据中央、省以及市委、市政府的相关要求，厉行勤俭节约，压减了一般性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（二）财政拨款支出决算结构情况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财政拨款支出13488.91万元，主要用于以下方面：一般公共服务（类）支出130.45万元，占0.97%；公共安全支出12090.99万元，占89.64%；社会保障和就业支出573.57万元，占4.25%；卫生健康支出196.87万元，占1.46%；城乡社区支出195.03万元，占1.44%；交通运输支出302.0万元，占2.24%。</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（三）财政拨款支出决算具体情况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2021年度财政拨款支出年初预算数为11616.10万元，支出决算数为13488.90万元，完成年初预算的100%，其中：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1、一般公共服务：其他一般公共服务支出201（类）99（款）99（项）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年初预算为0万元，支出决算为130.45万元，决算数大于年初预算数的主要原因是:本年度发生了人民警察值勤岗位津贴,而年初预算未纳入。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2、公共安全支出：行政运行204（类）02（款）01（项）。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年初预算为3389.55万元，支出决算为5297.92万元，完成年初预算的100%，决算数大于年初预算数的主要原因是：本年度发生了2020年绩效奖、综合治理奖，非税执收成本，而年初预算未纳入。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3、公共安全支出：一般行政管理事务204（类）02（款）02（项）。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年初预算为0万元，支出决算为280万元，决算数大于年初预算数的主要原因是：本年度发生了专用材料费，而年初预算未纳入。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4、公共安全支出：执法办案204（类）02（款）20（项）。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年初预算为0万元，支出决算为1585万元，决算数大于年初预算数的主要原因是：本年度发生了省拨科目三考场经费，而年初预算未纳入。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5、公共安全支出：事业运行204（类）02（款）50（项）。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年初预算为0万元，支出决算为49.48万元，决算数大于年初预算数的主要原因是：年度发生转移支付预备费，而年初预算未纳入。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6、公共安全支出：其他公安支出204（类）02（款）99（项）。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年初预算为8026.47万元，支出决算为4878.59万元，完成年初预算的60.78%，决算数小于年初预算数的主要原因是：年度财政下达指标功能科目进行了调整。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7、社会保障和就业支出：事业单位离退休208（类）05（款）02（项）。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年初预算为200.10万元，支出决算为20.60万元，完成年初预算的10.29%，决算数小于年初预算数的主要原因是：年度财政下达指标功能科目进行了调整。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8、社会保障和就业支出：机关事业单位基本养老保险缴费支出208（类）05（款）05（项）。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年初预算为0万元，支出决算为389.75万元，决算数大于年初预算数的主要原因是本年度发生机关事业单位基本养老保险缴费，年初预算未纳入。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9、社会保障和就业支出：其他行政事业单位养老支出208（类）05（款）99（项）。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年初预算为0万元，支出决算为160.65万元，决算数大于年初预算数的主要原因是本年度发生其他行政事业单位养老支出，年初预算未纳入。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10、社会保障和就业支出：公益性岗位补贴208（类）07（款）05（项）。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年初预算为0万元，支出决算为2.53万元，完成年初预算的100%，决算数大于年初预算数的主要原因是：本年度发生了公益性岗位人员补贴支出，而年初预算未纳入。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10、卫生健康支出：行政单位医疗210（类）11（款）01（项）。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年初预算为0万元，支出决算为186.48万元，决算数大于年初预算数的主要原因是本年度发生了职工基本医疗保险缴费，年初未纳入预算。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11、卫生健康支出：其他行政单位医疗支出210（类）11（款）99（项）。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年初预算为0万元，支出决算为8.39万元，决算数大于年初预算数的主要原因是本年度发生了其他行政单位医疗支出，年初未纳入预算。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12、医疗救助：城乡医疗救助210（类）13（款）01（项）。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年初预算为0万元，支出决算为2万元，决算数大于年初预算数的主要原因是本年度发生了城乡医疗救助，年初未纳入预算。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13、城乡社区支出：其他城乡社区管理支出212（类）01（款）99（项）。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年初预算为0万元，支出决算为195.03万元，决算数小于年初预算数的主要原因是本年度发生了交通设施建设支出，年初未纳入预算。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14、交通运输支出：其他交通运输支出214（类）99（款）99（项）。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年初预算为0万元，支出决算为302万元，决算数大于年初预算数的主要原因是发生顽瘴痼疾办工作经费和湖天大道隔离栏建设费用，而年初未纳入预算。</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六、一般公共预算财政拨款基本支出决算情况说明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财政拨款基本支出6381.16万元，其中：人员经费5305.04万元，占基本支出的83.13%,主要包括基本工资、津贴补贴、奖金、伙食补助费、机关事业单位基本养老保险缴费、职工基本医疗保险缴费、其他社会保障缴费、住房公积金、其他工资福利支出、退休费、抚恤金、生活补助；公用经费1076.11万元，占基本支出的16.87%，主要包括办公费、印刷费、咨询费、手续费、水费、电费、邮电费、物业管理费、差旅费、维修（护）费、租赁费、会议费、培训费、公务接待费、专用材料费、被装购置费、劳务费、委托业务费、工会经费、福利费、公务用车运行维护费、其他交通费用、税金及附加费用、其他商品和服务支出、办公设备购置、专用设备购置、其他资本性支出。</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七、一般公共预算财政拨款三公经费支出决算情况说明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（一）“三公”经费财政拨款支出决算总体情况说明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“三公”经费财政拨款支出预算为223.20万元，支出决算为137.20万元，完成预算的61.47%，其中：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因公出国（境）费支出预算为0万元，支出决算为0万元，完成预算的0%，决算数等于年初预算数的主要原因是无因公出国安排。</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公务接待费支出预算为42.80万元，支出决算为3.81万元，完成预算的8.88%，决算数小于预算数的主要原因是本单位例行节约，与上年相比增加1.82元，增加92.4%,增加的主要原因是怀化市成立了交通顽瘴痼疾问题整治办，专项经费由财政单独拨至交警支队，2021年发生了1.26万元公务接待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公务用车购置费及运行维护费支出预算为180.36万元，支出决算为133.39万元，完成预算的73.96%，决算数小于预算数的主要原因是本单位例行节约，与上年相比增加63.35万元，减少32.2%,减少主要原因是新车替换部分到期或延期巡逻用车，公务用车维护费减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（二）“三公”经费财政拨款支出决算具体情况说明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2021年度“三公”经费财政拨款支出决算中，公务接待费支出决算3.81万元，占2.78%,因公出国（境）费支出决算0万元，占0%,公务用车购置费及运行维护费支出决算133.39万元，占97.22%。其中：</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1、因公出国（境）费支出决算为0万元，全年安排因公出国（境）团组0个，累计0人次。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2、公务接待费支出决算为3.81万元，全年共接待来访团组15个、来宾356人次，主要是公共交通警察业务而发生的接待支出。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3、公务用车购置费及运行维护费支出决算为133.39万元，其中：公务用车购置费0万元。公务用车运行维护费133.39万元，主要是车辆油料费、车辆维修费、车辆过路费支出，截至2021年12月31日，我单位开支财政拨款的公务用车保有量为68辆。</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rPr>
        <w:t>八、政府性基金预算收入支出决算情况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本单位无政府性基金收支。</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lang w:eastAsia="zh-CN"/>
        </w:rPr>
        <w:t>九、</w:t>
      </w:r>
      <w:r>
        <w:rPr>
          <w:rFonts w:hint="eastAsia" w:ascii="黑体" w:hAnsi="黑体" w:eastAsia="黑体" w:cs="黑体"/>
          <w:b/>
          <w:bCs/>
          <w:kern w:val="0"/>
          <w:sz w:val="32"/>
          <w:szCs w:val="32"/>
        </w:rPr>
        <w:t>国有资本经营预算财政拨款支出决算情况说明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本单位无国有资本经营预算财政拨款支出。</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lang w:eastAsia="zh-CN"/>
        </w:rPr>
      </w:pPr>
      <w:r>
        <w:rPr>
          <w:rFonts w:hint="eastAsia" w:ascii="黑体" w:hAnsi="黑体" w:eastAsia="黑体" w:cs="黑体"/>
          <w:b/>
          <w:bCs/>
          <w:kern w:val="0"/>
          <w:sz w:val="32"/>
          <w:szCs w:val="32"/>
          <w:lang w:eastAsia="zh-CN"/>
        </w:rPr>
        <w:t>十、关于机关运行经费支出说明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部门2021年度机关运行经费支出1002.11万元，比年初预算数（或者上年决算数）减少492.52万元，降低32.95%。主要原因是：根据中央、省以及市委、市政府的相关要求，厉行勤俭节约，压减了一般性支出，印刷费、福利费、日常维修费、租赁费、专用材料费等减少。</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lang w:eastAsia="zh-CN"/>
        </w:rPr>
      </w:pPr>
      <w:r>
        <w:rPr>
          <w:rFonts w:hint="eastAsia" w:ascii="黑体" w:hAnsi="黑体" w:eastAsia="黑体" w:cs="黑体"/>
          <w:b/>
          <w:bCs/>
          <w:kern w:val="0"/>
          <w:sz w:val="32"/>
          <w:szCs w:val="32"/>
          <w:lang w:eastAsia="zh-CN"/>
        </w:rPr>
        <w:t>十一、一般性支出情况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2021年本部门开支会议费3.18万元，人数387人，具体内容涉密不予公开；开支培训费12.38万元，人数386人，具体内容涉密不予公开。</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lang w:eastAsia="zh-CN"/>
        </w:rPr>
      </w:pPr>
      <w:r>
        <w:rPr>
          <w:rFonts w:hint="eastAsia" w:ascii="黑体" w:hAnsi="黑体" w:eastAsia="黑体" w:cs="黑体"/>
          <w:b/>
          <w:bCs/>
          <w:kern w:val="0"/>
          <w:sz w:val="32"/>
          <w:szCs w:val="32"/>
          <w:lang w:eastAsia="zh-CN"/>
        </w:rPr>
        <w:t>十二、关于政府采购支出说明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部门2021年度政府采购支出总额3541.45万元，其中：政府采购货物支出1026.43万元、政府采购工程支出835.34万元、政府采购服务支出1679.69万元。授予中小企业合同金额3541.45万元，占政府采购支出总额的100%，其中：授予小微企业合同金额3541.45万元，占政府采购支出总额的100%。</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lang w:eastAsia="zh-CN"/>
        </w:rPr>
      </w:pPr>
      <w:r>
        <w:rPr>
          <w:rFonts w:hint="eastAsia" w:ascii="黑体" w:hAnsi="黑体" w:eastAsia="黑体" w:cs="黑体"/>
          <w:b/>
          <w:bCs/>
          <w:kern w:val="0"/>
          <w:sz w:val="32"/>
          <w:szCs w:val="32"/>
          <w:lang w:eastAsia="zh-CN"/>
        </w:rPr>
        <w:t>十三、关于国有资产占用情况说明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截至2021年12月31日，本单位共有车辆68辆，其中，领导干部用车0辆、机要通信用车0辆、应急保障用车0辆、执法执勤用车50辆、特种专业技术用车0辆、其他用车68辆，其他用车主要是公务用；单位价值50万元以上通用设备16台（套）；单位价值100万元以上专用设备7台（套）。</w:t>
      </w:r>
    </w:p>
    <w:p>
      <w:pPr>
        <w:keepNext w:val="0"/>
        <w:keepLines w:val="0"/>
        <w:pageBreakBefore w:val="0"/>
        <w:widowControl/>
        <w:kinsoku/>
        <w:wordWrap/>
        <w:overflowPunct/>
        <w:topLinePunct w:val="0"/>
        <w:bidi w:val="0"/>
        <w:snapToGrid/>
        <w:spacing w:line="600" w:lineRule="exact"/>
        <w:ind w:firstLine="643" w:firstLineChars="200"/>
        <w:textAlignment w:val="auto"/>
        <w:rPr>
          <w:rFonts w:hint="eastAsia" w:ascii="黑体" w:hAnsi="黑体" w:eastAsia="黑体" w:cs="黑体"/>
          <w:b/>
          <w:bCs/>
          <w:kern w:val="0"/>
          <w:sz w:val="32"/>
          <w:szCs w:val="32"/>
          <w:lang w:eastAsia="zh-CN"/>
        </w:rPr>
      </w:pPr>
      <w:r>
        <w:rPr>
          <w:rFonts w:hint="eastAsia" w:ascii="黑体" w:hAnsi="黑体" w:eastAsia="黑体" w:cs="黑体"/>
          <w:b/>
          <w:bCs/>
          <w:kern w:val="0"/>
          <w:sz w:val="32"/>
          <w:szCs w:val="32"/>
          <w:lang w:eastAsia="zh-CN"/>
        </w:rPr>
        <w:t>十四、关于202</w:t>
      </w:r>
      <w:r>
        <w:rPr>
          <w:rFonts w:hint="default" w:ascii="黑体" w:hAnsi="黑体" w:eastAsia="黑体" w:cs="黑体"/>
          <w:b/>
          <w:bCs/>
          <w:kern w:val="0"/>
          <w:sz w:val="32"/>
          <w:szCs w:val="32"/>
          <w:lang w:eastAsia="zh-CN"/>
        </w:rPr>
        <w:t>1</w:t>
      </w:r>
      <w:r>
        <w:rPr>
          <w:rFonts w:hint="eastAsia" w:ascii="黑体" w:hAnsi="黑体" w:eastAsia="黑体" w:cs="黑体"/>
          <w:b/>
          <w:bCs/>
          <w:kern w:val="0"/>
          <w:sz w:val="32"/>
          <w:szCs w:val="32"/>
          <w:lang w:eastAsia="zh-CN"/>
        </w:rPr>
        <w:t>年度预算绩效情况的说明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本部门预算绩效管理开展情况、绩效目标和绩效评价报告等按照财政绩效部门要求已公开,见附件。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default" w:ascii="仿宋" w:hAnsi="仿宋" w:eastAsia="仿宋" w:cs="仿宋"/>
          <w:color w:val="000000"/>
          <w:kern w:val="0"/>
          <w:sz w:val="32"/>
          <w:szCs w:val="32"/>
          <w:lang w:val="en-US" w:eastAsia="zh-CN" w:bidi="ar-SA"/>
        </w:rPr>
      </w:pPr>
      <w:bookmarkStart w:id="0" w:name="_GoBack"/>
      <w:bookmarkEnd w:id="0"/>
      <w:r>
        <w:rPr>
          <w:rFonts w:hint="eastAsia" w:ascii="仿宋" w:hAnsi="仿宋" w:eastAsia="仿宋" w:cs="仿宋"/>
          <w:color w:val="000000"/>
          <w:kern w:val="0"/>
          <w:sz w:val="32"/>
          <w:szCs w:val="32"/>
          <w:lang w:val="en-US" w:eastAsia="zh-CN" w:bidi="ar-SA"/>
        </w:rPr>
        <w:t>单位本年度无重点项目支出，因此无重点项目绩效报告内容。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textAlignment w:val="auto"/>
        <w:rPr>
          <w:rFonts w:hint="eastAsia" w:ascii="宋体" w:hAnsi="宋体" w:eastAsia="宋体" w:cs="宋体"/>
          <w:i w:val="0"/>
          <w:iCs w:val="0"/>
          <w:caps w:val="0"/>
          <w:color w:val="3D3D3D"/>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000000"/>
          <w:spacing w:val="0"/>
          <w:sz w:val="48"/>
          <w:szCs w:val="48"/>
          <w:shd w:val="clear" w:fill="FFFFFF"/>
        </w:rPr>
        <w:t>第四部分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000000"/>
          <w:spacing w:val="0"/>
          <w:sz w:val="48"/>
          <w:szCs w:val="48"/>
          <w:shd w:val="clear" w:fill="FFFFFF"/>
        </w:rPr>
      </w:pPr>
      <w:r>
        <w:rPr>
          <w:rFonts w:hint="eastAsia" w:ascii="黑体" w:hAnsi="黑体" w:eastAsia="黑体" w:cs="黑体"/>
          <w:b w:val="0"/>
          <w:bCs w:val="0"/>
          <w:i w:val="0"/>
          <w:iCs w:val="0"/>
          <w:caps w:val="0"/>
          <w:color w:val="000000"/>
          <w:spacing w:val="0"/>
          <w:sz w:val="48"/>
          <w:szCs w:val="48"/>
          <w:shd w:val="clear" w:fill="FFFFFF"/>
        </w:rPr>
        <w:t>名词解释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一、机关运行经费。为保障行政单位（包括参照公务员管理的事业单位）运行。用一般公共预算拨款安排用于购买货物和服务的各项资金，包括办公及印刷费、邮电费、咨询费、会议费、福利费、日常维修费、办公用房水电费、公务用车维护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54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二、 “三公”经费。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i w:val="0"/>
          <w:iCs w:val="0"/>
          <w:caps w:val="0"/>
          <w:color w:val="3D3D3D"/>
          <w:spacing w:val="0"/>
          <w:sz w:val="24"/>
          <w:szCs w:val="24"/>
        </w:rPr>
      </w:pPr>
      <w:r>
        <w:rPr>
          <w:rFonts w:hint="eastAsia" w:ascii="宋体" w:hAnsi="宋体" w:eastAsia="宋体" w:cs="宋体"/>
          <w:i w:val="0"/>
          <w:iCs w:val="0"/>
          <w:caps w:val="0"/>
          <w:color w:val="000000"/>
          <w:spacing w:val="0"/>
          <w:sz w:val="24"/>
          <w:szCs w:val="24"/>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黑体" w:hAnsi="黑体" w:eastAsia="黑体" w:cs="黑体"/>
          <w:b w:val="0"/>
          <w:bCs w:val="0"/>
          <w:i w:val="0"/>
          <w:iCs w:val="0"/>
          <w:caps w:val="0"/>
          <w:color w:val="3D3D3D"/>
          <w:spacing w:val="0"/>
          <w:sz w:val="48"/>
          <w:szCs w:val="48"/>
        </w:rPr>
      </w:pPr>
      <w:r>
        <w:rPr>
          <w:rFonts w:hint="eastAsia" w:ascii="黑体" w:hAnsi="黑体" w:eastAsia="黑体" w:cs="黑体"/>
          <w:b w:val="0"/>
          <w:bCs w:val="0"/>
          <w:i w:val="0"/>
          <w:iCs w:val="0"/>
          <w:caps w:val="0"/>
          <w:color w:val="000000"/>
          <w:spacing w:val="0"/>
          <w:sz w:val="48"/>
          <w:szCs w:val="48"/>
          <w:shd w:val="clear" w:fill="FFFFFF"/>
        </w:rPr>
        <w:t>第五部分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b/>
          <w:bCs/>
          <w:i w:val="0"/>
          <w:iCs w:val="0"/>
          <w:caps w:val="0"/>
          <w:color w:val="000000"/>
          <w:spacing w:val="0"/>
          <w:sz w:val="48"/>
          <w:szCs w:val="48"/>
          <w:shd w:val="clear" w:fill="FFFFFF"/>
        </w:rPr>
      </w:pPr>
      <w:r>
        <w:rPr>
          <w:rFonts w:hint="eastAsia" w:ascii="黑体" w:hAnsi="黑体" w:eastAsia="黑体" w:cs="黑体"/>
          <w:b w:val="0"/>
          <w:bCs w:val="0"/>
          <w:i w:val="0"/>
          <w:iCs w:val="0"/>
          <w:caps w:val="0"/>
          <w:color w:val="000000"/>
          <w:spacing w:val="0"/>
          <w:sz w:val="48"/>
          <w:szCs w:val="48"/>
          <w:shd w:val="clear" w:fill="FFFFFF"/>
        </w:rPr>
        <w:t>附件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75" w:afterAutospacing="0" w:line="600" w:lineRule="exact"/>
        <w:ind w:left="0" w:right="0" w:firstLine="0"/>
        <w:jc w:val="center"/>
        <w:textAlignment w:val="auto"/>
        <w:rPr>
          <w:rFonts w:hint="eastAsia" w:ascii="宋体" w:hAnsi="宋体" w:eastAsia="宋体" w:cs="宋体"/>
          <w:b/>
          <w:bCs/>
          <w:i w:val="0"/>
          <w:iCs w:val="0"/>
          <w:caps w:val="0"/>
          <w:color w:val="000000"/>
          <w:spacing w:val="0"/>
          <w:sz w:val="48"/>
          <w:szCs w:val="48"/>
          <w:shd w:val="clear" w:fill="FFFFFF"/>
        </w:rPr>
      </w:pPr>
    </w:p>
    <w:p>
      <w:pPr>
        <w:keepNext w:val="0"/>
        <w:keepLines w:val="0"/>
        <w:pageBreakBefore w:val="0"/>
        <w:kinsoku/>
        <w:wordWrap/>
        <w:overflowPunct/>
        <w:topLinePunct w:val="0"/>
        <w:bidi w:val="0"/>
        <w:snapToGrid/>
        <w:spacing w:line="60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00DE9"/>
    <w:multiLevelType w:val="singleLevel"/>
    <w:tmpl w:val="A9200DE9"/>
    <w:lvl w:ilvl="0" w:tentative="0">
      <w:start w:val="1"/>
      <w:numFmt w:val="chineseCounting"/>
      <w:suff w:val="nothing"/>
      <w:lvlText w:val="（%1）"/>
      <w:lvlJc w:val="left"/>
      <w:rPr>
        <w:rFonts w:hint="eastAsia"/>
      </w:rPr>
    </w:lvl>
  </w:abstractNum>
  <w:abstractNum w:abstractNumId="1">
    <w:nsid w:val="304976DB"/>
    <w:multiLevelType w:val="singleLevel"/>
    <w:tmpl w:val="304976D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wNTBlODA0YzdmOWRhNzA3ZDgwYjZjNmY5OWI0YWEifQ=="/>
  </w:docVars>
  <w:rsids>
    <w:rsidRoot w:val="3AC21B73"/>
    <w:rsid w:val="066126D9"/>
    <w:rsid w:val="0EB06AFF"/>
    <w:rsid w:val="10A42F95"/>
    <w:rsid w:val="111A7341"/>
    <w:rsid w:val="17282142"/>
    <w:rsid w:val="24B37301"/>
    <w:rsid w:val="257F3212"/>
    <w:rsid w:val="2CBA66CC"/>
    <w:rsid w:val="37805D52"/>
    <w:rsid w:val="3AC21B73"/>
    <w:rsid w:val="3B8817EF"/>
    <w:rsid w:val="58EF3777"/>
    <w:rsid w:val="652C7270"/>
    <w:rsid w:val="70337561"/>
    <w:rsid w:val="73850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5707</Words>
  <Characters>6374</Characters>
  <Lines>0</Lines>
  <Paragraphs>0</Paragraphs>
  <TotalTime>27</TotalTime>
  <ScaleCrop>false</ScaleCrop>
  <LinksUpToDate>false</LinksUpToDate>
  <CharactersWithSpaces>6381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2023-09-01T07:20:00Z</dcterms:created>
  <dc:creator>恋尘</dc:creator>
  <cp:lastModifiedBy>放飞梦想</cp:lastModifiedBy>
  <dcterms:modified xsi:type="dcterms:W3CDTF">2023-10-11T07:29:13Z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3215AF4A08934ED09B24EBA945D6919B_11</vt:lpwstr>
  </property>
</Properties>
</file>