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jc w:val="center"/>
        <w:rPr>
          <w:sz w:val="56"/>
          <w:szCs w:val="56"/>
        </w:rPr>
      </w:pPr>
    </w:p>
    <w:p>
      <w:pPr>
        <w:pStyle w:val="9"/>
        <w:jc w:val="center"/>
        <w:rPr>
          <w:sz w:val="56"/>
          <w:szCs w:val="56"/>
        </w:rPr>
      </w:pPr>
    </w:p>
    <w:p>
      <w:pPr>
        <w:pStyle w:val="9"/>
        <w:jc w:val="center"/>
        <w:rPr>
          <w:sz w:val="84"/>
          <w:szCs w:val="84"/>
        </w:rPr>
      </w:pPr>
    </w:p>
    <w:p>
      <w:pPr>
        <w:pStyle w:val="9"/>
        <w:jc w:val="center"/>
        <w:rPr>
          <w:sz w:val="84"/>
          <w:szCs w:val="84"/>
        </w:rPr>
      </w:pPr>
    </w:p>
    <w:p>
      <w:pPr>
        <w:pStyle w:val="9"/>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2022年度</w:t>
      </w:r>
      <w:bookmarkStart w:id="2" w:name="_GoBack"/>
      <w:bookmarkEnd w:id="2"/>
    </w:p>
    <w:p>
      <w:pPr>
        <w:pStyle w:val="9"/>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怀化市公安局交通警察支队部门决算</w:t>
      </w:r>
    </w:p>
    <w:p>
      <w:pPr>
        <w:pStyle w:val="9"/>
        <w:jc w:val="center"/>
        <w:rPr>
          <w:rFonts w:ascii="方正小标宋_GBK" w:hAnsi="方正小标宋_GBK" w:eastAsia="方正小标宋_GBK" w:cs="方正小标宋_GBK"/>
          <w:sz w:val="56"/>
          <w:szCs w:val="56"/>
        </w:rPr>
      </w:pPr>
    </w:p>
    <w:p>
      <w:pPr>
        <w:pStyle w:val="9"/>
        <w:jc w:val="center"/>
        <w:rPr>
          <w:sz w:val="56"/>
          <w:szCs w:val="56"/>
        </w:rPr>
      </w:pPr>
    </w:p>
    <w:p>
      <w:pPr>
        <w:pStyle w:val="9"/>
        <w:jc w:val="center"/>
        <w:rPr>
          <w:sz w:val="56"/>
          <w:szCs w:val="56"/>
        </w:rPr>
      </w:pPr>
    </w:p>
    <w:p>
      <w:pPr>
        <w:pStyle w:val="9"/>
        <w:jc w:val="center"/>
        <w:rPr>
          <w:sz w:val="56"/>
          <w:szCs w:val="56"/>
        </w:rPr>
      </w:pPr>
    </w:p>
    <w:p>
      <w:pPr>
        <w:pStyle w:val="9"/>
        <w:jc w:val="center"/>
        <w:rPr>
          <w:sz w:val="32"/>
          <w:szCs w:val="32"/>
        </w:rPr>
      </w:pPr>
    </w:p>
    <w:p>
      <w:pPr>
        <w:pStyle w:val="9"/>
        <w:jc w:val="center"/>
        <w:rPr>
          <w:sz w:val="32"/>
          <w:szCs w:val="32"/>
        </w:rPr>
      </w:pPr>
    </w:p>
    <w:p>
      <w:pPr>
        <w:pStyle w:val="9"/>
        <w:jc w:val="both"/>
        <w:rPr>
          <w:sz w:val="32"/>
          <w:szCs w:val="32"/>
        </w:rPr>
      </w:pPr>
    </w:p>
    <w:p>
      <w:pPr>
        <w:pStyle w:val="9"/>
        <w:spacing w:line="500" w:lineRule="exact"/>
        <w:jc w:val="both"/>
        <w:rPr>
          <w:b/>
          <w:sz w:val="36"/>
          <w:szCs w:val="28"/>
        </w:rPr>
      </w:pPr>
    </w:p>
    <w:p>
      <w:pPr>
        <w:pStyle w:val="9"/>
        <w:spacing w:line="500" w:lineRule="exact"/>
        <w:jc w:val="center"/>
        <w:rPr>
          <w:b/>
          <w:sz w:val="36"/>
          <w:szCs w:val="28"/>
        </w:rPr>
      </w:pPr>
      <w:r>
        <w:rPr>
          <w:rFonts w:hint="eastAsia"/>
          <w:b/>
          <w:sz w:val="36"/>
          <w:szCs w:val="28"/>
        </w:rPr>
        <w:t>目录</w:t>
      </w:r>
    </w:p>
    <w:p>
      <w:pPr>
        <w:pStyle w:val="9"/>
        <w:spacing w:line="500" w:lineRule="exact"/>
        <w:rPr>
          <w:rFonts w:hAnsi="黑体"/>
          <w:bCs/>
          <w:sz w:val="28"/>
          <w:szCs w:val="28"/>
        </w:rPr>
      </w:pPr>
      <w:r>
        <w:rPr>
          <w:rFonts w:hint="eastAsia" w:hAnsi="黑体"/>
          <w:bCs/>
          <w:sz w:val="28"/>
          <w:szCs w:val="28"/>
        </w:rPr>
        <w:t>第一部分 怀化市公安局交通警察支队概况</w:t>
      </w:r>
    </w:p>
    <w:p>
      <w:pPr>
        <w:pStyle w:val="9"/>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9"/>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9"/>
        <w:spacing w:line="500" w:lineRule="exact"/>
        <w:rPr>
          <w:rFonts w:hAnsi="黑体"/>
          <w:bCs/>
          <w:sz w:val="28"/>
          <w:szCs w:val="28"/>
        </w:rPr>
      </w:pPr>
      <w:r>
        <w:rPr>
          <w:rFonts w:hint="eastAsia" w:hAnsi="黑体"/>
          <w:bCs/>
          <w:sz w:val="28"/>
          <w:szCs w:val="28"/>
        </w:rPr>
        <w:t>第二部分部门决算表</w:t>
      </w:r>
    </w:p>
    <w:p>
      <w:pPr>
        <w:pStyle w:val="9"/>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9"/>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9"/>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9"/>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9"/>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9"/>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9"/>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9"/>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9"/>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9"/>
        <w:spacing w:line="500" w:lineRule="exact"/>
        <w:rPr>
          <w:rFonts w:hAnsi="黑体"/>
          <w:bCs/>
          <w:sz w:val="28"/>
          <w:szCs w:val="28"/>
        </w:rPr>
      </w:pPr>
      <w:r>
        <w:rPr>
          <w:rFonts w:hint="eastAsia" w:hAnsi="黑体"/>
          <w:bCs/>
          <w:sz w:val="28"/>
          <w:szCs w:val="28"/>
        </w:rPr>
        <w:t>第三部分部门决算情况说明</w:t>
      </w:r>
    </w:p>
    <w:p>
      <w:pPr>
        <w:pStyle w:val="9"/>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spacing w:line="500" w:lineRule="exact"/>
        <w:ind w:firstLine="700" w:firstLineChars="25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pPr>
        <w:pStyle w:val="9"/>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pPr>
        <w:pStyle w:val="9"/>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十三、关于预算绩效情况的说明</w:t>
      </w:r>
    </w:p>
    <w:p>
      <w:pPr>
        <w:pStyle w:val="9"/>
        <w:spacing w:line="500" w:lineRule="exact"/>
        <w:rPr>
          <w:rFonts w:hAnsi="黑体"/>
          <w:bCs/>
          <w:sz w:val="28"/>
          <w:szCs w:val="28"/>
        </w:rPr>
      </w:pPr>
      <w:r>
        <w:rPr>
          <w:rFonts w:hint="eastAsia" w:hAnsi="黑体"/>
          <w:bCs/>
          <w:sz w:val="28"/>
          <w:szCs w:val="28"/>
        </w:rPr>
        <w:t>第四部分名词解释</w:t>
      </w:r>
    </w:p>
    <w:p>
      <w:pPr>
        <w:jc w:val="center"/>
        <w:rPr>
          <w:sz w:val="72"/>
          <w:szCs w:val="72"/>
        </w:rPr>
      </w:pPr>
    </w:p>
    <w:p>
      <w:pPr>
        <w:jc w:val="center"/>
        <w:rPr>
          <w:sz w:val="72"/>
          <w:szCs w:val="72"/>
        </w:rPr>
      </w:pPr>
    </w:p>
    <w:p>
      <w:pPr>
        <w:jc w:val="center"/>
        <w:rPr>
          <w:sz w:val="72"/>
          <w:szCs w:val="72"/>
        </w:rPr>
      </w:pPr>
    </w:p>
    <w:p>
      <w:pPr>
        <w:jc w:val="center"/>
        <w:rPr>
          <w:sz w:val="72"/>
          <w:szCs w:val="72"/>
        </w:rPr>
      </w:pPr>
    </w:p>
    <w:p>
      <w:pPr>
        <w:rPr>
          <w:rFonts w:ascii="方正小标宋_GBK" w:hAnsi="方正小标宋_GBK" w:eastAsia="方正小标宋_GBK" w:cs="方正小标宋_GBK"/>
          <w:sz w:val="72"/>
          <w:szCs w:val="72"/>
        </w:rPr>
      </w:pPr>
    </w:p>
    <w:p>
      <w:pPr>
        <w:pStyle w:val="9"/>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pPr>
        <w:pStyle w:val="9"/>
        <w:jc w:val="center"/>
        <w:rPr>
          <w:rFonts w:ascii="方正小标宋_GBK" w:hAnsi="方正小标宋_GBK" w:eastAsia="方正小标宋_GBK" w:cs="方正小标宋_GBK"/>
          <w:sz w:val="84"/>
          <w:szCs w:val="84"/>
        </w:rPr>
      </w:pPr>
    </w:p>
    <w:p>
      <w:pPr>
        <w:pStyle w:val="9"/>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怀化市公安局交通警察支队概况</w:t>
      </w:r>
    </w:p>
    <w:p>
      <w:pPr>
        <w:jc w:val="center"/>
        <w:rPr>
          <w:rFonts w:ascii="方正小标宋_GBK" w:hAnsi="方正小标宋_GBK" w:eastAsia="方正小标宋_GBK" w:cs="方正小标宋_GBK"/>
          <w:sz w:val="72"/>
          <w:szCs w:val="72"/>
        </w:rPr>
      </w:pPr>
    </w:p>
    <w:p>
      <w:pPr>
        <w:jc w:val="center"/>
        <w:rPr>
          <w:rFonts w:ascii="方正小标宋_GBK" w:hAnsi="方正小标宋_GBK" w:eastAsia="方正小标宋_GBK" w:cs="方正小标宋_GBK"/>
          <w:sz w:val="72"/>
          <w:szCs w:val="72"/>
        </w:rPr>
      </w:pPr>
    </w:p>
    <w:p>
      <w:pPr>
        <w:jc w:val="center"/>
        <w:rPr>
          <w:sz w:val="72"/>
          <w:szCs w:val="72"/>
        </w:rPr>
      </w:pPr>
    </w:p>
    <w:p>
      <w:pPr>
        <w:pStyle w:val="10"/>
        <w:ind w:firstLine="0" w:firstLineChars="0"/>
        <w:jc w:val="left"/>
        <w:rPr>
          <w:rFonts w:ascii="黑体" w:hAnsi="黑体" w:eastAsia="黑体" w:cs="黑体"/>
          <w:sz w:val="32"/>
          <w:szCs w:val="32"/>
        </w:rPr>
      </w:pPr>
    </w:p>
    <w:p>
      <w:pPr>
        <w:pStyle w:val="10"/>
        <w:keepNext w:val="0"/>
        <w:keepLines w:val="0"/>
        <w:pageBreakBefore w:val="0"/>
        <w:kinsoku/>
        <w:wordWrap/>
        <w:overflowPunct/>
        <w:topLinePunct w:val="0"/>
        <w:bidi w:val="0"/>
        <w:snapToGrid/>
        <w:spacing w:line="600" w:lineRule="exact"/>
        <w:ind w:firstLine="640"/>
        <w:jc w:val="left"/>
        <w:textAlignment w:val="auto"/>
        <w:rPr>
          <w:rFonts w:ascii="黑体" w:hAnsi="黑体" w:eastAsia="黑体" w:cs="黑体"/>
          <w:sz w:val="32"/>
          <w:szCs w:val="32"/>
        </w:rPr>
      </w:pPr>
      <w:r>
        <w:rPr>
          <w:rFonts w:hint="eastAsia" w:ascii="黑体" w:hAnsi="黑体" w:eastAsia="黑体" w:cs="黑体"/>
          <w:sz w:val="32"/>
          <w:szCs w:val="32"/>
        </w:rPr>
        <w:t>一、部门职责</w:t>
      </w:r>
    </w:p>
    <w:p>
      <w:pPr>
        <w:keepNext w:val="0"/>
        <w:keepLines w:val="0"/>
        <w:pageBreakBefore w:val="0"/>
        <w:widowControl/>
        <w:numPr>
          <w:ilvl w:val="0"/>
          <w:numId w:val="1"/>
        </w:numPr>
        <w:kinsoku/>
        <w:wordWrap/>
        <w:overflowPunct/>
        <w:topLinePunct w:val="0"/>
        <w:bidi w:val="0"/>
        <w:snapToGrid/>
        <w:spacing w:line="60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怀化市公安局交通警察支队（以下简称市交警支队）是行政单位。</w:t>
      </w:r>
    </w:p>
    <w:p>
      <w:pPr>
        <w:keepNext w:val="0"/>
        <w:keepLines w:val="0"/>
        <w:pageBreakBefore w:val="0"/>
        <w:widowControl/>
        <w:kinsoku/>
        <w:wordWrap/>
        <w:overflowPunct/>
        <w:topLinePunct w:val="0"/>
        <w:bidi w:val="0"/>
        <w:snapToGrid/>
        <w:spacing w:line="60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二）主要工作职责：贯彻执行国家有关道路交通安全、管理的法律、法规和政策；研究拟订全市道路交通安全管理的发展战略和政策性措施。组织开展公安交警思想政治工作和队伍建设，制定并落实民警教育培训制度；协助县（市、区）公安局党委管理交警大队的领导班子；组织开展公安交警工作宣传报道和交通安全宣传教育活动。落实公安机关党风廉政建设相关要求，配合有关部门查处民警违法违纪案件；组织实施交警队伍警务督察工作。承担支队交通管理经费的核算和管理工作；承担支队预算收入和罚没款物的稽查和审核；承担支队国有资产的监督管理工作。组织、监督开展公安交通管理的执法工作。组织实施全市道路交通事故的预防和处理工作；指导并落实基层交通安全组织建设。承担全市机动车辆安全检测、牌证发生工作；承担全市机动车考验员证、检验员证、教练员证的申请、受理、审核、上报和管理工作；承担全市机动车辆和非机动车辆的道路交通管理工作；按职责权限对机动车改装、改型、修理厂家实施安全技术监督；指导并监督全市机动车驾驶员培训单位的工作；依法对全市农机部门牌证发生工作实行管理和监督。承担全市机动车驾驶员的考试、发证等管理工作。组织实施全市道路交通管理科学技术的规划、研究及成果推广应用工作。参与研究城市建设、道路交通和安全设施的规划；承担怀化城区道路交通安全设施建设；参与道路交通安全设施的监督、管理，依法打击破坏道路交通安全设施等违法犯罪活动；承担对涉及交通安全、交通秩序的停车场（库）、车辆停靠点的规范建设和挖掘、占用道路审批管理工作。依法实施道路交通安全违法行为的处罚工作。组织实施全市客运车辆及重点车辆的户籍化管理工作。承担怀化城区的道路交通安全和秩序管理工作；配合有关部门实施重大交通警（保）卫工作；组织开展公路巡逻执法活动和处置重大突发性事件；协同其他警种维护道路治安秩序，打击车匪路霸。按照有关规定，负责或协助管理全市高速公路的交通秩序、治安秩序和交通安全工作。承办市人民政府和市公安局交办的其他事项。</w:t>
      </w:r>
    </w:p>
    <w:p>
      <w:pPr>
        <w:keepNext w:val="0"/>
        <w:keepLines w:val="0"/>
        <w:pageBreakBefore w:val="0"/>
        <w:widowControl/>
        <w:kinsoku/>
        <w:wordWrap/>
        <w:overflowPunct/>
        <w:topLinePunct w:val="0"/>
        <w:bidi w:val="0"/>
        <w:snapToGrid/>
        <w:spacing w:line="600" w:lineRule="exact"/>
        <w:ind w:firstLine="640" w:firstLineChars="200"/>
        <w:textAlignment w:val="auto"/>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pPr>
        <w:pStyle w:val="9"/>
        <w:keepNext w:val="0"/>
        <w:keepLines w:val="0"/>
        <w:pageBreakBefore w:val="0"/>
        <w:kinsoku/>
        <w:wordWrap/>
        <w:overflowPunct/>
        <w:topLinePunct w:val="0"/>
        <w:bidi w:val="0"/>
        <w:snapToGrid/>
        <w:spacing w:line="600" w:lineRule="exact"/>
        <w:ind w:firstLine="800" w:firstLineChars="250"/>
        <w:textAlignment w:val="auto"/>
        <w:rPr>
          <w:rFonts w:ascii="仿宋" w:hAnsi="仿宋" w:eastAsia="仿宋" w:cs="仿宋"/>
          <w:sz w:val="32"/>
          <w:szCs w:val="32"/>
        </w:rPr>
      </w:pPr>
      <w:r>
        <w:rPr>
          <w:rFonts w:hint="eastAsia" w:ascii="仿宋" w:hAnsi="仿宋" w:eastAsia="仿宋" w:cs="仿宋"/>
          <w:sz w:val="32"/>
          <w:szCs w:val="32"/>
        </w:rPr>
        <w:t>（一）内设机构设置。怀化市公安局交通警察支队作为一级部门预算单位，为副处级行政机构。根据市编委核定，怀化市公安局交通警察支队内设15个科室：办公室、交通管理指挥中心、政工科、宣传教育科、警务保障科、法制科、交通安全管理科、车辆管理所、驾驶人考试管理所、交通科技管理科、交通设施管理科、道路交通安全违法处罚科、重点车辆监管所、事故社会救助基金管理所，监察室单设，下设6个直属机构，直属一大队、直属二大队、直属三大队、直属四大队、特勤大队、事故处理大队。</w:t>
      </w:r>
    </w:p>
    <w:p>
      <w:pPr>
        <w:pStyle w:val="9"/>
        <w:keepNext w:val="0"/>
        <w:keepLines w:val="0"/>
        <w:pageBreakBefore w:val="0"/>
        <w:kinsoku/>
        <w:wordWrap/>
        <w:overflowPunct/>
        <w:topLinePunct w:val="0"/>
        <w:bidi w:val="0"/>
        <w:snapToGrid/>
        <w:spacing w:line="600" w:lineRule="exact"/>
        <w:ind w:firstLine="800" w:firstLineChars="250"/>
        <w:textAlignment w:val="auto"/>
        <w:rPr>
          <w:rFonts w:ascii="仿宋_GB2312" w:eastAsia="仿宋_GB2312" w:hAnsiTheme="minorEastAsia"/>
          <w:sz w:val="28"/>
          <w:szCs w:val="32"/>
        </w:rPr>
      </w:pPr>
      <w:r>
        <w:rPr>
          <w:rFonts w:hint="eastAsia" w:ascii="仿宋" w:hAnsi="仿宋" w:eastAsia="仿宋" w:cs="仿宋"/>
          <w:sz w:val="32"/>
          <w:szCs w:val="32"/>
        </w:rPr>
        <w:t>（二）决算单位构成。市交警支队2022年部门决算汇总公开单位构成为本单位。</w:t>
      </w: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9"/>
        <w:jc w:val="center"/>
        <w:rPr>
          <w:rFonts w:ascii="方正小标宋_GBK" w:hAnsi="方正小标宋_GBK" w:eastAsia="方正小标宋_GBK" w:cs="方正小标宋_GBK"/>
          <w:sz w:val="84"/>
          <w:szCs w:val="84"/>
        </w:rPr>
      </w:pPr>
    </w:p>
    <w:p>
      <w:pPr>
        <w:pStyle w:val="9"/>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9"/>
        <w:jc w:val="center"/>
        <w:rPr>
          <w:rFonts w:ascii="方正小标宋_GBK" w:hAnsi="方正小标宋_GBK" w:eastAsia="方正小标宋_GBK" w:cs="方正小标宋_GBK"/>
          <w:sz w:val="84"/>
          <w:szCs w:val="84"/>
        </w:rPr>
      </w:pPr>
    </w:p>
    <w:p>
      <w:pPr>
        <w:pStyle w:val="9"/>
        <w:jc w:val="center"/>
        <w:rPr>
          <w:rFonts w:ascii="方正小标宋_GBK" w:hAnsi="方正小标宋_GBK" w:eastAsia="方正小标宋_GBK" w:cs="方正小标宋_GBK"/>
          <w:sz w:val="84"/>
          <w:szCs w:val="84"/>
        </w:rPr>
        <w:sectPr>
          <w:pgSz w:w="11906" w:h="16838"/>
          <w:pgMar w:top="720" w:right="720" w:bottom="720" w:left="720" w:header="851" w:footer="992" w:gutter="0"/>
          <w:cols w:space="425" w:num="1"/>
          <w:docGrid w:type="lines" w:linePitch="312" w:charSpace="0"/>
        </w:sectPr>
      </w:pPr>
      <w:r>
        <w:rPr>
          <w:rFonts w:hint="eastAsia" w:ascii="方正小标宋_GBK" w:hAnsi="方正小标宋_GBK" w:eastAsia="方正小标宋_GBK" w:cs="方正小标宋_GBK"/>
          <w:sz w:val="84"/>
          <w:szCs w:val="84"/>
        </w:rPr>
        <w:t>部门决算表</w:t>
      </w:r>
    </w:p>
    <w:tbl>
      <w:tblPr>
        <w:tblStyle w:val="5"/>
        <w:tblW w:w="5000" w:type="pct"/>
        <w:tblInd w:w="0" w:type="dxa"/>
        <w:shd w:val="clear" w:color="auto" w:fill="FFFFFF" w:themeFill="background1"/>
        <w:tblLayout w:type="autofit"/>
        <w:tblCellMar>
          <w:top w:w="0" w:type="dxa"/>
          <w:left w:w="108" w:type="dxa"/>
          <w:bottom w:w="0" w:type="dxa"/>
          <w:right w:w="108" w:type="dxa"/>
        </w:tblCellMar>
      </w:tblPr>
      <w:tblGrid>
        <w:gridCol w:w="5121"/>
        <w:gridCol w:w="896"/>
        <w:gridCol w:w="1655"/>
        <w:gridCol w:w="4818"/>
        <w:gridCol w:w="896"/>
        <w:gridCol w:w="2228"/>
      </w:tblGrid>
      <w:tr>
        <w:tblPrEx>
          <w:shd w:val="clear" w:color="auto" w:fill="FFFFFF" w:themeFill="background1"/>
          <w:tblCellMar>
            <w:top w:w="0" w:type="dxa"/>
            <w:left w:w="108" w:type="dxa"/>
            <w:bottom w:w="0" w:type="dxa"/>
            <w:right w:w="108" w:type="dxa"/>
          </w:tblCellMar>
        </w:tblPrEx>
        <w:trPr>
          <w:trHeight w:val="390" w:hRule="atLeast"/>
        </w:trPr>
        <w:tc>
          <w:tcPr>
            <w:tcW w:w="5000" w:type="pct"/>
            <w:gridSpan w:val="6"/>
            <w:tcBorders>
              <w:top w:val="nil"/>
              <w:left w:val="nil"/>
              <w:bottom w:val="nil"/>
              <w:right w:val="nil"/>
            </w:tcBorders>
            <w:shd w:val="clear" w:color="auto" w:fill="FFFFFF" w:themeFill="background1"/>
            <w:noWrap/>
            <w:vAlign w:val="bottom"/>
          </w:tcPr>
          <w:p>
            <w:pPr>
              <w:widowControl/>
              <w:jc w:val="center"/>
              <w:textAlignment w:val="bottom"/>
              <w:rPr>
                <w:rFonts w:ascii="宋体" w:hAnsi="宋体" w:eastAsia="宋体" w:cs="宋体"/>
                <w:color w:val="000000"/>
                <w:sz w:val="30"/>
                <w:szCs w:val="30"/>
              </w:rPr>
            </w:pPr>
            <w:r>
              <w:rPr>
                <w:rFonts w:hint="eastAsia" w:ascii="宋体" w:hAnsi="宋体" w:eastAsia="宋体" w:cs="宋体"/>
                <w:color w:val="000000"/>
                <w:kern w:val="0"/>
                <w:sz w:val="30"/>
                <w:szCs w:val="30"/>
              </w:rPr>
              <w:t>收入支出决算总表</w:t>
            </w:r>
          </w:p>
        </w:tc>
      </w:tr>
      <w:tr>
        <w:tblPrEx>
          <w:tblCellMar>
            <w:top w:w="0" w:type="dxa"/>
            <w:left w:w="108" w:type="dxa"/>
            <w:bottom w:w="0" w:type="dxa"/>
            <w:right w:w="108" w:type="dxa"/>
          </w:tblCellMar>
        </w:tblPrEx>
        <w:trPr>
          <w:trHeight w:val="255" w:hRule="atLeast"/>
        </w:trPr>
        <w:tc>
          <w:tcPr>
            <w:tcW w:w="1640"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287"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529"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1543"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287"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710" w:type="pct"/>
            <w:tcBorders>
              <w:top w:val="nil"/>
              <w:left w:val="nil"/>
              <w:bottom w:val="nil"/>
              <w:right w:val="nil"/>
            </w:tcBorders>
            <w:shd w:val="clear" w:color="auto" w:fill="FFFFFF" w:themeFill="background1"/>
            <w:noWrap/>
            <w:vAlign w:val="bottom"/>
          </w:tcPr>
          <w:p>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公开01表</w:t>
            </w:r>
          </w:p>
        </w:tc>
      </w:tr>
      <w:tr>
        <w:tblPrEx>
          <w:tblCellMar>
            <w:top w:w="0" w:type="dxa"/>
            <w:left w:w="108" w:type="dxa"/>
            <w:bottom w:w="0" w:type="dxa"/>
            <w:right w:w="108" w:type="dxa"/>
          </w:tblCellMar>
        </w:tblPrEx>
        <w:trPr>
          <w:trHeight w:val="255" w:hRule="atLeast"/>
        </w:trPr>
        <w:tc>
          <w:tcPr>
            <w:tcW w:w="1640" w:type="pct"/>
            <w:tcBorders>
              <w:top w:val="nil"/>
              <w:left w:val="nil"/>
              <w:bottom w:val="nil"/>
              <w:right w:val="nil"/>
            </w:tcBorders>
            <w:shd w:val="clear" w:color="auto" w:fill="FFFFFF" w:themeFill="background1"/>
            <w:noWrap/>
            <w:vAlign w:val="bottom"/>
          </w:tcPr>
          <w:p>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部门：怀化市公安局交通警察支队</w:t>
            </w:r>
          </w:p>
        </w:tc>
        <w:tc>
          <w:tcPr>
            <w:tcW w:w="287"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529"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1543"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287"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710" w:type="pct"/>
            <w:tcBorders>
              <w:top w:val="nil"/>
              <w:left w:val="nil"/>
              <w:bottom w:val="nil"/>
              <w:right w:val="nil"/>
            </w:tcBorders>
            <w:shd w:val="clear" w:color="auto" w:fill="FFFFFF" w:themeFill="background1"/>
            <w:noWrap/>
            <w:vAlign w:val="bottom"/>
          </w:tcPr>
          <w:p>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tblPrEx>
          <w:tblCellMar>
            <w:top w:w="0" w:type="dxa"/>
            <w:left w:w="108" w:type="dxa"/>
            <w:bottom w:w="0" w:type="dxa"/>
            <w:right w:w="108" w:type="dxa"/>
          </w:tblCellMar>
        </w:tblPrEx>
        <w:trPr>
          <w:trHeight w:val="90" w:hRule="atLeast"/>
        </w:trPr>
        <w:tc>
          <w:tcPr>
            <w:tcW w:w="2457" w:type="pct"/>
            <w:gridSpan w:val="3"/>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收入</w:t>
            </w:r>
          </w:p>
        </w:tc>
        <w:tc>
          <w:tcPr>
            <w:tcW w:w="2542" w:type="pct"/>
            <w:gridSpan w:val="3"/>
            <w:tcBorders>
              <w:top w:val="single" w:color="000000" w:sz="4" w:space="0"/>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支出</w:t>
            </w:r>
          </w:p>
        </w:tc>
      </w:tr>
      <w:tr>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项目</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行次</w:t>
            </w:r>
          </w:p>
        </w:tc>
        <w:tc>
          <w:tcPr>
            <w:tcW w:w="52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金额</w:t>
            </w:r>
          </w:p>
        </w:tc>
        <w:tc>
          <w:tcPr>
            <w:tcW w:w="1543"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项目</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行次</w:t>
            </w:r>
          </w:p>
        </w:tc>
        <w:tc>
          <w:tcPr>
            <w:tcW w:w="710"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金额</w:t>
            </w:r>
          </w:p>
        </w:tc>
      </w:tr>
      <w:tr>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栏次</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jc w:val="center"/>
              <w:rPr>
                <w:rFonts w:ascii="宋体" w:hAnsi="宋体" w:eastAsia="宋体" w:cs="宋体"/>
                <w:sz w:val="22"/>
              </w:rPr>
            </w:pPr>
          </w:p>
        </w:tc>
        <w:tc>
          <w:tcPr>
            <w:tcW w:w="52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1</w:t>
            </w:r>
          </w:p>
        </w:tc>
        <w:tc>
          <w:tcPr>
            <w:tcW w:w="1543"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栏次</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jc w:val="center"/>
              <w:rPr>
                <w:rFonts w:ascii="宋体" w:hAnsi="宋体" w:eastAsia="宋体" w:cs="宋体"/>
                <w:sz w:val="22"/>
              </w:rPr>
            </w:pPr>
          </w:p>
        </w:tc>
        <w:tc>
          <w:tcPr>
            <w:tcW w:w="710"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2</w:t>
            </w:r>
          </w:p>
        </w:tc>
      </w:tr>
      <w:tr>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sz w:val="22"/>
              </w:rPr>
            </w:pPr>
            <w:r>
              <w:rPr>
                <w:rFonts w:hint="eastAsia" w:ascii="宋体" w:hAnsi="宋体" w:eastAsia="宋体" w:cs="宋体"/>
                <w:kern w:val="0"/>
                <w:sz w:val="22"/>
              </w:rPr>
              <w:t>一、一般公共预算财政拨款收入</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1</w:t>
            </w:r>
          </w:p>
        </w:tc>
        <w:tc>
          <w:tcPr>
            <w:tcW w:w="529"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sz w:val="22"/>
              </w:rPr>
            </w:pPr>
            <w:r>
              <w:rPr>
                <w:rFonts w:hint="eastAsia" w:ascii="宋体" w:hAnsi="宋体" w:eastAsia="宋体" w:cs="宋体"/>
                <w:kern w:val="0"/>
                <w:sz w:val="22"/>
              </w:rPr>
              <w:t>13,743.82</w:t>
            </w:r>
          </w:p>
        </w:tc>
        <w:tc>
          <w:tcPr>
            <w:tcW w:w="1543"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sz w:val="22"/>
              </w:rPr>
            </w:pPr>
            <w:r>
              <w:rPr>
                <w:rFonts w:hint="eastAsia" w:ascii="宋体" w:hAnsi="宋体" w:eastAsia="宋体" w:cs="宋体"/>
                <w:kern w:val="0"/>
                <w:sz w:val="22"/>
              </w:rPr>
              <w:t>一、一般公共服务支出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32</w:t>
            </w:r>
          </w:p>
        </w:tc>
        <w:tc>
          <w:tcPr>
            <w:tcW w:w="71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sz w:val="22"/>
              </w:rPr>
            </w:pPr>
            <w:r>
              <w:rPr>
                <w:rFonts w:hint="eastAsia" w:ascii="宋体" w:hAnsi="宋体" w:eastAsia="宋体" w:cs="宋体"/>
                <w:kern w:val="0"/>
                <w:sz w:val="22"/>
              </w:rPr>
              <w:t xml:space="preserve">0.00 </w:t>
            </w:r>
          </w:p>
        </w:tc>
      </w:tr>
      <w:tr>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sz w:val="22"/>
              </w:rPr>
            </w:pPr>
            <w:r>
              <w:rPr>
                <w:rFonts w:hint="eastAsia" w:ascii="宋体" w:hAnsi="宋体" w:eastAsia="宋体" w:cs="宋体"/>
                <w:kern w:val="0"/>
                <w:sz w:val="22"/>
              </w:rPr>
              <w:t>二、政府性基金预算财政拨款收入</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2</w:t>
            </w:r>
          </w:p>
        </w:tc>
        <w:tc>
          <w:tcPr>
            <w:tcW w:w="529"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sz w:val="22"/>
              </w:rPr>
            </w:pPr>
            <w:r>
              <w:rPr>
                <w:rFonts w:hint="eastAsia" w:ascii="宋体" w:hAnsi="宋体" w:eastAsia="宋体" w:cs="宋体"/>
                <w:kern w:val="0"/>
                <w:sz w:val="22"/>
              </w:rPr>
              <w:t xml:space="preserve">0.00 </w:t>
            </w:r>
          </w:p>
        </w:tc>
        <w:tc>
          <w:tcPr>
            <w:tcW w:w="1543"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sz w:val="22"/>
              </w:rPr>
            </w:pPr>
            <w:r>
              <w:rPr>
                <w:rFonts w:hint="eastAsia" w:ascii="宋体" w:hAnsi="宋体" w:eastAsia="宋体" w:cs="宋体"/>
                <w:kern w:val="0"/>
                <w:sz w:val="22"/>
              </w:rPr>
              <w:t>二、外交支出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33</w:t>
            </w:r>
          </w:p>
        </w:tc>
        <w:tc>
          <w:tcPr>
            <w:tcW w:w="71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sz w:val="22"/>
              </w:rPr>
            </w:pPr>
            <w:r>
              <w:rPr>
                <w:rFonts w:hint="eastAsia" w:ascii="宋体" w:hAnsi="宋体" w:eastAsia="宋体" w:cs="宋体"/>
                <w:kern w:val="0"/>
                <w:sz w:val="22"/>
              </w:rPr>
              <w:t xml:space="preserve">0.00 </w:t>
            </w:r>
          </w:p>
        </w:tc>
      </w:tr>
      <w:tr>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sz w:val="22"/>
              </w:rPr>
            </w:pPr>
            <w:r>
              <w:rPr>
                <w:rFonts w:hint="eastAsia" w:ascii="宋体" w:hAnsi="宋体" w:eastAsia="宋体" w:cs="宋体"/>
                <w:kern w:val="0"/>
                <w:sz w:val="22"/>
              </w:rPr>
              <w:t>三、国有资本经营预算财政拨款收入</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3</w:t>
            </w:r>
          </w:p>
        </w:tc>
        <w:tc>
          <w:tcPr>
            <w:tcW w:w="529"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sz w:val="22"/>
              </w:rPr>
            </w:pPr>
            <w:r>
              <w:rPr>
                <w:rFonts w:hint="eastAsia" w:ascii="宋体" w:hAnsi="宋体" w:eastAsia="宋体" w:cs="宋体"/>
                <w:kern w:val="0"/>
                <w:sz w:val="22"/>
              </w:rPr>
              <w:t xml:space="preserve">0.00 </w:t>
            </w:r>
          </w:p>
        </w:tc>
        <w:tc>
          <w:tcPr>
            <w:tcW w:w="1543"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sz w:val="22"/>
              </w:rPr>
            </w:pPr>
            <w:r>
              <w:rPr>
                <w:rFonts w:hint="eastAsia" w:ascii="宋体" w:hAnsi="宋体" w:eastAsia="宋体" w:cs="宋体"/>
                <w:kern w:val="0"/>
                <w:sz w:val="22"/>
              </w:rPr>
              <w:t>三、国防支出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34</w:t>
            </w:r>
          </w:p>
        </w:tc>
        <w:tc>
          <w:tcPr>
            <w:tcW w:w="71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sz w:val="22"/>
              </w:rPr>
            </w:pPr>
            <w:r>
              <w:rPr>
                <w:rFonts w:hint="eastAsia" w:ascii="宋体" w:hAnsi="宋体" w:eastAsia="宋体" w:cs="宋体"/>
                <w:kern w:val="0"/>
                <w:sz w:val="22"/>
              </w:rPr>
              <w:t xml:space="preserve">0.00 </w:t>
            </w:r>
          </w:p>
        </w:tc>
      </w:tr>
      <w:tr>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sz w:val="22"/>
              </w:rPr>
            </w:pPr>
            <w:r>
              <w:rPr>
                <w:rFonts w:hint="eastAsia" w:ascii="宋体" w:hAnsi="宋体" w:eastAsia="宋体" w:cs="宋体"/>
                <w:kern w:val="0"/>
                <w:sz w:val="22"/>
              </w:rPr>
              <w:t>四、上级补助收入</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4</w:t>
            </w:r>
          </w:p>
        </w:tc>
        <w:tc>
          <w:tcPr>
            <w:tcW w:w="529"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sz w:val="22"/>
              </w:rPr>
            </w:pPr>
            <w:r>
              <w:rPr>
                <w:rFonts w:hint="eastAsia" w:ascii="宋体" w:hAnsi="宋体" w:eastAsia="宋体" w:cs="宋体"/>
                <w:kern w:val="0"/>
                <w:sz w:val="22"/>
              </w:rPr>
              <w:t xml:space="preserve">0.00 </w:t>
            </w:r>
          </w:p>
        </w:tc>
        <w:tc>
          <w:tcPr>
            <w:tcW w:w="1543"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sz w:val="22"/>
              </w:rPr>
            </w:pPr>
            <w:r>
              <w:rPr>
                <w:rFonts w:hint="eastAsia" w:ascii="宋体" w:hAnsi="宋体" w:eastAsia="宋体" w:cs="宋体"/>
                <w:kern w:val="0"/>
                <w:sz w:val="22"/>
              </w:rPr>
              <w:t>四、公共安全支出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35</w:t>
            </w:r>
          </w:p>
        </w:tc>
        <w:tc>
          <w:tcPr>
            <w:tcW w:w="71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sz w:val="22"/>
              </w:rPr>
            </w:pPr>
            <w:r>
              <w:rPr>
                <w:rFonts w:hint="eastAsia" w:ascii="宋体" w:hAnsi="宋体" w:eastAsia="宋体" w:cs="宋体"/>
                <w:kern w:val="0"/>
                <w:sz w:val="22"/>
              </w:rPr>
              <w:t>12,773.14</w:t>
            </w:r>
          </w:p>
        </w:tc>
      </w:tr>
      <w:tr>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sz w:val="22"/>
              </w:rPr>
            </w:pPr>
            <w:r>
              <w:rPr>
                <w:rFonts w:hint="eastAsia" w:ascii="宋体" w:hAnsi="宋体" w:eastAsia="宋体" w:cs="宋体"/>
                <w:kern w:val="0"/>
                <w:sz w:val="22"/>
              </w:rPr>
              <w:t>五、事业收入</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5</w:t>
            </w:r>
          </w:p>
        </w:tc>
        <w:tc>
          <w:tcPr>
            <w:tcW w:w="529"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sz w:val="22"/>
              </w:rPr>
            </w:pPr>
            <w:r>
              <w:rPr>
                <w:rFonts w:hint="eastAsia" w:ascii="宋体" w:hAnsi="宋体" w:eastAsia="宋体" w:cs="宋体"/>
                <w:kern w:val="0"/>
                <w:sz w:val="22"/>
              </w:rPr>
              <w:t xml:space="preserve">0.00 </w:t>
            </w:r>
          </w:p>
        </w:tc>
        <w:tc>
          <w:tcPr>
            <w:tcW w:w="1543"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sz w:val="22"/>
              </w:rPr>
            </w:pPr>
            <w:r>
              <w:rPr>
                <w:rFonts w:hint="eastAsia" w:ascii="宋体" w:hAnsi="宋体" w:eastAsia="宋体" w:cs="宋体"/>
                <w:kern w:val="0"/>
                <w:sz w:val="22"/>
              </w:rPr>
              <w:t>五、教育支出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36</w:t>
            </w:r>
          </w:p>
        </w:tc>
        <w:tc>
          <w:tcPr>
            <w:tcW w:w="71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sz w:val="22"/>
              </w:rPr>
            </w:pPr>
            <w:r>
              <w:rPr>
                <w:rFonts w:hint="eastAsia" w:ascii="宋体" w:hAnsi="宋体" w:eastAsia="宋体" w:cs="宋体"/>
                <w:kern w:val="0"/>
                <w:sz w:val="22"/>
              </w:rPr>
              <w:t xml:space="preserve">0.00 </w:t>
            </w:r>
          </w:p>
        </w:tc>
      </w:tr>
      <w:tr>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sz w:val="22"/>
              </w:rPr>
            </w:pPr>
            <w:r>
              <w:rPr>
                <w:rFonts w:hint="eastAsia" w:ascii="宋体" w:hAnsi="宋体" w:eastAsia="宋体" w:cs="宋体"/>
                <w:kern w:val="0"/>
                <w:sz w:val="22"/>
              </w:rPr>
              <w:t>六、经营收入</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6</w:t>
            </w:r>
          </w:p>
        </w:tc>
        <w:tc>
          <w:tcPr>
            <w:tcW w:w="529"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sz w:val="22"/>
              </w:rPr>
            </w:pPr>
            <w:r>
              <w:rPr>
                <w:rFonts w:hint="eastAsia" w:ascii="宋体" w:hAnsi="宋体" w:eastAsia="宋体" w:cs="宋体"/>
                <w:kern w:val="0"/>
                <w:sz w:val="22"/>
              </w:rPr>
              <w:t xml:space="preserve">0.00 </w:t>
            </w:r>
          </w:p>
        </w:tc>
        <w:tc>
          <w:tcPr>
            <w:tcW w:w="1543"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sz w:val="22"/>
              </w:rPr>
            </w:pPr>
            <w:r>
              <w:rPr>
                <w:rFonts w:hint="eastAsia" w:ascii="宋体" w:hAnsi="宋体" w:eastAsia="宋体" w:cs="宋体"/>
                <w:kern w:val="0"/>
                <w:sz w:val="22"/>
              </w:rPr>
              <w:t>六、科学技术支出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37</w:t>
            </w:r>
          </w:p>
        </w:tc>
        <w:tc>
          <w:tcPr>
            <w:tcW w:w="71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sz w:val="22"/>
              </w:rPr>
            </w:pPr>
            <w:r>
              <w:rPr>
                <w:rFonts w:hint="eastAsia" w:ascii="宋体" w:hAnsi="宋体" w:eastAsia="宋体" w:cs="宋体"/>
                <w:kern w:val="0"/>
                <w:sz w:val="22"/>
              </w:rPr>
              <w:t xml:space="preserve">0.00 </w:t>
            </w:r>
          </w:p>
        </w:tc>
      </w:tr>
      <w:tr>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sz w:val="22"/>
              </w:rPr>
            </w:pPr>
            <w:r>
              <w:rPr>
                <w:rFonts w:hint="eastAsia" w:ascii="宋体" w:hAnsi="宋体" w:eastAsia="宋体" w:cs="宋体"/>
                <w:kern w:val="0"/>
                <w:sz w:val="22"/>
              </w:rPr>
              <w:t>七、附属单位上缴收入</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7</w:t>
            </w:r>
          </w:p>
        </w:tc>
        <w:tc>
          <w:tcPr>
            <w:tcW w:w="529"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sz w:val="22"/>
              </w:rPr>
            </w:pPr>
            <w:r>
              <w:rPr>
                <w:rFonts w:hint="eastAsia" w:ascii="宋体" w:hAnsi="宋体" w:eastAsia="宋体" w:cs="宋体"/>
                <w:kern w:val="0"/>
                <w:sz w:val="22"/>
              </w:rPr>
              <w:t xml:space="preserve">0.00 </w:t>
            </w:r>
          </w:p>
        </w:tc>
        <w:tc>
          <w:tcPr>
            <w:tcW w:w="1543"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sz w:val="22"/>
              </w:rPr>
            </w:pPr>
            <w:r>
              <w:rPr>
                <w:rFonts w:hint="eastAsia" w:ascii="宋体" w:hAnsi="宋体" w:eastAsia="宋体" w:cs="宋体"/>
                <w:kern w:val="0"/>
                <w:sz w:val="22"/>
              </w:rPr>
              <w:t>七、文化旅游体育与传媒支出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38</w:t>
            </w:r>
          </w:p>
        </w:tc>
        <w:tc>
          <w:tcPr>
            <w:tcW w:w="71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sz w:val="22"/>
              </w:rPr>
            </w:pPr>
            <w:r>
              <w:rPr>
                <w:rFonts w:hint="eastAsia" w:ascii="宋体" w:hAnsi="宋体" w:eastAsia="宋体" w:cs="宋体"/>
                <w:kern w:val="0"/>
                <w:sz w:val="22"/>
              </w:rPr>
              <w:t xml:space="preserve">0.00 </w:t>
            </w:r>
          </w:p>
        </w:tc>
      </w:tr>
      <w:tr>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sz w:val="22"/>
              </w:rPr>
            </w:pPr>
            <w:r>
              <w:rPr>
                <w:rFonts w:hint="eastAsia" w:ascii="宋体" w:hAnsi="宋体" w:eastAsia="宋体" w:cs="宋体"/>
                <w:kern w:val="0"/>
                <w:sz w:val="22"/>
              </w:rPr>
              <w:t>八、其他收入</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8</w:t>
            </w:r>
          </w:p>
        </w:tc>
        <w:tc>
          <w:tcPr>
            <w:tcW w:w="529"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sz w:val="22"/>
              </w:rPr>
            </w:pPr>
            <w:r>
              <w:rPr>
                <w:rFonts w:hint="eastAsia" w:ascii="宋体" w:hAnsi="宋体" w:eastAsia="宋体" w:cs="宋体"/>
                <w:kern w:val="0"/>
                <w:sz w:val="22"/>
              </w:rPr>
              <w:t xml:space="preserve">0.00 </w:t>
            </w:r>
          </w:p>
        </w:tc>
        <w:tc>
          <w:tcPr>
            <w:tcW w:w="1543"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sz w:val="22"/>
              </w:rPr>
            </w:pPr>
            <w:r>
              <w:rPr>
                <w:rFonts w:hint="eastAsia" w:ascii="宋体" w:hAnsi="宋体" w:eastAsia="宋体" w:cs="宋体"/>
                <w:kern w:val="0"/>
                <w:sz w:val="22"/>
              </w:rPr>
              <w:t>八、社会保障和就业支出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39</w:t>
            </w:r>
          </w:p>
        </w:tc>
        <w:tc>
          <w:tcPr>
            <w:tcW w:w="71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sz w:val="22"/>
              </w:rPr>
            </w:pPr>
            <w:r>
              <w:rPr>
                <w:rFonts w:hint="eastAsia" w:ascii="宋体" w:hAnsi="宋体" w:eastAsia="宋体" w:cs="宋体"/>
                <w:kern w:val="0"/>
                <w:sz w:val="22"/>
              </w:rPr>
              <w:t>560.29</w:t>
            </w:r>
          </w:p>
        </w:tc>
      </w:tr>
      <w:tr>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sz w:val="22"/>
              </w:rPr>
            </w:pP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9</w:t>
            </w:r>
          </w:p>
        </w:tc>
        <w:tc>
          <w:tcPr>
            <w:tcW w:w="529"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sz w:val="22"/>
              </w:rPr>
            </w:pPr>
            <w:r>
              <w:rPr>
                <w:rFonts w:hint="eastAsia" w:ascii="宋体" w:hAnsi="宋体" w:eastAsia="宋体" w:cs="宋体"/>
                <w:kern w:val="0"/>
                <w:sz w:val="22"/>
              </w:rPr>
              <w:t>九、卫生健康支出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40</w:t>
            </w:r>
          </w:p>
        </w:tc>
        <w:tc>
          <w:tcPr>
            <w:tcW w:w="71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sz w:val="22"/>
              </w:rPr>
            </w:pPr>
            <w:r>
              <w:rPr>
                <w:rFonts w:hint="eastAsia" w:ascii="宋体" w:hAnsi="宋体" w:eastAsia="宋体" w:cs="宋体"/>
                <w:kern w:val="0"/>
                <w:sz w:val="22"/>
              </w:rPr>
              <w:t>232.46</w:t>
            </w:r>
          </w:p>
        </w:tc>
      </w:tr>
      <w:tr>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sz w:val="22"/>
              </w:rPr>
            </w:pP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10</w:t>
            </w:r>
          </w:p>
        </w:tc>
        <w:tc>
          <w:tcPr>
            <w:tcW w:w="529"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sz w:val="22"/>
              </w:rPr>
            </w:pPr>
            <w:r>
              <w:rPr>
                <w:rFonts w:hint="eastAsia" w:ascii="宋体" w:hAnsi="宋体" w:eastAsia="宋体" w:cs="宋体"/>
                <w:kern w:val="0"/>
                <w:sz w:val="22"/>
              </w:rPr>
              <w:t>十、节能环保支出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41</w:t>
            </w:r>
          </w:p>
        </w:tc>
        <w:tc>
          <w:tcPr>
            <w:tcW w:w="71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sz w:val="22"/>
              </w:rPr>
            </w:pPr>
            <w:r>
              <w:rPr>
                <w:rFonts w:hint="eastAsia" w:ascii="宋体" w:hAnsi="宋体" w:eastAsia="宋体" w:cs="宋体"/>
                <w:kern w:val="0"/>
                <w:sz w:val="22"/>
              </w:rPr>
              <w:t xml:space="preserve">0.00 </w:t>
            </w:r>
          </w:p>
        </w:tc>
      </w:tr>
      <w:tr>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sz w:val="22"/>
              </w:rPr>
            </w:pP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11</w:t>
            </w:r>
          </w:p>
        </w:tc>
        <w:tc>
          <w:tcPr>
            <w:tcW w:w="529"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sz w:val="22"/>
              </w:rPr>
            </w:pPr>
            <w:r>
              <w:rPr>
                <w:rFonts w:hint="eastAsia" w:ascii="宋体" w:hAnsi="宋体" w:eastAsia="宋体" w:cs="宋体"/>
                <w:kern w:val="0"/>
                <w:sz w:val="22"/>
              </w:rPr>
              <w:t>十一、城乡社区支出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42</w:t>
            </w:r>
          </w:p>
        </w:tc>
        <w:tc>
          <w:tcPr>
            <w:tcW w:w="71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sz w:val="22"/>
              </w:rPr>
            </w:pPr>
            <w:r>
              <w:rPr>
                <w:rFonts w:hint="eastAsia" w:ascii="宋体" w:hAnsi="宋体" w:eastAsia="宋体" w:cs="宋体"/>
                <w:kern w:val="0"/>
                <w:sz w:val="22"/>
              </w:rPr>
              <w:t xml:space="preserve">0.00 </w:t>
            </w:r>
          </w:p>
        </w:tc>
      </w:tr>
      <w:tr>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sz w:val="22"/>
              </w:rPr>
            </w:pP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12</w:t>
            </w:r>
          </w:p>
        </w:tc>
        <w:tc>
          <w:tcPr>
            <w:tcW w:w="529"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sz w:val="22"/>
              </w:rPr>
            </w:pPr>
            <w:r>
              <w:rPr>
                <w:rFonts w:hint="eastAsia" w:ascii="宋体" w:hAnsi="宋体" w:eastAsia="宋体" w:cs="宋体"/>
                <w:kern w:val="0"/>
                <w:sz w:val="22"/>
              </w:rPr>
              <w:t>十二、农林水支出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43</w:t>
            </w:r>
          </w:p>
        </w:tc>
        <w:tc>
          <w:tcPr>
            <w:tcW w:w="71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sz w:val="22"/>
              </w:rPr>
            </w:pPr>
            <w:r>
              <w:rPr>
                <w:rFonts w:hint="eastAsia" w:ascii="宋体" w:hAnsi="宋体" w:eastAsia="宋体" w:cs="宋体"/>
                <w:kern w:val="0"/>
                <w:sz w:val="22"/>
              </w:rPr>
              <w:t xml:space="preserve">0.00 </w:t>
            </w:r>
          </w:p>
        </w:tc>
      </w:tr>
      <w:tr>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sz w:val="22"/>
              </w:rPr>
            </w:pP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13</w:t>
            </w:r>
          </w:p>
        </w:tc>
        <w:tc>
          <w:tcPr>
            <w:tcW w:w="529"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sz w:val="22"/>
              </w:rPr>
            </w:pPr>
            <w:r>
              <w:rPr>
                <w:rFonts w:hint="eastAsia" w:ascii="宋体" w:hAnsi="宋体" w:eastAsia="宋体" w:cs="宋体"/>
                <w:kern w:val="0"/>
                <w:sz w:val="22"/>
              </w:rPr>
              <w:t>十三、交通运输支出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44</w:t>
            </w:r>
          </w:p>
        </w:tc>
        <w:tc>
          <w:tcPr>
            <w:tcW w:w="71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sz w:val="22"/>
              </w:rPr>
            </w:pPr>
            <w:r>
              <w:rPr>
                <w:rFonts w:hint="eastAsia" w:ascii="宋体" w:hAnsi="宋体" w:eastAsia="宋体" w:cs="宋体"/>
                <w:kern w:val="0"/>
                <w:sz w:val="22"/>
              </w:rPr>
              <w:t>177.93</w:t>
            </w:r>
          </w:p>
        </w:tc>
      </w:tr>
      <w:tr>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sz w:val="22"/>
              </w:rPr>
            </w:pP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14</w:t>
            </w:r>
          </w:p>
        </w:tc>
        <w:tc>
          <w:tcPr>
            <w:tcW w:w="529"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sz w:val="22"/>
              </w:rPr>
            </w:pPr>
            <w:r>
              <w:rPr>
                <w:rFonts w:hint="eastAsia" w:ascii="宋体" w:hAnsi="宋体" w:eastAsia="宋体" w:cs="宋体"/>
                <w:kern w:val="0"/>
                <w:sz w:val="22"/>
              </w:rPr>
              <w:t>十四、资源勘探工业信息等支出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45</w:t>
            </w:r>
          </w:p>
        </w:tc>
        <w:tc>
          <w:tcPr>
            <w:tcW w:w="71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sz w:val="22"/>
              </w:rPr>
            </w:pPr>
            <w:r>
              <w:rPr>
                <w:rFonts w:hint="eastAsia" w:ascii="宋体" w:hAnsi="宋体" w:eastAsia="宋体" w:cs="宋体"/>
                <w:kern w:val="0"/>
                <w:sz w:val="22"/>
              </w:rPr>
              <w:t xml:space="preserve">0.00 </w:t>
            </w:r>
          </w:p>
        </w:tc>
      </w:tr>
      <w:tr>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sz w:val="22"/>
              </w:rPr>
            </w:pP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15</w:t>
            </w:r>
          </w:p>
        </w:tc>
        <w:tc>
          <w:tcPr>
            <w:tcW w:w="529"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sz w:val="22"/>
              </w:rPr>
            </w:pPr>
            <w:r>
              <w:rPr>
                <w:rFonts w:hint="eastAsia" w:ascii="宋体" w:hAnsi="宋体" w:eastAsia="宋体" w:cs="宋体"/>
                <w:kern w:val="0"/>
                <w:sz w:val="22"/>
              </w:rPr>
              <w:t>十五、商业服务业等支出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46</w:t>
            </w:r>
          </w:p>
        </w:tc>
        <w:tc>
          <w:tcPr>
            <w:tcW w:w="71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sz w:val="22"/>
              </w:rPr>
            </w:pPr>
            <w:r>
              <w:rPr>
                <w:rFonts w:hint="eastAsia" w:ascii="宋体" w:hAnsi="宋体" w:eastAsia="宋体" w:cs="宋体"/>
                <w:kern w:val="0"/>
                <w:sz w:val="22"/>
              </w:rPr>
              <w:t xml:space="preserve">0.00 </w:t>
            </w:r>
          </w:p>
        </w:tc>
      </w:tr>
      <w:tr>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sz w:val="22"/>
              </w:rPr>
            </w:pP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16</w:t>
            </w:r>
          </w:p>
        </w:tc>
        <w:tc>
          <w:tcPr>
            <w:tcW w:w="529"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sz w:val="22"/>
              </w:rPr>
            </w:pPr>
            <w:r>
              <w:rPr>
                <w:rFonts w:hint="eastAsia" w:ascii="宋体" w:hAnsi="宋体" w:eastAsia="宋体" w:cs="宋体"/>
                <w:kern w:val="0"/>
                <w:sz w:val="22"/>
              </w:rPr>
              <w:t>十六、金融支出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47</w:t>
            </w:r>
          </w:p>
        </w:tc>
        <w:tc>
          <w:tcPr>
            <w:tcW w:w="71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sz w:val="22"/>
              </w:rPr>
            </w:pPr>
            <w:r>
              <w:rPr>
                <w:rFonts w:hint="eastAsia" w:ascii="宋体" w:hAnsi="宋体" w:eastAsia="宋体" w:cs="宋体"/>
                <w:kern w:val="0"/>
                <w:sz w:val="22"/>
              </w:rPr>
              <w:t xml:space="preserve">0.00 </w:t>
            </w:r>
          </w:p>
        </w:tc>
      </w:tr>
      <w:tr>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sz w:val="22"/>
              </w:rPr>
            </w:pP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17</w:t>
            </w:r>
          </w:p>
        </w:tc>
        <w:tc>
          <w:tcPr>
            <w:tcW w:w="529"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sz w:val="22"/>
              </w:rPr>
            </w:pPr>
            <w:r>
              <w:rPr>
                <w:rFonts w:hint="eastAsia" w:ascii="宋体" w:hAnsi="宋体" w:eastAsia="宋体" w:cs="宋体"/>
                <w:kern w:val="0"/>
                <w:sz w:val="22"/>
              </w:rPr>
              <w:t>十七、援助其他地区支出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48</w:t>
            </w:r>
          </w:p>
        </w:tc>
        <w:tc>
          <w:tcPr>
            <w:tcW w:w="71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sz w:val="22"/>
              </w:rPr>
            </w:pPr>
            <w:r>
              <w:rPr>
                <w:rFonts w:hint="eastAsia" w:ascii="宋体" w:hAnsi="宋体" w:eastAsia="宋体" w:cs="宋体"/>
                <w:kern w:val="0"/>
                <w:sz w:val="22"/>
              </w:rPr>
              <w:t xml:space="preserve">0.00 </w:t>
            </w:r>
          </w:p>
        </w:tc>
      </w:tr>
      <w:tr>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sz w:val="22"/>
              </w:rPr>
            </w:pP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18</w:t>
            </w:r>
          </w:p>
        </w:tc>
        <w:tc>
          <w:tcPr>
            <w:tcW w:w="529"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sz w:val="22"/>
              </w:rPr>
            </w:pPr>
            <w:r>
              <w:rPr>
                <w:rFonts w:hint="eastAsia" w:ascii="宋体" w:hAnsi="宋体" w:eastAsia="宋体" w:cs="宋体"/>
                <w:kern w:val="0"/>
                <w:sz w:val="22"/>
              </w:rPr>
              <w:t>十八、自然资源海洋气象等支出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49</w:t>
            </w:r>
          </w:p>
        </w:tc>
        <w:tc>
          <w:tcPr>
            <w:tcW w:w="71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sz w:val="22"/>
              </w:rPr>
            </w:pPr>
            <w:r>
              <w:rPr>
                <w:rFonts w:hint="eastAsia" w:ascii="宋体" w:hAnsi="宋体" w:eastAsia="宋体" w:cs="宋体"/>
                <w:kern w:val="0"/>
                <w:sz w:val="22"/>
              </w:rPr>
              <w:t xml:space="preserve">0.00 </w:t>
            </w:r>
          </w:p>
        </w:tc>
      </w:tr>
      <w:tr>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sz w:val="22"/>
              </w:rPr>
            </w:pP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19</w:t>
            </w:r>
          </w:p>
        </w:tc>
        <w:tc>
          <w:tcPr>
            <w:tcW w:w="529"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sz w:val="22"/>
              </w:rPr>
            </w:pPr>
            <w:r>
              <w:rPr>
                <w:rFonts w:hint="eastAsia" w:ascii="宋体" w:hAnsi="宋体" w:eastAsia="宋体" w:cs="宋体"/>
                <w:kern w:val="0"/>
                <w:sz w:val="22"/>
              </w:rPr>
              <w:t>十九、住房保障支出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50</w:t>
            </w:r>
          </w:p>
        </w:tc>
        <w:tc>
          <w:tcPr>
            <w:tcW w:w="71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sz w:val="22"/>
              </w:rPr>
            </w:pPr>
            <w:r>
              <w:rPr>
                <w:rFonts w:hint="eastAsia" w:ascii="宋体" w:hAnsi="宋体" w:eastAsia="宋体" w:cs="宋体"/>
                <w:kern w:val="0"/>
                <w:sz w:val="22"/>
              </w:rPr>
              <w:t xml:space="preserve">0.00 </w:t>
            </w:r>
          </w:p>
        </w:tc>
      </w:tr>
      <w:tr>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sz w:val="22"/>
              </w:rPr>
            </w:pP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20</w:t>
            </w:r>
          </w:p>
        </w:tc>
        <w:tc>
          <w:tcPr>
            <w:tcW w:w="529"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sz w:val="22"/>
              </w:rPr>
            </w:pPr>
            <w:r>
              <w:rPr>
                <w:rFonts w:hint="eastAsia" w:ascii="宋体" w:hAnsi="宋体" w:eastAsia="宋体" w:cs="宋体"/>
                <w:kern w:val="0"/>
                <w:sz w:val="22"/>
              </w:rPr>
              <w:t>二十、粮油物资储备支出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51</w:t>
            </w:r>
          </w:p>
        </w:tc>
        <w:tc>
          <w:tcPr>
            <w:tcW w:w="71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sz w:val="22"/>
              </w:rPr>
            </w:pPr>
            <w:r>
              <w:rPr>
                <w:rFonts w:hint="eastAsia" w:ascii="宋体" w:hAnsi="宋体" w:eastAsia="宋体" w:cs="宋体"/>
                <w:kern w:val="0"/>
                <w:sz w:val="22"/>
              </w:rPr>
              <w:t xml:space="preserve">0.00 </w:t>
            </w:r>
          </w:p>
        </w:tc>
      </w:tr>
      <w:tr>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sz w:val="22"/>
              </w:rPr>
            </w:pP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21</w:t>
            </w:r>
          </w:p>
        </w:tc>
        <w:tc>
          <w:tcPr>
            <w:tcW w:w="529"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sz w:val="22"/>
              </w:rPr>
            </w:pPr>
            <w:r>
              <w:rPr>
                <w:rFonts w:hint="eastAsia" w:ascii="宋体" w:hAnsi="宋体" w:eastAsia="宋体" w:cs="宋体"/>
                <w:kern w:val="0"/>
                <w:sz w:val="22"/>
              </w:rPr>
              <w:t>二十一、国有资本经营预算支出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52</w:t>
            </w:r>
          </w:p>
        </w:tc>
        <w:tc>
          <w:tcPr>
            <w:tcW w:w="71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sz w:val="22"/>
              </w:rPr>
            </w:pPr>
            <w:r>
              <w:rPr>
                <w:rFonts w:hint="eastAsia" w:ascii="宋体" w:hAnsi="宋体" w:eastAsia="宋体" w:cs="宋体"/>
                <w:kern w:val="0"/>
                <w:sz w:val="22"/>
              </w:rPr>
              <w:t xml:space="preserve">0.00 </w:t>
            </w:r>
          </w:p>
        </w:tc>
      </w:tr>
      <w:tr>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sz w:val="22"/>
              </w:rPr>
            </w:pP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22</w:t>
            </w:r>
          </w:p>
        </w:tc>
        <w:tc>
          <w:tcPr>
            <w:tcW w:w="529"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sz w:val="22"/>
              </w:rPr>
            </w:pPr>
            <w:r>
              <w:rPr>
                <w:rFonts w:hint="eastAsia" w:ascii="宋体" w:hAnsi="宋体" w:eastAsia="宋体" w:cs="宋体"/>
                <w:kern w:val="0"/>
                <w:sz w:val="22"/>
              </w:rPr>
              <w:t>二十二、灾害防治及应急管理支出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53</w:t>
            </w:r>
          </w:p>
        </w:tc>
        <w:tc>
          <w:tcPr>
            <w:tcW w:w="71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sz w:val="22"/>
              </w:rPr>
            </w:pPr>
            <w:r>
              <w:rPr>
                <w:rFonts w:hint="eastAsia" w:ascii="宋体" w:hAnsi="宋体" w:eastAsia="宋体" w:cs="宋体"/>
                <w:kern w:val="0"/>
                <w:sz w:val="22"/>
              </w:rPr>
              <w:t xml:space="preserve">0.00 </w:t>
            </w:r>
          </w:p>
        </w:tc>
      </w:tr>
      <w:tr>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sz w:val="22"/>
              </w:rPr>
            </w:pP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23</w:t>
            </w:r>
          </w:p>
        </w:tc>
        <w:tc>
          <w:tcPr>
            <w:tcW w:w="529"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sz w:val="22"/>
              </w:rPr>
            </w:pPr>
            <w:r>
              <w:rPr>
                <w:rFonts w:hint="eastAsia" w:ascii="宋体" w:hAnsi="宋体" w:eastAsia="宋体" w:cs="宋体"/>
                <w:kern w:val="0"/>
                <w:sz w:val="22"/>
              </w:rPr>
              <w:t>二十三、其他支出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54</w:t>
            </w:r>
          </w:p>
        </w:tc>
        <w:tc>
          <w:tcPr>
            <w:tcW w:w="71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sz w:val="22"/>
              </w:rPr>
            </w:pPr>
            <w:r>
              <w:rPr>
                <w:rFonts w:hint="eastAsia" w:ascii="宋体" w:hAnsi="宋体" w:eastAsia="宋体" w:cs="宋体"/>
                <w:kern w:val="0"/>
                <w:sz w:val="22"/>
              </w:rPr>
              <w:t xml:space="preserve">0.00 </w:t>
            </w:r>
          </w:p>
        </w:tc>
      </w:tr>
      <w:tr>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pPr>
              <w:jc w:val="center"/>
              <w:rPr>
                <w:rFonts w:ascii="宋体" w:hAnsi="宋体" w:eastAsia="宋体" w:cs="宋体"/>
                <w:b/>
                <w:bCs/>
                <w:sz w:val="20"/>
                <w:szCs w:val="20"/>
              </w:rPr>
            </w:pP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0"/>
                <w:szCs w:val="20"/>
              </w:rPr>
            </w:pPr>
            <w:r>
              <w:rPr>
                <w:rFonts w:hint="eastAsia" w:ascii="宋体" w:hAnsi="宋体" w:eastAsia="宋体" w:cs="宋体"/>
                <w:kern w:val="0"/>
                <w:sz w:val="20"/>
                <w:szCs w:val="20"/>
              </w:rPr>
              <w:t>24</w:t>
            </w:r>
          </w:p>
        </w:tc>
        <w:tc>
          <w:tcPr>
            <w:tcW w:w="529"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sz w:val="22"/>
              </w:rPr>
            </w:pPr>
            <w:r>
              <w:rPr>
                <w:rFonts w:hint="eastAsia" w:ascii="宋体" w:hAnsi="宋体" w:eastAsia="宋体" w:cs="宋体"/>
                <w:kern w:val="0"/>
                <w:sz w:val="22"/>
              </w:rPr>
              <w:t>二十四、债务还本支出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55</w:t>
            </w:r>
          </w:p>
        </w:tc>
        <w:tc>
          <w:tcPr>
            <w:tcW w:w="71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sz w:val="22"/>
              </w:rPr>
            </w:pPr>
            <w:r>
              <w:rPr>
                <w:rFonts w:hint="eastAsia" w:ascii="宋体" w:hAnsi="宋体" w:eastAsia="宋体" w:cs="宋体"/>
                <w:kern w:val="0"/>
                <w:sz w:val="22"/>
              </w:rPr>
              <w:t xml:space="preserve">0.00 </w:t>
            </w:r>
          </w:p>
        </w:tc>
      </w:tr>
      <w:tr>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sz w:val="20"/>
                <w:szCs w:val="20"/>
              </w:rPr>
            </w:pP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0"/>
                <w:szCs w:val="20"/>
              </w:rPr>
            </w:pPr>
            <w:r>
              <w:rPr>
                <w:rFonts w:hint="eastAsia" w:ascii="宋体" w:hAnsi="宋体" w:eastAsia="宋体" w:cs="宋体"/>
                <w:kern w:val="0"/>
                <w:sz w:val="20"/>
                <w:szCs w:val="20"/>
              </w:rPr>
              <w:t>25</w:t>
            </w:r>
          </w:p>
        </w:tc>
        <w:tc>
          <w:tcPr>
            <w:tcW w:w="529"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sz w:val="22"/>
              </w:rPr>
            </w:pPr>
            <w:r>
              <w:rPr>
                <w:rFonts w:hint="eastAsia" w:ascii="宋体" w:hAnsi="宋体" w:eastAsia="宋体" w:cs="宋体"/>
                <w:kern w:val="0"/>
                <w:sz w:val="22"/>
              </w:rPr>
              <w:t>二十五、债务付息支出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56</w:t>
            </w:r>
          </w:p>
        </w:tc>
        <w:tc>
          <w:tcPr>
            <w:tcW w:w="71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sz w:val="22"/>
              </w:rPr>
            </w:pPr>
            <w:r>
              <w:rPr>
                <w:rFonts w:hint="eastAsia" w:ascii="宋体" w:hAnsi="宋体" w:eastAsia="宋体" w:cs="宋体"/>
                <w:kern w:val="0"/>
                <w:sz w:val="22"/>
              </w:rPr>
              <w:t xml:space="preserve">0.00 </w:t>
            </w:r>
          </w:p>
        </w:tc>
      </w:tr>
      <w:tr>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sz w:val="20"/>
                <w:szCs w:val="20"/>
              </w:rPr>
            </w:pP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0"/>
                <w:szCs w:val="20"/>
              </w:rPr>
            </w:pPr>
            <w:r>
              <w:rPr>
                <w:rFonts w:hint="eastAsia" w:ascii="宋体" w:hAnsi="宋体" w:eastAsia="宋体" w:cs="宋体"/>
                <w:kern w:val="0"/>
                <w:sz w:val="20"/>
                <w:szCs w:val="20"/>
              </w:rPr>
              <w:t>26</w:t>
            </w:r>
          </w:p>
        </w:tc>
        <w:tc>
          <w:tcPr>
            <w:tcW w:w="529"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sz w:val="22"/>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sz w:val="22"/>
              </w:rPr>
            </w:pPr>
            <w:r>
              <w:rPr>
                <w:rFonts w:hint="eastAsia" w:ascii="宋体" w:hAnsi="宋体" w:eastAsia="宋体" w:cs="宋体"/>
                <w:kern w:val="0"/>
                <w:sz w:val="22"/>
              </w:rPr>
              <w:t>二十六、抗疫特别国债安排的支出</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57</w:t>
            </w:r>
          </w:p>
        </w:tc>
        <w:tc>
          <w:tcPr>
            <w:tcW w:w="71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sz w:val="22"/>
              </w:rPr>
            </w:pPr>
            <w:r>
              <w:rPr>
                <w:rFonts w:hint="eastAsia" w:ascii="宋体" w:hAnsi="宋体" w:eastAsia="宋体" w:cs="宋体"/>
                <w:kern w:val="0"/>
                <w:sz w:val="22"/>
              </w:rPr>
              <w:t xml:space="preserve">0.00 </w:t>
            </w:r>
          </w:p>
        </w:tc>
      </w:tr>
      <w:tr>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rPr>
              <w:t>本年收入合计</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27</w:t>
            </w:r>
          </w:p>
        </w:tc>
        <w:tc>
          <w:tcPr>
            <w:tcW w:w="529"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sz w:val="22"/>
              </w:rPr>
            </w:pPr>
            <w:r>
              <w:rPr>
                <w:rFonts w:hint="eastAsia" w:ascii="宋体" w:hAnsi="宋体" w:eastAsia="宋体" w:cs="宋体"/>
                <w:kern w:val="0"/>
                <w:sz w:val="22"/>
              </w:rPr>
              <w:t>13,743.82</w:t>
            </w:r>
          </w:p>
        </w:tc>
        <w:tc>
          <w:tcPr>
            <w:tcW w:w="1543"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rPr>
              <w:t>本年支出合计</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58</w:t>
            </w:r>
          </w:p>
        </w:tc>
        <w:tc>
          <w:tcPr>
            <w:tcW w:w="71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sz w:val="22"/>
              </w:rPr>
            </w:pPr>
            <w:r>
              <w:rPr>
                <w:rFonts w:hint="eastAsia" w:ascii="宋体" w:hAnsi="宋体" w:eastAsia="宋体" w:cs="宋体"/>
                <w:kern w:val="0"/>
                <w:sz w:val="22"/>
              </w:rPr>
              <w:t>13,743.82</w:t>
            </w:r>
          </w:p>
        </w:tc>
      </w:tr>
      <w:tr>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sz w:val="22"/>
              </w:rPr>
            </w:pPr>
            <w:r>
              <w:rPr>
                <w:rFonts w:hint="eastAsia" w:ascii="宋体" w:hAnsi="宋体" w:eastAsia="宋体" w:cs="宋体"/>
                <w:kern w:val="0"/>
                <w:sz w:val="22"/>
              </w:rPr>
              <w:t>使用非财政拨款结余</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28</w:t>
            </w:r>
          </w:p>
        </w:tc>
        <w:tc>
          <w:tcPr>
            <w:tcW w:w="529"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sz w:val="22"/>
              </w:rPr>
            </w:pPr>
            <w:r>
              <w:rPr>
                <w:rFonts w:hint="eastAsia" w:ascii="宋体" w:hAnsi="宋体" w:eastAsia="宋体" w:cs="宋体"/>
                <w:kern w:val="0"/>
                <w:sz w:val="22"/>
              </w:rPr>
              <w:t xml:space="preserve">0.00 </w:t>
            </w:r>
          </w:p>
        </w:tc>
        <w:tc>
          <w:tcPr>
            <w:tcW w:w="1543"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sz w:val="22"/>
              </w:rPr>
            </w:pPr>
            <w:r>
              <w:rPr>
                <w:rFonts w:hint="eastAsia" w:ascii="宋体" w:hAnsi="宋体" w:eastAsia="宋体" w:cs="宋体"/>
                <w:kern w:val="0"/>
                <w:sz w:val="22"/>
              </w:rPr>
              <w:t>结余分配</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59</w:t>
            </w:r>
          </w:p>
        </w:tc>
        <w:tc>
          <w:tcPr>
            <w:tcW w:w="71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sz w:val="22"/>
              </w:rPr>
            </w:pPr>
            <w:r>
              <w:rPr>
                <w:rFonts w:hint="eastAsia" w:ascii="宋体" w:hAnsi="宋体" w:eastAsia="宋体" w:cs="宋体"/>
                <w:kern w:val="0"/>
                <w:sz w:val="22"/>
              </w:rPr>
              <w:t xml:space="preserve">0.00 </w:t>
            </w:r>
          </w:p>
        </w:tc>
      </w:tr>
      <w:tr>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sz w:val="22"/>
              </w:rPr>
            </w:pPr>
            <w:r>
              <w:rPr>
                <w:rFonts w:hint="eastAsia" w:ascii="宋体" w:hAnsi="宋体" w:eastAsia="宋体" w:cs="宋体"/>
                <w:kern w:val="0"/>
                <w:sz w:val="22"/>
              </w:rPr>
              <w:t>年初结转和结余</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29</w:t>
            </w:r>
          </w:p>
        </w:tc>
        <w:tc>
          <w:tcPr>
            <w:tcW w:w="529"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sz w:val="22"/>
              </w:rPr>
            </w:pPr>
            <w:r>
              <w:rPr>
                <w:rFonts w:hint="eastAsia" w:ascii="宋体" w:hAnsi="宋体" w:eastAsia="宋体" w:cs="宋体"/>
                <w:kern w:val="0"/>
                <w:sz w:val="22"/>
              </w:rPr>
              <w:t xml:space="preserve">0.00 </w:t>
            </w:r>
          </w:p>
        </w:tc>
        <w:tc>
          <w:tcPr>
            <w:tcW w:w="1543"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sz w:val="22"/>
              </w:rPr>
            </w:pPr>
            <w:r>
              <w:rPr>
                <w:rFonts w:hint="eastAsia" w:ascii="宋体" w:hAnsi="宋体" w:eastAsia="宋体" w:cs="宋体"/>
                <w:kern w:val="0"/>
                <w:sz w:val="22"/>
              </w:rPr>
              <w:t>年末结转和结余</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60</w:t>
            </w:r>
          </w:p>
        </w:tc>
        <w:tc>
          <w:tcPr>
            <w:tcW w:w="71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sz w:val="22"/>
              </w:rPr>
            </w:pPr>
            <w:r>
              <w:rPr>
                <w:rFonts w:hint="eastAsia" w:ascii="宋体" w:hAnsi="宋体" w:eastAsia="宋体" w:cs="宋体"/>
                <w:kern w:val="0"/>
                <w:sz w:val="22"/>
              </w:rPr>
              <w:t xml:space="preserve">0.00 </w:t>
            </w:r>
          </w:p>
        </w:tc>
      </w:tr>
      <w:tr>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sz w:val="22"/>
              </w:rPr>
            </w:pP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30</w:t>
            </w:r>
          </w:p>
        </w:tc>
        <w:tc>
          <w:tcPr>
            <w:tcW w:w="529"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sz w:val="20"/>
                <w:szCs w:val="20"/>
              </w:rPr>
            </w:pPr>
          </w:p>
        </w:tc>
        <w:tc>
          <w:tcPr>
            <w:tcW w:w="1543" w:type="pct"/>
            <w:tcBorders>
              <w:top w:val="nil"/>
              <w:left w:val="nil"/>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sz w:val="22"/>
              </w:rPr>
            </w:pP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61</w:t>
            </w:r>
          </w:p>
        </w:tc>
        <w:tc>
          <w:tcPr>
            <w:tcW w:w="710" w:type="pct"/>
            <w:tcBorders>
              <w:top w:val="nil"/>
              <w:left w:val="nil"/>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sz w:val="20"/>
                <w:szCs w:val="20"/>
              </w:rPr>
            </w:pPr>
          </w:p>
        </w:tc>
      </w:tr>
      <w:tr>
        <w:tblPrEx>
          <w:tblCellMar>
            <w:top w:w="0" w:type="dxa"/>
            <w:left w:w="108" w:type="dxa"/>
            <w:bottom w:w="0" w:type="dxa"/>
            <w:right w:w="108" w:type="dxa"/>
          </w:tblCellMar>
        </w:tblPrEx>
        <w:trPr>
          <w:trHeight w:val="308" w:hRule="atLeast"/>
        </w:trPr>
        <w:tc>
          <w:tcPr>
            <w:tcW w:w="1640"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rPr>
              <w:t>总计</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31</w:t>
            </w:r>
          </w:p>
        </w:tc>
        <w:tc>
          <w:tcPr>
            <w:tcW w:w="529"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sz w:val="22"/>
              </w:rPr>
            </w:pPr>
            <w:r>
              <w:rPr>
                <w:rFonts w:hint="eastAsia" w:ascii="宋体" w:hAnsi="宋体" w:eastAsia="宋体" w:cs="宋体"/>
                <w:kern w:val="0"/>
                <w:sz w:val="22"/>
              </w:rPr>
              <w:t>13,743.82</w:t>
            </w:r>
          </w:p>
        </w:tc>
        <w:tc>
          <w:tcPr>
            <w:tcW w:w="1543"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rPr>
              <w:t>总计</w:t>
            </w:r>
          </w:p>
        </w:tc>
        <w:tc>
          <w:tcPr>
            <w:tcW w:w="28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62</w:t>
            </w:r>
          </w:p>
        </w:tc>
        <w:tc>
          <w:tcPr>
            <w:tcW w:w="71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sz w:val="22"/>
              </w:rPr>
            </w:pPr>
            <w:r>
              <w:rPr>
                <w:rFonts w:hint="eastAsia" w:ascii="宋体" w:hAnsi="宋体" w:eastAsia="宋体" w:cs="宋体"/>
                <w:kern w:val="0"/>
                <w:sz w:val="22"/>
              </w:rPr>
              <w:t>13,743.82</w:t>
            </w:r>
          </w:p>
        </w:tc>
      </w:tr>
      <w:tr>
        <w:tblPrEx>
          <w:tblCellMar>
            <w:top w:w="0" w:type="dxa"/>
            <w:left w:w="108" w:type="dxa"/>
            <w:bottom w:w="0" w:type="dxa"/>
            <w:right w:w="108" w:type="dxa"/>
          </w:tblCellMar>
        </w:tblPrEx>
        <w:trPr>
          <w:trHeight w:val="308" w:hRule="atLeast"/>
        </w:trPr>
        <w:tc>
          <w:tcPr>
            <w:tcW w:w="5000" w:type="pct"/>
            <w:gridSpan w:val="6"/>
            <w:tcBorders>
              <w:top w:val="nil"/>
              <w:left w:val="nil"/>
              <w:bottom w:val="nil"/>
              <w:right w:val="nil"/>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注：1.本表反映部门本年度的总收支和年末结转结余情况。</w:t>
            </w:r>
          </w:p>
        </w:tc>
      </w:tr>
      <w:tr>
        <w:tblPrEx>
          <w:tblCellMar>
            <w:top w:w="0" w:type="dxa"/>
            <w:left w:w="108" w:type="dxa"/>
            <w:bottom w:w="0" w:type="dxa"/>
            <w:right w:w="108" w:type="dxa"/>
          </w:tblCellMar>
        </w:tblPrEx>
        <w:trPr>
          <w:trHeight w:val="308" w:hRule="atLeast"/>
        </w:trPr>
        <w:tc>
          <w:tcPr>
            <w:tcW w:w="5000" w:type="pct"/>
            <w:gridSpan w:val="6"/>
            <w:tcBorders>
              <w:top w:val="nil"/>
              <w:left w:val="nil"/>
              <w:bottom w:val="nil"/>
              <w:right w:val="nil"/>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2.本套报表金额单位转换时可能存在尾数误差。</w:t>
            </w:r>
          </w:p>
        </w:tc>
      </w:tr>
    </w:tbl>
    <w:p>
      <w:pPr>
        <w:pStyle w:val="9"/>
        <w:jc w:val="both"/>
        <w:rPr>
          <w:rFonts w:ascii="方正小标宋_GBK" w:hAnsi="方正小标宋_GBK" w:eastAsia="方正小标宋_GBK" w:cs="方正小标宋_GBK"/>
          <w:sz w:val="84"/>
          <w:szCs w:val="84"/>
        </w:rPr>
      </w:pPr>
    </w:p>
    <w:p>
      <w:pPr>
        <w:pStyle w:val="9"/>
        <w:jc w:val="both"/>
        <w:rPr>
          <w:rFonts w:ascii="方正小标宋_GBK" w:hAnsi="方正小标宋_GBK" w:eastAsia="方正小标宋_GBK" w:cs="方正小标宋_GBK"/>
          <w:sz w:val="84"/>
          <w:szCs w:val="84"/>
        </w:rPr>
      </w:pPr>
    </w:p>
    <w:p>
      <w:pPr>
        <w:pStyle w:val="9"/>
        <w:jc w:val="both"/>
        <w:rPr>
          <w:rFonts w:ascii="方正小标宋_GBK" w:hAnsi="方正小标宋_GBK" w:eastAsia="方正小标宋_GBK" w:cs="方正小标宋_GBK"/>
          <w:sz w:val="84"/>
          <w:szCs w:val="84"/>
        </w:rPr>
      </w:pPr>
    </w:p>
    <w:p>
      <w:pPr>
        <w:pStyle w:val="9"/>
        <w:jc w:val="both"/>
        <w:rPr>
          <w:rFonts w:ascii="方正小标宋_GBK" w:hAnsi="方正小标宋_GBK" w:eastAsia="方正小标宋_GBK" w:cs="方正小标宋_GBK"/>
          <w:sz w:val="84"/>
          <w:szCs w:val="84"/>
        </w:rPr>
      </w:pPr>
    </w:p>
    <w:p>
      <w:pPr>
        <w:pStyle w:val="9"/>
        <w:jc w:val="both"/>
        <w:rPr>
          <w:rFonts w:ascii="方正小标宋_GBK" w:hAnsi="方正小标宋_GBK" w:eastAsia="方正小标宋_GBK" w:cs="方正小标宋_GBK"/>
          <w:sz w:val="84"/>
          <w:szCs w:val="84"/>
        </w:rPr>
      </w:pPr>
    </w:p>
    <w:tbl>
      <w:tblPr>
        <w:tblStyle w:val="5"/>
        <w:tblW w:w="5000" w:type="pct"/>
        <w:tblInd w:w="0" w:type="dxa"/>
        <w:shd w:val="clear" w:color="auto" w:fill="FFFFFF" w:themeFill="background1"/>
        <w:tblLayout w:type="autofit"/>
        <w:tblCellMar>
          <w:top w:w="0" w:type="dxa"/>
          <w:left w:w="108" w:type="dxa"/>
          <w:bottom w:w="0" w:type="dxa"/>
          <w:right w:w="108" w:type="dxa"/>
        </w:tblCellMar>
      </w:tblPr>
      <w:tblGrid>
        <w:gridCol w:w="3216"/>
        <w:gridCol w:w="222"/>
        <w:gridCol w:w="222"/>
        <w:gridCol w:w="3956"/>
        <w:gridCol w:w="1453"/>
        <w:gridCol w:w="1453"/>
        <w:gridCol w:w="869"/>
        <w:gridCol w:w="869"/>
        <w:gridCol w:w="869"/>
        <w:gridCol w:w="869"/>
        <w:gridCol w:w="1616"/>
      </w:tblGrid>
      <w:tr>
        <w:tblPrEx>
          <w:shd w:val="clear" w:color="auto" w:fill="FFFFFF" w:themeFill="background1"/>
          <w:tblCellMar>
            <w:top w:w="0" w:type="dxa"/>
            <w:left w:w="108" w:type="dxa"/>
            <w:bottom w:w="0" w:type="dxa"/>
            <w:right w:w="108" w:type="dxa"/>
          </w:tblCellMar>
        </w:tblPrEx>
        <w:trPr>
          <w:trHeight w:val="390" w:hRule="atLeast"/>
        </w:trPr>
        <w:tc>
          <w:tcPr>
            <w:tcW w:w="5000" w:type="pct"/>
            <w:gridSpan w:val="11"/>
            <w:tcBorders>
              <w:top w:val="nil"/>
              <w:left w:val="nil"/>
              <w:bottom w:val="nil"/>
              <w:right w:val="nil"/>
            </w:tcBorders>
            <w:shd w:val="clear" w:color="auto" w:fill="FFFFFF" w:themeFill="background1"/>
            <w:noWrap/>
            <w:vAlign w:val="bottom"/>
          </w:tcPr>
          <w:p>
            <w:pPr>
              <w:widowControl/>
              <w:jc w:val="center"/>
              <w:textAlignment w:val="bottom"/>
              <w:rPr>
                <w:rFonts w:ascii="宋体" w:hAnsi="宋体" w:eastAsia="宋体" w:cs="宋体"/>
                <w:color w:val="000000"/>
                <w:sz w:val="30"/>
                <w:szCs w:val="30"/>
              </w:rPr>
            </w:pPr>
            <w:r>
              <w:rPr>
                <w:rFonts w:hint="eastAsia" w:ascii="宋体" w:hAnsi="宋体" w:eastAsia="宋体" w:cs="宋体"/>
                <w:color w:val="000000"/>
                <w:kern w:val="0"/>
                <w:sz w:val="30"/>
                <w:szCs w:val="30"/>
              </w:rPr>
              <w:t>收入决算表</w:t>
            </w:r>
          </w:p>
        </w:tc>
      </w:tr>
      <w:tr>
        <w:tblPrEx>
          <w:tblCellMar>
            <w:top w:w="0" w:type="dxa"/>
            <w:left w:w="108" w:type="dxa"/>
            <w:bottom w:w="0" w:type="dxa"/>
            <w:right w:w="108" w:type="dxa"/>
          </w:tblCellMar>
        </w:tblPrEx>
        <w:trPr>
          <w:trHeight w:val="255" w:hRule="atLeast"/>
        </w:trPr>
        <w:tc>
          <w:tcPr>
            <w:tcW w:w="914"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71"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71"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1124"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508"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508"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321"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321"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321"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321"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514" w:type="pct"/>
            <w:tcBorders>
              <w:top w:val="nil"/>
              <w:left w:val="nil"/>
              <w:bottom w:val="nil"/>
              <w:right w:val="nil"/>
            </w:tcBorders>
            <w:shd w:val="clear" w:color="auto" w:fill="FFFFFF" w:themeFill="background1"/>
            <w:noWrap/>
            <w:vAlign w:val="bottom"/>
          </w:tcPr>
          <w:p>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公开02表</w:t>
            </w:r>
          </w:p>
        </w:tc>
      </w:tr>
      <w:tr>
        <w:tblPrEx>
          <w:tblCellMar>
            <w:top w:w="0" w:type="dxa"/>
            <w:left w:w="108" w:type="dxa"/>
            <w:bottom w:w="0" w:type="dxa"/>
            <w:right w:w="108" w:type="dxa"/>
          </w:tblCellMar>
        </w:tblPrEx>
        <w:trPr>
          <w:trHeight w:val="255" w:hRule="atLeast"/>
        </w:trPr>
        <w:tc>
          <w:tcPr>
            <w:tcW w:w="914" w:type="pct"/>
            <w:tcBorders>
              <w:top w:val="nil"/>
              <w:left w:val="nil"/>
              <w:bottom w:val="nil"/>
              <w:right w:val="nil"/>
            </w:tcBorders>
            <w:shd w:val="clear" w:color="auto" w:fill="FFFFFF" w:themeFill="background1"/>
            <w:noWrap/>
            <w:vAlign w:val="bottom"/>
          </w:tcPr>
          <w:p>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部门：怀化市公安局交通警察支队</w:t>
            </w:r>
          </w:p>
        </w:tc>
        <w:tc>
          <w:tcPr>
            <w:tcW w:w="71"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71"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1124"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508"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508"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321"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321"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321"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321"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514" w:type="pct"/>
            <w:tcBorders>
              <w:top w:val="nil"/>
              <w:left w:val="nil"/>
              <w:bottom w:val="nil"/>
              <w:right w:val="nil"/>
            </w:tcBorders>
            <w:shd w:val="clear" w:color="auto" w:fill="FFFFFF" w:themeFill="background1"/>
            <w:noWrap/>
            <w:vAlign w:val="bottom"/>
          </w:tcPr>
          <w:p>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tblPrEx>
          <w:tblCellMar>
            <w:top w:w="0" w:type="dxa"/>
            <w:left w:w="108" w:type="dxa"/>
            <w:bottom w:w="0" w:type="dxa"/>
            <w:right w:w="108" w:type="dxa"/>
          </w:tblCellMar>
        </w:tblPrEx>
        <w:trPr>
          <w:trHeight w:val="308" w:hRule="atLeast"/>
        </w:trPr>
        <w:tc>
          <w:tcPr>
            <w:tcW w:w="2181" w:type="pct"/>
            <w:gridSpan w:val="4"/>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508" w:type="pct"/>
            <w:vMerge w:val="restart"/>
            <w:tcBorders>
              <w:top w:val="single" w:color="000000" w:sz="4" w:space="0"/>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本年收入合计</w:t>
            </w:r>
          </w:p>
        </w:tc>
        <w:tc>
          <w:tcPr>
            <w:tcW w:w="508" w:type="pct"/>
            <w:vMerge w:val="restart"/>
            <w:tcBorders>
              <w:top w:val="single" w:color="000000" w:sz="4" w:space="0"/>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财政拨款收入</w:t>
            </w:r>
          </w:p>
        </w:tc>
        <w:tc>
          <w:tcPr>
            <w:tcW w:w="321" w:type="pct"/>
            <w:vMerge w:val="restart"/>
            <w:tcBorders>
              <w:top w:val="single" w:color="000000" w:sz="4" w:space="0"/>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上级补助收入</w:t>
            </w:r>
          </w:p>
        </w:tc>
        <w:tc>
          <w:tcPr>
            <w:tcW w:w="321" w:type="pct"/>
            <w:vMerge w:val="restart"/>
            <w:tcBorders>
              <w:top w:val="single" w:color="000000" w:sz="4" w:space="0"/>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事业收入</w:t>
            </w:r>
          </w:p>
        </w:tc>
        <w:tc>
          <w:tcPr>
            <w:tcW w:w="321" w:type="pct"/>
            <w:vMerge w:val="restart"/>
            <w:tcBorders>
              <w:top w:val="single" w:color="000000" w:sz="4" w:space="0"/>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经营收入</w:t>
            </w:r>
          </w:p>
        </w:tc>
        <w:tc>
          <w:tcPr>
            <w:tcW w:w="321" w:type="pct"/>
            <w:vMerge w:val="restart"/>
            <w:tcBorders>
              <w:top w:val="single" w:color="000000" w:sz="4" w:space="0"/>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附属单位上缴收入</w:t>
            </w:r>
          </w:p>
        </w:tc>
        <w:tc>
          <w:tcPr>
            <w:tcW w:w="514" w:type="pct"/>
            <w:vMerge w:val="restart"/>
            <w:tcBorders>
              <w:top w:val="single" w:color="000000" w:sz="4" w:space="0"/>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其他收入</w:t>
            </w:r>
          </w:p>
        </w:tc>
      </w:tr>
      <w:tr>
        <w:tblPrEx>
          <w:tblCellMar>
            <w:top w:w="0" w:type="dxa"/>
            <w:left w:w="108" w:type="dxa"/>
            <w:bottom w:w="0" w:type="dxa"/>
            <w:right w:w="108" w:type="dxa"/>
          </w:tblCellMar>
        </w:tblPrEx>
        <w:trPr>
          <w:trHeight w:val="312" w:hRule="atLeast"/>
        </w:trPr>
        <w:tc>
          <w:tcPr>
            <w:tcW w:w="1056" w:type="pct"/>
            <w:gridSpan w:val="3"/>
            <w:vMerge w:val="restart"/>
            <w:tcBorders>
              <w:top w:val="nil"/>
              <w:left w:val="single" w:color="000000" w:sz="4" w:space="0"/>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科目代码</w:t>
            </w:r>
          </w:p>
        </w:tc>
        <w:tc>
          <w:tcPr>
            <w:tcW w:w="1124" w:type="pct"/>
            <w:vMerge w:val="restar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508"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508"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321"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321"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321"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321"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514"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r>
      <w:tr>
        <w:tblPrEx>
          <w:tblCellMar>
            <w:top w:w="0" w:type="dxa"/>
            <w:left w:w="108" w:type="dxa"/>
            <w:bottom w:w="0" w:type="dxa"/>
            <w:right w:w="108" w:type="dxa"/>
          </w:tblCellMar>
        </w:tblPrEx>
        <w:trPr>
          <w:trHeight w:val="312" w:hRule="atLeast"/>
        </w:trPr>
        <w:tc>
          <w:tcPr>
            <w:tcW w:w="1056" w:type="pct"/>
            <w:gridSpan w:val="3"/>
            <w:vMerge w:val="continue"/>
            <w:tcBorders>
              <w:top w:val="nil"/>
              <w:left w:val="single" w:color="000000" w:sz="4" w:space="0"/>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1124" w:type="pct"/>
            <w:vMerge w:val="continue"/>
            <w:tcBorders>
              <w:top w:val="nil"/>
              <w:left w:val="nil"/>
              <w:bottom w:val="single" w:color="000000" w:sz="4" w:space="0"/>
              <w:right w:val="single" w:color="000000" w:sz="4" w:space="0"/>
            </w:tcBorders>
            <w:shd w:val="clear" w:color="auto" w:fill="FFFFFF" w:themeFill="background1"/>
            <w:noWrap/>
            <w:vAlign w:val="center"/>
          </w:tcPr>
          <w:p>
            <w:pPr>
              <w:jc w:val="center"/>
              <w:rPr>
                <w:rFonts w:ascii="宋体" w:hAnsi="宋体" w:eastAsia="宋体" w:cs="宋体"/>
                <w:color w:val="000000"/>
                <w:sz w:val="22"/>
              </w:rPr>
            </w:pPr>
          </w:p>
        </w:tc>
        <w:tc>
          <w:tcPr>
            <w:tcW w:w="508"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508"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321"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321"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321"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321"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514"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r>
      <w:tr>
        <w:tblPrEx>
          <w:tblCellMar>
            <w:top w:w="0" w:type="dxa"/>
            <w:left w:w="108" w:type="dxa"/>
            <w:bottom w:w="0" w:type="dxa"/>
            <w:right w:w="108" w:type="dxa"/>
          </w:tblCellMar>
        </w:tblPrEx>
        <w:trPr>
          <w:trHeight w:val="312" w:hRule="atLeast"/>
        </w:trPr>
        <w:tc>
          <w:tcPr>
            <w:tcW w:w="1056" w:type="pct"/>
            <w:gridSpan w:val="3"/>
            <w:vMerge w:val="continue"/>
            <w:tcBorders>
              <w:top w:val="nil"/>
              <w:left w:val="single" w:color="000000" w:sz="4" w:space="0"/>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1124" w:type="pct"/>
            <w:vMerge w:val="continue"/>
            <w:tcBorders>
              <w:top w:val="nil"/>
              <w:left w:val="nil"/>
              <w:bottom w:val="single" w:color="000000" w:sz="4" w:space="0"/>
              <w:right w:val="single" w:color="000000" w:sz="4" w:space="0"/>
            </w:tcBorders>
            <w:shd w:val="clear" w:color="auto" w:fill="FFFFFF" w:themeFill="background1"/>
            <w:noWrap/>
            <w:vAlign w:val="center"/>
          </w:tcPr>
          <w:p>
            <w:pPr>
              <w:jc w:val="center"/>
              <w:rPr>
                <w:rFonts w:ascii="宋体" w:hAnsi="宋体" w:eastAsia="宋体" w:cs="宋体"/>
                <w:color w:val="000000"/>
                <w:sz w:val="22"/>
              </w:rPr>
            </w:pPr>
          </w:p>
        </w:tc>
        <w:tc>
          <w:tcPr>
            <w:tcW w:w="508"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508"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321"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321"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321"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321"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514"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r>
      <w:tr>
        <w:tblPrEx>
          <w:tblCellMar>
            <w:top w:w="0" w:type="dxa"/>
            <w:left w:w="108" w:type="dxa"/>
            <w:bottom w:w="0" w:type="dxa"/>
            <w:right w:w="108" w:type="dxa"/>
          </w:tblCellMar>
        </w:tblPrEx>
        <w:trPr>
          <w:trHeight w:val="308" w:hRule="atLeast"/>
        </w:trPr>
        <w:tc>
          <w:tcPr>
            <w:tcW w:w="2181" w:type="pct"/>
            <w:gridSpan w:val="4"/>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508" w:type="pc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508" w:type="pc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321" w:type="pc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321" w:type="pc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321" w:type="pc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321" w:type="pc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c>
          <w:tcPr>
            <w:tcW w:w="514" w:type="pc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r>
      <w:tr>
        <w:tblPrEx>
          <w:tblCellMar>
            <w:top w:w="0" w:type="dxa"/>
            <w:left w:w="108" w:type="dxa"/>
            <w:bottom w:w="0" w:type="dxa"/>
            <w:right w:w="108" w:type="dxa"/>
          </w:tblCellMar>
        </w:tblPrEx>
        <w:trPr>
          <w:trHeight w:val="308" w:hRule="atLeast"/>
        </w:trPr>
        <w:tc>
          <w:tcPr>
            <w:tcW w:w="2181" w:type="pct"/>
            <w:gridSpan w:val="4"/>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50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13,743.82</w:t>
            </w:r>
          </w:p>
        </w:tc>
        <w:tc>
          <w:tcPr>
            <w:tcW w:w="50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13,743.82</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514"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r>
      <w:tr>
        <w:tblPrEx>
          <w:tblCellMar>
            <w:top w:w="0" w:type="dxa"/>
            <w:left w:w="108" w:type="dxa"/>
            <w:bottom w:w="0" w:type="dxa"/>
            <w:right w:w="108" w:type="dxa"/>
          </w:tblCellMar>
        </w:tblPrEx>
        <w:trPr>
          <w:trHeight w:val="308" w:hRule="atLeast"/>
        </w:trPr>
        <w:tc>
          <w:tcPr>
            <w:tcW w:w="1056"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w:t>
            </w:r>
          </w:p>
        </w:tc>
        <w:tc>
          <w:tcPr>
            <w:tcW w:w="112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公共安全支出</w:t>
            </w:r>
          </w:p>
        </w:tc>
        <w:tc>
          <w:tcPr>
            <w:tcW w:w="50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12,773.14</w:t>
            </w:r>
          </w:p>
        </w:tc>
        <w:tc>
          <w:tcPr>
            <w:tcW w:w="50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12,773.14</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4"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056"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w:t>
            </w:r>
          </w:p>
        </w:tc>
        <w:tc>
          <w:tcPr>
            <w:tcW w:w="112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公安</w:t>
            </w:r>
          </w:p>
        </w:tc>
        <w:tc>
          <w:tcPr>
            <w:tcW w:w="50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12,773.14</w:t>
            </w:r>
          </w:p>
        </w:tc>
        <w:tc>
          <w:tcPr>
            <w:tcW w:w="50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12,773.14</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4"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056"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2040201</w:t>
            </w:r>
          </w:p>
        </w:tc>
        <w:tc>
          <w:tcPr>
            <w:tcW w:w="112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50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4,346.60</w:t>
            </w:r>
          </w:p>
        </w:tc>
        <w:tc>
          <w:tcPr>
            <w:tcW w:w="50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4,346.60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4"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056"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2040202</w:t>
            </w:r>
          </w:p>
        </w:tc>
        <w:tc>
          <w:tcPr>
            <w:tcW w:w="112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50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170.00</w:t>
            </w:r>
          </w:p>
        </w:tc>
        <w:tc>
          <w:tcPr>
            <w:tcW w:w="50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4"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056"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2040220</w:t>
            </w:r>
          </w:p>
        </w:tc>
        <w:tc>
          <w:tcPr>
            <w:tcW w:w="112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执法办案</w:t>
            </w:r>
          </w:p>
        </w:tc>
        <w:tc>
          <w:tcPr>
            <w:tcW w:w="50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1,332.00</w:t>
            </w:r>
          </w:p>
        </w:tc>
        <w:tc>
          <w:tcPr>
            <w:tcW w:w="50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1,332.00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4"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056"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2040299</w:t>
            </w:r>
          </w:p>
        </w:tc>
        <w:tc>
          <w:tcPr>
            <w:tcW w:w="112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其他公安支出</w:t>
            </w:r>
          </w:p>
        </w:tc>
        <w:tc>
          <w:tcPr>
            <w:tcW w:w="50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6,924.54</w:t>
            </w:r>
          </w:p>
        </w:tc>
        <w:tc>
          <w:tcPr>
            <w:tcW w:w="50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6,924.54</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4"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056"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w:t>
            </w:r>
          </w:p>
        </w:tc>
        <w:tc>
          <w:tcPr>
            <w:tcW w:w="112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社会保障和就业支出</w:t>
            </w:r>
          </w:p>
        </w:tc>
        <w:tc>
          <w:tcPr>
            <w:tcW w:w="50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560.29</w:t>
            </w:r>
          </w:p>
        </w:tc>
        <w:tc>
          <w:tcPr>
            <w:tcW w:w="50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560.29</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4"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056"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w:t>
            </w:r>
          </w:p>
        </w:tc>
        <w:tc>
          <w:tcPr>
            <w:tcW w:w="112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行政事业单位养老支出</w:t>
            </w:r>
          </w:p>
        </w:tc>
        <w:tc>
          <w:tcPr>
            <w:tcW w:w="50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560.29</w:t>
            </w:r>
          </w:p>
        </w:tc>
        <w:tc>
          <w:tcPr>
            <w:tcW w:w="50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560.29</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4"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056"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2080505</w:t>
            </w:r>
          </w:p>
        </w:tc>
        <w:tc>
          <w:tcPr>
            <w:tcW w:w="112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机关事业单位基本养老保险缴费支出</w:t>
            </w:r>
          </w:p>
        </w:tc>
        <w:tc>
          <w:tcPr>
            <w:tcW w:w="50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402.92</w:t>
            </w:r>
          </w:p>
        </w:tc>
        <w:tc>
          <w:tcPr>
            <w:tcW w:w="50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402.92</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4"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056"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2080599</w:t>
            </w:r>
          </w:p>
        </w:tc>
        <w:tc>
          <w:tcPr>
            <w:tcW w:w="112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其他行政事业单位养老支出</w:t>
            </w:r>
          </w:p>
        </w:tc>
        <w:tc>
          <w:tcPr>
            <w:tcW w:w="50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157.38</w:t>
            </w:r>
          </w:p>
        </w:tc>
        <w:tc>
          <w:tcPr>
            <w:tcW w:w="50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157.38</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4"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056"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w:t>
            </w:r>
          </w:p>
        </w:tc>
        <w:tc>
          <w:tcPr>
            <w:tcW w:w="112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卫生健康支出</w:t>
            </w:r>
          </w:p>
        </w:tc>
        <w:tc>
          <w:tcPr>
            <w:tcW w:w="50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232.46</w:t>
            </w:r>
          </w:p>
        </w:tc>
        <w:tc>
          <w:tcPr>
            <w:tcW w:w="50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232.46</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4"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056"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w:t>
            </w:r>
          </w:p>
        </w:tc>
        <w:tc>
          <w:tcPr>
            <w:tcW w:w="112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公共卫生</w:t>
            </w:r>
          </w:p>
        </w:tc>
        <w:tc>
          <w:tcPr>
            <w:tcW w:w="50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30.00</w:t>
            </w:r>
          </w:p>
        </w:tc>
        <w:tc>
          <w:tcPr>
            <w:tcW w:w="50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4"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056"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2100410</w:t>
            </w:r>
          </w:p>
        </w:tc>
        <w:tc>
          <w:tcPr>
            <w:tcW w:w="112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突发公共卫生事件应急处理</w:t>
            </w:r>
          </w:p>
        </w:tc>
        <w:tc>
          <w:tcPr>
            <w:tcW w:w="50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30.00</w:t>
            </w:r>
          </w:p>
        </w:tc>
        <w:tc>
          <w:tcPr>
            <w:tcW w:w="50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4"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056"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w:t>
            </w:r>
          </w:p>
        </w:tc>
        <w:tc>
          <w:tcPr>
            <w:tcW w:w="112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行政事业单位医疗</w:t>
            </w:r>
          </w:p>
        </w:tc>
        <w:tc>
          <w:tcPr>
            <w:tcW w:w="50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201.46</w:t>
            </w:r>
          </w:p>
        </w:tc>
        <w:tc>
          <w:tcPr>
            <w:tcW w:w="50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201.46</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4"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056"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2101101</w:t>
            </w:r>
          </w:p>
        </w:tc>
        <w:tc>
          <w:tcPr>
            <w:tcW w:w="112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行政单位医疗</w:t>
            </w:r>
          </w:p>
        </w:tc>
        <w:tc>
          <w:tcPr>
            <w:tcW w:w="50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201.46</w:t>
            </w:r>
          </w:p>
        </w:tc>
        <w:tc>
          <w:tcPr>
            <w:tcW w:w="50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201.46</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4"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056"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21013</w:t>
            </w:r>
          </w:p>
        </w:tc>
        <w:tc>
          <w:tcPr>
            <w:tcW w:w="112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医疗救助</w:t>
            </w:r>
          </w:p>
        </w:tc>
        <w:tc>
          <w:tcPr>
            <w:tcW w:w="50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50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4"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056"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2101301</w:t>
            </w:r>
          </w:p>
        </w:tc>
        <w:tc>
          <w:tcPr>
            <w:tcW w:w="112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城乡医疗救助</w:t>
            </w:r>
          </w:p>
        </w:tc>
        <w:tc>
          <w:tcPr>
            <w:tcW w:w="50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50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4"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056"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w:t>
            </w:r>
          </w:p>
        </w:tc>
        <w:tc>
          <w:tcPr>
            <w:tcW w:w="112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交通运输支出</w:t>
            </w:r>
          </w:p>
        </w:tc>
        <w:tc>
          <w:tcPr>
            <w:tcW w:w="50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177.93</w:t>
            </w:r>
          </w:p>
        </w:tc>
        <w:tc>
          <w:tcPr>
            <w:tcW w:w="50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177.93</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4"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056"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21499</w:t>
            </w:r>
          </w:p>
        </w:tc>
        <w:tc>
          <w:tcPr>
            <w:tcW w:w="112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其他交通运输支出</w:t>
            </w:r>
          </w:p>
        </w:tc>
        <w:tc>
          <w:tcPr>
            <w:tcW w:w="50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177.93</w:t>
            </w:r>
          </w:p>
        </w:tc>
        <w:tc>
          <w:tcPr>
            <w:tcW w:w="50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177.93</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4"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056"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2149999</w:t>
            </w:r>
          </w:p>
        </w:tc>
        <w:tc>
          <w:tcPr>
            <w:tcW w:w="112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其他交通运输支出</w:t>
            </w:r>
          </w:p>
        </w:tc>
        <w:tc>
          <w:tcPr>
            <w:tcW w:w="50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177.93</w:t>
            </w:r>
          </w:p>
        </w:tc>
        <w:tc>
          <w:tcPr>
            <w:tcW w:w="50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177.93</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21"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14"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5000" w:type="pct"/>
            <w:gridSpan w:val="11"/>
            <w:tcBorders>
              <w:top w:val="nil"/>
              <w:left w:val="nil"/>
              <w:bottom w:val="nil"/>
              <w:right w:val="nil"/>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注：本表反映部门本年度取得的各项收入情况。</w:t>
            </w:r>
          </w:p>
        </w:tc>
      </w:tr>
    </w:tbl>
    <w:p>
      <w:pPr>
        <w:pStyle w:val="9"/>
        <w:jc w:val="center"/>
        <w:rPr>
          <w:rFonts w:ascii="方正小标宋_GBK" w:hAnsi="方正小标宋_GBK" w:eastAsia="方正小标宋_GBK" w:cs="方正小标宋_GBK"/>
          <w:sz w:val="84"/>
          <w:szCs w:val="84"/>
        </w:rPr>
        <w:sectPr>
          <w:pgSz w:w="16838" w:h="11906" w:orient="landscape"/>
          <w:pgMar w:top="720" w:right="720" w:bottom="720" w:left="720" w:header="851" w:footer="992" w:gutter="0"/>
          <w:cols w:space="425" w:num="1"/>
          <w:docGrid w:type="lines" w:linePitch="312" w:charSpace="0"/>
        </w:sectPr>
      </w:pPr>
    </w:p>
    <w:tbl>
      <w:tblPr>
        <w:tblStyle w:val="5"/>
        <w:tblW w:w="4998" w:type="pct"/>
        <w:tblInd w:w="0" w:type="dxa"/>
        <w:shd w:val="clear" w:color="auto" w:fill="FFFFFF" w:themeFill="background1"/>
        <w:tblLayout w:type="autofit"/>
        <w:tblCellMar>
          <w:top w:w="0" w:type="dxa"/>
          <w:left w:w="108" w:type="dxa"/>
          <w:bottom w:w="0" w:type="dxa"/>
          <w:right w:w="108" w:type="dxa"/>
        </w:tblCellMar>
      </w:tblPr>
      <w:tblGrid>
        <w:gridCol w:w="3216"/>
        <w:gridCol w:w="222"/>
        <w:gridCol w:w="222"/>
        <w:gridCol w:w="3956"/>
        <w:gridCol w:w="1536"/>
        <w:gridCol w:w="1411"/>
        <w:gridCol w:w="1411"/>
        <w:gridCol w:w="921"/>
        <w:gridCol w:w="921"/>
        <w:gridCol w:w="1792"/>
      </w:tblGrid>
      <w:tr>
        <w:tblPrEx>
          <w:shd w:val="clear" w:color="auto" w:fill="FFFFFF" w:themeFill="background1"/>
          <w:tblCellMar>
            <w:top w:w="0" w:type="dxa"/>
            <w:left w:w="108" w:type="dxa"/>
            <w:bottom w:w="0" w:type="dxa"/>
            <w:right w:w="108" w:type="dxa"/>
          </w:tblCellMar>
        </w:tblPrEx>
        <w:trPr>
          <w:trHeight w:val="390" w:hRule="atLeast"/>
        </w:trPr>
        <w:tc>
          <w:tcPr>
            <w:tcW w:w="5000" w:type="pct"/>
            <w:gridSpan w:val="10"/>
            <w:tcBorders>
              <w:top w:val="nil"/>
              <w:left w:val="nil"/>
              <w:bottom w:val="nil"/>
              <w:right w:val="nil"/>
            </w:tcBorders>
            <w:shd w:val="clear" w:color="auto" w:fill="FFFFFF" w:themeFill="background1"/>
            <w:noWrap/>
            <w:vAlign w:val="bottom"/>
          </w:tcPr>
          <w:p>
            <w:pPr>
              <w:widowControl/>
              <w:jc w:val="center"/>
              <w:textAlignment w:val="bottom"/>
              <w:rPr>
                <w:rFonts w:ascii="宋体" w:hAnsi="宋体" w:eastAsia="宋体" w:cs="宋体"/>
                <w:color w:val="000000"/>
                <w:sz w:val="30"/>
                <w:szCs w:val="30"/>
              </w:rPr>
            </w:pPr>
            <w:r>
              <w:rPr>
                <w:rFonts w:hint="eastAsia" w:ascii="宋体" w:hAnsi="宋体" w:eastAsia="宋体" w:cs="宋体"/>
                <w:color w:val="000000"/>
                <w:kern w:val="0"/>
                <w:sz w:val="30"/>
                <w:szCs w:val="30"/>
              </w:rPr>
              <w:t>支出决算表</w:t>
            </w:r>
          </w:p>
        </w:tc>
      </w:tr>
      <w:tr>
        <w:tblPrEx>
          <w:tblCellMar>
            <w:top w:w="0" w:type="dxa"/>
            <w:left w:w="108" w:type="dxa"/>
            <w:bottom w:w="0" w:type="dxa"/>
            <w:right w:w="108" w:type="dxa"/>
          </w:tblCellMar>
        </w:tblPrEx>
        <w:trPr>
          <w:trHeight w:val="255" w:hRule="atLeast"/>
        </w:trPr>
        <w:tc>
          <w:tcPr>
            <w:tcW w:w="1022"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71"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71"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1257"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495"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455"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455"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298"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298"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573" w:type="pct"/>
            <w:tcBorders>
              <w:top w:val="nil"/>
              <w:left w:val="nil"/>
              <w:bottom w:val="nil"/>
              <w:right w:val="nil"/>
            </w:tcBorders>
            <w:shd w:val="clear" w:color="auto" w:fill="FFFFFF" w:themeFill="background1"/>
            <w:noWrap/>
            <w:vAlign w:val="bottom"/>
          </w:tcPr>
          <w:p>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公开03表</w:t>
            </w:r>
          </w:p>
        </w:tc>
      </w:tr>
      <w:tr>
        <w:tblPrEx>
          <w:tblCellMar>
            <w:top w:w="0" w:type="dxa"/>
            <w:left w:w="108" w:type="dxa"/>
            <w:bottom w:w="0" w:type="dxa"/>
            <w:right w:w="108" w:type="dxa"/>
          </w:tblCellMar>
        </w:tblPrEx>
        <w:trPr>
          <w:trHeight w:val="255" w:hRule="atLeast"/>
        </w:trPr>
        <w:tc>
          <w:tcPr>
            <w:tcW w:w="1022" w:type="pct"/>
            <w:tcBorders>
              <w:top w:val="nil"/>
              <w:left w:val="nil"/>
              <w:bottom w:val="nil"/>
              <w:right w:val="nil"/>
            </w:tcBorders>
            <w:shd w:val="clear" w:color="auto" w:fill="FFFFFF" w:themeFill="background1"/>
            <w:noWrap/>
            <w:vAlign w:val="bottom"/>
          </w:tcPr>
          <w:p>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部门：怀化市公安局交通警察支队</w:t>
            </w:r>
          </w:p>
        </w:tc>
        <w:tc>
          <w:tcPr>
            <w:tcW w:w="71"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71"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1257"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495"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455"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455"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298"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298"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573" w:type="pct"/>
            <w:tcBorders>
              <w:top w:val="nil"/>
              <w:left w:val="nil"/>
              <w:bottom w:val="nil"/>
              <w:right w:val="nil"/>
            </w:tcBorders>
            <w:shd w:val="clear" w:color="auto" w:fill="FFFFFF" w:themeFill="background1"/>
            <w:noWrap/>
            <w:vAlign w:val="bottom"/>
          </w:tcPr>
          <w:p>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tblPrEx>
          <w:tblCellMar>
            <w:top w:w="0" w:type="dxa"/>
            <w:left w:w="108" w:type="dxa"/>
            <w:bottom w:w="0" w:type="dxa"/>
            <w:right w:w="108" w:type="dxa"/>
          </w:tblCellMar>
        </w:tblPrEx>
        <w:trPr>
          <w:trHeight w:val="308" w:hRule="atLeast"/>
        </w:trPr>
        <w:tc>
          <w:tcPr>
            <w:tcW w:w="2422" w:type="pct"/>
            <w:gridSpan w:val="4"/>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495" w:type="pct"/>
            <w:vMerge w:val="restart"/>
            <w:tcBorders>
              <w:top w:val="single" w:color="000000" w:sz="4" w:space="0"/>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本年支出合计</w:t>
            </w:r>
          </w:p>
        </w:tc>
        <w:tc>
          <w:tcPr>
            <w:tcW w:w="455" w:type="pct"/>
            <w:vMerge w:val="restart"/>
            <w:tcBorders>
              <w:top w:val="single" w:color="000000" w:sz="4" w:space="0"/>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基本支出</w:t>
            </w:r>
          </w:p>
        </w:tc>
        <w:tc>
          <w:tcPr>
            <w:tcW w:w="455" w:type="pct"/>
            <w:vMerge w:val="restart"/>
            <w:tcBorders>
              <w:top w:val="single" w:color="000000" w:sz="4" w:space="0"/>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项目支出</w:t>
            </w:r>
          </w:p>
        </w:tc>
        <w:tc>
          <w:tcPr>
            <w:tcW w:w="298" w:type="pct"/>
            <w:vMerge w:val="restart"/>
            <w:tcBorders>
              <w:top w:val="single" w:color="000000" w:sz="4" w:space="0"/>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上缴上级支出</w:t>
            </w:r>
          </w:p>
        </w:tc>
        <w:tc>
          <w:tcPr>
            <w:tcW w:w="298" w:type="pct"/>
            <w:vMerge w:val="restart"/>
            <w:tcBorders>
              <w:top w:val="single" w:color="000000" w:sz="4" w:space="0"/>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经营支出</w:t>
            </w:r>
          </w:p>
        </w:tc>
        <w:tc>
          <w:tcPr>
            <w:tcW w:w="573" w:type="pct"/>
            <w:vMerge w:val="restart"/>
            <w:tcBorders>
              <w:top w:val="single" w:color="000000" w:sz="4" w:space="0"/>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对附属单位补助支出</w:t>
            </w:r>
          </w:p>
        </w:tc>
      </w:tr>
      <w:tr>
        <w:tblPrEx>
          <w:tblCellMar>
            <w:top w:w="0" w:type="dxa"/>
            <w:left w:w="108" w:type="dxa"/>
            <w:bottom w:w="0" w:type="dxa"/>
            <w:right w:w="108" w:type="dxa"/>
          </w:tblCellMar>
        </w:tblPrEx>
        <w:trPr>
          <w:trHeight w:val="312" w:hRule="atLeast"/>
        </w:trPr>
        <w:tc>
          <w:tcPr>
            <w:tcW w:w="1164" w:type="pct"/>
            <w:gridSpan w:val="3"/>
            <w:vMerge w:val="restart"/>
            <w:tcBorders>
              <w:top w:val="nil"/>
              <w:left w:val="single" w:color="000000" w:sz="4" w:space="0"/>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科目代码</w:t>
            </w:r>
          </w:p>
        </w:tc>
        <w:tc>
          <w:tcPr>
            <w:tcW w:w="1257" w:type="pct"/>
            <w:vMerge w:val="restar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495"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455"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455"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298"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298"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573"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r>
      <w:tr>
        <w:tblPrEx>
          <w:tblCellMar>
            <w:top w:w="0" w:type="dxa"/>
            <w:left w:w="108" w:type="dxa"/>
            <w:bottom w:w="0" w:type="dxa"/>
            <w:right w:w="108" w:type="dxa"/>
          </w:tblCellMar>
        </w:tblPrEx>
        <w:trPr>
          <w:trHeight w:val="312" w:hRule="atLeast"/>
        </w:trPr>
        <w:tc>
          <w:tcPr>
            <w:tcW w:w="1164" w:type="pct"/>
            <w:gridSpan w:val="3"/>
            <w:vMerge w:val="continue"/>
            <w:tcBorders>
              <w:top w:val="nil"/>
              <w:left w:val="single" w:color="000000" w:sz="4" w:space="0"/>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1257" w:type="pct"/>
            <w:vMerge w:val="continue"/>
            <w:tcBorders>
              <w:top w:val="nil"/>
              <w:left w:val="nil"/>
              <w:bottom w:val="single" w:color="000000" w:sz="4" w:space="0"/>
              <w:right w:val="single" w:color="000000" w:sz="4" w:space="0"/>
            </w:tcBorders>
            <w:shd w:val="clear" w:color="auto" w:fill="FFFFFF" w:themeFill="background1"/>
            <w:noWrap/>
            <w:vAlign w:val="center"/>
          </w:tcPr>
          <w:p>
            <w:pPr>
              <w:jc w:val="center"/>
              <w:rPr>
                <w:rFonts w:ascii="宋体" w:hAnsi="宋体" w:eastAsia="宋体" w:cs="宋体"/>
                <w:color w:val="000000"/>
                <w:sz w:val="22"/>
              </w:rPr>
            </w:pPr>
          </w:p>
        </w:tc>
        <w:tc>
          <w:tcPr>
            <w:tcW w:w="495"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455"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455"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298"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298"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573"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r>
      <w:tr>
        <w:tblPrEx>
          <w:tblCellMar>
            <w:top w:w="0" w:type="dxa"/>
            <w:left w:w="108" w:type="dxa"/>
            <w:bottom w:w="0" w:type="dxa"/>
            <w:right w:w="108" w:type="dxa"/>
          </w:tblCellMar>
        </w:tblPrEx>
        <w:trPr>
          <w:trHeight w:val="312" w:hRule="atLeast"/>
        </w:trPr>
        <w:tc>
          <w:tcPr>
            <w:tcW w:w="1164" w:type="pct"/>
            <w:gridSpan w:val="3"/>
            <w:vMerge w:val="continue"/>
            <w:tcBorders>
              <w:top w:val="nil"/>
              <w:left w:val="single" w:color="000000" w:sz="4" w:space="0"/>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1257" w:type="pct"/>
            <w:vMerge w:val="continue"/>
            <w:tcBorders>
              <w:top w:val="nil"/>
              <w:left w:val="nil"/>
              <w:bottom w:val="single" w:color="000000" w:sz="4" w:space="0"/>
              <w:right w:val="single" w:color="000000" w:sz="4" w:space="0"/>
            </w:tcBorders>
            <w:shd w:val="clear" w:color="auto" w:fill="FFFFFF" w:themeFill="background1"/>
            <w:noWrap/>
            <w:vAlign w:val="center"/>
          </w:tcPr>
          <w:p>
            <w:pPr>
              <w:jc w:val="center"/>
              <w:rPr>
                <w:rFonts w:ascii="宋体" w:hAnsi="宋体" w:eastAsia="宋体" w:cs="宋体"/>
                <w:color w:val="000000"/>
                <w:sz w:val="22"/>
              </w:rPr>
            </w:pPr>
          </w:p>
        </w:tc>
        <w:tc>
          <w:tcPr>
            <w:tcW w:w="495"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455"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455"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298"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298"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573" w:type="pct"/>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r>
      <w:tr>
        <w:tblPrEx>
          <w:tblCellMar>
            <w:top w:w="0" w:type="dxa"/>
            <w:left w:w="108" w:type="dxa"/>
            <w:bottom w:w="0" w:type="dxa"/>
            <w:right w:w="108" w:type="dxa"/>
          </w:tblCellMar>
        </w:tblPrEx>
        <w:trPr>
          <w:trHeight w:val="308" w:hRule="atLeast"/>
        </w:trPr>
        <w:tc>
          <w:tcPr>
            <w:tcW w:w="2422" w:type="pct"/>
            <w:gridSpan w:val="4"/>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495" w:type="pc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455" w:type="pc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455" w:type="pc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298" w:type="pc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298" w:type="pc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573" w:type="pc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r>
      <w:tr>
        <w:tblPrEx>
          <w:tblCellMar>
            <w:top w:w="0" w:type="dxa"/>
            <w:left w:w="108" w:type="dxa"/>
            <w:bottom w:w="0" w:type="dxa"/>
            <w:right w:w="108" w:type="dxa"/>
          </w:tblCellMar>
        </w:tblPrEx>
        <w:trPr>
          <w:trHeight w:val="308" w:hRule="atLeast"/>
        </w:trPr>
        <w:tc>
          <w:tcPr>
            <w:tcW w:w="2422" w:type="pct"/>
            <w:gridSpan w:val="4"/>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49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13,743.82</w:t>
            </w:r>
          </w:p>
        </w:tc>
        <w:tc>
          <w:tcPr>
            <w:tcW w:w="45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6,005.64</w:t>
            </w:r>
          </w:p>
        </w:tc>
        <w:tc>
          <w:tcPr>
            <w:tcW w:w="45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7,738.19</w:t>
            </w:r>
          </w:p>
        </w:tc>
        <w:tc>
          <w:tcPr>
            <w:tcW w:w="29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573"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r>
      <w:tr>
        <w:tblPrEx>
          <w:tblCellMar>
            <w:top w:w="0" w:type="dxa"/>
            <w:left w:w="108" w:type="dxa"/>
            <w:bottom w:w="0" w:type="dxa"/>
            <w:right w:w="108" w:type="dxa"/>
          </w:tblCellMar>
        </w:tblPrEx>
        <w:trPr>
          <w:trHeight w:val="308" w:hRule="atLeast"/>
        </w:trPr>
        <w:tc>
          <w:tcPr>
            <w:tcW w:w="116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w:t>
            </w:r>
          </w:p>
        </w:tc>
        <w:tc>
          <w:tcPr>
            <w:tcW w:w="125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公共安全支出</w:t>
            </w:r>
          </w:p>
        </w:tc>
        <w:tc>
          <w:tcPr>
            <w:tcW w:w="49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12,773.14</w:t>
            </w:r>
          </w:p>
        </w:tc>
        <w:tc>
          <w:tcPr>
            <w:tcW w:w="45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5,242.88</w:t>
            </w:r>
          </w:p>
        </w:tc>
        <w:tc>
          <w:tcPr>
            <w:tcW w:w="45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7,530.26</w:t>
            </w:r>
          </w:p>
        </w:tc>
        <w:tc>
          <w:tcPr>
            <w:tcW w:w="29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3"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6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w:t>
            </w:r>
          </w:p>
        </w:tc>
        <w:tc>
          <w:tcPr>
            <w:tcW w:w="125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公安</w:t>
            </w:r>
          </w:p>
        </w:tc>
        <w:tc>
          <w:tcPr>
            <w:tcW w:w="49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12,773.14</w:t>
            </w:r>
          </w:p>
        </w:tc>
        <w:tc>
          <w:tcPr>
            <w:tcW w:w="45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5,242.88</w:t>
            </w:r>
          </w:p>
        </w:tc>
        <w:tc>
          <w:tcPr>
            <w:tcW w:w="45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7,530.26</w:t>
            </w:r>
          </w:p>
        </w:tc>
        <w:tc>
          <w:tcPr>
            <w:tcW w:w="29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3"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6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2040201</w:t>
            </w:r>
          </w:p>
        </w:tc>
        <w:tc>
          <w:tcPr>
            <w:tcW w:w="125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49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4,346.60</w:t>
            </w:r>
          </w:p>
        </w:tc>
        <w:tc>
          <w:tcPr>
            <w:tcW w:w="45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4,317.06</w:t>
            </w:r>
          </w:p>
        </w:tc>
        <w:tc>
          <w:tcPr>
            <w:tcW w:w="45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29.54</w:t>
            </w:r>
          </w:p>
        </w:tc>
        <w:tc>
          <w:tcPr>
            <w:tcW w:w="29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3"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6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2040202</w:t>
            </w:r>
          </w:p>
        </w:tc>
        <w:tc>
          <w:tcPr>
            <w:tcW w:w="125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49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170.00</w:t>
            </w:r>
          </w:p>
        </w:tc>
        <w:tc>
          <w:tcPr>
            <w:tcW w:w="45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5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3"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6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2040220</w:t>
            </w:r>
          </w:p>
        </w:tc>
        <w:tc>
          <w:tcPr>
            <w:tcW w:w="125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执法办案</w:t>
            </w:r>
          </w:p>
        </w:tc>
        <w:tc>
          <w:tcPr>
            <w:tcW w:w="49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1,332.00</w:t>
            </w:r>
          </w:p>
        </w:tc>
        <w:tc>
          <w:tcPr>
            <w:tcW w:w="45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5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1,332.00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3"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6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2040299</w:t>
            </w:r>
          </w:p>
        </w:tc>
        <w:tc>
          <w:tcPr>
            <w:tcW w:w="125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其他公安支出</w:t>
            </w:r>
          </w:p>
        </w:tc>
        <w:tc>
          <w:tcPr>
            <w:tcW w:w="49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6,924.54</w:t>
            </w:r>
          </w:p>
        </w:tc>
        <w:tc>
          <w:tcPr>
            <w:tcW w:w="45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925.82</w:t>
            </w:r>
          </w:p>
        </w:tc>
        <w:tc>
          <w:tcPr>
            <w:tcW w:w="45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5,998.71</w:t>
            </w:r>
          </w:p>
        </w:tc>
        <w:tc>
          <w:tcPr>
            <w:tcW w:w="29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3"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6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w:t>
            </w:r>
          </w:p>
        </w:tc>
        <w:tc>
          <w:tcPr>
            <w:tcW w:w="125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社会保障和就业支出</w:t>
            </w:r>
          </w:p>
        </w:tc>
        <w:tc>
          <w:tcPr>
            <w:tcW w:w="49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560.29</w:t>
            </w:r>
          </w:p>
        </w:tc>
        <w:tc>
          <w:tcPr>
            <w:tcW w:w="45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560.29</w:t>
            </w:r>
          </w:p>
        </w:tc>
        <w:tc>
          <w:tcPr>
            <w:tcW w:w="45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3"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6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w:t>
            </w:r>
          </w:p>
        </w:tc>
        <w:tc>
          <w:tcPr>
            <w:tcW w:w="125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行政事业单位养老支出</w:t>
            </w:r>
          </w:p>
        </w:tc>
        <w:tc>
          <w:tcPr>
            <w:tcW w:w="49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560.29</w:t>
            </w:r>
          </w:p>
        </w:tc>
        <w:tc>
          <w:tcPr>
            <w:tcW w:w="45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560.29</w:t>
            </w:r>
          </w:p>
        </w:tc>
        <w:tc>
          <w:tcPr>
            <w:tcW w:w="45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3"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6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2080505</w:t>
            </w:r>
          </w:p>
        </w:tc>
        <w:tc>
          <w:tcPr>
            <w:tcW w:w="125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机关事业单位基本养老保险缴费支出</w:t>
            </w:r>
          </w:p>
        </w:tc>
        <w:tc>
          <w:tcPr>
            <w:tcW w:w="49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402.92</w:t>
            </w:r>
          </w:p>
        </w:tc>
        <w:tc>
          <w:tcPr>
            <w:tcW w:w="45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402.92</w:t>
            </w:r>
          </w:p>
        </w:tc>
        <w:tc>
          <w:tcPr>
            <w:tcW w:w="45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3"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6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2080599</w:t>
            </w:r>
          </w:p>
        </w:tc>
        <w:tc>
          <w:tcPr>
            <w:tcW w:w="125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其他行政事业单位养老支出</w:t>
            </w:r>
          </w:p>
        </w:tc>
        <w:tc>
          <w:tcPr>
            <w:tcW w:w="49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157.38</w:t>
            </w:r>
          </w:p>
        </w:tc>
        <w:tc>
          <w:tcPr>
            <w:tcW w:w="45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157.38</w:t>
            </w:r>
          </w:p>
        </w:tc>
        <w:tc>
          <w:tcPr>
            <w:tcW w:w="45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3"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6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w:t>
            </w:r>
          </w:p>
        </w:tc>
        <w:tc>
          <w:tcPr>
            <w:tcW w:w="125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卫生健康支出</w:t>
            </w:r>
          </w:p>
        </w:tc>
        <w:tc>
          <w:tcPr>
            <w:tcW w:w="49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232.46</w:t>
            </w:r>
          </w:p>
        </w:tc>
        <w:tc>
          <w:tcPr>
            <w:tcW w:w="45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202.46</w:t>
            </w:r>
          </w:p>
        </w:tc>
        <w:tc>
          <w:tcPr>
            <w:tcW w:w="45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3"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6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w:t>
            </w:r>
          </w:p>
        </w:tc>
        <w:tc>
          <w:tcPr>
            <w:tcW w:w="125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公共卫生</w:t>
            </w:r>
          </w:p>
        </w:tc>
        <w:tc>
          <w:tcPr>
            <w:tcW w:w="49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30.00</w:t>
            </w:r>
          </w:p>
        </w:tc>
        <w:tc>
          <w:tcPr>
            <w:tcW w:w="45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5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3"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6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2100410</w:t>
            </w:r>
          </w:p>
        </w:tc>
        <w:tc>
          <w:tcPr>
            <w:tcW w:w="125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突发公共卫生事件应急处理</w:t>
            </w:r>
          </w:p>
        </w:tc>
        <w:tc>
          <w:tcPr>
            <w:tcW w:w="49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30.00</w:t>
            </w:r>
          </w:p>
        </w:tc>
        <w:tc>
          <w:tcPr>
            <w:tcW w:w="45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5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3"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6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w:t>
            </w:r>
          </w:p>
        </w:tc>
        <w:tc>
          <w:tcPr>
            <w:tcW w:w="125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行政事业单位医疗</w:t>
            </w:r>
          </w:p>
        </w:tc>
        <w:tc>
          <w:tcPr>
            <w:tcW w:w="49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201.46</w:t>
            </w:r>
          </w:p>
        </w:tc>
        <w:tc>
          <w:tcPr>
            <w:tcW w:w="45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201.46</w:t>
            </w:r>
          </w:p>
        </w:tc>
        <w:tc>
          <w:tcPr>
            <w:tcW w:w="45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3"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6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2101101</w:t>
            </w:r>
          </w:p>
        </w:tc>
        <w:tc>
          <w:tcPr>
            <w:tcW w:w="125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行政单位医疗</w:t>
            </w:r>
          </w:p>
        </w:tc>
        <w:tc>
          <w:tcPr>
            <w:tcW w:w="49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201.46</w:t>
            </w:r>
          </w:p>
        </w:tc>
        <w:tc>
          <w:tcPr>
            <w:tcW w:w="45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201.46</w:t>
            </w:r>
          </w:p>
        </w:tc>
        <w:tc>
          <w:tcPr>
            <w:tcW w:w="45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3"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6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21013</w:t>
            </w:r>
          </w:p>
        </w:tc>
        <w:tc>
          <w:tcPr>
            <w:tcW w:w="125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医疗救助</w:t>
            </w:r>
          </w:p>
        </w:tc>
        <w:tc>
          <w:tcPr>
            <w:tcW w:w="49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45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45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3"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6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2101301</w:t>
            </w:r>
          </w:p>
        </w:tc>
        <w:tc>
          <w:tcPr>
            <w:tcW w:w="125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城乡医疗救助</w:t>
            </w:r>
          </w:p>
        </w:tc>
        <w:tc>
          <w:tcPr>
            <w:tcW w:w="49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45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45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3"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6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w:t>
            </w:r>
          </w:p>
        </w:tc>
        <w:tc>
          <w:tcPr>
            <w:tcW w:w="125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交通运输支出</w:t>
            </w:r>
          </w:p>
        </w:tc>
        <w:tc>
          <w:tcPr>
            <w:tcW w:w="49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177.93</w:t>
            </w:r>
          </w:p>
        </w:tc>
        <w:tc>
          <w:tcPr>
            <w:tcW w:w="45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5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177.93</w:t>
            </w:r>
          </w:p>
        </w:tc>
        <w:tc>
          <w:tcPr>
            <w:tcW w:w="29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3"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6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21499</w:t>
            </w:r>
          </w:p>
        </w:tc>
        <w:tc>
          <w:tcPr>
            <w:tcW w:w="125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其他交通运输支出</w:t>
            </w:r>
          </w:p>
        </w:tc>
        <w:tc>
          <w:tcPr>
            <w:tcW w:w="49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177.93</w:t>
            </w:r>
          </w:p>
        </w:tc>
        <w:tc>
          <w:tcPr>
            <w:tcW w:w="45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5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177.93</w:t>
            </w:r>
          </w:p>
        </w:tc>
        <w:tc>
          <w:tcPr>
            <w:tcW w:w="29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3"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6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2149999</w:t>
            </w:r>
          </w:p>
        </w:tc>
        <w:tc>
          <w:tcPr>
            <w:tcW w:w="125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其他交通运输支出</w:t>
            </w:r>
          </w:p>
        </w:tc>
        <w:tc>
          <w:tcPr>
            <w:tcW w:w="49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177.93</w:t>
            </w:r>
          </w:p>
        </w:tc>
        <w:tc>
          <w:tcPr>
            <w:tcW w:w="45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5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177.93</w:t>
            </w:r>
          </w:p>
        </w:tc>
        <w:tc>
          <w:tcPr>
            <w:tcW w:w="29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9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3"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5000" w:type="pct"/>
            <w:gridSpan w:val="10"/>
            <w:tcBorders>
              <w:top w:val="nil"/>
              <w:left w:val="nil"/>
              <w:bottom w:val="nil"/>
              <w:right w:val="nil"/>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注：本表反映部门本年度各项支出情况。</w:t>
            </w:r>
          </w:p>
        </w:tc>
      </w:tr>
    </w:tbl>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br w:type="page"/>
      </w:r>
    </w:p>
    <w:tbl>
      <w:tblPr>
        <w:tblStyle w:val="5"/>
        <w:tblW w:w="5000" w:type="pct"/>
        <w:tblInd w:w="0" w:type="dxa"/>
        <w:shd w:val="clear" w:color="auto" w:fill="FFFFFF" w:themeFill="background1"/>
        <w:tblLayout w:type="autofit"/>
        <w:tblCellMar>
          <w:top w:w="0" w:type="dxa"/>
          <w:left w:w="108" w:type="dxa"/>
          <w:bottom w:w="0" w:type="dxa"/>
          <w:right w:w="108" w:type="dxa"/>
        </w:tblCellMar>
      </w:tblPr>
      <w:tblGrid>
        <w:gridCol w:w="3459"/>
        <w:gridCol w:w="528"/>
        <w:gridCol w:w="1518"/>
        <w:gridCol w:w="3769"/>
        <w:gridCol w:w="528"/>
        <w:gridCol w:w="1265"/>
        <w:gridCol w:w="1515"/>
        <w:gridCol w:w="1230"/>
        <w:gridCol w:w="1802"/>
      </w:tblGrid>
      <w:tr>
        <w:tblPrEx>
          <w:shd w:val="clear" w:color="auto" w:fill="FFFFFF" w:themeFill="background1"/>
          <w:tblCellMar>
            <w:top w:w="0" w:type="dxa"/>
            <w:left w:w="108" w:type="dxa"/>
            <w:bottom w:w="0" w:type="dxa"/>
            <w:right w:w="108" w:type="dxa"/>
          </w:tblCellMar>
        </w:tblPrEx>
        <w:trPr>
          <w:trHeight w:val="390" w:hRule="atLeast"/>
        </w:trPr>
        <w:tc>
          <w:tcPr>
            <w:tcW w:w="5000" w:type="pct"/>
            <w:gridSpan w:val="9"/>
            <w:tcBorders>
              <w:top w:val="nil"/>
              <w:left w:val="nil"/>
              <w:bottom w:val="nil"/>
              <w:right w:val="nil"/>
            </w:tcBorders>
            <w:shd w:val="clear" w:color="auto" w:fill="FFFFFF" w:themeFill="background1"/>
            <w:noWrap/>
            <w:vAlign w:val="bottom"/>
          </w:tcPr>
          <w:p>
            <w:pPr>
              <w:widowControl/>
              <w:jc w:val="center"/>
              <w:textAlignment w:val="bottom"/>
              <w:rPr>
                <w:rFonts w:ascii="宋体" w:hAnsi="宋体" w:eastAsia="宋体" w:cs="宋体"/>
                <w:color w:val="000000"/>
                <w:sz w:val="30"/>
                <w:szCs w:val="30"/>
              </w:rPr>
            </w:pPr>
            <w:r>
              <w:rPr>
                <w:rFonts w:hint="eastAsia" w:ascii="宋体" w:hAnsi="宋体" w:eastAsia="宋体" w:cs="宋体"/>
                <w:color w:val="000000"/>
                <w:kern w:val="0"/>
                <w:sz w:val="30"/>
                <w:szCs w:val="30"/>
              </w:rPr>
              <w:t>财政拨款收入支出决算总表</w:t>
            </w:r>
          </w:p>
        </w:tc>
      </w:tr>
      <w:tr>
        <w:tblPrEx>
          <w:tblCellMar>
            <w:top w:w="0" w:type="dxa"/>
            <w:left w:w="108" w:type="dxa"/>
            <w:bottom w:w="0" w:type="dxa"/>
            <w:right w:w="108" w:type="dxa"/>
          </w:tblCellMar>
        </w:tblPrEx>
        <w:trPr>
          <w:trHeight w:val="255" w:hRule="atLeast"/>
        </w:trPr>
        <w:tc>
          <w:tcPr>
            <w:tcW w:w="1108"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169"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485"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1207"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169"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405"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485"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392"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576" w:type="pct"/>
            <w:tcBorders>
              <w:top w:val="nil"/>
              <w:left w:val="nil"/>
              <w:bottom w:val="nil"/>
              <w:right w:val="nil"/>
            </w:tcBorders>
            <w:shd w:val="clear" w:color="auto" w:fill="FFFFFF" w:themeFill="background1"/>
            <w:noWrap/>
            <w:vAlign w:val="bottom"/>
          </w:tcPr>
          <w:p>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公开04表</w:t>
            </w:r>
          </w:p>
        </w:tc>
      </w:tr>
      <w:tr>
        <w:tblPrEx>
          <w:tblCellMar>
            <w:top w:w="0" w:type="dxa"/>
            <w:left w:w="108" w:type="dxa"/>
            <w:bottom w:w="0" w:type="dxa"/>
            <w:right w:w="108" w:type="dxa"/>
          </w:tblCellMar>
        </w:tblPrEx>
        <w:trPr>
          <w:trHeight w:val="255" w:hRule="atLeast"/>
        </w:trPr>
        <w:tc>
          <w:tcPr>
            <w:tcW w:w="1108" w:type="pct"/>
            <w:tcBorders>
              <w:top w:val="nil"/>
              <w:left w:val="nil"/>
              <w:bottom w:val="nil"/>
              <w:right w:val="nil"/>
            </w:tcBorders>
            <w:shd w:val="clear" w:color="auto" w:fill="FFFFFF" w:themeFill="background1"/>
            <w:noWrap/>
            <w:vAlign w:val="bottom"/>
          </w:tcPr>
          <w:p>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部门：怀化市公安局交通警察支队</w:t>
            </w:r>
          </w:p>
        </w:tc>
        <w:tc>
          <w:tcPr>
            <w:tcW w:w="169"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485"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1207"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169"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405"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485"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392"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576" w:type="pct"/>
            <w:tcBorders>
              <w:top w:val="nil"/>
              <w:left w:val="nil"/>
              <w:bottom w:val="nil"/>
              <w:right w:val="nil"/>
            </w:tcBorders>
            <w:shd w:val="clear" w:color="auto" w:fill="FFFFFF" w:themeFill="background1"/>
            <w:noWrap/>
            <w:vAlign w:val="bottom"/>
          </w:tcPr>
          <w:p>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tblPrEx>
          <w:tblCellMar>
            <w:top w:w="0" w:type="dxa"/>
            <w:left w:w="108" w:type="dxa"/>
            <w:bottom w:w="0" w:type="dxa"/>
            <w:right w:w="108" w:type="dxa"/>
          </w:tblCellMar>
        </w:tblPrEx>
        <w:trPr>
          <w:trHeight w:val="308" w:hRule="atLeast"/>
        </w:trPr>
        <w:tc>
          <w:tcPr>
            <w:tcW w:w="1763" w:type="pct"/>
            <w:gridSpan w:val="3"/>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收     入</w:t>
            </w:r>
          </w:p>
        </w:tc>
        <w:tc>
          <w:tcPr>
            <w:tcW w:w="3236" w:type="pct"/>
            <w:gridSpan w:val="6"/>
            <w:tcBorders>
              <w:top w:val="single" w:color="000000" w:sz="4" w:space="0"/>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支     出</w:t>
            </w:r>
          </w:p>
        </w:tc>
      </w:tr>
      <w:tr>
        <w:tblPrEx>
          <w:tblCellMar>
            <w:top w:w="0" w:type="dxa"/>
            <w:left w:w="108" w:type="dxa"/>
            <w:bottom w:w="0" w:type="dxa"/>
            <w:right w:w="108" w:type="dxa"/>
          </w:tblCellMar>
        </w:tblPrEx>
        <w:trPr>
          <w:trHeight w:val="312" w:hRule="atLeast"/>
        </w:trPr>
        <w:tc>
          <w:tcPr>
            <w:tcW w:w="1108" w:type="pct"/>
            <w:vMerge w:val="restart"/>
            <w:tcBorders>
              <w:top w:val="nil"/>
              <w:left w:val="single" w:color="000000" w:sz="4" w:space="0"/>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169" w:type="pct"/>
            <w:vMerge w:val="restar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行次</w:t>
            </w:r>
          </w:p>
        </w:tc>
        <w:tc>
          <w:tcPr>
            <w:tcW w:w="485" w:type="pct"/>
            <w:vMerge w:val="restar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w:t>
            </w:r>
          </w:p>
        </w:tc>
        <w:tc>
          <w:tcPr>
            <w:tcW w:w="1207" w:type="pct"/>
            <w:vMerge w:val="restar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169" w:type="pct"/>
            <w:vMerge w:val="restar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行次</w:t>
            </w:r>
          </w:p>
        </w:tc>
        <w:tc>
          <w:tcPr>
            <w:tcW w:w="405" w:type="pct"/>
            <w:vMerge w:val="restar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485" w:type="pct"/>
            <w:vMerge w:val="restar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一般公共预算财政拨款</w:t>
            </w:r>
          </w:p>
        </w:tc>
        <w:tc>
          <w:tcPr>
            <w:tcW w:w="392" w:type="pct"/>
            <w:vMerge w:val="restar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政府性基金预算财政拨款</w:t>
            </w:r>
          </w:p>
        </w:tc>
        <w:tc>
          <w:tcPr>
            <w:tcW w:w="576" w:type="pct"/>
            <w:vMerge w:val="restar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国有资本经营预算财政拨款</w:t>
            </w:r>
          </w:p>
        </w:tc>
      </w:tr>
      <w:tr>
        <w:tblPrEx>
          <w:tblCellMar>
            <w:top w:w="0" w:type="dxa"/>
            <w:left w:w="108" w:type="dxa"/>
            <w:bottom w:w="0" w:type="dxa"/>
            <w:right w:w="108" w:type="dxa"/>
          </w:tblCellMar>
        </w:tblPrEx>
        <w:trPr>
          <w:trHeight w:val="615" w:hRule="atLeast"/>
        </w:trPr>
        <w:tc>
          <w:tcPr>
            <w:tcW w:w="1108" w:type="pct"/>
            <w:vMerge w:val="continue"/>
            <w:tcBorders>
              <w:top w:val="nil"/>
              <w:left w:val="single" w:color="000000" w:sz="4" w:space="0"/>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169" w:type="pct"/>
            <w:vMerge w:val="continue"/>
            <w:tcBorders>
              <w:top w:val="nil"/>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485" w:type="pct"/>
            <w:vMerge w:val="continue"/>
            <w:tcBorders>
              <w:top w:val="nil"/>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1207" w:type="pct"/>
            <w:vMerge w:val="continue"/>
            <w:tcBorders>
              <w:top w:val="nil"/>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169" w:type="pct"/>
            <w:vMerge w:val="continue"/>
            <w:tcBorders>
              <w:top w:val="nil"/>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405" w:type="pct"/>
            <w:vMerge w:val="continue"/>
            <w:tcBorders>
              <w:top w:val="nil"/>
              <w:left w:val="nil"/>
              <w:bottom w:val="single" w:color="000000" w:sz="4" w:space="0"/>
              <w:right w:val="single" w:color="000000" w:sz="4" w:space="0"/>
            </w:tcBorders>
            <w:shd w:val="clear" w:color="auto" w:fill="FFFFFF" w:themeFill="background1"/>
            <w:noWrap/>
            <w:vAlign w:val="center"/>
          </w:tcPr>
          <w:p>
            <w:pPr>
              <w:jc w:val="center"/>
              <w:rPr>
                <w:rFonts w:ascii="宋体" w:hAnsi="宋体" w:eastAsia="宋体" w:cs="宋体"/>
                <w:color w:val="000000"/>
                <w:sz w:val="22"/>
              </w:rPr>
            </w:pPr>
          </w:p>
        </w:tc>
        <w:tc>
          <w:tcPr>
            <w:tcW w:w="485" w:type="pct"/>
            <w:vMerge w:val="continue"/>
            <w:tcBorders>
              <w:top w:val="nil"/>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392" w:type="pct"/>
            <w:vMerge w:val="continue"/>
            <w:tcBorders>
              <w:top w:val="nil"/>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576" w:type="pct"/>
            <w:vMerge w:val="continue"/>
            <w:tcBorders>
              <w:top w:val="nil"/>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r>
      <w:tr>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169" w:type="pct"/>
            <w:tcBorders>
              <w:top w:val="nil"/>
              <w:left w:val="nil"/>
              <w:bottom w:val="single" w:color="000000" w:sz="4" w:space="0"/>
              <w:right w:val="single" w:color="000000" w:sz="4" w:space="0"/>
            </w:tcBorders>
            <w:shd w:val="clear" w:color="auto" w:fill="FFFFFF" w:themeFill="background1"/>
            <w:noWrap/>
            <w:vAlign w:val="center"/>
          </w:tcPr>
          <w:p>
            <w:pPr>
              <w:jc w:val="center"/>
              <w:rPr>
                <w:rFonts w:ascii="宋体" w:hAnsi="宋体" w:eastAsia="宋体" w:cs="宋体"/>
                <w:color w:val="000000"/>
                <w:sz w:val="22"/>
              </w:rPr>
            </w:pPr>
          </w:p>
        </w:tc>
        <w:tc>
          <w:tcPr>
            <w:tcW w:w="485"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120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169" w:type="pct"/>
            <w:tcBorders>
              <w:top w:val="nil"/>
              <w:left w:val="nil"/>
              <w:bottom w:val="single" w:color="000000" w:sz="4" w:space="0"/>
              <w:right w:val="single" w:color="000000" w:sz="4" w:space="0"/>
            </w:tcBorders>
            <w:shd w:val="clear" w:color="auto" w:fill="FFFFFF" w:themeFill="background1"/>
            <w:noWrap/>
            <w:vAlign w:val="center"/>
          </w:tcPr>
          <w:p>
            <w:pPr>
              <w:jc w:val="center"/>
              <w:rPr>
                <w:rFonts w:ascii="宋体" w:hAnsi="宋体" w:eastAsia="宋体" w:cs="宋体"/>
                <w:color w:val="000000"/>
                <w:sz w:val="22"/>
              </w:rPr>
            </w:pPr>
          </w:p>
        </w:tc>
        <w:tc>
          <w:tcPr>
            <w:tcW w:w="405"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392"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576"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r>
      <w:tr>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一、一般公共预算财政拨款</w:t>
            </w: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13,743.82</w:t>
            </w:r>
          </w:p>
        </w:tc>
        <w:tc>
          <w:tcPr>
            <w:tcW w:w="120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一、一般公共服务支出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33</w:t>
            </w:r>
          </w:p>
        </w:tc>
        <w:tc>
          <w:tcPr>
            <w:tcW w:w="40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9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二、政府性基金预算财政拨款</w:t>
            </w: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0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二、外交支出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34</w:t>
            </w:r>
          </w:p>
        </w:tc>
        <w:tc>
          <w:tcPr>
            <w:tcW w:w="40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9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三、国有资本经营预算财政拨款</w:t>
            </w: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0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三、国防支出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35</w:t>
            </w:r>
          </w:p>
        </w:tc>
        <w:tc>
          <w:tcPr>
            <w:tcW w:w="40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9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四、公共安全支出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36</w:t>
            </w:r>
          </w:p>
        </w:tc>
        <w:tc>
          <w:tcPr>
            <w:tcW w:w="40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12,773.14</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12,773.14</w:t>
            </w:r>
          </w:p>
        </w:tc>
        <w:tc>
          <w:tcPr>
            <w:tcW w:w="39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五、教育支出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37</w:t>
            </w:r>
          </w:p>
        </w:tc>
        <w:tc>
          <w:tcPr>
            <w:tcW w:w="40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9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六、科学技术支出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38</w:t>
            </w:r>
          </w:p>
        </w:tc>
        <w:tc>
          <w:tcPr>
            <w:tcW w:w="40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9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七、文化旅游体育与传媒支出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39</w:t>
            </w:r>
          </w:p>
        </w:tc>
        <w:tc>
          <w:tcPr>
            <w:tcW w:w="40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9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8</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八、社会保障和就业支出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40</w:t>
            </w:r>
          </w:p>
        </w:tc>
        <w:tc>
          <w:tcPr>
            <w:tcW w:w="40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560.29</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560.29</w:t>
            </w:r>
          </w:p>
        </w:tc>
        <w:tc>
          <w:tcPr>
            <w:tcW w:w="39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9</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九、卫生健康支出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41</w:t>
            </w:r>
          </w:p>
        </w:tc>
        <w:tc>
          <w:tcPr>
            <w:tcW w:w="40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232.46</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232.46</w:t>
            </w:r>
          </w:p>
        </w:tc>
        <w:tc>
          <w:tcPr>
            <w:tcW w:w="39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10</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十、节能环保支出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42</w:t>
            </w:r>
          </w:p>
        </w:tc>
        <w:tc>
          <w:tcPr>
            <w:tcW w:w="40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9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11</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十一、城乡社区支出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43</w:t>
            </w:r>
          </w:p>
        </w:tc>
        <w:tc>
          <w:tcPr>
            <w:tcW w:w="40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9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12</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十二、农林水支出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44</w:t>
            </w:r>
          </w:p>
        </w:tc>
        <w:tc>
          <w:tcPr>
            <w:tcW w:w="40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9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13</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十三、交通运输支出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45</w:t>
            </w:r>
          </w:p>
        </w:tc>
        <w:tc>
          <w:tcPr>
            <w:tcW w:w="40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177.93</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177.93</w:t>
            </w:r>
          </w:p>
        </w:tc>
        <w:tc>
          <w:tcPr>
            <w:tcW w:w="39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14</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十四、资源勘探工业信息等支出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46</w:t>
            </w:r>
          </w:p>
        </w:tc>
        <w:tc>
          <w:tcPr>
            <w:tcW w:w="40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9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15</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十五、商业服务业等支出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47</w:t>
            </w:r>
          </w:p>
        </w:tc>
        <w:tc>
          <w:tcPr>
            <w:tcW w:w="40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9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16</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十六、金融支出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48</w:t>
            </w:r>
          </w:p>
        </w:tc>
        <w:tc>
          <w:tcPr>
            <w:tcW w:w="40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9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17</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十七、援助其他地区支出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49</w:t>
            </w:r>
          </w:p>
        </w:tc>
        <w:tc>
          <w:tcPr>
            <w:tcW w:w="40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9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18</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十八、自然资源海洋气象等支出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50</w:t>
            </w:r>
          </w:p>
        </w:tc>
        <w:tc>
          <w:tcPr>
            <w:tcW w:w="40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9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19</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十九、住房保障支出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51</w:t>
            </w:r>
          </w:p>
        </w:tc>
        <w:tc>
          <w:tcPr>
            <w:tcW w:w="40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9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20</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二十、粮油物资储备支出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52</w:t>
            </w:r>
          </w:p>
        </w:tc>
        <w:tc>
          <w:tcPr>
            <w:tcW w:w="40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9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21</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二十一、国有资本经营预算支出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53</w:t>
            </w:r>
          </w:p>
        </w:tc>
        <w:tc>
          <w:tcPr>
            <w:tcW w:w="40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9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22</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二十二、灾害防治及应急管理支出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54</w:t>
            </w:r>
          </w:p>
        </w:tc>
        <w:tc>
          <w:tcPr>
            <w:tcW w:w="40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9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23</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二十三、其他支出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55</w:t>
            </w:r>
          </w:p>
        </w:tc>
        <w:tc>
          <w:tcPr>
            <w:tcW w:w="40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9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pPr>
              <w:jc w:val="center"/>
              <w:rPr>
                <w:rFonts w:ascii="宋体" w:hAnsi="宋体" w:eastAsia="宋体" w:cs="宋体"/>
                <w:b/>
                <w:bCs/>
                <w:color w:val="000000"/>
                <w:sz w:val="20"/>
                <w:szCs w:val="20"/>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24</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二十四、债务还本支出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56</w:t>
            </w:r>
          </w:p>
        </w:tc>
        <w:tc>
          <w:tcPr>
            <w:tcW w:w="40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9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color w:val="000000"/>
                <w:sz w:val="20"/>
                <w:szCs w:val="20"/>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25</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二十五、债务付息支出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57</w:t>
            </w:r>
          </w:p>
        </w:tc>
        <w:tc>
          <w:tcPr>
            <w:tcW w:w="40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9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color w:val="000000"/>
                <w:sz w:val="20"/>
                <w:szCs w:val="20"/>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26</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120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二十六、抗疫特别国债安排的支出</w:t>
            </w: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58</w:t>
            </w:r>
          </w:p>
        </w:tc>
        <w:tc>
          <w:tcPr>
            <w:tcW w:w="40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9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本年收入合计</w:t>
            </w: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27</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13,743.82</w:t>
            </w:r>
          </w:p>
        </w:tc>
        <w:tc>
          <w:tcPr>
            <w:tcW w:w="120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本年支出合计</w:t>
            </w: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59</w:t>
            </w:r>
          </w:p>
        </w:tc>
        <w:tc>
          <w:tcPr>
            <w:tcW w:w="40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13,743.82</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13,743.82</w:t>
            </w:r>
          </w:p>
        </w:tc>
        <w:tc>
          <w:tcPr>
            <w:tcW w:w="39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年初财政拨款结转和结余</w:t>
            </w: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28</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07"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年末财政拨款结转和结余</w:t>
            </w: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60</w:t>
            </w:r>
          </w:p>
        </w:tc>
        <w:tc>
          <w:tcPr>
            <w:tcW w:w="40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9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一般公共预算财政拨款</w:t>
            </w: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29</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07" w:type="pct"/>
            <w:tcBorders>
              <w:top w:val="nil"/>
              <w:left w:val="nil"/>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61</w:t>
            </w:r>
          </w:p>
        </w:tc>
        <w:tc>
          <w:tcPr>
            <w:tcW w:w="405"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485"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392"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576"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政府性基金预算财政拨款</w:t>
            </w: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30</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07" w:type="pct"/>
            <w:tcBorders>
              <w:top w:val="nil"/>
              <w:left w:val="nil"/>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62</w:t>
            </w:r>
          </w:p>
        </w:tc>
        <w:tc>
          <w:tcPr>
            <w:tcW w:w="405"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485"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392"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576"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国有资本经营预算财政拨款</w:t>
            </w: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31</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07" w:type="pct"/>
            <w:tcBorders>
              <w:top w:val="nil"/>
              <w:left w:val="nil"/>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color w:val="000000"/>
                <w:sz w:val="22"/>
              </w:rPr>
            </w:pP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63</w:t>
            </w:r>
          </w:p>
        </w:tc>
        <w:tc>
          <w:tcPr>
            <w:tcW w:w="405"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485"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392"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576"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trHeight w:val="308" w:hRule="atLeast"/>
        </w:trPr>
        <w:tc>
          <w:tcPr>
            <w:tcW w:w="1108"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总计</w:t>
            </w: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32</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13,743.82</w:t>
            </w:r>
          </w:p>
        </w:tc>
        <w:tc>
          <w:tcPr>
            <w:tcW w:w="120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总计</w:t>
            </w:r>
          </w:p>
        </w:tc>
        <w:tc>
          <w:tcPr>
            <w:tcW w:w="16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64</w:t>
            </w:r>
          </w:p>
        </w:tc>
        <w:tc>
          <w:tcPr>
            <w:tcW w:w="40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13,743.82</w:t>
            </w:r>
          </w:p>
        </w:tc>
        <w:tc>
          <w:tcPr>
            <w:tcW w:w="48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13,743.82</w:t>
            </w:r>
          </w:p>
        </w:tc>
        <w:tc>
          <w:tcPr>
            <w:tcW w:w="39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57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4423" w:type="pct"/>
            <w:gridSpan w:val="8"/>
            <w:tcBorders>
              <w:top w:val="nil"/>
              <w:left w:val="nil"/>
              <w:bottom w:val="nil"/>
              <w:right w:val="nil"/>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注：本表反映部门本年度一般公共预算财政拨款、政府性基金预算财政拨款和国有资本经营预算财政拨款的总收支和年末结转结余情况。</w:t>
            </w:r>
          </w:p>
        </w:tc>
        <w:tc>
          <w:tcPr>
            <w:tcW w:w="576" w:type="pct"/>
            <w:tcBorders>
              <w:top w:val="nil"/>
              <w:left w:val="nil"/>
              <w:bottom w:val="nil"/>
              <w:right w:val="nil"/>
            </w:tcBorders>
            <w:shd w:val="clear" w:color="auto" w:fill="FFFFFF" w:themeFill="background1"/>
            <w:noWrap/>
            <w:vAlign w:val="center"/>
          </w:tcPr>
          <w:p>
            <w:pPr>
              <w:jc w:val="left"/>
              <w:rPr>
                <w:rFonts w:ascii="宋体" w:hAnsi="宋体" w:eastAsia="宋体" w:cs="宋体"/>
                <w:color w:val="000000"/>
                <w:sz w:val="20"/>
                <w:szCs w:val="20"/>
              </w:rPr>
            </w:pPr>
          </w:p>
        </w:tc>
      </w:tr>
    </w:tbl>
    <w:p>
      <w:pPr>
        <w:widowControl/>
        <w:rPr>
          <w:rFonts w:ascii="Times New Roman" w:hAnsi="Times New Roman" w:eastAsia="方正小标宋_GBK" w:cs="Times New Roman"/>
          <w:color w:val="000000"/>
          <w:kern w:val="0"/>
          <w:sz w:val="36"/>
          <w:szCs w:val="36"/>
        </w:rPr>
      </w:pPr>
    </w:p>
    <w:p>
      <w:pPr>
        <w:widowControl/>
        <w:rPr>
          <w:rFonts w:ascii="Times New Roman" w:hAnsi="Times New Roman" w:eastAsia="方正小标宋_GBK" w:cs="Times New Roman"/>
          <w:color w:val="000000"/>
          <w:kern w:val="0"/>
          <w:sz w:val="36"/>
          <w:szCs w:val="21"/>
        </w:rPr>
      </w:pPr>
    </w:p>
    <w:p>
      <w:pPr>
        <w:widowControl/>
        <w:jc w:val="center"/>
        <w:rPr>
          <w:rFonts w:ascii="Times New Roman" w:hAnsi="Times New Roman" w:eastAsia="方正小标宋_GBK" w:cs="Times New Roman"/>
          <w:kern w:val="0"/>
          <w:sz w:val="36"/>
          <w:szCs w:val="36"/>
        </w:rPr>
      </w:pPr>
      <w:bookmarkStart w:id="0" w:name="RANGE!A1:I22"/>
      <w:bookmarkEnd w:id="0"/>
      <w:bookmarkStart w:id="1" w:name="RANGE!A1:F16"/>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tbl>
      <w:tblPr>
        <w:tblStyle w:val="5"/>
        <w:tblW w:w="5000" w:type="pct"/>
        <w:tblInd w:w="0" w:type="dxa"/>
        <w:shd w:val="clear" w:color="auto" w:fill="FFFFFF" w:themeFill="background1"/>
        <w:tblLayout w:type="autofit"/>
        <w:tblCellMar>
          <w:top w:w="0" w:type="dxa"/>
          <w:left w:w="108" w:type="dxa"/>
          <w:bottom w:w="0" w:type="dxa"/>
          <w:right w:w="108" w:type="dxa"/>
        </w:tblCellMar>
      </w:tblPr>
      <w:tblGrid>
        <w:gridCol w:w="4299"/>
        <w:gridCol w:w="297"/>
        <w:gridCol w:w="297"/>
        <w:gridCol w:w="5293"/>
        <w:gridCol w:w="1674"/>
        <w:gridCol w:w="1524"/>
        <w:gridCol w:w="2230"/>
      </w:tblGrid>
      <w:tr>
        <w:tblPrEx>
          <w:shd w:val="clear" w:color="auto" w:fill="FFFFFF" w:themeFill="background1"/>
          <w:tblCellMar>
            <w:top w:w="0" w:type="dxa"/>
            <w:left w:w="108" w:type="dxa"/>
            <w:bottom w:w="0" w:type="dxa"/>
            <w:right w:w="108" w:type="dxa"/>
          </w:tblCellMar>
        </w:tblPrEx>
        <w:trPr>
          <w:trHeight w:val="390" w:hRule="atLeast"/>
        </w:trPr>
        <w:tc>
          <w:tcPr>
            <w:tcW w:w="5000" w:type="pct"/>
            <w:gridSpan w:val="7"/>
            <w:tcBorders>
              <w:top w:val="nil"/>
              <w:left w:val="nil"/>
              <w:bottom w:val="nil"/>
              <w:right w:val="nil"/>
            </w:tcBorders>
            <w:shd w:val="clear" w:color="auto" w:fill="FFFFFF" w:themeFill="background1"/>
            <w:noWrap/>
            <w:vAlign w:val="bottom"/>
          </w:tcPr>
          <w:p>
            <w:pPr>
              <w:widowControl/>
              <w:jc w:val="center"/>
              <w:textAlignment w:val="bottom"/>
              <w:rPr>
                <w:rFonts w:ascii="宋体" w:hAnsi="宋体" w:eastAsia="宋体" w:cs="宋体"/>
                <w:color w:val="000000"/>
                <w:sz w:val="30"/>
                <w:szCs w:val="30"/>
              </w:rPr>
            </w:pPr>
            <w:r>
              <w:rPr>
                <w:rFonts w:hint="eastAsia" w:ascii="宋体" w:hAnsi="宋体" w:eastAsia="宋体" w:cs="宋体"/>
                <w:color w:val="000000"/>
                <w:kern w:val="0"/>
                <w:sz w:val="30"/>
                <w:szCs w:val="30"/>
              </w:rPr>
              <w:t>一般公共预算财政拨款支出决算表</w:t>
            </w:r>
          </w:p>
        </w:tc>
      </w:tr>
      <w:tr>
        <w:tblPrEx>
          <w:tblCellMar>
            <w:top w:w="0" w:type="dxa"/>
            <w:left w:w="108" w:type="dxa"/>
            <w:bottom w:w="0" w:type="dxa"/>
            <w:right w:w="108" w:type="dxa"/>
          </w:tblCellMar>
        </w:tblPrEx>
        <w:trPr>
          <w:trHeight w:val="255" w:hRule="atLeast"/>
        </w:trPr>
        <w:tc>
          <w:tcPr>
            <w:tcW w:w="1377"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95"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95"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1694"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536"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488"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712" w:type="pct"/>
            <w:tcBorders>
              <w:top w:val="nil"/>
              <w:left w:val="nil"/>
              <w:bottom w:val="nil"/>
              <w:right w:val="nil"/>
            </w:tcBorders>
            <w:shd w:val="clear" w:color="auto" w:fill="FFFFFF" w:themeFill="background1"/>
            <w:noWrap/>
            <w:vAlign w:val="bottom"/>
          </w:tcPr>
          <w:p>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公开05表</w:t>
            </w:r>
          </w:p>
        </w:tc>
      </w:tr>
      <w:tr>
        <w:tblPrEx>
          <w:tblCellMar>
            <w:top w:w="0" w:type="dxa"/>
            <w:left w:w="108" w:type="dxa"/>
            <w:bottom w:w="0" w:type="dxa"/>
            <w:right w:w="108" w:type="dxa"/>
          </w:tblCellMar>
        </w:tblPrEx>
        <w:trPr>
          <w:trHeight w:val="255" w:hRule="atLeast"/>
        </w:trPr>
        <w:tc>
          <w:tcPr>
            <w:tcW w:w="1377" w:type="pct"/>
            <w:tcBorders>
              <w:top w:val="nil"/>
              <w:left w:val="nil"/>
              <w:bottom w:val="nil"/>
              <w:right w:val="nil"/>
            </w:tcBorders>
            <w:shd w:val="clear" w:color="auto" w:fill="FFFFFF" w:themeFill="background1"/>
            <w:noWrap/>
            <w:vAlign w:val="bottom"/>
          </w:tcPr>
          <w:p>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部门：怀化市公安局交通警察支队</w:t>
            </w:r>
          </w:p>
        </w:tc>
        <w:tc>
          <w:tcPr>
            <w:tcW w:w="95"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95"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1694"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536"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488"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712" w:type="pct"/>
            <w:tcBorders>
              <w:top w:val="nil"/>
              <w:left w:val="nil"/>
              <w:bottom w:val="nil"/>
              <w:right w:val="nil"/>
            </w:tcBorders>
            <w:shd w:val="clear" w:color="auto" w:fill="FFFFFF" w:themeFill="background1"/>
            <w:noWrap/>
            <w:vAlign w:val="bottom"/>
          </w:tcPr>
          <w:p>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tblPrEx>
          <w:tblCellMar>
            <w:top w:w="0" w:type="dxa"/>
            <w:left w:w="108" w:type="dxa"/>
            <w:bottom w:w="0" w:type="dxa"/>
            <w:right w:w="108" w:type="dxa"/>
          </w:tblCellMar>
        </w:tblPrEx>
        <w:trPr>
          <w:trHeight w:val="308" w:hRule="atLeast"/>
        </w:trPr>
        <w:tc>
          <w:tcPr>
            <w:tcW w:w="3262" w:type="pct"/>
            <w:gridSpan w:val="4"/>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1737" w:type="pct"/>
            <w:gridSpan w:val="3"/>
            <w:tcBorders>
              <w:top w:val="single" w:color="000000" w:sz="4" w:space="0"/>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本年支出</w:t>
            </w:r>
          </w:p>
        </w:tc>
      </w:tr>
      <w:tr>
        <w:tblPrEx>
          <w:tblCellMar>
            <w:top w:w="0" w:type="dxa"/>
            <w:left w:w="108" w:type="dxa"/>
            <w:bottom w:w="0" w:type="dxa"/>
            <w:right w:w="108" w:type="dxa"/>
          </w:tblCellMar>
        </w:tblPrEx>
        <w:trPr>
          <w:trHeight w:val="312" w:hRule="atLeast"/>
        </w:trPr>
        <w:tc>
          <w:tcPr>
            <w:tcW w:w="1567" w:type="pct"/>
            <w:gridSpan w:val="3"/>
            <w:vMerge w:val="restart"/>
            <w:tcBorders>
              <w:top w:val="nil"/>
              <w:left w:val="single" w:color="000000" w:sz="4" w:space="0"/>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科目代码</w:t>
            </w:r>
          </w:p>
        </w:tc>
        <w:tc>
          <w:tcPr>
            <w:tcW w:w="1694" w:type="pct"/>
            <w:vMerge w:val="restar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536" w:type="pct"/>
            <w:vMerge w:val="restar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小计</w:t>
            </w:r>
          </w:p>
        </w:tc>
        <w:tc>
          <w:tcPr>
            <w:tcW w:w="488" w:type="pct"/>
            <w:vMerge w:val="restar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基本支出</w:t>
            </w:r>
          </w:p>
        </w:tc>
        <w:tc>
          <w:tcPr>
            <w:tcW w:w="712" w:type="pct"/>
            <w:vMerge w:val="restar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项目支出</w:t>
            </w:r>
          </w:p>
        </w:tc>
      </w:tr>
      <w:tr>
        <w:tblPrEx>
          <w:tblCellMar>
            <w:top w:w="0" w:type="dxa"/>
            <w:left w:w="108" w:type="dxa"/>
            <w:bottom w:w="0" w:type="dxa"/>
            <w:right w:w="108" w:type="dxa"/>
          </w:tblCellMar>
        </w:tblPrEx>
        <w:trPr>
          <w:trHeight w:val="312" w:hRule="atLeast"/>
        </w:trPr>
        <w:tc>
          <w:tcPr>
            <w:tcW w:w="1567" w:type="pct"/>
            <w:gridSpan w:val="3"/>
            <w:vMerge w:val="continue"/>
            <w:tcBorders>
              <w:top w:val="nil"/>
              <w:left w:val="single" w:color="000000" w:sz="4" w:space="0"/>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1694" w:type="pct"/>
            <w:vMerge w:val="continue"/>
            <w:tcBorders>
              <w:top w:val="nil"/>
              <w:left w:val="nil"/>
              <w:bottom w:val="single" w:color="000000" w:sz="4" w:space="0"/>
              <w:right w:val="single" w:color="000000" w:sz="4" w:space="0"/>
            </w:tcBorders>
            <w:shd w:val="clear" w:color="auto" w:fill="FFFFFF" w:themeFill="background1"/>
            <w:noWrap/>
            <w:vAlign w:val="center"/>
          </w:tcPr>
          <w:p>
            <w:pPr>
              <w:jc w:val="center"/>
              <w:rPr>
                <w:rFonts w:ascii="宋体" w:hAnsi="宋体" w:eastAsia="宋体" w:cs="宋体"/>
                <w:color w:val="000000"/>
                <w:sz w:val="22"/>
              </w:rPr>
            </w:pPr>
          </w:p>
        </w:tc>
        <w:tc>
          <w:tcPr>
            <w:tcW w:w="536" w:type="pct"/>
            <w:vMerge w:val="continue"/>
            <w:tcBorders>
              <w:top w:val="nil"/>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488" w:type="pct"/>
            <w:vMerge w:val="continue"/>
            <w:tcBorders>
              <w:top w:val="nil"/>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712" w:type="pct"/>
            <w:vMerge w:val="continue"/>
            <w:tcBorders>
              <w:top w:val="nil"/>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r>
      <w:tr>
        <w:tblPrEx>
          <w:tblCellMar>
            <w:top w:w="0" w:type="dxa"/>
            <w:left w:w="108" w:type="dxa"/>
            <w:bottom w:w="0" w:type="dxa"/>
            <w:right w:w="108" w:type="dxa"/>
          </w:tblCellMar>
        </w:tblPrEx>
        <w:trPr>
          <w:trHeight w:val="312" w:hRule="atLeast"/>
        </w:trPr>
        <w:tc>
          <w:tcPr>
            <w:tcW w:w="1567" w:type="pct"/>
            <w:gridSpan w:val="3"/>
            <w:vMerge w:val="continue"/>
            <w:tcBorders>
              <w:top w:val="nil"/>
              <w:left w:val="single" w:color="000000" w:sz="4" w:space="0"/>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1694" w:type="pct"/>
            <w:vMerge w:val="continue"/>
            <w:tcBorders>
              <w:top w:val="nil"/>
              <w:left w:val="nil"/>
              <w:bottom w:val="single" w:color="000000" w:sz="4" w:space="0"/>
              <w:right w:val="single" w:color="000000" w:sz="4" w:space="0"/>
            </w:tcBorders>
            <w:shd w:val="clear" w:color="auto" w:fill="FFFFFF" w:themeFill="background1"/>
            <w:noWrap/>
            <w:vAlign w:val="center"/>
          </w:tcPr>
          <w:p>
            <w:pPr>
              <w:jc w:val="center"/>
              <w:rPr>
                <w:rFonts w:ascii="宋体" w:hAnsi="宋体" w:eastAsia="宋体" w:cs="宋体"/>
                <w:color w:val="000000"/>
                <w:sz w:val="22"/>
              </w:rPr>
            </w:pPr>
          </w:p>
        </w:tc>
        <w:tc>
          <w:tcPr>
            <w:tcW w:w="536" w:type="pct"/>
            <w:vMerge w:val="continue"/>
            <w:tcBorders>
              <w:top w:val="nil"/>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488" w:type="pct"/>
            <w:vMerge w:val="continue"/>
            <w:tcBorders>
              <w:top w:val="nil"/>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712" w:type="pct"/>
            <w:vMerge w:val="continue"/>
            <w:tcBorders>
              <w:top w:val="nil"/>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r>
      <w:tr>
        <w:tblPrEx>
          <w:tblCellMar>
            <w:top w:w="0" w:type="dxa"/>
            <w:left w:w="108" w:type="dxa"/>
            <w:bottom w:w="0" w:type="dxa"/>
            <w:right w:w="108" w:type="dxa"/>
          </w:tblCellMar>
        </w:tblPrEx>
        <w:trPr>
          <w:trHeight w:val="308" w:hRule="atLeast"/>
        </w:trPr>
        <w:tc>
          <w:tcPr>
            <w:tcW w:w="3262" w:type="pct"/>
            <w:gridSpan w:val="4"/>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536"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488"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712"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r>
      <w:tr>
        <w:tblPrEx>
          <w:tblCellMar>
            <w:top w:w="0" w:type="dxa"/>
            <w:left w:w="108" w:type="dxa"/>
            <w:bottom w:w="0" w:type="dxa"/>
            <w:right w:w="108" w:type="dxa"/>
          </w:tblCellMar>
        </w:tblPrEx>
        <w:trPr>
          <w:trHeight w:val="308" w:hRule="atLeast"/>
        </w:trPr>
        <w:tc>
          <w:tcPr>
            <w:tcW w:w="3262" w:type="pct"/>
            <w:gridSpan w:val="4"/>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53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13,743.82</w:t>
            </w:r>
          </w:p>
        </w:tc>
        <w:tc>
          <w:tcPr>
            <w:tcW w:w="48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6,005.64</w:t>
            </w:r>
          </w:p>
        </w:tc>
        <w:tc>
          <w:tcPr>
            <w:tcW w:w="71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7,738.19</w:t>
            </w:r>
          </w:p>
        </w:tc>
      </w:tr>
      <w:tr>
        <w:tblPrEx>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w:t>
            </w:r>
          </w:p>
        </w:tc>
        <w:tc>
          <w:tcPr>
            <w:tcW w:w="169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公共安全支出</w:t>
            </w:r>
          </w:p>
        </w:tc>
        <w:tc>
          <w:tcPr>
            <w:tcW w:w="53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12,773.14</w:t>
            </w:r>
          </w:p>
        </w:tc>
        <w:tc>
          <w:tcPr>
            <w:tcW w:w="48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5,242.88</w:t>
            </w:r>
          </w:p>
        </w:tc>
        <w:tc>
          <w:tcPr>
            <w:tcW w:w="71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7,530.26</w:t>
            </w:r>
          </w:p>
        </w:tc>
      </w:tr>
      <w:tr>
        <w:tblPrEx>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w:t>
            </w:r>
          </w:p>
        </w:tc>
        <w:tc>
          <w:tcPr>
            <w:tcW w:w="169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公安</w:t>
            </w:r>
          </w:p>
        </w:tc>
        <w:tc>
          <w:tcPr>
            <w:tcW w:w="53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12,773.14</w:t>
            </w:r>
          </w:p>
        </w:tc>
        <w:tc>
          <w:tcPr>
            <w:tcW w:w="48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5,242.88</w:t>
            </w:r>
          </w:p>
        </w:tc>
        <w:tc>
          <w:tcPr>
            <w:tcW w:w="71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7,530.26</w:t>
            </w:r>
          </w:p>
        </w:tc>
      </w:tr>
      <w:tr>
        <w:tblPrEx>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2040201</w:t>
            </w:r>
          </w:p>
        </w:tc>
        <w:tc>
          <w:tcPr>
            <w:tcW w:w="169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53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4,346.60</w:t>
            </w:r>
          </w:p>
        </w:tc>
        <w:tc>
          <w:tcPr>
            <w:tcW w:w="48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4,317.06</w:t>
            </w:r>
          </w:p>
        </w:tc>
        <w:tc>
          <w:tcPr>
            <w:tcW w:w="71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29.54</w:t>
            </w:r>
          </w:p>
        </w:tc>
      </w:tr>
      <w:tr>
        <w:tblPrEx>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2040202</w:t>
            </w:r>
          </w:p>
        </w:tc>
        <w:tc>
          <w:tcPr>
            <w:tcW w:w="169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53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170.00</w:t>
            </w:r>
          </w:p>
        </w:tc>
        <w:tc>
          <w:tcPr>
            <w:tcW w:w="48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1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170.00</w:t>
            </w:r>
          </w:p>
        </w:tc>
      </w:tr>
      <w:tr>
        <w:tblPrEx>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2040220</w:t>
            </w:r>
          </w:p>
        </w:tc>
        <w:tc>
          <w:tcPr>
            <w:tcW w:w="169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执法办案</w:t>
            </w:r>
          </w:p>
        </w:tc>
        <w:tc>
          <w:tcPr>
            <w:tcW w:w="53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1,332.00</w:t>
            </w:r>
          </w:p>
        </w:tc>
        <w:tc>
          <w:tcPr>
            <w:tcW w:w="48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1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1,332.00</w:t>
            </w:r>
          </w:p>
        </w:tc>
      </w:tr>
      <w:tr>
        <w:tblPrEx>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2040299</w:t>
            </w:r>
          </w:p>
        </w:tc>
        <w:tc>
          <w:tcPr>
            <w:tcW w:w="169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其他公安支出</w:t>
            </w:r>
          </w:p>
        </w:tc>
        <w:tc>
          <w:tcPr>
            <w:tcW w:w="53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6,924.54</w:t>
            </w:r>
          </w:p>
        </w:tc>
        <w:tc>
          <w:tcPr>
            <w:tcW w:w="48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925.82</w:t>
            </w:r>
          </w:p>
        </w:tc>
        <w:tc>
          <w:tcPr>
            <w:tcW w:w="71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5,998.71</w:t>
            </w:r>
          </w:p>
        </w:tc>
      </w:tr>
      <w:tr>
        <w:tblPrEx>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w:t>
            </w:r>
          </w:p>
        </w:tc>
        <w:tc>
          <w:tcPr>
            <w:tcW w:w="169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社会保障和就业支出</w:t>
            </w:r>
          </w:p>
        </w:tc>
        <w:tc>
          <w:tcPr>
            <w:tcW w:w="53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560.29</w:t>
            </w:r>
          </w:p>
        </w:tc>
        <w:tc>
          <w:tcPr>
            <w:tcW w:w="48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560.29</w:t>
            </w:r>
          </w:p>
        </w:tc>
        <w:tc>
          <w:tcPr>
            <w:tcW w:w="71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w:t>
            </w:r>
          </w:p>
        </w:tc>
        <w:tc>
          <w:tcPr>
            <w:tcW w:w="169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行政事业单位养老支出</w:t>
            </w:r>
          </w:p>
        </w:tc>
        <w:tc>
          <w:tcPr>
            <w:tcW w:w="53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560.29</w:t>
            </w:r>
          </w:p>
        </w:tc>
        <w:tc>
          <w:tcPr>
            <w:tcW w:w="48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560.29</w:t>
            </w:r>
          </w:p>
        </w:tc>
        <w:tc>
          <w:tcPr>
            <w:tcW w:w="71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2080505</w:t>
            </w:r>
          </w:p>
        </w:tc>
        <w:tc>
          <w:tcPr>
            <w:tcW w:w="169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机关事业单位基本养老保险缴费支出</w:t>
            </w:r>
          </w:p>
        </w:tc>
        <w:tc>
          <w:tcPr>
            <w:tcW w:w="53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402.92</w:t>
            </w:r>
          </w:p>
        </w:tc>
        <w:tc>
          <w:tcPr>
            <w:tcW w:w="48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402.92</w:t>
            </w:r>
          </w:p>
        </w:tc>
        <w:tc>
          <w:tcPr>
            <w:tcW w:w="71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2080599</w:t>
            </w:r>
          </w:p>
        </w:tc>
        <w:tc>
          <w:tcPr>
            <w:tcW w:w="169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其他行政事业单位养老支出</w:t>
            </w:r>
          </w:p>
        </w:tc>
        <w:tc>
          <w:tcPr>
            <w:tcW w:w="53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157.38</w:t>
            </w:r>
          </w:p>
        </w:tc>
        <w:tc>
          <w:tcPr>
            <w:tcW w:w="48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157.38</w:t>
            </w:r>
          </w:p>
        </w:tc>
        <w:tc>
          <w:tcPr>
            <w:tcW w:w="71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w:t>
            </w:r>
          </w:p>
        </w:tc>
        <w:tc>
          <w:tcPr>
            <w:tcW w:w="169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卫生健康支出</w:t>
            </w:r>
          </w:p>
        </w:tc>
        <w:tc>
          <w:tcPr>
            <w:tcW w:w="53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232.46</w:t>
            </w:r>
          </w:p>
        </w:tc>
        <w:tc>
          <w:tcPr>
            <w:tcW w:w="48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202.46</w:t>
            </w:r>
          </w:p>
        </w:tc>
        <w:tc>
          <w:tcPr>
            <w:tcW w:w="71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30.00</w:t>
            </w:r>
          </w:p>
        </w:tc>
      </w:tr>
      <w:tr>
        <w:tblPrEx>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w:t>
            </w:r>
          </w:p>
        </w:tc>
        <w:tc>
          <w:tcPr>
            <w:tcW w:w="169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公共卫生</w:t>
            </w:r>
          </w:p>
        </w:tc>
        <w:tc>
          <w:tcPr>
            <w:tcW w:w="53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30.00</w:t>
            </w:r>
          </w:p>
        </w:tc>
        <w:tc>
          <w:tcPr>
            <w:tcW w:w="48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1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30.00</w:t>
            </w:r>
          </w:p>
        </w:tc>
      </w:tr>
      <w:tr>
        <w:tblPrEx>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2100410</w:t>
            </w:r>
          </w:p>
        </w:tc>
        <w:tc>
          <w:tcPr>
            <w:tcW w:w="169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突发公共卫生事件应急处理</w:t>
            </w:r>
          </w:p>
        </w:tc>
        <w:tc>
          <w:tcPr>
            <w:tcW w:w="53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30.00</w:t>
            </w:r>
          </w:p>
        </w:tc>
        <w:tc>
          <w:tcPr>
            <w:tcW w:w="48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1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30.00</w:t>
            </w:r>
          </w:p>
        </w:tc>
      </w:tr>
      <w:tr>
        <w:tblPrEx>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w:t>
            </w:r>
          </w:p>
        </w:tc>
        <w:tc>
          <w:tcPr>
            <w:tcW w:w="169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行政事业单位医疗</w:t>
            </w:r>
          </w:p>
        </w:tc>
        <w:tc>
          <w:tcPr>
            <w:tcW w:w="53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201.46</w:t>
            </w:r>
          </w:p>
        </w:tc>
        <w:tc>
          <w:tcPr>
            <w:tcW w:w="48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201.46</w:t>
            </w:r>
          </w:p>
        </w:tc>
        <w:tc>
          <w:tcPr>
            <w:tcW w:w="71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2101101</w:t>
            </w:r>
          </w:p>
        </w:tc>
        <w:tc>
          <w:tcPr>
            <w:tcW w:w="169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行政单位医疗</w:t>
            </w:r>
          </w:p>
        </w:tc>
        <w:tc>
          <w:tcPr>
            <w:tcW w:w="53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201.46</w:t>
            </w:r>
          </w:p>
        </w:tc>
        <w:tc>
          <w:tcPr>
            <w:tcW w:w="48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201.46</w:t>
            </w:r>
          </w:p>
        </w:tc>
        <w:tc>
          <w:tcPr>
            <w:tcW w:w="71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21013</w:t>
            </w:r>
          </w:p>
        </w:tc>
        <w:tc>
          <w:tcPr>
            <w:tcW w:w="169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医疗救助</w:t>
            </w:r>
          </w:p>
        </w:tc>
        <w:tc>
          <w:tcPr>
            <w:tcW w:w="53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48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71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2101301</w:t>
            </w:r>
          </w:p>
        </w:tc>
        <w:tc>
          <w:tcPr>
            <w:tcW w:w="169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城乡医疗救助</w:t>
            </w:r>
          </w:p>
        </w:tc>
        <w:tc>
          <w:tcPr>
            <w:tcW w:w="53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48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71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w:t>
            </w:r>
          </w:p>
        </w:tc>
        <w:tc>
          <w:tcPr>
            <w:tcW w:w="169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交通运输支出</w:t>
            </w:r>
          </w:p>
        </w:tc>
        <w:tc>
          <w:tcPr>
            <w:tcW w:w="53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177.93</w:t>
            </w:r>
          </w:p>
        </w:tc>
        <w:tc>
          <w:tcPr>
            <w:tcW w:w="48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1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177.93</w:t>
            </w:r>
          </w:p>
        </w:tc>
      </w:tr>
      <w:tr>
        <w:tblPrEx>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21499</w:t>
            </w:r>
          </w:p>
        </w:tc>
        <w:tc>
          <w:tcPr>
            <w:tcW w:w="169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其他交通运输支出</w:t>
            </w:r>
          </w:p>
        </w:tc>
        <w:tc>
          <w:tcPr>
            <w:tcW w:w="53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177.93</w:t>
            </w:r>
          </w:p>
        </w:tc>
        <w:tc>
          <w:tcPr>
            <w:tcW w:w="48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1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177.93</w:t>
            </w:r>
          </w:p>
        </w:tc>
      </w:tr>
      <w:tr>
        <w:tblPrEx>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2149999</w:t>
            </w:r>
          </w:p>
        </w:tc>
        <w:tc>
          <w:tcPr>
            <w:tcW w:w="169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其他交通运输支出</w:t>
            </w:r>
          </w:p>
        </w:tc>
        <w:tc>
          <w:tcPr>
            <w:tcW w:w="536"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177.93</w:t>
            </w:r>
          </w:p>
        </w:tc>
        <w:tc>
          <w:tcPr>
            <w:tcW w:w="488"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12"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177.93</w:t>
            </w:r>
          </w:p>
        </w:tc>
      </w:tr>
      <w:tr>
        <w:tblPrEx>
          <w:tblCellMar>
            <w:top w:w="0" w:type="dxa"/>
            <w:left w:w="108" w:type="dxa"/>
            <w:bottom w:w="0" w:type="dxa"/>
            <w:right w:w="108" w:type="dxa"/>
          </w:tblCellMar>
        </w:tblPrEx>
        <w:trPr>
          <w:trHeight w:val="308" w:hRule="atLeast"/>
        </w:trPr>
        <w:tc>
          <w:tcPr>
            <w:tcW w:w="5000" w:type="pct"/>
            <w:gridSpan w:val="7"/>
            <w:tcBorders>
              <w:top w:val="nil"/>
              <w:left w:val="nil"/>
              <w:bottom w:val="nil"/>
              <w:right w:val="nil"/>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注：本表反映部门本年度一般公共预算财政拨款支出情况。</w:t>
            </w:r>
          </w:p>
        </w:tc>
      </w:tr>
    </w:tbl>
    <w:p>
      <w:pPr>
        <w:widowControl/>
        <w:jc w:val="center"/>
        <w:rPr>
          <w:rFonts w:ascii="Times New Roman" w:hAnsi="Times New Roman" w:eastAsia="方正小标宋_GBK" w:cs="Times New Roman"/>
          <w:kern w:val="0"/>
          <w:sz w:val="36"/>
          <w:szCs w:val="36"/>
        </w:rPr>
      </w:pPr>
    </w:p>
    <w:bookmarkEnd w:id="1"/>
    <w:tbl>
      <w:tblPr>
        <w:tblStyle w:val="5"/>
        <w:tblW w:w="5000" w:type="pct"/>
        <w:tblInd w:w="0" w:type="dxa"/>
        <w:shd w:val="clear" w:color="auto" w:fill="FFFFFF" w:themeFill="background1"/>
        <w:tblLayout w:type="fixed"/>
        <w:tblCellMar>
          <w:top w:w="0" w:type="dxa"/>
          <w:left w:w="108" w:type="dxa"/>
          <w:bottom w:w="0" w:type="dxa"/>
          <w:right w:w="108" w:type="dxa"/>
        </w:tblCellMar>
      </w:tblPr>
      <w:tblGrid>
        <w:gridCol w:w="825"/>
        <w:gridCol w:w="3120"/>
        <w:gridCol w:w="1305"/>
        <w:gridCol w:w="824"/>
        <w:gridCol w:w="2773"/>
        <w:gridCol w:w="1077"/>
        <w:gridCol w:w="778"/>
        <w:gridCol w:w="3441"/>
        <w:gridCol w:w="1471"/>
      </w:tblGrid>
      <w:tr>
        <w:tblPrEx>
          <w:shd w:val="clear" w:color="auto" w:fill="FFFFFF" w:themeFill="background1"/>
          <w:tblCellMar>
            <w:top w:w="0" w:type="dxa"/>
            <w:left w:w="108" w:type="dxa"/>
            <w:bottom w:w="0" w:type="dxa"/>
            <w:right w:w="108" w:type="dxa"/>
          </w:tblCellMar>
        </w:tblPrEx>
        <w:trPr>
          <w:trHeight w:val="390" w:hRule="atLeast"/>
        </w:trPr>
        <w:tc>
          <w:tcPr>
            <w:tcW w:w="5000" w:type="pct"/>
            <w:gridSpan w:val="9"/>
            <w:tcBorders>
              <w:top w:val="nil"/>
              <w:left w:val="nil"/>
              <w:bottom w:val="nil"/>
              <w:right w:val="nil"/>
            </w:tcBorders>
            <w:shd w:val="clear" w:color="auto" w:fill="FFFFFF" w:themeFill="background1"/>
            <w:noWrap/>
            <w:vAlign w:val="bottom"/>
          </w:tcPr>
          <w:p>
            <w:pPr>
              <w:widowControl/>
              <w:jc w:val="center"/>
              <w:textAlignment w:val="bottom"/>
              <w:rPr>
                <w:rFonts w:ascii="宋体" w:hAnsi="宋体" w:eastAsia="宋体" w:cs="宋体"/>
                <w:color w:val="000000"/>
                <w:sz w:val="30"/>
                <w:szCs w:val="30"/>
              </w:rPr>
            </w:pPr>
            <w:r>
              <w:rPr>
                <w:rFonts w:hint="eastAsia" w:ascii="宋体" w:hAnsi="宋体" w:eastAsia="宋体" w:cs="宋体"/>
                <w:color w:val="000000"/>
                <w:kern w:val="0"/>
                <w:sz w:val="30"/>
                <w:szCs w:val="30"/>
              </w:rPr>
              <w:t>一般公共预算财政拨款基本支出决算明细表</w:t>
            </w:r>
          </w:p>
        </w:tc>
      </w:tr>
      <w:tr>
        <w:tblPrEx>
          <w:tblCellMar>
            <w:top w:w="0" w:type="dxa"/>
            <w:left w:w="108" w:type="dxa"/>
            <w:bottom w:w="0" w:type="dxa"/>
            <w:right w:w="108" w:type="dxa"/>
          </w:tblCellMar>
        </w:tblPrEx>
        <w:trPr>
          <w:trHeight w:val="255" w:hRule="atLeast"/>
        </w:trPr>
        <w:tc>
          <w:tcPr>
            <w:tcW w:w="264"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999"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417"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264"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888"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345"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249"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1099"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470" w:type="pct"/>
            <w:tcBorders>
              <w:top w:val="nil"/>
              <w:left w:val="nil"/>
              <w:bottom w:val="nil"/>
              <w:right w:val="nil"/>
            </w:tcBorders>
            <w:shd w:val="clear" w:color="auto" w:fill="FFFFFF" w:themeFill="background1"/>
            <w:noWrap/>
            <w:vAlign w:val="bottom"/>
          </w:tcPr>
          <w:p>
            <w:pPr>
              <w:widowControl/>
              <w:jc w:val="righ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rPr>
              <w:t>公开06表</w:t>
            </w:r>
          </w:p>
        </w:tc>
      </w:tr>
      <w:tr>
        <w:tblPrEx>
          <w:tblCellMar>
            <w:top w:w="0" w:type="dxa"/>
            <w:left w:w="108" w:type="dxa"/>
            <w:bottom w:w="0" w:type="dxa"/>
            <w:right w:w="108" w:type="dxa"/>
          </w:tblCellMar>
        </w:tblPrEx>
        <w:trPr>
          <w:trHeight w:val="255" w:hRule="atLeast"/>
        </w:trPr>
        <w:tc>
          <w:tcPr>
            <w:tcW w:w="1263" w:type="pct"/>
            <w:gridSpan w:val="2"/>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r>
              <w:rPr>
                <w:rFonts w:hint="eastAsia" w:ascii="宋体" w:hAnsi="宋体" w:eastAsia="宋体" w:cs="宋体"/>
                <w:color w:val="000000"/>
                <w:kern w:val="0"/>
                <w:sz w:val="20"/>
                <w:szCs w:val="20"/>
              </w:rPr>
              <w:t>部门：怀化市公安局交通警察支队</w:t>
            </w:r>
          </w:p>
        </w:tc>
        <w:tc>
          <w:tcPr>
            <w:tcW w:w="417"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264"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888"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345"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249"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1099"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470" w:type="pct"/>
            <w:tcBorders>
              <w:top w:val="nil"/>
              <w:left w:val="nil"/>
              <w:bottom w:val="nil"/>
              <w:right w:val="nil"/>
            </w:tcBorders>
            <w:shd w:val="clear" w:color="auto" w:fill="FFFFFF" w:themeFill="background1"/>
            <w:noWrap/>
            <w:vAlign w:val="bottom"/>
          </w:tcPr>
          <w:p>
            <w:pPr>
              <w:widowControl/>
              <w:jc w:val="righ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rPr>
              <w:t>金额单位：万元</w:t>
            </w:r>
          </w:p>
        </w:tc>
      </w:tr>
      <w:tr>
        <w:tblPrEx>
          <w:tblCellMar>
            <w:top w:w="0" w:type="dxa"/>
            <w:left w:w="108" w:type="dxa"/>
            <w:bottom w:w="0" w:type="dxa"/>
            <w:right w:w="108" w:type="dxa"/>
          </w:tblCellMar>
        </w:tblPrEx>
        <w:trPr>
          <w:trHeight w:val="308" w:hRule="atLeast"/>
        </w:trPr>
        <w:tc>
          <w:tcPr>
            <w:tcW w:w="1681" w:type="pct"/>
            <w:gridSpan w:val="3"/>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人员经费</w:t>
            </w:r>
          </w:p>
        </w:tc>
        <w:tc>
          <w:tcPr>
            <w:tcW w:w="3318" w:type="pct"/>
            <w:gridSpan w:val="6"/>
            <w:tcBorders>
              <w:top w:val="single" w:color="000000" w:sz="4" w:space="0"/>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公用经费</w:t>
            </w:r>
          </w:p>
        </w:tc>
      </w:tr>
      <w:tr>
        <w:tblPrEx>
          <w:tblCellMar>
            <w:top w:w="0" w:type="dxa"/>
            <w:left w:w="108" w:type="dxa"/>
            <w:bottom w:w="0" w:type="dxa"/>
            <w:right w:w="108" w:type="dxa"/>
          </w:tblCellMar>
        </w:tblPrEx>
        <w:trPr>
          <w:trHeight w:val="312" w:hRule="atLeast"/>
        </w:trPr>
        <w:tc>
          <w:tcPr>
            <w:tcW w:w="264" w:type="pct"/>
            <w:vMerge w:val="restart"/>
            <w:tcBorders>
              <w:top w:val="nil"/>
              <w:left w:val="single" w:color="000000" w:sz="4" w:space="0"/>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科目代码</w:t>
            </w:r>
          </w:p>
        </w:tc>
        <w:tc>
          <w:tcPr>
            <w:tcW w:w="999" w:type="pct"/>
            <w:vMerge w:val="restar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417" w:type="pct"/>
            <w:vMerge w:val="restar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c>
          <w:tcPr>
            <w:tcW w:w="264" w:type="pct"/>
            <w:vMerge w:val="restar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科目代码</w:t>
            </w:r>
          </w:p>
        </w:tc>
        <w:tc>
          <w:tcPr>
            <w:tcW w:w="888" w:type="pct"/>
            <w:vMerge w:val="restar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345" w:type="pct"/>
            <w:vMerge w:val="restar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c>
          <w:tcPr>
            <w:tcW w:w="249" w:type="pct"/>
            <w:vMerge w:val="restar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科目代码</w:t>
            </w:r>
          </w:p>
        </w:tc>
        <w:tc>
          <w:tcPr>
            <w:tcW w:w="1099" w:type="pct"/>
            <w:vMerge w:val="restar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470" w:type="pct"/>
            <w:vMerge w:val="restar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r>
      <w:tr>
        <w:tblPrEx>
          <w:tblCellMar>
            <w:top w:w="0" w:type="dxa"/>
            <w:left w:w="108" w:type="dxa"/>
            <w:bottom w:w="0" w:type="dxa"/>
            <w:right w:w="108" w:type="dxa"/>
          </w:tblCellMar>
        </w:tblPrEx>
        <w:trPr>
          <w:trHeight w:val="312" w:hRule="atLeast"/>
        </w:trPr>
        <w:tc>
          <w:tcPr>
            <w:tcW w:w="264" w:type="pct"/>
            <w:vMerge w:val="continue"/>
            <w:tcBorders>
              <w:top w:val="nil"/>
              <w:left w:val="single" w:color="000000" w:sz="4" w:space="0"/>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999" w:type="pct"/>
            <w:vMerge w:val="continue"/>
            <w:tcBorders>
              <w:top w:val="nil"/>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417" w:type="pct"/>
            <w:vMerge w:val="continue"/>
            <w:tcBorders>
              <w:top w:val="nil"/>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264" w:type="pct"/>
            <w:vMerge w:val="continue"/>
            <w:tcBorders>
              <w:top w:val="nil"/>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888" w:type="pct"/>
            <w:vMerge w:val="continue"/>
            <w:tcBorders>
              <w:top w:val="nil"/>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345" w:type="pct"/>
            <w:vMerge w:val="continue"/>
            <w:tcBorders>
              <w:top w:val="nil"/>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249" w:type="pct"/>
            <w:vMerge w:val="continue"/>
            <w:tcBorders>
              <w:top w:val="nil"/>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1099" w:type="pct"/>
            <w:vMerge w:val="continue"/>
            <w:tcBorders>
              <w:top w:val="nil"/>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470" w:type="pct"/>
            <w:vMerge w:val="continue"/>
            <w:tcBorders>
              <w:top w:val="nil"/>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r>
      <w:tr>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w:t>
            </w:r>
          </w:p>
        </w:tc>
        <w:tc>
          <w:tcPr>
            <w:tcW w:w="9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工资福利支出</w:t>
            </w:r>
          </w:p>
        </w:tc>
        <w:tc>
          <w:tcPr>
            <w:tcW w:w="417"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4,945.47</w:t>
            </w:r>
          </w:p>
        </w:tc>
        <w:tc>
          <w:tcPr>
            <w:tcW w:w="26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w:t>
            </w:r>
          </w:p>
        </w:tc>
        <w:tc>
          <w:tcPr>
            <w:tcW w:w="888"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商品和服务支出</w:t>
            </w:r>
          </w:p>
        </w:tc>
        <w:tc>
          <w:tcPr>
            <w:tcW w:w="34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895.01</w:t>
            </w:r>
          </w:p>
        </w:tc>
        <w:tc>
          <w:tcPr>
            <w:tcW w:w="24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307</w:t>
            </w:r>
          </w:p>
        </w:tc>
        <w:tc>
          <w:tcPr>
            <w:tcW w:w="10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债务利息及费用支出</w:t>
            </w:r>
          </w:p>
        </w:tc>
        <w:tc>
          <w:tcPr>
            <w:tcW w:w="47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30101</w:t>
            </w:r>
          </w:p>
        </w:tc>
        <w:tc>
          <w:tcPr>
            <w:tcW w:w="9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基本工资</w:t>
            </w:r>
          </w:p>
        </w:tc>
        <w:tc>
          <w:tcPr>
            <w:tcW w:w="417"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1,558.79</w:t>
            </w:r>
          </w:p>
        </w:tc>
        <w:tc>
          <w:tcPr>
            <w:tcW w:w="26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30201</w:t>
            </w:r>
          </w:p>
        </w:tc>
        <w:tc>
          <w:tcPr>
            <w:tcW w:w="888"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办公费</w:t>
            </w:r>
          </w:p>
        </w:tc>
        <w:tc>
          <w:tcPr>
            <w:tcW w:w="34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18.32</w:t>
            </w:r>
          </w:p>
        </w:tc>
        <w:tc>
          <w:tcPr>
            <w:tcW w:w="24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30701</w:t>
            </w:r>
          </w:p>
        </w:tc>
        <w:tc>
          <w:tcPr>
            <w:tcW w:w="10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国内债务付息</w:t>
            </w:r>
          </w:p>
        </w:tc>
        <w:tc>
          <w:tcPr>
            <w:tcW w:w="47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30102</w:t>
            </w:r>
          </w:p>
        </w:tc>
        <w:tc>
          <w:tcPr>
            <w:tcW w:w="9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津贴补贴</w:t>
            </w:r>
          </w:p>
        </w:tc>
        <w:tc>
          <w:tcPr>
            <w:tcW w:w="417"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1,252.13</w:t>
            </w:r>
          </w:p>
        </w:tc>
        <w:tc>
          <w:tcPr>
            <w:tcW w:w="26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30202</w:t>
            </w:r>
          </w:p>
        </w:tc>
        <w:tc>
          <w:tcPr>
            <w:tcW w:w="888"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印刷费</w:t>
            </w:r>
          </w:p>
        </w:tc>
        <w:tc>
          <w:tcPr>
            <w:tcW w:w="34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2.04</w:t>
            </w:r>
          </w:p>
        </w:tc>
        <w:tc>
          <w:tcPr>
            <w:tcW w:w="24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30702</w:t>
            </w:r>
          </w:p>
        </w:tc>
        <w:tc>
          <w:tcPr>
            <w:tcW w:w="10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国外债务付息</w:t>
            </w:r>
          </w:p>
        </w:tc>
        <w:tc>
          <w:tcPr>
            <w:tcW w:w="47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30103</w:t>
            </w:r>
          </w:p>
        </w:tc>
        <w:tc>
          <w:tcPr>
            <w:tcW w:w="9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奖金</w:t>
            </w:r>
          </w:p>
        </w:tc>
        <w:tc>
          <w:tcPr>
            <w:tcW w:w="417"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1,463.52</w:t>
            </w:r>
          </w:p>
        </w:tc>
        <w:tc>
          <w:tcPr>
            <w:tcW w:w="26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30203</w:t>
            </w:r>
          </w:p>
        </w:tc>
        <w:tc>
          <w:tcPr>
            <w:tcW w:w="888"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咨询费</w:t>
            </w:r>
          </w:p>
        </w:tc>
        <w:tc>
          <w:tcPr>
            <w:tcW w:w="34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1.80</w:t>
            </w:r>
          </w:p>
        </w:tc>
        <w:tc>
          <w:tcPr>
            <w:tcW w:w="24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w:t>
            </w:r>
          </w:p>
        </w:tc>
        <w:tc>
          <w:tcPr>
            <w:tcW w:w="10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资本性支出</w:t>
            </w:r>
          </w:p>
        </w:tc>
        <w:tc>
          <w:tcPr>
            <w:tcW w:w="47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0.32</w:t>
            </w:r>
          </w:p>
        </w:tc>
      </w:tr>
      <w:tr>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30106</w:t>
            </w:r>
          </w:p>
        </w:tc>
        <w:tc>
          <w:tcPr>
            <w:tcW w:w="9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伙食补助费</w:t>
            </w:r>
          </w:p>
        </w:tc>
        <w:tc>
          <w:tcPr>
            <w:tcW w:w="417"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42.23</w:t>
            </w:r>
          </w:p>
        </w:tc>
        <w:tc>
          <w:tcPr>
            <w:tcW w:w="26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30204</w:t>
            </w:r>
          </w:p>
        </w:tc>
        <w:tc>
          <w:tcPr>
            <w:tcW w:w="888"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手续费</w:t>
            </w:r>
          </w:p>
        </w:tc>
        <w:tc>
          <w:tcPr>
            <w:tcW w:w="34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4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31001</w:t>
            </w:r>
          </w:p>
        </w:tc>
        <w:tc>
          <w:tcPr>
            <w:tcW w:w="10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房屋建筑物购建</w:t>
            </w:r>
          </w:p>
        </w:tc>
        <w:tc>
          <w:tcPr>
            <w:tcW w:w="47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30107</w:t>
            </w:r>
          </w:p>
        </w:tc>
        <w:tc>
          <w:tcPr>
            <w:tcW w:w="9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绩效工资</w:t>
            </w:r>
          </w:p>
        </w:tc>
        <w:tc>
          <w:tcPr>
            <w:tcW w:w="417"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6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30205</w:t>
            </w:r>
          </w:p>
        </w:tc>
        <w:tc>
          <w:tcPr>
            <w:tcW w:w="888"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水费</w:t>
            </w:r>
          </w:p>
        </w:tc>
        <w:tc>
          <w:tcPr>
            <w:tcW w:w="34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16.55</w:t>
            </w:r>
          </w:p>
        </w:tc>
        <w:tc>
          <w:tcPr>
            <w:tcW w:w="24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31002</w:t>
            </w:r>
          </w:p>
        </w:tc>
        <w:tc>
          <w:tcPr>
            <w:tcW w:w="10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办公设备购置</w:t>
            </w:r>
          </w:p>
        </w:tc>
        <w:tc>
          <w:tcPr>
            <w:tcW w:w="47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0.32</w:t>
            </w:r>
          </w:p>
        </w:tc>
      </w:tr>
      <w:tr>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30108</w:t>
            </w:r>
          </w:p>
        </w:tc>
        <w:tc>
          <w:tcPr>
            <w:tcW w:w="9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机关事业单位基本养老保险缴费</w:t>
            </w:r>
          </w:p>
        </w:tc>
        <w:tc>
          <w:tcPr>
            <w:tcW w:w="417"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401.44</w:t>
            </w:r>
          </w:p>
        </w:tc>
        <w:tc>
          <w:tcPr>
            <w:tcW w:w="26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30206</w:t>
            </w:r>
          </w:p>
        </w:tc>
        <w:tc>
          <w:tcPr>
            <w:tcW w:w="888"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电费</w:t>
            </w:r>
          </w:p>
        </w:tc>
        <w:tc>
          <w:tcPr>
            <w:tcW w:w="34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37.19</w:t>
            </w:r>
          </w:p>
        </w:tc>
        <w:tc>
          <w:tcPr>
            <w:tcW w:w="24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31003</w:t>
            </w:r>
          </w:p>
        </w:tc>
        <w:tc>
          <w:tcPr>
            <w:tcW w:w="10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专用设备购置</w:t>
            </w:r>
          </w:p>
        </w:tc>
        <w:tc>
          <w:tcPr>
            <w:tcW w:w="47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30109</w:t>
            </w:r>
          </w:p>
        </w:tc>
        <w:tc>
          <w:tcPr>
            <w:tcW w:w="9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职业年金缴费</w:t>
            </w:r>
          </w:p>
        </w:tc>
        <w:tc>
          <w:tcPr>
            <w:tcW w:w="417"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6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30207</w:t>
            </w:r>
          </w:p>
        </w:tc>
        <w:tc>
          <w:tcPr>
            <w:tcW w:w="888"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邮电费</w:t>
            </w:r>
          </w:p>
        </w:tc>
        <w:tc>
          <w:tcPr>
            <w:tcW w:w="34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29.25</w:t>
            </w:r>
          </w:p>
        </w:tc>
        <w:tc>
          <w:tcPr>
            <w:tcW w:w="24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31005</w:t>
            </w:r>
          </w:p>
        </w:tc>
        <w:tc>
          <w:tcPr>
            <w:tcW w:w="10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基础设施建设</w:t>
            </w:r>
          </w:p>
        </w:tc>
        <w:tc>
          <w:tcPr>
            <w:tcW w:w="47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30110</w:t>
            </w:r>
          </w:p>
        </w:tc>
        <w:tc>
          <w:tcPr>
            <w:tcW w:w="9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职工基本医疗保险缴费</w:t>
            </w:r>
          </w:p>
        </w:tc>
        <w:tc>
          <w:tcPr>
            <w:tcW w:w="417"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202.93</w:t>
            </w:r>
          </w:p>
        </w:tc>
        <w:tc>
          <w:tcPr>
            <w:tcW w:w="26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30208</w:t>
            </w:r>
          </w:p>
        </w:tc>
        <w:tc>
          <w:tcPr>
            <w:tcW w:w="888"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取暖费</w:t>
            </w:r>
          </w:p>
        </w:tc>
        <w:tc>
          <w:tcPr>
            <w:tcW w:w="34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4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31006</w:t>
            </w:r>
          </w:p>
        </w:tc>
        <w:tc>
          <w:tcPr>
            <w:tcW w:w="10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大型修缮</w:t>
            </w:r>
          </w:p>
        </w:tc>
        <w:tc>
          <w:tcPr>
            <w:tcW w:w="47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30111</w:t>
            </w:r>
          </w:p>
        </w:tc>
        <w:tc>
          <w:tcPr>
            <w:tcW w:w="9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公务员医疗补助缴费</w:t>
            </w:r>
          </w:p>
        </w:tc>
        <w:tc>
          <w:tcPr>
            <w:tcW w:w="417"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6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30209</w:t>
            </w:r>
          </w:p>
        </w:tc>
        <w:tc>
          <w:tcPr>
            <w:tcW w:w="888"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物业管理费</w:t>
            </w:r>
          </w:p>
        </w:tc>
        <w:tc>
          <w:tcPr>
            <w:tcW w:w="34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4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31007</w:t>
            </w:r>
          </w:p>
        </w:tc>
        <w:tc>
          <w:tcPr>
            <w:tcW w:w="10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信息网络及软件购置更新</w:t>
            </w:r>
          </w:p>
        </w:tc>
        <w:tc>
          <w:tcPr>
            <w:tcW w:w="47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30112</w:t>
            </w:r>
          </w:p>
        </w:tc>
        <w:tc>
          <w:tcPr>
            <w:tcW w:w="9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其他社会保障缴费</w:t>
            </w:r>
          </w:p>
        </w:tc>
        <w:tc>
          <w:tcPr>
            <w:tcW w:w="417"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6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30211</w:t>
            </w:r>
          </w:p>
        </w:tc>
        <w:tc>
          <w:tcPr>
            <w:tcW w:w="888"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差旅费</w:t>
            </w:r>
          </w:p>
        </w:tc>
        <w:tc>
          <w:tcPr>
            <w:tcW w:w="34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38.27</w:t>
            </w:r>
          </w:p>
        </w:tc>
        <w:tc>
          <w:tcPr>
            <w:tcW w:w="24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31008</w:t>
            </w:r>
          </w:p>
        </w:tc>
        <w:tc>
          <w:tcPr>
            <w:tcW w:w="10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物资储备</w:t>
            </w:r>
          </w:p>
        </w:tc>
        <w:tc>
          <w:tcPr>
            <w:tcW w:w="47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30113</w:t>
            </w:r>
          </w:p>
        </w:tc>
        <w:tc>
          <w:tcPr>
            <w:tcW w:w="9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住房公积金</w:t>
            </w:r>
          </w:p>
        </w:tc>
        <w:tc>
          <w:tcPr>
            <w:tcW w:w="417"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6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30212</w:t>
            </w:r>
          </w:p>
        </w:tc>
        <w:tc>
          <w:tcPr>
            <w:tcW w:w="888"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因公出国（境）费用</w:t>
            </w:r>
          </w:p>
        </w:tc>
        <w:tc>
          <w:tcPr>
            <w:tcW w:w="34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4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31009</w:t>
            </w:r>
          </w:p>
        </w:tc>
        <w:tc>
          <w:tcPr>
            <w:tcW w:w="10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土地补偿</w:t>
            </w:r>
          </w:p>
        </w:tc>
        <w:tc>
          <w:tcPr>
            <w:tcW w:w="47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30114</w:t>
            </w:r>
          </w:p>
        </w:tc>
        <w:tc>
          <w:tcPr>
            <w:tcW w:w="9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医疗费</w:t>
            </w:r>
          </w:p>
        </w:tc>
        <w:tc>
          <w:tcPr>
            <w:tcW w:w="417"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6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30213</w:t>
            </w:r>
          </w:p>
        </w:tc>
        <w:tc>
          <w:tcPr>
            <w:tcW w:w="888"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维修（护）费</w:t>
            </w:r>
          </w:p>
        </w:tc>
        <w:tc>
          <w:tcPr>
            <w:tcW w:w="34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18.85</w:t>
            </w:r>
          </w:p>
        </w:tc>
        <w:tc>
          <w:tcPr>
            <w:tcW w:w="24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31010</w:t>
            </w:r>
          </w:p>
        </w:tc>
        <w:tc>
          <w:tcPr>
            <w:tcW w:w="10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安置补助</w:t>
            </w:r>
          </w:p>
        </w:tc>
        <w:tc>
          <w:tcPr>
            <w:tcW w:w="47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30199</w:t>
            </w:r>
          </w:p>
        </w:tc>
        <w:tc>
          <w:tcPr>
            <w:tcW w:w="9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其他工资福利支出</w:t>
            </w:r>
          </w:p>
        </w:tc>
        <w:tc>
          <w:tcPr>
            <w:tcW w:w="417"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24.42</w:t>
            </w:r>
          </w:p>
        </w:tc>
        <w:tc>
          <w:tcPr>
            <w:tcW w:w="26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30214</w:t>
            </w:r>
          </w:p>
        </w:tc>
        <w:tc>
          <w:tcPr>
            <w:tcW w:w="888"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租赁费</w:t>
            </w:r>
          </w:p>
        </w:tc>
        <w:tc>
          <w:tcPr>
            <w:tcW w:w="34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4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31011</w:t>
            </w:r>
          </w:p>
        </w:tc>
        <w:tc>
          <w:tcPr>
            <w:tcW w:w="10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地上附着物和青苗补偿</w:t>
            </w:r>
          </w:p>
        </w:tc>
        <w:tc>
          <w:tcPr>
            <w:tcW w:w="47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w:t>
            </w:r>
          </w:p>
        </w:tc>
        <w:tc>
          <w:tcPr>
            <w:tcW w:w="9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对个人和家庭的补助</w:t>
            </w:r>
          </w:p>
        </w:tc>
        <w:tc>
          <w:tcPr>
            <w:tcW w:w="417"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164.84</w:t>
            </w:r>
          </w:p>
        </w:tc>
        <w:tc>
          <w:tcPr>
            <w:tcW w:w="26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30215</w:t>
            </w:r>
          </w:p>
        </w:tc>
        <w:tc>
          <w:tcPr>
            <w:tcW w:w="888"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会议费</w:t>
            </w:r>
          </w:p>
        </w:tc>
        <w:tc>
          <w:tcPr>
            <w:tcW w:w="34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0.98</w:t>
            </w:r>
          </w:p>
        </w:tc>
        <w:tc>
          <w:tcPr>
            <w:tcW w:w="24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31012</w:t>
            </w:r>
          </w:p>
        </w:tc>
        <w:tc>
          <w:tcPr>
            <w:tcW w:w="10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拆迁补偿</w:t>
            </w:r>
          </w:p>
        </w:tc>
        <w:tc>
          <w:tcPr>
            <w:tcW w:w="47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30301</w:t>
            </w:r>
          </w:p>
        </w:tc>
        <w:tc>
          <w:tcPr>
            <w:tcW w:w="9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离休费</w:t>
            </w:r>
          </w:p>
        </w:tc>
        <w:tc>
          <w:tcPr>
            <w:tcW w:w="417"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6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30216</w:t>
            </w:r>
          </w:p>
        </w:tc>
        <w:tc>
          <w:tcPr>
            <w:tcW w:w="888"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培训费</w:t>
            </w:r>
          </w:p>
        </w:tc>
        <w:tc>
          <w:tcPr>
            <w:tcW w:w="34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3.31</w:t>
            </w:r>
          </w:p>
        </w:tc>
        <w:tc>
          <w:tcPr>
            <w:tcW w:w="24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31013</w:t>
            </w:r>
          </w:p>
        </w:tc>
        <w:tc>
          <w:tcPr>
            <w:tcW w:w="10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公务用车购置</w:t>
            </w:r>
          </w:p>
        </w:tc>
        <w:tc>
          <w:tcPr>
            <w:tcW w:w="47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30302</w:t>
            </w:r>
          </w:p>
        </w:tc>
        <w:tc>
          <w:tcPr>
            <w:tcW w:w="9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退休费</w:t>
            </w:r>
          </w:p>
        </w:tc>
        <w:tc>
          <w:tcPr>
            <w:tcW w:w="417"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6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30217</w:t>
            </w:r>
          </w:p>
        </w:tc>
        <w:tc>
          <w:tcPr>
            <w:tcW w:w="888"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公务接待费</w:t>
            </w:r>
          </w:p>
        </w:tc>
        <w:tc>
          <w:tcPr>
            <w:tcW w:w="34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1.72</w:t>
            </w:r>
          </w:p>
        </w:tc>
        <w:tc>
          <w:tcPr>
            <w:tcW w:w="24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31019</w:t>
            </w:r>
          </w:p>
        </w:tc>
        <w:tc>
          <w:tcPr>
            <w:tcW w:w="10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其他交通工具购置</w:t>
            </w:r>
          </w:p>
        </w:tc>
        <w:tc>
          <w:tcPr>
            <w:tcW w:w="47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30303</w:t>
            </w:r>
          </w:p>
        </w:tc>
        <w:tc>
          <w:tcPr>
            <w:tcW w:w="9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退职（役）费</w:t>
            </w:r>
          </w:p>
        </w:tc>
        <w:tc>
          <w:tcPr>
            <w:tcW w:w="417"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6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30218</w:t>
            </w:r>
          </w:p>
        </w:tc>
        <w:tc>
          <w:tcPr>
            <w:tcW w:w="888"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专用材料费</w:t>
            </w:r>
          </w:p>
        </w:tc>
        <w:tc>
          <w:tcPr>
            <w:tcW w:w="34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20.42</w:t>
            </w:r>
          </w:p>
        </w:tc>
        <w:tc>
          <w:tcPr>
            <w:tcW w:w="24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31021</w:t>
            </w:r>
          </w:p>
        </w:tc>
        <w:tc>
          <w:tcPr>
            <w:tcW w:w="10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文物和陈列品购置</w:t>
            </w:r>
          </w:p>
        </w:tc>
        <w:tc>
          <w:tcPr>
            <w:tcW w:w="47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30304</w:t>
            </w:r>
          </w:p>
        </w:tc>
        <w:tc>
          <w:tcPr>
            <w:tcW w:w="9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抚恤金</w:t>
            </w:r>
          </w:p>
        </w:tc>
        <w:tc>
          <w:tcPr>
            <w:tcW w:w="417"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2.10</w:t>
            </w:r>
          </w:p>
        </w:tc>
        <w:tc>
          <w:tcPr>
            <w:tcW w:w="26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30224</w:t>
            </w:r>
          </w:p>
        </w:tc>
        <w:tc>
          <w:tcPr>
            <w:tcW w:w="888"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被装购置费</w:t>
            </w:r>
          </w:p>
        </w:tc>
        <w:tc>
          <w:tcPr>
            <w:tcW w:w="34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4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31022</w:t>
            </w:r>
          </w:p>
        </w:tc>
        <w:tc>
          <w:tcPr>
            <w:tcW w:w="10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无形资产购置</w:t>
            </w:r>
          </w:p>
        </w:tc>
        <w:tc>
          <w:tcPr>
            <w:tcW w:w="47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30305</w:t>
            </w:r>
          </w:p>
        </w:tc>
        <w:tc>
          <w:tcPr>
            <w:tcW w:w="9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生活补助</w:t>
            </w:r>
          </w:p>
        </w:tc>
        <w:tc>
          <w:tcPr>
            <w:tcW w:w="417"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160.83</w:t>
            </w:r>
          </w:p>
        </w:tc>
        <w:tc>
          <w:tcPr>
            <w:tcW w:w="26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30225</w:t>
            </w:r>
          </w:p>
        </w:tc>
        <w:tc>
          <w:tcPr>
            <w:tcW w:w="888"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专用燃料费</w:t>
            </w:r>
          </w:p>
        </w:tc>
        <w:tc>
          <w:tcPr>
            <w:tcW w:w="34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4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31099</w:t>
            </w:r>
          </w:p>
        </w:tc>
        <w:tc>
          <w:tcPr>
            <w:tcW w:w="10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其他资本性支出</w:t>
            </w:r>
          </w:p>
        </w:tc>
        <w:tc>
          <w:tcPr>
            <w:tcW w:w="47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30306</w:t>
            </w:r>
          </w:p>
        </w:tc>
        <w:tc>
          <w:tcPr>
            <w:tcW w:w="9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救济费</w:t>
            </w:r>
          </w:p>
        </w:tc>
        <w:tc>
          <w:tcPr>
            <w:tcW w:w="417"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6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30226</w:t>
            </w:r>
          </w:p>
        </w:tc>
        <w:tc>
          <w:tcPr>
            <w:tcW w:w="888"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劳务费</w:t>
            </w:r>
          </w:p>
        </w:tc>
        <w:tc>
          <w:tcPr>
            <w:tcW w:w="34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16.56</w:t>
            </w:r>
          </w:p>
        </w:tc>
        <w:tc>
          <w:tcPr>
            <w:tcW w:w="24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w:t>
            </w:r>
          </w:p>
        </w:tc>
        <w:tc>
          <w:tcPr>
            <w:tcW w:w="10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其他支出</w:t>
            </w:r>
          </w:p>
        </w:tc>
        <w:tc>
          <w:tcPr>
            <w:tcW w:w="47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30307</w:t>
            </w:r>
          </w:p>
        </w:tc>
        <w:tc>
          <w:tcPr>
            <w:tcW w:w="9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医疗费补助</w:t>
            </w:r>
          </w:p>
        </w:tc>
        <w:tc>
          <w:tcPr>
            <w:tcW w:w="417"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6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30227</w:t>
            </w:r>
          </w:p>
        </w:tc>
        <w:tc>
          <w:tcPr>
            <w:tcW w:w="888"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委托业务费</w:t>
            </w:r>
          </w:p>
        </w:tc>
        <w:tc>
          <w:tcPr>
            <w:tcW w:w="34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0.05</w:t>
            </w:r>
          </w:p>
        </w:tc>
        <w:tc>
          <w:tcPr>
            <w:tcW w:w="24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39907</w:t>
            </w:r>
          </w:p>
        </w:tc>
        <w:tc>
          <w:tcPr>
            <w:tcW w:w="10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国家赔偿费用支出</w:t>
            </w:r>
          </w:p>
        </w:tc>
        <w:tc>
          <w:tcPr>
            <w:tcW w:w="47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30308</w:t>
            </w:r>
          </w:p>
        </w:tc>
        <w:tc>
          <w:tcPr>
            <w:tcW w:w="9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助学金</w:t>
            </w:r>
          </w:p>
        </w:tc>
        <w:tc>
          <w:tcPr>
            <w:tcW w:w="417"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6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30228</w:t>
            </w:r>
          </w:p>
        </w:tc>
        <w:tc>
          <w:tcPr>
            <w:tcW w:w="888"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工会经费</w:t>
            </w:r>
          </w:p>
        </w:tc>
        <w:tc>
          <w:tcPr>
            <w:tcW w:w="34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345.00</w:t>
            </w:r>
          </w:p>
        </w:tc>
        <w:tc>
          <w:tcPr>
            <w:tcW w:w="24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39908</w:t>
            </w:r>
          </w:p>
        </w:tc>
        <w:tc>
          <w:tcPr>
            <w:tcW w:w="10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对民间非营利组织和群众性自治组织补贴</w:t>
            </w:r>
          </w:p>
        </w:tc>
        <w:tc>
          <w:tcPr>
            <w:tcW w:w="47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30309</w:t>
            </w:r>
          </w:p>
        </w:tc>
        <w:tc>
          <w:tcPr>
            <w:tcW w:w="9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奖励金</w:t>
            </w:r>
          </w:p>
        </w:tc>
        <w:tc>
          <w:tcPr>
            <w:tcW w:w="417"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6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30229</w:t>
            </w:r>
          </w:p>
        </w:tc>
        <w:tc>
          <w:tcPr>
            <w:tcW w:w="888"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福利费</w:t>
            </w:r>
          </w:p>
        </w:tc>
        <w:tc>
          <w:tcPr>
            <w:tcW w:w="34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24.72</w:t>
            </w:r>
          </w:p>
        </w:tc>
        <w:tc>
          <w:tcPr>
            <w:tcW w:w="24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39909</w:t>
            </w:r>
          </w:p>
        </w:tc>
        <w:tc>
          <w:tcPr>
            <w:tcW w:w="10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经常性赠与</w:t>
            </w:r>
          </w:p>
        </w:tc>
        <w:tc>
          <w:tcPr>
            <w:tcW w:w="47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30310</w:t>
            </w:r>
          </w:p>
        </w:tc>
        <w:tc>
          <w:tcPr>
            <w:tcW w:w="9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个人农业生产补贴</w:t>
            </w:r>
          </w:p>
        </w:tc>
        <w:tc>
          <w:tcPr>
            <w:tcW w:w="417"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6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30231</w:t>
            </w:r>
          </w:p>
        </w:tc>
        <w:tc>
          <w:tcPr>
            <w:tcW w:w="888"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公务用车运行维护费</w:t>
            </w:r>
          </w:p>
        </w:tc>
        <w:tc>
          <w:tcPr>
            <w:tcW w:w="34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5.32</w:t>
            </w:r>
          </w:p>
        </w:tc>
        <w:tc>
          <w:tcPr>
            <w:tcW w:w="24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39910</w:t>
            </w:r>
          </w:p>
        </w:tc>
        <w:tc>
          <w:tcPr>
            <w:tcW w:w="10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资本性赠与</w:t>
            </w:r>
          </w:p>
        </w:tc>
        <w:tc>
          <w:tcPr>
            <w:tcW w:w="47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30311</w:t>
            </w:r>
          </w:p>
        </w:tc>
        <w:tc>
          <w:tcPr>
            <w:tcW w:w="9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代缴社会保险费</w:t>
            </w:r>
          </w:p>
        </w:tc>
        <w:tc>
          <w:tcPr>
            <w:tcW w:w="417"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6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30239</w:t>
            </w:r>
          </w:p>
        </w:tc>
        <w:tc>
          <w:tcPr>
            <w:tcW w:w="888"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其他交通费用</w:t>
            </w:r>
          </w:p>
        </w:tc>
        <w:tc>
          <w:tcPr>
            <w:tcW w:w="34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227.69</w:t>
            </w:r>
          </w:p>
        </w:tc>
        <w:tc>
          <w:tcPr>
            <w:tcW w:w="24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39999</w:t>
            </w:r>
          </w:p>
        </w:tc>
        <w:tc>
          <w:tcPr>
            <w:tcW w:w="10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其他支出</w:t>
            </w:r>
          </w:p>
        </w:tc>
        <w:tc>
          <w:tcPr>
            <w:tcW w:w="47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30399</w:t>
            </w:r>
          </w:p>
        </w:tc>
        <w:tc>
          <w:tcPr>
            <w:tcW w:w="999"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其他对个人和家庭的补助</w:t>
            </w:r>
          </w:p>
        </w:tc>
        <w:tc>
          <w:tcPr>
            <w:tcW w:w="417"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1.91</w:t>
            </w:r>
          </w:p>
        </w:tc>
        <w:tc>
          <w:tcPr>
            <w:tcW w:w="26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30240</w:t>
            </w:r>
          </w:p>
        </w:tc>
        <w:tc>
          <w:tcPr>
            <w:tcW w:w="888"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税金及附加费用</w:t>
            </w:r>
          </w:p>
        </w:tc>
        <w:tc>
          <w:tcPr>
            <w:tcW w:w="34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49" w:type="pct"/>
            <w:tcBorders>
              <w:top w:val="nil"/>
              <w:left w:val="nil"/>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color w:val="000000"/>
                <w:sz w:val="22"/>
              </w:rPr>
            </w:pPr>
          </w:p>
        </w:tc>
        <w:tc>
          <w:tcPr>
            <w:tcW w:w="1099" w:type="pct"/>
            <w:tcBorders>
              <w:top w:val="nil"/>
              <w:left w:val="nil"/>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color w:val="000000"/>
                <w:sz w:val="22"/>
              </w:rPr>
            </w:pPr>
          </w:p>
        </w:tc>
        <w:tc>
          <w:tcPr>
            <w:tcW w:w="470"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trHeight w:val="308" w:hRule="atLeast"/>
        </w:trPr>
        <w:tc>
          <w:tcPr>
            <w:tcW w:w="264" w:type="pct"/>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color w:val="000000"/>
                <w:sz w:val="22"/>
              </w:rPr>
            </w:pPr>
          </w:p>
        </w:tc>
        <w:tc>
          <w:tcPr>
            <w:tcW w:w="999" w:type="pct"/>
            <w:tcBorders>
              <w:top w:val="nil"/>
              <w:left w:val="nil"/>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color w:val="000000"/>
                <w:sz w:val="22"/>
              </w:rPr>
            </w:pPr>
          </w:p>
        </w:tc>
        <w:tc>
          <w:tcPr>
            <w:tcW w:w="417"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264"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30299</w:t>
            </w:r>
          </w:p>
        </w:tc>
        <w:tc>
          <w:tcPr>
            <w:tcW w:w="888" w:type="pct"/>
            <w:tcBorders>
              <w:top w:val="nil"/>
              <w:left w:val="nil"/>
              <w:bottom w:val="single" w:color="000000" w:sz="4" w:space="0"/>
              <w:right w:val="single" w:color="000000" w:sz="4" w:space="0"/>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其他商品和服务支出</w:t>
            </w:r>
          </w:p>
        </w:tc>
        <w:tc>
          <w:tcPr>
            <w:tcW w:w="345"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86.97</w:t>
            </w:r>
          </w:p>
        </w:tc>
        <w:tc>
          <w:tcPr>
            <w:tcW w:w="249" w:type="pct"/>
            <w:tcBorders>
              <w:top w:val="nil"/>
              <w:left w:val="nil"/>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color w:val="000000"/>
                <w:sz w:val="22"/>
              </w:rPr>
            </w:pPr>
          </w:p>
        </w:tc>
        <w:tc>
          <w:tcPr>
            <w:tcW w:w="1099" w:type="pct"/>
            <w:tcBorders>
              <w:top w:val="nil"/>
              <w:left w:val="nil"/>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color w:val="000000"/>
                <w:sz w:val="22"/>
              </w:rPr>
            </w:pPr>
          </w:p>
        </w:tc>
        <w:tc>
          <w:tcPr>
            <w:tcW w:w="470"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trHeight w:val="308" w:hRule="atLeast"/>
        </w:trPr>
        <w:tc>
          <w:tcPr>
            <w:tcW w:w="1263" w:type="pct"/>
            <w:gridSpan w:val="2"/>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人员经费合计</w:t>
            </w:r>
          </w:p>
        </w:tc>
        <w:tc>
          <w:tcPr>
            <w:tcW w:w="417"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5,110.30</w:t>
            </w:r>
          </w:p>
        </w:tc>
        <w:tc>
          <w:tcPr>
            <w:tcW w:w="2848" w:type="pct"/>
            <w:gridSpan w:val="5"/>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公用经费合计</w:t>
            </w:r>
          </w:p>
        </w:tc>
        <w:tc>
          <w:tcPr>
            <w:tcW w:w="470" w:type="pct"/>
            <w:tcBorders>
              <w:top w:val="nil"/>
              <w:left w:val="nil"/>
              <w:bottom w:val="single" w:color="000000" w:sz="4" w:space="0"/>
              <w:right w:val="single" w:color="000000" w:sz="4" w:space="0"/>
            </w:tcBorders>
            <w:shd w:val="clear" w:color="auto" w:fill="FFFFFF" w:themeFill="background1"/>
            <w:noWrap/>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895.33</w:t>
            </w:r>
          </w:p>
        </w:tc>
      </w:tr>
      <w:tr>
        <w:tblPrEx>
          <w:tblCellMar>
            <w:top w:w="0" w:type="dxa"/>
            <w:left w:w="108" w:type="dxa"/>
            <w:bottom w:w="0" w:type="dxa"/>
            <w:right w:w="108" w:type="dxa"/>
          </w:tblCellMar>
        </w:tblPrEx>
        <w:trPr>
          <w:trHeight w:val="308" w:hRule="atLeast"/>
        </w:trPr>
        <w:tc>
          <w:tcPr>
            <w:tcW w:w="5000" w:type="pct"/>
            <w:gridSpan w:val="9"/>
            <w:tcBorders>
              <w:top w:val="nil"/>
              <w:left w:val="nil"/>
              <w:bottom w:val="nil"/>
              <w:right w:val="nil"/>
            </w:tcBorders>
            <w:shd w:val="clear" w:color="auto" w:fill="FFFFFF" w:themeFill="background1"/>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注：本表反映部门本年度一般公共预算财政拨款基本支出明细情况。</w:t>
            </w:r>
          </w:p>
        </w:tc>
      </w:tr>
    </w:tbl>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5"/>
        <w:tblW w:w="5000" w:type="pct"/>
        <w:tblInd w:w="0" w:type="dxa"/>
        <w:shd w:val="clear" w:color="auto" w:fill="FFFFFF" w:themeFill="background1"/>
        <w:tblLayout w:type="autofit"/>
        <w:tblCellMar>
          <w:top w:w="0" w:type="dxa"/>
          <w:left w:w="108" w:type="dxa"/>
          <w:bottom w:w="0" w:type="dxa"/>
          <w:right w:w="108" w:type="dxa"/>
        </w:tblCellMar>
      </w:tblPr>
      <w:tblGrid>
        <w:gridCol w:w="3354"/>
        <w:gridCol w:w="275"/>
        <w:gridCol w:w="287"/>
        <w:gridCol w:w="3513"/>
        <w:gridCol w:w="2617"/>
        <w:gridCol w:w="2633"/>
        <w:gridCol w:w="2935"/>
      </w:tblGrid>
      <w:tr>
        <w:tblPrEx>
          <w:shd w:val="clear" w:color="auto" w:fill="FFFFFF" w:themeFill="background1"/>
          <w:tblCellMar>
            <w:top w:w="0" w:type="dxa"/>
            <w:left w:w="108" w:type="dxa"/>
            <w:bottom w:w="0" w:type="dxa"/>
            <w:right w:w="108" w:type="dxa"/>
          </w:tblCellMar>
        </w:tblPrEx>
        <w:trPr>
          <w:trHeight w:val="390" w:hRule="atLeast"/>
        </w:trPr>
        <w:tc>
          <w:tcPr>
            <w:tcW w:w="5000" w:type="pct"/>
            <w:gridSpan w:val="7"/>
            <w:tcBorders>
              <w:top w:val="nil"/>
              <w:left w:val="nil"/>
              <w:bottom w:val="nil"/>
              <w:right w:val="nil"/>
            </w:tcBorders>
            <w:shd w:val="clear" w:color="auto" w:fill="FFFFFF" w:themeFill="background1"/>
            <w:noWrap/>
            <w:vAlign w:val="bottom"/>
          </w:tcPr>
          <w:p>
            <w:pPr>
              <w:widowControl/>
              <w:jc w:val="center"/>
              <w:textAlignment w:val="bottom"/>
              <w:rPr>
                <w:rFonts w:ascii="宋体" w:hAnsi="宋体" w:eastAsia="宋体" w:cs="宋体"/>
                <w:color w:val="000000"/>
                <w:sz w:val="30"/>
                <w:szCs w:val="30"/>
              </w:rPr>
            </w:pPr>
            <w:r>
              <w:rPr>
                <w:rFonts w:hint="eastAsia" w:ascii="宋体" w:hAnsi="宋体" w:eastAsia="宋体" w:cs="宋体"/>
                <w:color w:val="000000"/>
                <w:kern w:val="0"/>
                <w:sz w:val="30"/>
                <w:szCs w:val="30"/>
              </w:rPr>
              <w:t>国有资本经营预算财政拨款支出决算表</w:t>
            </w:r>
          </w:p>
        </w:tc>
      </w:tr>
      <w:tr>
        <w:tblPrEx>
          <w:tblCellMar>
            <w:top w:w="0" w:type="dxa"/>
            <w:left w:w="108" w:type="dxa"/>
            <w:bottom w:w="0" w:type="dxa"/>
            <w:right w:w="108" w:type="dxa"/>
          </w:tblCellMar>
        </w:tblPrEx>
        <w:trPr>
          <w:trHeight w:val="462" w:hRule="atLeast"/>
        </w:trPr>
        <w:tc>
          <w:tcPr>
            <w:tcW w:w="1074"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88"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90"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1125"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838"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843"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937" w:type="pct"/>
            <w:tcBorders>
              <w:top w:val="nil"/>
              <w:left w:val="nil"/>
              <w:bottom w:val="nil"/>
              <w:right w:val="nil"/>
            </w:tcBorders>
            <w:shd w:val="clear" w:color="auto" w:fill="FFFFFF" w:themeFill="background1"/>
            <w:noWrap/>
            <w:vAlign w:val="bottom"/>
          </w:tcPr>
          <w:p>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公开08表</w:t>
            </w:r>
          </w:p>
        </w:tc>
      </w:tr>
      <w:tr>
        <w:tblPrEx>
          <w:tblCellMar>
            <w:top w:w="0" w:type="dxa"/>
            <w:left w:w="108" w:type="dxa"/>
            <w:bottom w:w="0" w:type="dxa"/>
            <w:right w:w="108" w:type="dxa"/>
          </w:tblCellMar>
        </w:tblPrEx>
        <w:trPr>
          <w:trHeight w:val="462" w:hRule="atLeast"/>
        </w:trPr>
        <w:tc>
          <w:tcPr>
            <w:tcW w:w="1074" w:type="pct"/>
            <w:tcBorders>
              <w:top w:val="nil"/>
              <w:left w:val="nil"/>
              <w:bottom w:val="nil"/>
              <w:right w:val="nil"/>
            </w:tcBorders>
            <w:shd w:val="clear" w:color="auto" w:fill="FFFFFF" w:themeFill="background1"/>
            <w:noWrap/>
            <w:vAlign w:val="bottom"/>
          </w:tcPr>
          <w:p>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部门：怀化市公安局交通警察支队</w:t>
            </w:r>
          </w:p>
        </w:tc>
        <w:tc>
          <w:tcPr>
            <w:tcW w:w="88"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90"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1125"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838"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843"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937" w:type="pct"/>
            <w:tcBorders>
              <w:top w:val="nil"/>
              <w:left w:val="nil"/>
              <w:bottom w:val="nil"/>
              <w:right w:val="nil"/>
            </w:tcBorders>
            <w:shd w:val="clear" w:color="auto" w:fill="FFFFFF" w:themeFill="background1"/>
            <w:noWrap/>
            <w:vAlign w:val="bottom"/>
          </w:tcPr>
          <w:p>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tblPrEx>
          <w:tblCellMar>
            <w:top w:w="0" w:type="dxa"/>
            <w:left w:w="108" w:type="dxa"/>
            <w:bottom w:w="0" w:type="dxa"/>
            <w:right w:w="108" w:type="dxa"/>
          </w:tblCellMar>
        </w:tblPrEx>
        <w:trPr>
          <w:trHeight w:val="306" w:hRule="atLeast"/>
        </w:trPr>
        <w:tc>
          <w:tcPr>
            <w:tcW w:w="2379" w:type="pct"/>
            <w:gridSpan w:val="4"/>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2620" w:type="pct"/>
            <w:gridSpan w:val="3"/>
            <w:tcBorders>
              <w:top w:val="single" w:color="000000" w:sz="4" w:space="0"/>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本年支出</w:t>
            </w:r>
          </w:p>
        </w:tc>
      </w:tr>
      <w:tr>
        <w:tblPrEx>
          <w:tblCellMar>
            <w:top w:w="0" w:type="dxa"/>
            <w:left w:w="108" w:type="dxa"/>
            <w:bottom w:w="0" w:type="dxa"/>
            <w:right w:w="108" w:type="dxa"/>
          </w:tblCellMar>
        </w:tblPrEx>
        <w:trPr>
          <w:trHeight w:val="312" w:hRule="atLeast"/>
        </w:trPr>
        <w:tc>
          <w:tcPr>
            <w:tcW w:w="1254" w:type="pct"/>
            <w:gridSpan w:val="3"/>
            <w:vMerge w:val="restart"/>
            <w:tcBorders>
              <w:top w:val="nil"/>
              <w:left w:val="single" w:color="000000" w:sz="4" w:space="0"/>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科目代码</w:t>
            </w:r>
          </w:p>
        </w:tc>
        <w:tc>
          <w:tcPr>
            <w:tcW w:w="1125" w:type="pct"/>
            <w:vMerge w:val="restar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838" w:type="pct"/>
            <w:vMerge w:val="restar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843" w:type="pct"/>
            <w:vMerge w:val="restar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基本支出</w:t>
            </w:r>
          </w:p>
        </w:tc>
        <w:tc>
          <w:tcPr>
            <w:tcW w:w="937" w:type="pct"/>
            <w:vMerge w:val="restar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项目支出</w:t>
            </w:r>
          </w:p>
        </w:tc>
      </w:tr>
      <w:tr>
        <w:tblPrEx>
          <w:tblCellMar>
            <w:top w:w="0" w:type="dxa"/>
            <w:left w:w="108" w:type="dxa"/>
            <w:bottom w:w="0" w:type="dxa"/>
            <w:right w:w="108" w:type="dxa"/>
          </w:tblCellMar>
        </w:tblPrEx>
        <w:trPr>
          <w:trHeight w:val="312" w:hRule="atLeast"/>
        </w:trPr>
        <w:tc>
          <w:tcPr>
            <w:tcW w:w="1254" w:type="pct"/>
            <w:gridSpan w:val="3"/>
            <w:vMerge w:val="continue"/>
            <w:tcBorders>
              <w:top w:val="nil"/>
              <w:left w:val="single" w:color="000000" w:sz="4" w:space="0"/>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1125" w:type="pct"/>
            <w:vMerge w:val="continue"/>
            <w:tcBorders>
              <w:top w:val="nil"/>
              <w:left w:val="nil"/>
              <w:bottom w:val="single" w:color="000000" w:sz="4" w:space="0"/>
              <w:right w:val="single" w:color="000000" w:sz="4" w:space="0"/>
            </w:tcBorders>
            <w:shd w:val="clear" w:color="auto" w:fill="FFFFFF" w:themeFill="background1"/>
            <w:noWrap/>
            <w:vAlign w:val="center"/>
          </w:tcPr>
          <w:p>
            <w:pPr>
              <w:jc w:val="center"/>
              <w:rPr>
                <w:rFonts w:ascii="宋体" w:hAnsi="宋体" w:eastAsia="宋体" w:cs="宋体"/>
                <w:color w:val="000000"/>
                <w:sz w:val="22"/>
              </w:rPr>
            </w:pPr>
          </w:p>
        </w:tc>
        <w:tc>
          <w:tcPr>
            <w:tcW w:w="838" w:type="pct"/>
            <w:vMerge w:val="continue"/>
            <w:tcBorders>
              <w:top w:val="nil"/>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843" w:type="pct"/>
            <w:vMerge w:val="continue"/>
            <w:tcBorders>
              <w:top w:val="nil"/>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937" w:type="pct"/>
            <w:vMerge w:val="continue"/>
            <w:tcBorders>
              <w:top w:val="nil"/>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r>
      <w:tr>
        <w:tblPrEx>
          <w:tblCellMar>
            <w:top w:w="0" w:type="dxa"/>
            <w:left w:w="108" w:type="dxa"/>
            <w:bottom w:w="0" w:type="dxa"/>
            <w:right w:w="108" w:type="dxa"/>
          </w:tblCellMar>
        </w:tblPrEx>
        <w:trPr>
          <w:trHeight w:val="312" w:hRule="atLeast"/>
        </w:trPr>
        <w:tc>
          <w:tcPr>
            <w:tcW w:w="1254" w:type="pct"/>
            <w:gridSpan w:val="3"/>
            <w:vMerge w:val="continue"/>
            <w:tcBorders>
              <w:top w:val="nil"/>
              <w:left w:val="single" w:color="000000" w:sz="4" w:space="0"/>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1125" w:type="pct"/>
            <w:vMerge w:val="continue"/>
            <w:tcBorders>
              <w:top w:val="nil"/>
              <w:left w:val="nil"/>
              <w:bottom w:val="single" w:color="000000" w:sz="4" w:space="0"/>
              <w:right w:val="single" w:color="000000" w:sz="4" w:space="0"/>
            </w:tcBorders>
            <w:shd w:val="clear" w:color="auto" w:fill="FFFFFF" w:themeFill="background1"/>
            <w:noWrap/>
            <w:vAlign w:val="center"/>
          </w:tcPr>
          <w:p>
            <w:pPr>
              <w:jc w:val="center"/>
              <w:rPr>
                <w:rFonts w:ascii="宋体" w:hAnsi="宋体" w:eastAsia="宋体" w:cs="宋体"/>
                <w:color w:val="000000"/>
                <w:sz w:val="22"/>
              </w:rPr>
            </w:pPr>
          </w:p>
        </w:tc>
        <w:tc>
          <w:tcPr>
            <w:tcW w:w="838" w:type="pct"/>
            <w:vMerge w:val="continue"/>
            <w:tcBorders>
              <w:top w:val="nil"/>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843" w:type="pct"/>
            <w:vMerge w:val="continue"/>
            <w:tcBorders>
              <w:top w:val="nil"/>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937" w:type="pct"/>
            <w:vMerge w:val="continue"/>
            <w:tcBorders>
              <w:top w:val="nil"/>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r>
      <w:tr>
        <w:tblPrEx>
          <w:tblCellMar>
            <w:top w:w="0" w:type="dxa"/>
            <w:left w:w="108" w:type="dxa"/>
            <w:bottom w:w="0" w:type="dxa"/>
            <w:right w:w="108" w:type="dxa"/>
          </w:tblCellMar>
        </w:tblPrEx>
        <w:trPr>
          <w:trHeight w:val="306" w:hRule="atLeast"/>
        </w:trPr>
        <w:tc>
          <w:tcPr>
            <w:tcW w:w="2379" w:type="pct"/>
            <w:gridSpan w:val="4"/>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838"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843"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937"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r>
      <w:tr>
        <w:tblPrEx>
          <w:tblCellMar>
            <w:top w:w="0" w:type="dxa"/>
            <w:left w:w="108" w:type="dxa"/>
            <w:bottom w:w="0" w:type="dxa"/>
            <w:right w:w="108" w:type="dxa"/>
          </w:tblCellMar>
        </w:tblPrEx>
        <w:trPr>
          <w:trHeight w:val="306" w:hRule="atLeast"/>
        </w:trPr>
        <w:tc>
          <w:tcPr>
            <w:tcW w:w="2379" w:type="pct"/>
            <w:gridSpan w:val="4"/>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838"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b/>
                <w:bCs/>
                <w:color w:val="000000"/>
                <w:sz w:val="22"/>
              </w:rPr>
            </w:pPr>
          </w:p>
        </w:tc>
        <w:tc>
          <w:tcPr>
            <w:tcW w:w="843"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b/>
                <w:bCs/>
                <w:color w:val="000000"/>
                <w:sz w:val="22"/>
              </w:rPr>
            </w:pPr>
          </w:p>
        </w:tc>
        <w:tc>
          <w:tcPr>
            <w:tcW w:w="937"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b/>
                <w:bCs/>
                <w:color w:val="000000"/>
                <w:sz w:val="22"/>
              </w:rPr>
            </w:pPr>
          </w:p>
        </w:tc>
      </w:tr>
      <w:tr>
        <w:tblPrEx>
          <w:tblCellMar>
            <w:top w:w="0" w:type="dxa"/>
            <w:left w:w="108" w:type="dxa"/>
            <w:bottom w:w="0" w:type="dxa"/>
            <w:right w:w="108" w:type="dxa"/>
          </w:tblCellMar>
        </w:tblPrEx>
        <w:trPr>
          <w:trHeight w:val="306" w:hRule="atLeast"/>
        </w:trPr>
        <w:tc>
          <w:tcPr>
            <w:tcW w:w="125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color w:val="000000"/>
                <w:sz w:val="22"/>
              </w:rPr>
            </w:pPr>
          </w:p>
        </w:tc>
        <w:tc>
          <w:tcPr>
            <w:tcW w:w="1125" w:type="pct"/>
            <w:tcBorders>
              <w:top w:val="nil"/>
              <w:left w:val="nil"/>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color w:val="000000"/>
                <w:sz w:val="22"/>
              </w:rPr>
            </w:pPr>
          </w:p>
        </w:tc>
        <w:tc>
          <w:tcPr>
            <w:tcW w:w="838"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843"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937"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trHeight w:val="306" w:hRule="atLeast"/>
        </w:trPr>
        <w:tc>
          <w:tcPr>
            <w:tcW w:w="125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color w:val="000000"/>
                <w:sz w:val="22"/>
              </w:rPr>
            </w:pPr>
          </w:p>
        </w:tc>
        <w:tc>
          <w:tcPr>
            <w:tcW w:w="1125" w:type="pct"/>
            <w:tcBorders>
              <w:top w:val="nil"/>
              <w:left w:val="nil"/>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color w:val="000000"/>
                <w:sz w:val="22"/>
              </w:rPr>
            </w:pPr>
          </w:p>
        </w:tc>
        <w:tc>
          <w:tcPr>
            <w:tcW w:w="838"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843"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937"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trHeight w:val="306" w:hRule="atLeast"/>
        </w:trPr>
        <w:tc>
          <w:tcPr>
            <w:tcW w:w="125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color w:val="000000"/>
                <w:sz w:val="22"/>
              </w:rPr>
            </w:pPr>
          </w:p>
        </w:tc>
        <w:tc>
          <w:tcPr>
            <w:tcW w:w="1125" w:type="pct"/>
            <w:tcBorders>
              <w:top w:val="nil"/>
              <w:left w:val="nil"/>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color w:val="000000"/>
                <w:sz w:val="22"/>
              </w:rPr>
            </w:pPr>
          </w:p>
        </w:tc>
        <w:tc>
          <w:tcPr>
            <w:tcW w:w="838"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843"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937"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trHeight w:val="306" w:hRule="atLeast"/>
        </w:trPr>
        <w:tc>
          <w:tcPr>
            <w:tcW w:w="125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color w:val="000000"/>
                <w:sz w:val="22"/>
              </w:rPr>
            </w:pPr>
          </w:p>
        </w:tc>
        <w:tc>
          <w:tcPr>
            <w:tcW w:w="1125" w:type="pct"/>
            <w:tcBorders>
              <w:top w:val="nil"/>
              <w:left w:val="nil"/>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color w:val="000000"/>
                <w:sz w:val="22"/>
              </w:rPr>
            </w:pPr>
          </w:p>
        </w:tc>
        <w:tc>
          <w:tcPr>
            <w:tcW w:w="838"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843"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937"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trHeight w:val="306" w:hRule="atLeast"/>
        </w:trPr>
        <w:tc>
          <w:tcPr>
            <w:tcW w:w="125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color w:val="000000"/>
                <w:sz w:val="22"/>
              </w:rPr>
            </w:pPr>
          </w:p>
        </w:tc>
        <w:tc>
          <w:tcPr>
            <w:tcW w:w="1125" w:type="pct"/>
            <w:tcBorders>
              <w:top w:val="nil"/>
              <w:left w:val="nil"/>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color w:val="000000"/>
                <w:sz w:val="22"/>
              </w:rPr>
            </w:pPr>
          </w:p>
        </w:tc>
        <w:tc>
          <w:tcPr>
            <w:tcW w:w="838"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843"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937"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trHeight w:val="306" w:hRule="atLeast"/>
        </w:trPr>
        <w:tc>
          <w:tcPr>
            <w:tcW w:w="1254" w:type="pct"/>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color w:val="000000"/>
                <w:sz w:val="22"/>
              </w:rPr>
            </w:pPr>
          </w:p>
        </w:tc>
        <w:tc>
          <w:tcPr>
            <w:tcW w:w="1125" w:type="pct"/>
            <w:tcBorders>
              <w:top w:val="nil"/>
              <w:left w:val="nil"/>
              <w:bottom w:val="single" w:color="000000" w:sz="4" w:space="0"/>
              <w:right w:val="single" w:color="000000" w:sz="4" w:space="0"/>
            </w:tcBorders>
            <w:shd w:val="clear" w:color="auto" w:fill="FFFFFF" w:themeFill="background1"/>
            <w:noWrap/>
            <w:vAlign w:val="center"/>
          </w:tcPr>
          <w:p>
            <w:pPr>
              <w:jc w:val="left"/>
              <w:rPr>
                <w:rFonts w:ascii="宋体" w:hAnsi="宋体" w:eastAsia="宋体" w:cs="宋体"/>
                <w:color w:val="000000"/>
                <w:sz w:val="22"/>
              </w:rPr>
            </w:pPr>
          </w:p>
        </w:tc>
        <w:tc>
          <w:tcPr>
            <w:tcW w:w="838"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843"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c>
          <w:tcPr>
            <w:tcW w:w="937" w:type="pct"/>
            <w:tcBorders>
              <w:top w:val="nil"/>
              <w:left w:val="nil"/>
              <w:bottom w:val="single" w:color="000000" w:sz="4" w:space="0"/>
              <w:right w:val="single" w:color="000000" w:sz="4" w:space="0"/>
            </w:tcBorders>
            <w:shd w:val="clear" w:color="auto" w:fill="FFFFFF" w:themeFill="background1"/>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trHeight w:val="1304" w:hRule="atLeast"/>
        </w:trPr>
        <w:tc>
          <w:tcPr>
            <w:tcW w:w="5000" w:type="pct"/>
            <w:gridSpan w:val="7"/>
            <w:tcBorders>
              <w:top w:val="nil"/>
              <w:left w:val="nil"/>
              <w:bottom w:val="nil"/>
              <w:right w:val="nil"/>
            </w:tcBorders>
            <w:shd w:val="clear" w:color="auto" w:fill="FFFFFF" w:themeFill="background1"/>
            <w:noWrap/>
            <w:vAlign w:val="center"/>
          </w:tcPr>
          <w:p>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注：本表反映部门本年度国有资本经营预算财政拨款支出情况。</w:t>
            </w:r>
          </w:p>
          <w:p>
            <w:pPr>
              <w:widowControl/>
              <w:jc w:val="left"/>
              <w:textAlignment w:val="center"/>
              <w:rPr>
                <w:rFonts w:ascii="宋体" w:hAnsi="宋体" w:eastAsia="宋体" w:cs="宋体"/>
                <w:color w:val="000000"/>
                <w:kern w:val="0"/>
                <w:sz w:val="22"/>
              </w:rPr>
            </w:pPr>
          </w:p>
          <w:p>
            <w:pPr>
              <w:widowControl/>
              <w:jc w:val="left"/>
              <w:textAlignment w:val="center"/>
              <w:rPr>
                <w:rFonts w:ascii="宋体" w:hAnsi="宋体" w:eastAsia="宋体" w:cs="宋体"/>
                <w:color w:val="000000"/>
                <w:kern w:val="0"/>
                <w:sz w:val="22"/>
              </w:rPr>
            </w:pPr>
            <w:r>
              <w:rPr>
                <w:rFonts w:hint="eastAsia" w:ascii="宋体" w:hAnsi="宋体" w:eastAsia="宋体" w:cs="宋体"/>
                <w:b/>
                <w:bCs/>
                <w:color w:val="000000"/>
                <w:kern w:val="0"/>
                <w:sz w:val="22"/>
              </w:rPr>
              <w:t>说明：我单位没有使用国有资本经营预算安排的支出，故本表无数据。</w:t>
            </w:r>
          </w:p>
        </w:tc>
      </w:tr>
    </w:tbl>
    <w:p>
      <w:pPr>
        <w:widowControl/>
        <w:rPr>
          <w:rFonts w:ascii="Times New Roman" w:hAnsi="Times New Roman" w:eastAsia="方正小标宋_GBK" w:cs="Times New Roman"/>
          <w:color w:val="000000"/>
          <w:kern w:val="0"/>
          <w:sz w:val="36"/>
          <w:szCs w:val="36"/>
        </w:rPr>
      </w:pPr>
    </w:p>
    <w:p>
      <w:pPr>
        <w:widowControl/>
        <w:rPr>
          <w:rFonts w:ascii="Times New Roman" w:hAnsi="Times New Roman" w:eastAsia="方正小标宋_GBK" w:cs="Times New Roman"/>
          <w:color w:val="000000"/>
          <w:kern w:val="0"/>
          <w:sz w:val="36"/>
          <w:szCs w:val="36"/>
        </w:rPr>
      </w:pPr>
    </w:p>
    <w:p>
      <w:pPr>
        <w:widowControl/>
        <w:rPr>
          <w:rFonts w:ascii="Times New Roman" w:hAnsi="Times New Roman" w:eastAsia="方正小标宋_GBK" w:cs="Times New Roman"/>
          <w:color w:val="000000"/>
          <w:kern w:val="0"/>
          <w:sz w:val="36"/>
          <w:szCs w:val="36"/>
        </w:rPr>
      </w:pPr>
    </w:p>
    <w:p>
      <w:pPr>
        <w:widowControl/>
        <w:rPr>
          <w:rFonts w:ascii="Times New Roman" w:hAnsi="Times New Roman" w:eastAsia="方正小标宋_GBK" w:cs="Times New Roman"/>
          <w:color w:val="000000"/>
          <w:kern w:val="0"/>
          <w:sz w:val="36"/>
          <w:szCs w:val="36"/>
        </w:rPr>
      </w:pPr>
    </w:p>
    <w:p>
      <w:pPr>
        <w:widowControl/>
        <w:rPr>
          <w:rFonts w:ascii="Times New Roman" w:hAnsi="Times New Roman" w:eastAsia="方正小标宋_GBK" w:cs="Times New Roman"/>
          <w:color w:val="000000"/>
          <w:kern w:val="0"/>
          <w:sz w:val="36"/>
          <w:szCs w:val="36"/>
        </w:rPr>
      </w:pPr>
    </w:p>
    <w:tbl>
      <w:tblPr>
        <w:tblStyle w:val="5"/>
        <w:tblW w:w="5000" w:type="pct"/>
        <w:tblInd w:w="0" w:type="dxa"/>
        <w:shd w:val="clear" w:color="auto" w:fill="FFFFFF" w:themeFill="background1"/>
        <w:tblLayout w:type="autofit"/>
        <w:tblCellMar>
          <w:top w:w="0" w:type="dxa"/>
          <w:left w:w="108" w:type="dxa"/>
          <w:bottom w:w="0" w:type="dxa"/>
          <w:right w:w="108" w:type="dxa"/>
        </w:tblCellMar>
      </w:tblPr>
      <w:tblGrid>
        <w:gridCol w:w="3216"/>
        <w:gridCol w:w="1099"/>
        <w:gridCol w:w="1099"/>
        <w:gridCol w:w="1099"/>
        <w:gridCol w:w="1105"/>
        <w:gridCol w:w="877"/>
        <w:gridCol w:w="1099"/>
        <w:gridCol w:w="1099"/>
        <w:gridCol w:w="1099"/>
        <w:gridCol w:w="1099"/>
        <w:gridCol w:w="1106"/>
        <w:gridCol w:w="1617"/>
      </w:tblGrid>
      <w:tr>
        <w:tblPrEx>
          <w:shd w:val="clear" w:color="auto" w:fill="FFFFFF" w:themeFill="background1"/>
          <w:tblCellMar>
            <w:top w:w="0" w:type="dxa"/>
            <w:left w:w="108" w:type="dxa"/>
            <w:bottom w:w="0" w:type="dxa"/>
            <w:right w:w="108" w:type="dxa"/>
          </w:tblCellMar>
        </w:tblPrEx>
        <w:trPr>
          <w:trHeight w:val="540" w:hRule="atLeast"/>
        </w:trPr>
        <w:tc>
          <w:tcPr>
            <w:tcW w:w="5000" w:type="pct"/>
            <w:gridSpan w:val="12"/>
            <w:tcBorders>
              <w:top w:val="nil"/>
              <w:left w:val="nil"/>
              <w:bottom w:val="nil"/>
              <w:right w:val="nil"/>
            </w:tcBorders>
            <w:shd w:val="clear" w:color="auto" w:fill="FFFFFF" w:themeFill="background1"/>
            <w:noWrap/>
            <w:vAlign w:val="bottom"/>
          </w:tcPr>
          <w:p>
            <w:pPr>
              <w:widowControl/>
              <w:jc w:val="center"/>
              <w:textAlignment w:val="bottom"/>
              <w:rPr>
                <w:rFonts w:ascii="宋体" w:hAnsi="宋体" w:eastAsia="宋体" w:cs="宋体"/>
                <w:color w:val="000000"/>
                <w:sz w:val="44"/>
                <w:szCs w:val="44"/>
              </w:rPr>
            </w:pPr>
            <w:r>
              <w:rPr>
                <w:rFonts w:hint="eastAsia" w:ascii="宋体" w:hAnsi="宋体" w:eastAsia="宋体" w:cs="宋体"/>
                <w:color w:val="000000"/>
                <w:kern w:val="0"/>
                <w:sz w:val="30"/>
                <w:szCs w:val="30"/>
              </w:rPr>
              <w:t>财政拨款“三公”经费支出决算表</w:t>
            </w:r>
          </w:p>
        </w:tc>
      </w:tr>
      <w:tr>
        <w:tblPrEx>
          <w:tblCellMar>
            <w:top w:w="0" w:type="dxa"/>
            <w:left w:w="108" w:type="dxa"/>
            <w:bottom w:w="0" w:type="dxa"/>
            <w:right w:w="108" w:type="dxa"/>
          </w:tblCellMar>
        </w:tblPrEx>
        <w:trPr>
          <w:trHeight w:val="417" w:hRule="atLeast"/>
        </w:trPr>
        <w:tc>
          <w:tcPr>
            <w:tcW w:w="949"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364"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364"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364"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364"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289"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364"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364"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364"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364"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364"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478" w:type="pct"/>
            <w:tcBorders>
              <w:top w:val="nil"/>
              <w:left w:val="nil"/>
              <w:bottom w:val="nil"/>
              <w:right w:val="nil"/>
            </w:tcBorders>
            <w:shd w:val="clear" w:color="auto" w:fill="FFFFFF" w:themeFill="background1"/>
            <w:noWrap/>
            <w:vAlign w:val="bottom"/>
          </w:tcPr>
          <w:p>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公开09表</w:t>
            </w:r>
          </w:p>
        </w:tc>
      </w:tr>
      <w:tr>
        <w:tblPrEx>
          <w:tblCellMar>
            <w:top w:w="0" w:type="dxa"/>
            <w:left w:w="108" w:type="dxa"/>
            <w:bottom w:w="0" w:type="dxa"/>
            <w:right w:w="108" w:type="dxa"/>
          </w:tblCellMar>
        </w:tblPrEx>
        <w:trPr>
          <w:trHeight w:val="507" w:hRule="atLeast"/>
        </w:trPr>
        <w:tc>
          <w:tcPr>
            <w:tcW w:w="949" w:type="pct"/>
            <w:tcBorders>
              <w:top w:val="nil"/>
              <w:left w:val="nil"/>
              <w:bottom w:val="nil"/>
              <w:right w:val="nil"/>
            </w:tcBorders>
            <w:shd w:val="clear" w:color="auto" w:fill="FFFFFF" w:themeFill="background1"/>
            <w:noWrap/>
            <w:vAlign w:val="bottom"/>
          </w:tcPr>
          <w:p>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部门：怀化市公安局交通警察支队</w:t>
            </w:r>
          </w:p>
        </w:tc>
        <w:tc>
          <w:tcPr>
            <w:tcW w:w="364"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364"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364"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364"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289"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364"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364"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364"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364"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364" w:type="pct"/>
            <w:tcBorders>
              <w:top w:val="nil"/>
              <w:left w:val="nil"/>
              <w:bottom w:val="nil"/>
              <w:right w:val="nil"/>
            </w:tcBorders>
            <w:shd w:val="clear" w:color="auto" w:fill="FFFFFF" w:themeFill="background1"/>
            <w:noWrap/>
            <w:vAlign w:val="bottom"/>
          </w:tcPr>
          <w:p>
            <w:pPr>
              <w:rPr>
                <w:rFonts w:ascii="Arial" w:hAnsi="Arial" w:cs="Arial"/>
                <w:color w:val="000000"/>
                <w:sz w:val="20"/>
                <w:szCs w:val="20"/>
              </w:rPr>
            </w:pPr>
          </w:p>
        </w:tc>
        <w:tc>
          <w:tcPr>
            <w:tcW w:w="478" w:type="pct"/>
            <w:tcBorders>
              <w:top w:val="nil"/>
              <w:left w:val="nil"/>
              <w:bottom w:val="nil"/>
              <w:right w:val="nil"/>
            </w:tcBorders>
            <w:shd w:val="clear" w:color="auto" w:fill="FFFFFF" w:themeFill="background1"/>
            <w:noWrap/>
            <w:vAlign w:val="bottom"/>
          </w:tcPr>
          <w:p>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tblPrEx>
          <w:tblCellMar>
            <w:top w:w="0" w:type="dxa"/>
            <w:left w:w="108" w:type="dxa"/>
            <w:bottom w:w="0" w:type="dxa"/>
            <w:right w:w="108" w:type="dxa"/>
          </w:tblCellMar>
        </w:tblPrEx>
        <w:trPr>
          <w:trHeight w:val="306" w:hRule="atLeast"/>
        </w:trPr>
        <w:tc>
          <w:tcPr>
            <w:tcW w:w="2698" w:type="pct"/>
            <w:gridSpan w:val="6"/>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预算数</w:t>
            </w:r>
          </w:p>
        </w:tc>
        <w:tc>
          <w:tcPr>
            <w:tcW w:w="2301" w:type="pct"/>
            <w:gridSpan w:val="6"/>
            <w:tcBorders>
              <w:top w:val="single" w:color="000000" w:sz="4" w:space="0"/>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r>
      <w:tr>
        <w:tblPrEx>
          <w:tblCellMar>
            <w:top w:w="0" w:type="dxa"/>
            <w:left w:w="108" w:type="dxa"/>
            <w:bottom w:w="0" w:type="dxa"/>
            <w:right w:w="108" w:type="dxa"/>
          </w:tblCellMar>
        </w:tblPrEx>
        <w:trPr>
          <w:trHeight w:val="306" w:hRule="atLeast"/>
        </w:trPr>
        <w:tc>
          <w:tcPr>
            <w:tcW w:w="949" w:type="pct"/>
            <w:vMerge w:val="restart"/>
            <w:tcBorders>
              <w:top w:val="nil"/>
              <w:left w:val="single" w:color="000000" w:sz="4" w:space="0"/>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364" w:type="pct"/>
            <w:vMerge w:val="restar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因公出国（境）费</w:t>
            </w:r>
          </w:p>
        </w:tc>
        <w:tc>
          <w:tcPr>
            <w:tcW w:w="1094" w:type="pct"/>
            <w:gridSpan w:val="3"/>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公务用车购置及运行维护费</w:t>
            </w:r>
          </w:p>
        </w:tc>
        <w:tc>
          <w:tcPr>
            <w:tcW w:w="289" w:type="pct"/>
            <w:vMerge w:val="restar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公务接待费</w:t>
            </w:r>
          </w:p>
        </w:tc>
        <w:tc>
          <w:tcPr>
            <w:tcW w:w="364" w:type="pct"/>
            <w:vMerge w:val="restar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364" w:type="pct"/>
            <w:vMerge w:val="restar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因公出国（境）费</w:t>
            </w:r>
          </w:p>
        </w:tc>
        <w:tc>
          <w:tcPr>
            <w:tcW w:w="1094" w:type="pct"/>
            <w:gridSpan w:val="3"/>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公务用车购置及运行维护费</w:t>
            </w:r>
          </w:p>
        </w:tc>
        <w:tc>
          <w:tcPr>
            <w:tcW w:w="478" w:type="pct"/>
            <w:vMerge w:val="restar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公务接待费</w:t>
            </w:r>
          </w:p>
        </w:tc>
      </w:tr>
      <w:tr>
        <w:tblPrEx>
          <w:tblCellMar>
            <w:top w:w="0" w:type="dxa"/>
            <w:left w:w="108" w:type="dxa"/>
            <w:bottom w:w="0" w:type="dxa"/>
            <w:right w:w="108" w:type="dxa"/>
          </w:tblCellMar>
        </w:tblPrEx>
        <w:trPr>
          <w:trHeight w:val="306" w:hRule="atLeast"/>
        </w:trPr>
        <w:tc>
          <w:tcPr>
            <w:tcW w:w="949" w:type="pct"/>
            <w:vMerge w:val="continue"/>
            <w:tcBorders>
              <w:top w:val="nil"/>
              <w:left w:val="single" w:color="000000" w:sz="4" w:space="0"/>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364" w:type="pct"/>
            <w:vMerge w:val="continue"/>
            <w:tcBorders>
              <w:top w:val="nil"/>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364" w:type="pc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小计</w:t>
            </w:r>
          </w:p>
        </w:tc>
        <w:tc>
          <w:tcPr>
            <w:tcW w:w="364" w:type="pc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公务用车购置费</w:t>
            </w:r>
          </w:p>
        </w:tc>
        <w:tc>
          <w:tcPr>
            <w:tcW w:w="364" w:type="pc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公务用车运行维护费</w:t>
            </w:r>
          </w:p>
        </w:tc>
        <w:tc>
          <w:tcPr>
            <w:tcW w:w="289" w:type="pct"/>
            <w:vMerge w:val="continue"/>
            <w:tcBorders>
              <w:top w:val="nil"/>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364" w:type="pct"/>
            <w:vMerge w:val="continue"/>
            <w:tcBorders>
              <w:top w:val="nil"/>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364" w:type="pct"/>
            <w:vMerge w:val="continue"/>
            <w:tcBorders>
              <w:top w:val="nil"/>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c>
          <w:tcPr>
            <w:tcW w:w="364" w:type="pc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小计</w:t>
            </w:r>
          </w:p>
        </w:tc>
        <w:tc>
          <w:tcPr>
            <w:tcW w:w="364" w:type="pc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公务用车购置费</w:t>
            </w:r>
          </w:p>
        </w:tc>
        <w:tc>
          <w:tcPr>
            <w:tcW w:w="364" w:type="pc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公务用车运行维护费</w:t>
            </w:r>
          </w:p>
        </w:tc>
        <w:tc>
          <w:tcPr>
            <w:tcW w:w="478" w:type="pct"/>
            <w:vMerge w:val="continue"/>
            <w:tcBorders>
              <w:top w:val="nil"/>
              <w:left w:val="nil"/>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000000"/>
                <w:sz w:val="22"/>
              </w:rPr>
            </w:pPr>
          </w:p>
        </w:tc>
      </w:tr>
      <w:tr>
        <w:tblPrEx>
          <w:tblCellMar>
            <w:top w:w="0" w:type="dxa"/>
            <w:left w:w="108" w:type="dxa"/>
            <w:bottom w:w="0" w:type="dxa"/>
            <w:right w:w="108" w:type="dxa"/>
          </w:tblCellMar>
        </w:tblPrEx>
        <w:trPr>
          <w:trHeight w:val="306" w:hRule="atLeast"/>
        </w:trPr>
        <w:tc>
          <w:tcPr>
            <w:tcW w:w="949" w:type="pct"/>
            <w:tcBorders>
              <w:top w:val="nil"/>
              <w:left w:val="single" w:color="000000" w:sz="4" w:space="0"/>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364" w:type="pc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364" w:type="pc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364" w:type="pc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364" w:type="pc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289" w:type="pc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c>
          <w:tcPr>
            <w:tcW w:w="364" w:type="pc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c>
          <w:tcPr>
            <w:tcW w:w="364" w:type="pc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8</w:t>
            </w:r>
          </w:p>
        </w:tc>
        <w:tc>
          <w:tcPr>
            <w:tcW w:w="364" w:type="pc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9</w:t>
            </w:r>
          </w:p>
        </w:tc>
        <w:tc>
          <w:tcPr>
            <w:tcW w:w="364" w:type="pc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10</w:t>
            </w:r>
          </w:p>
        </w:tc>
        <w:tc>
          <w:tcPr>
            <w:tcW w:w="364" w:type="pc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11</w:t>
            </w:r>
          </w:p>
        </w:tc>
        <w:tc>
          <w:tcPr>
            <w:tcW w:w="478" w:type="pct"/>
            <w:tcBorders>
              <w:top w:val="nil"/>
              <w:left w:val="nil"/>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12</w:t>
            </w:r>
          </w:p>
        </w:tc>
      </w:tr>
      <w:tr>
        <w:tblPrEx>
          <w:tblCellMar>
            <w:top w:w="0" w:type="dxa"/>
            <w:left w:w="108" w:type="dxa"/>
            <w:bottom w:w="0" w:type="dxa"/>
            <w:right w:w="108" w:type="dxa"/>
          </w:tblCellMar>
        </w:tblPrEx>
        <w:trPr>
          <w:trHeight w:val="306" w:hRule="atLeast"/>
        </w:trPr>
        <w:tc>
          <w:tcPr>
            <w:tcW w:w="949" w:type="pct"/>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342.37</w:t>
            </w:r>
          </w:p>
        </w:tc>
        <w:tc>
          <w:tcPr>
            <w:tcW w:w="364"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64"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339.23</w:t>
            </w:r>
          </w:p>
        </w:tc>
        <w:tc>
          <w:tcPr>
            <w:tcW w:w="364"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151.82</w:t>
            </w:r>
          </w:p>
        </w:tc>
        <w:tc>
          <w:tcPr>
            <w:tcW w:w="364"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187.41</w:t>
            </w:r>
          </w:p>
        </w:tc>
        <w:tc>
          <w:tcPr>
            <w:tcW w:w="289"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3.15</w:t>
            </w:r>
          </w:p>
        </w:tc>
        <w:tc>
          <w:tcPr>
            <w:tcW w:w="364"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342.37</w:t>
            </w:r>
          </w:p>
        </w:tc>
        <w:tc>
          <w:tcPr>
            <w:tcW w:w="364"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364"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339.23</w:t>
            </w:r>
          </w:p>
        </w:tc>
        <w:tc>
          <w:tcPr>
            <w:tcW w:w="364"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151.82</w:t>
            </w:r>
          </w:p>
        </w:tc>
        <w:tc>
          <w:tcPr>
            <w:tcW w:w="364"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187.41</w:t>
            </w:r>
          </w:p>
        </w:tc>
        <w:tc>
          <w:tcPr>
            <w:tcW w:w="478" w:type="pct"/>
            <w:tcBorders>
              <w:top w:val="nil"/>
              <w:left w:val="nil"/>
              <w:bottom w:val="single" w:color="000000" w:sz="4" w:space="0"/>
              <w:right w:val="single" w:color="000000" w:sz="4" w:space="0"/>
            </w:tcBorders>
            <w:shd w:val="clear" w:color="auto" w:fill="FFFFFF" w:themeFill="background1"/>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3.15</w:t>
            </w:r>
          </w:p>
        </w:tc>
      </w:tr>
      <w:tr>
        <w:tblPrEx>
          <w:tblCellMar>
            <w:top w:w="0" w:type="dxa"/>
            <w:left w:w="108" w:type="dxa"/>
            <w:bottom w:w="0" w:type="dxa"/>
            <w:right w:w="108" w:type="dxa"/>
          </w:tblCellMar>
        </w:tblPrEx>
        <w:trPr>
          <w:trHeight w:val="799" w:hRule="atLeast"/>
        </w:trPr>
        <w:tc>
          <w:tcPr>
            <w:tcW w:w="5000" w:type="pct"/>
            <w:gridSpan w:val="12"/>
            <w:tcBorders>
              <w:top w:val="nil"/>
              <w:left w:val="nil"/>
              <w:bottom w:val="nil"/>
              <w:right w:val="nil"/>
            </w:tcBorders>
            <w:shd w:val="clear" w:color="auto" w:fill="FFFFFF" w:themeFill="background1"/>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widowControl/>
        <w:jc w:val="center"/>
        <w:rPr>
          <w:rFonts w:ascii="Times New Roman" w:hAnsi="Times New Roman" w:eastAsia="方正小标宋_GBK" w:cs="Times New Roman"/>
          <w:color w:val="000000"/>
          <w:kern w:val="0"/>
          <w:sz w:val="36"/>
          <w:szCs w:val="36"/>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widowControl/>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pPr>
        <w:pStyle w:val="9"/>
        <w:rPr>
          <w:sz w:val="72"/>
          <w:szCs w:val="72"/>
        </w:rPr>
      </w:pPr>
    </w:p>
    <w:p>
      <w:pPr>
        <w:pStyle w:val="9"/>
        <w:rPr>
          <w:sz w:val="72"/>
          <w:szCs w:val="72"/>
        </w:rPr>
      </w:pPr>
    </w:p>
    <w:p>
      <w:pPr>
        <w:pStyle w:val="9"/>
        <w:rPr>
          <w:sz w:val="72"/>
          <w:szCs w:val="72"/>
        </w:rPr>
      </w:pPr>
    </w:p>
    <w:p>
      <w:pPr>
        <w:pStyle w:val="9"/>
        <w:rPr>
          <w:sz w:val="72"/>
          <w:szCs w:val="72"/>
        </w:rPr>
      </w:pPr>
    </w:p>
    <w:p>
      <w:pPr>
        <w:pStyle w:val="9"/>
        <w:jc w:val="center"/>
        <w:rPr>
          <w:sz w:val="72"/>
          <w:szCs w:val="72"/>
        </w:rPr>
      </w:pPr>
    </w:p>
    <w:p>
      <w:pPr>
        <w:pStyle w:val="9"/>
        <w:jc w:val="center"/>
        <w:rPr>
          <w:rFonts w:ascii="方正小标宋_GBK" w:hAnsi="方正小标宋_GBK" w:eastAsia="方正小标宋_GBK" w:cs="方正小标宋_GBK"/>
          <w:sz w:val="72"/>
          <w:szCs w:val="72"/>
        </w:rPr>
      </w:pPr>
    </w:p>
    <w:p>
      <w:pPr>
        <w:pStyle w:val="9"/>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9"/>
        <w:jc w:val="center"/>
        <w:rPr>
          <w:rFonts w:ascii="方正小标宋_GBK" w:hAnsi="方正小标宋_GBK" w:eastAsia="方正小标宋_GBK" w:cs="方正小标宋_GBK"/>
          <w:sz w:val="70"/>
          <w:szCs w:val="70"/>
        </w:rPr>
      </w:pPr>
    </w:p>
    <w:p>
      <w:pPr>
        <w:pStyle w:val="9"/>
        <w:jc w:val="center"/>
        <w:rPr>
          <w:rFonts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2022年度部门决算情况说明</w:t>
      </w:r>
    </w:p>
    <w:p>
      <w:pPr>
        <w:widowControl/>
        <w:jc w:val="left"/>
        <w:rPr>
          <w:rFonts w:asciiTheme="minorEastAsia" w:hAnsiTheme="minorEastAsia"/>
          <w:sz w:val="32"/>
          <w:szCs w:val="32"/>
        </w:rPr>
      </w:pPr>
      <w:r>
        <w:rPr>
          <w:rFonts w:hint="eastAsia" w:ascii="方正小标宋_GBK" w:hAnsi="方正小标宋_GBK" w:eastAsia="方正小标宋_GBK" w:cs="方正小标宋_GBK"/>
          <w:sz w:val="70"/>
          <w:szCs w:val="70"/>
        </w:rPr>
        <w:br w:type="page"/>
      </w:r>
    </w:p>
    <w:p>
      <w:pPr>
        <w:pStyle w:val="9"/>
        <w:keepNext w:val="0"/>
        <w:keepLines w:val="0"/>
        <w:pageBreakBefore w:val="0"/>
        <w:widowControl w:val="0"/>
        <w:kinsoku/>
        <w:wordWrap/>
        <w:overflowPunct/>
        <w:topLinePunct w:val="0"/>
        <w:bidi w:val="0"/>
        <w:snapToGrid/>
        <w:spacing w:line="580" w:lineRule="exact"/>
        <w:ind w:firstLine="640" w:firstLineChars="200"/>
        <w:textAlignment w:val="auto"/>
        <w:rPr>
          <w:rFonts w:hAnsi="黑体"/>
          <w:bCs/>
          <w:sz w:val="32"/>
          <w:szCs w:val="32"/>
        </w:rPr>
      </w:pPr>
      <w:r>
        <w:rPr>
          <w:rFonts w:hint="eastAsia" w:hAnsi="黑体"/>
          <w:bCs/>
          <w:sz w:val="32"/>
          <w:szCs w:val="32"/>
        </w:rPr>
        <w:t>一、收入支出决算总体情况说明</w:t>
      </w:r>
    </w:p>
    <w:p>
      <w:pPr>
        <w:pStyle w:val="9"/>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2022年度收、支总计13743.82万元。与上年相比，增加253.91万元，增长1.88%，主要是因为基础绩效奖按月发放，人员经费增加。</w:t>
      </w:r>
    </w:p>
    <w:p>
      <w:pPr>
        <w:pStyle w:val="9"/>
        <w:keepNext w:val="0"/>
        <w:keepLines w:val="0"/>
        <w:pageBreakBefore w:val="0"/>
        <w:widowControl w:val="0"/>
        <w:kinsoku/>
        <w:wordWrap/>
        <w:overflowPunct/>
        <w:topLinePunct w:val="0"/>
        <w:bidi w:val="0"/>
        <w:snapToGrid/>
        <w:spacing w:line="580" w:lineRule="exact"/>
        <w:ind w:firstLine="640" w:firstLineChars="200"/>
        <w:textAlignment w:val="auto"/>
        <w:rPr>
          <w:rFonts w:hAnsi="黑体"/>
          <w:bCs/>
          <w:sz w:val="32"/>
          <w:szCs w:val="32"/>
        </w:rPr>
      </w:pPr>
      <w:r>
        <w:rPr>
          <w:rFonts w:hint="eastAsia" w:hAnsi="黑体"/>
          <w:bCs/>
          <w:sz w:val="32"/>
          <w:szCs w:val="32"/>
        </w:rPr>
        <w:t>二、收入决算情况说明</w:t>
      </w:r>
    </w:p>
    <w:p>
      <w:pPr>
        <w:pStyle w:val="9"/>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2022年度收入合计13743.82万元，其中：财政拨款收入13743.82万元，占100%；上级补助收入0万元，占0%；事业收入0万元，占0%；经营收入0万元，占0%；附属单位上缴收入0万元，占0%；其他收入0万元，占0%。</w:t>
      </w:r>
    </w:p>
    <w:p>
      <w:pPr>
        <w:pStyle w:val="9"/>
        <w:keepNext w:val="0"/>
        <w:keepLines w:val="0"/>
        <w:pageBreakBefore w:val="0"/>
        <w:widowControl w:val="0"/>
        <w:kinsoku/>
        <w:wordWrap/>
        <w:overflowPunct/>
        <w:topLinePunct w:val="0"/>
        <w:bidi w:val="0"/>
        <w:snapToGrid/>
        <w:spacing w:line="580" w:lineRule="exact"/>
        <w:ind w:firstLine="640" w:firstLineChars="200"/>
        <w:textAlignment w:val="auto"/>
        <w:rPr>
          <w:rFonts w:hAnsi="黑体"/>
          <w:bCs/>
          <w:sz w:val="32"/>
          <w:szCs w:val="32"/>
        </w:rPr>
      </w:pPr>
      <w:r>
        <w:rPr>
          <w:rFonts w:hint="eastAsia" w:hAnsi="黑体"/>
          <w:bCs/>
          <w:sz w:val="32"/>
          <w:szCs w:val="32"/>
        </w:rPr>
        <w:t>三、支出决算情况说明</w:t>
      </w:r>
    </w:p>
    <w:p>
      <w:pPr>
        <w:pStyle w:val="9"/>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2022年度支出合计13743.82万元，其中：基本支出6005.64万元，占43.7%；项目支出7738.19万元，占56.3%；上缴上级支出0万元，占0%；经营支出0万元，占0%；对附属单位补助支出0万元，占0%。</w:t>
      </w:r>
    </w:p>
    <w:p>
      <w:pPr>
        <w:pStyle w:val="9"/>
        <w:keepNext w:val="0"/>
        <w:keepLines w:val="0"/>
        <w:pageBreakBefore w:val="0"/>
        <w:widowControl w:val="0"/>
        <w:kinsoku/>
        <w:wordWrap/>
        <w:overflowPunct/>
        <w:topLinePunct w:val="0"/>
        <w:bidi w:val="0"/>
        <w:snapToGrid/>
        <w:spacing w:line="580" w:lineRule="exact"/>
        <w:ind w:firstLine="640" w:firstLineChars="200"/>
        <w:textAlignment w:val="auto"/>
        <w:rPr>
          <w:rFonts w:hAnsi="黑体"/>
          <w:bCs/>
          <w:sz w:val="32"/>
          <w:szCs w:val="32"/>
        </w:rPr>
      </w:pPr>
      <w:r>
        <w:rPr>
          <w:rFonts w:hint="eastAsia" w:hAnsi="黑体"/>
          <w:bCs/>
          <w:sz w:val="32"/>
          <w:szCs w:val="32"/>
        </w:rPr>
        <w:t>四、财政拨款收入支出决算总体情况说明</w:t>
      </w:r>
    </w:p>
    <w:p>
      <w:pPr>
        <w:pStyle w:val="9"/>
        <w:keepNext w:val="0"/>
        <w:keepLines w:val="0"/>
        <w:pageBreakBefore w:val="0"/>
        <w:widowControl w:val="0"/>
        <w:kinsoku/>
        <w:wordWrap/>
        <w:overflowPunct/>
        <w:topLinePunct w:val="0"/>
        <w:bidi w:val="0"/>
        <w:snapToGrid/>
        <w:spacing w:line="58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2022年度财政拨款收、支总计13743.82万元，与上年相比，增加253.91万元,增长1.88%，主要是因为基础绩效奖按月发放，人员经费增加。</w:t>
      </w:r>
    </w:p>
    <w:p>
      <w:pPr>
        <w:pStyle w:val="9"/>
        <w:keepNext w:val="0"/>
        <w:keepLines w:val="0"/>
        <w:pageBreakBefore w:val="0"/>
        <w:widowControl w:val="0"/>
        <w:kinsoku/>
        <w:wordWrap/>
        <w:overflowPunct/>
        <w:topLinePunct w:val="0"/>
        <w:bidi w:val="0"/>
        <w:snapToGrid/>
        <w:spacing w:line="580" w:lineRule="exact"/>
        <w:ind w:firstLine="640" w:firstLineChars="200"/>
        <w:textAlignment w:val="auto"/>
        <w:rPr>
          <w:rFonts w:hAnsi="黑体"/>
          <w:bCs/>
          <w:sz w:val="32"/>
          <w:szCs w:val="32"/>
        </w:rPr>
      </w:pPr>
      <w:r>
        <w:rPr>
          <w:rFonts w:hint="eastAsia" w:hAnsi="黑体"/>
          <w:bCs/>
          <w:sz w:val="32"/>
          <w:szCs w:val="32"/>
        </w:rPr>
        <w:t>五、一般公共预算财政拨款支出决算情况说明</w:t>
      </w:r>
    </w:p>
    <w:p>
      <w:pPr>
        <w:pStyle w:val="9"/>
        <w:keepNext w:val="0"/>
        <w:keepLines w:val="0"/>
        <w:pageBreakBefore w:val="0"/>
        <w:widowControl w:val="0"/>
        <w:kinsoku/>
        <w:wordWrap/>
        <w:overflowPunct/>
        <w:topLinePunct w:val="0"/>
        <w:bidi w:val="0"/>
        <w:snapToGrid/>
        <w:spacing w:line="580" w:lineRule="exact"/>
        <w:ind w:firstLine="640" w:firstLineChars="200"/>
        <w:textAlignment w:val="auto"/>
        <w:rPr>
          <w:rFonts w:ascii="楷体" w:hAnsi="楷体" w:eastAsia="楷体" w:cs="楷体"/>
          <w:bCs/>
          <w:sz w:val="32"/>
          <w:szCs w:val="32"/>
        </w:rPr>
      </w:pPr>
      <w:r>
        <w:rPr>
          <w:rFonts w:hint="eastAsia" w:ascii="楷体" w:hAnsi="楷体" w:eastAsia="楷体" w:cs="楷体"/>
          <w:bCs/>
          <w:sz w:val="32"/>
          <w:szCs w:val="32"/>
        </w:rPr>
        <w:t>（一）财政拨款支出决算总体情况</w:t>
      </w:r>
    </w:p>
    <w:p>
      <w:pPr>
        <w:pStyle w:val="9"/>
        <w:keepNext w:val="0"/>
        <w:keepLines w:val="0"/>
        <w:pageBreakBefore w:val="0"/>
        <w:widowControl w:val="0"/>
        <w:kinsoku/>
        <w:wordWrap/>
        <w:overflowPunct/>
        <w:topLinePunct w:val="0"/>
        <w:bidi w:val="0"/>
        <w:snapToGrid/>
        <w:spacing w:line="58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2022年度财政拨款支出13743.82万元，占本年支出合计的100%，与上年相比，财政拨款支出增加254.91万元，增长1.89%，主要是因为基础绩效奖按月发放，人员经费增加。</w:t>
      </w:r>
    </w:p>
    <w:p>
      <w:pPr>
        <w:pStyle w:val="9"/>
        <w:keepNext w:val="0"/>
        <w:keepLines w:val="0"/>
        <w:pageBreakBefore w:val="0"/>
        <w:widowControl w:val="0"/>
        <w:kinsoku/>
        <w:wordWrap/>
        <w:overflowPunct/>
        <w:topLinePunct w:val="0"/>
        <w:bidi w:val="0"/>
        <w:snapToGrid/>
        <w:spacing w:line="580" w:lineRule="exact"/>
        <w:ind w:firstLine="800" w:firstLineChars="250"/>
        <w:textAlignment w:val="auto"/>
        <w:rPr>
          <w:rFonts w:ascii="楷体" w:hAnsi="楷体" w:eastAsia="楷体" w:cs="楷体"/>
          <w:bCs/>
          <w:sz w:val="32"/>
          <w:szCs w:val="32"/>
        </w:rPr>
      </w:pPr>
      <w:r>
        <w:rPr>
          <w:rFonts w:hint="eastAsia" w:ascii="楷体" w:hAnsi="楷体" w:eastAsia="楷体" w:cs="楷体"/>
          <w:bCs/>
          <w:sz w:val="32"/>
          <w:szCs w:val="32"/>
        </w:rPr>
        <w:t>（二）财政拨款支出决算结构情况</w:t>
      </w:r>
    </w:p>
    <w:p>
      <w:pPr>
        <w:pStyle w:val="9"/>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2022年度财政拨款支出13743.82万元，主要用于以下方面：公共安全支出12773.14万元，占92.94%；社会保障和就业支出560.29万元，占4.08%；卫生健康支出232.46万元，占1.69%；交通运输支出177.93万元，占1.29%。</w:t>
      </w:r>
    </w:p>
    <w:p>
      <w:pPr>
        <w:pStyle w:val="9"/>
        <w:keepNext w:val="0"/>
        <w:keepLines w:val="0"/>
        <w:pageBreakBefore w:val="0"/>
        <w:widowControl w:val="0"/>
        <w:kinsoku/>
        <w:wordWrap/>
        <w:overflowPunct/>
        <w:topLinePunct w:val="0"/>
        <w:bidi w:val="0"/>
        <w:snapToGrid/>
        <w:spacing w:line="580" w:lineRule="exact"/>
        <w:ind w:firstLine="640" w:firstLineChars="200"/>
        <w:textAlignment w:val="auto"/>
        <w:rPr>
          <w:rFonts w:ascii="楷体" w:hAnsi="楷体" w:eastAsia="楷体" w:cs="楷体"/>
          <w:bCs/>
          <w:sz w:val="32"/>
          <w:szCs w:val="32"/>
        </w:rPr>
      </w:pPr>
      <w:r>
        <w:rPr>
          <w:rFonts w:hint="eastAsia" w:ascii="楷体" w:hAnsi="楷体" w:eastAsia="楷体" w:cs="楷体"/>
          <w:bCs/>
          <w:sz w:val="32"/>
          <w:szCs w:val="32"/>
        </w:rPr>
        <w:t>（三）财政拨款支出决算具体情况</w:t>
      </w:r>
    </w:p>
    <w:p>
      <w:pPr>
        <w:pStyle w:val="9"/>
        <w:keepNext w:val="0"/>
        <w:keepLines w:val="0"/>
        <w:pageBreakBefore w:val="0"/>
        <w:widowControl w:val="0"/>
        <w:kinsoku/>
        <w:wordWrap/>
        <w:overflowPunct/>
        <w:topLinePunct w:val="0"/>
        <w:bidi w:val="0"/>
        <w:snapToGrid/>
        <w:spacing w:line="58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2022年度财政拨款支出年初预算数为12172.86万元，支出决算数为13743.82万元，完成年初预算的100%，其中：</w:t>
      </w:r>
    </w:p>
    <w:p>
      <w:pPr>
        <w:pStyle w:val="9"/>
        <w:keepNext w:val="0"/>
        <w:keepLines w:val="0"/>
        <w:pageBreakBefore w:val="0"/>
        <w:widowControl w:val="0"/>
        <w:kinsoku/>
        <w:wordWrap/>
        <w:overflowPunct/>
        <w:topLinePunct w:val="0"/>
        <w:bidi w:val="0"/>
        <w:snapToGrid/>
        <w:spacing w:line="58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1、公共安全支出：行政运行204（类）02（款）01（项）。</w:t>
      </w:r>
    </w:p>
    <w:p>
      <w:pPr>
        <w:pStyle w:val="9"/>
        <w:keepNext w:val="0"/>
        <w:keepLines w:val="0"/>
        <w:pageBreakBefore w:val="0"/>
        <w:widowControl w:val="0"/>
        <w:kinsoku/>
        <w:wordWrap/>
        <w:overflowPunct/>
        <w:topLinePunct w:val="0"/>
        <w:bidi w:val="0"/>
        <w:snapToGrid/>
        <w:spacing w:line="58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rPr>
        <w:t>年初预算为4485.38万元，支出决算为4346.6万元，完成年初预算的96.91%，</w:t>
      </w:r>
      <w:r>
        <w:rPr>
          <w:rFonts w:hint="eastAsia" w:ascii="Times New Roman" w:hAnsi="Times New Roman" w:eastAsia="仿宋_GB2312"/>
          <w:sz w:val="32"/>
          <w:szCs w:val="32"/>
          <w:highlight w:val="none"/>
        </w:rPr>
        <w:t>决算数小于年初预算数的主要原因是：厉行节约，进一步加强内控管理。</w:t>
      </w:r>
    </w:p>
    <w:p>
      <w:pPr>
        <w:pStyle w:val="9"/>
        <w:keepNext w:val="0"/>
        <w:keepLines w:val="0"/>
        <w:pageBreakBefore w:val="0"/>
        <w:widowControl w:val="0"/>
        <w:kinsoku/>
        <w:wordWrap/>
        <w:overflowPunct/>
        <w:topLinePunct w:val="0"/>
        <w:bidi w:val="0"/>
        <w:snapToGrid/>
        <w:spacing w:line="58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2、公共安全支出：一般行政管理事务204（类）02（款）02（项）。</w:t>
      </w:r>
    </w:p>
    <w:p>
      <w:pPr>
        <w:pStyle w:val="9"/>
        <w:keepNext w:val="0"/>
        <w:keepLines w:val="0"/>
        <w:pageBreakBefore w:val="0"/>
        <w:widowControl w:val="0"/>
        <w:kinsoku/>
        <w:wordWrap/>
        <w:overflowPunct/>
        <w:topLinePunct w:val="0"/>
        <w:bidi w:val="0"/>
        <w:snapToGrid/>
        <w:spacing w:line="58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年初预算为0万元，支出决算为170万元，决算数大于年初预算数的主要原因是：本年度发生了专用材料费，而年初预算未纳入。</w:t>
      </w:r>
    </w:p>
    <w:p>
      <w:pPr>
        <w:pStyle w:val="9"/>
        <w:keepNext w:val="0"/>
        <w:keepLines w:val="0"/>
        <w:pageBreakBefore w:val="0"/>
        <w:widowControl w:val="0"/>
        <w:kinsoku/>
        <w:wordWrap/>
        <w:overflowPunct/>
        <w:topLinePunct w:val="0"/>
        <w:bidi w:val="0"/>
        <w:snapToGrid/>
        <w:spacing w:line="58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3、公共安全支出：执法办案204（类）02（款）20（项）。</w:t>
      </w:r>
    </w:p>
    <w:p>
      <w:pPr>
        <w:pStyle w:val="9"/>
        <w:keepNext w:val="0"/>
        <w:keepLines w:val="0"/>
        <w:pageBreakBefore w:val="0"/>
        <w:widowControl w:val="0"/>
        <w:kinsoku/>
        <w:wordWrap/>
        <w:overflowPunct/>
        <w:topLinePunct w:val="0"/>
        <w:bidi w:val="0"/>
        <w:snapToGrid/>
        <w:spacing w:line="58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年初预算为0万元，支出决算为1332万元，决算数大于年初预算数的主要原因是：本年度发生了省拨科目三考场经费，而年初预算未纳入。</w:t>
      </w:r>
    </w:p>
    <w:p>
      <w:pPr>
        <w:pStyle w:val="9"/>
        <w:keepNext w:val="0"/>
        <w:keepLines w:val="0"/>
        <w:pageBreakBefore w:val="0"/>
        <w:widowControl w:val="0"/>
        <w:kinsoku/>
        <w:wordWrap/>
        <w:overflowPunct/>
        <w:topLinePunct w:val="0"/>
        <w:bidi w:val="0"/>
        <w:snapToGrid/>
        <w:spacing w:line="58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4、公共安全支出：其他公安支出204（类）02（款）99（项）。</w:t>
      </w:r>
    </w:p>
    <w:p>
      <w:pPr>
        <w:pStyle w:val="9"/>
        <w:keepNext w:val="0"/>
        <w:keepLines w:val="0"/>
        <w:pageBreakBefore w:val="0"/>
        <w:widowControl w:val="0"/>
        <w:kinsoku/>
        <w:wordWrap/>
        <w:overflowPunct/>
        <w:topLinePunct w:val="0"/>
        <w:bidi w:val="0"/>
        <w:snapToGrid/>
        <w:spacing w:line="58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rPr>
        <w:t>年初预算为6055.98万元，支出决算为6924.54万元，完成年初预算的100%</w:t>
      </w:r>
      <w:r>
        <w:rPr>
          <w:rFonts w:hint="eastAsia" w:ascii="Times New Roman" w:hAnsi="Times New Roman" w:eastAsia="仿宋_GB2312"/>
          <w:sz w:val="32"/>
          <w:szCs w:val="32"/>
          <w:highlight w:val="none"/>
        </w:rPr>
        <w:t>，决算数大于年初预算数的主要原因是：本年度发生了道路交通基础设施建设费</w:t>
      </w:r>
      <w:r>
        <w:rPr>
          <w:rFonts w:hint="eastAsia" w:ascii="Times New Roman" w:hAnsi="Times New Roman" w:eastAsia="仿宋_GB2312"/>
          <w:sz w:val="32"/>
          <w:szCs w:val="32"/>
          <w:highlight w:val="none"/>
          <w:lang w:eastAsia="zh-CN"/>
        </w:rPr>
        <w:t>，年初未纳入预算</w:t>
      </w:r>
      <w:r>
        <w:rPr>
          <w:rFonts w:hint="eastAsia" w:ascii="Times New Roman" w:hAnsi="Times New Roman" w:eastAsia="仿宋_GB2312"/>
          <w:sz w:val="32"/>
          <w:szCs w:val="32"/>
          <w:highlight w:val="none"/>
        </w:rPr>
        <w:t>。</w:t>
      </w:r>
    </w:p>
    <w:p>
      <w:pPr>
        <w:pStyle w:val="9"/>
        <w:keepNext w:val="0"/>
        <w:keepLines w:val="0"/>
        <w:pageBreakBefore w:val="0"/>
        <w:widowControl w:val="0"/>
        <w:kinsoku/>
        <w:wordWrap/>
        <w:overflowPunct/>
        <w:topLinePunct w:val="0"/>
        <w:bidi w:val="0"/>
        <w:snapToGrid/>
        <w:spacing w:line="58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5、社会保障和就业支出：机关事业单位基本养老保险缴费支出208（类）05（款）05（项）。</w:t>
      </w:r>
    </w:p>
    <w:p>
      <w:pPr>
        <w:pStyle w:val="9"/>
        <w:keepNext w:val="0"/>
        <w:keepLines w:val="0"/>
        <w:pageBreakBefore w:val="0"/>
        <w:widowControl w:val="0"/>
        <w:kinsoku/>
        <w:wordWrap/>
        <w:overflowPunct/>
        <w:topLinePunct w:val="0"/>
        <w:bidi w:val="0"/>
        <w:snapToGrid/>
        <w:spacing w:line="58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年初预算为0万元，支出决算为402.92万元，决算数大于年初预算数的主要原因是本年度发生机关事业单位基本养老保险缴费，年初预算未纳入。</w:t>
      </w:r>
    </w:p>
    <w:p>
      <w:pPr>
        <w:pStyle w:val="9"/>
        <w:keepNext w:val="0"/>
        <w:keepLines w:val="0"/>
        <w:pageBreakBefore w:val="0"/>
        <w:widowControl w:val="0"/>
        <w:kinsoku/>
        <w:wordWrap/>
        <w:overflowPunct/>
        <w:topLinePunct w:val="0"/>
        <w:bidi w:val="0"/>
        <w:snapToGrid/>
        <w:spacing w:line="58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6、社会保障和就业支出：其他行政事业单位养老支出208（类）05（款）99（项）。</w:t>
      </w:r>
    </w:p>
    <w:p>
      <w:pPr>
        <w:pStyle w:val="9"/>
        <w:keepNext w:val="0"/>
        <w:keepLines w:val="0"/>
        <w:pageBreakBefore w:val="0"/>
        <w:widowControl w:val="0"/>
        <w:kinsoku/>
        <w:wordWrap/>
        <w:overflowPunct/>
        <w:topLinePunct w:val="0"/>
        <w:bidi w:val="0"/>
        <w:snapToGrid/>
        <w:spacing w:line="58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年初预算为0万元，支出决算为157.38万元，决算数大于年初预算数的主要原因是本年度发生其他行政事业单位养老支出，年初预算未纳入。</w:t>
      </w:r>
    </w:p>
    <w:p>
      <w:pPr>
        <w:pStyle w:val="9"/>
        <w:keepNext w:val="0"/>
        <w:keepLines w:val="0"/>
        <w:pageBreakBefore w:val="0"/>
        <w:widowControl w:val="0"/>
        <w:kinsoku/>
        <w:wordWrap/>
        <w:overflowPunct/>
        <w:topLinePunct w:val="0"/>
        <w:bidi w:val="0"/>
        <w:snapToGrid/>
        <w:spacing w:line="58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7、卫生健康支出：突发公共卫生事件应急处理210（类）04（款）10（项）。</w:t>
      </w:r>
    </w:p>
    <w:p>
      <w:pPr>
        <w:pStyle w:val="9"/>
        <w:keepNext w:val="0"/>
        <w:keepLines w:val="0"/>
        <w:pageBreakBefore w:val="0"/>
        <w:widowControl w:val="0"/>
        <w:kinsoku/>
        <w:wordWrap/>
        <w:overflowPunct/>
        <w:topLinePunct w:val="0"/>
        <w:bidi w:val="0"/>
        <w:snapToGrid/>
        <w:spacing w:line="58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年初预算为0万元，支出决算为30万元，决算数大于年初预算数的主要原因是，本年度突发公共卫生事件应急处理费用，年初未纳入预算。</w:t>
      </w:r>
    </w:p>
    <w:p>
      <w:pPr>
        <w:pStyle w:val="9"/>
        <w:keepNext w:val="0"/>
        <w:keepLines w:val="0"/>
        <w:pageBreakBefore w:val="0"/>
        <w:widowControl w:val="0"/>
        <w:kinsoku/>
        <w:wordWrap/>
        <w:overflowPunct/>
        <w:topLinePunct w:val="0"/>
        <w:bidi w:val="0"/>
        <w:snapToGrid/>
        <w:spacing w:line="58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8、卫生健康支出：行政单位医疗210（类）11（款）01（项）。</w:t>
      </w:r>
    </w:p>
    <w:p>
      <w:pPr>
        <w:pStyle w:val="9"/>
        <w:keepNext w:val="0"/>
        <w:keepLines w:val="0"/>
        <w:pageBreakBefore w:val="0"/>
        <w:widowControl w:val="0"/>
        <w:kinsoku/>
        <w:wordWrap/>
        <w:overflowPunct/>
        <w:topLinePunct w:val="0"/>
        <w:bidi w:val="0"/>
        <w:snapToGrid/>
        <w:spacing w:line="58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年初预算为0万元，支出决算为201.46万元，决算数大于年初预算数的主要原因是本年度发生了职工基本医疗保险缴费，年初未纳入预算。</w:t>
      </w:r>
    </w:p>
    <w:p>
      <w:pPr>
        <w:pStyle w:val="9"/>
        <w:keepNext w:val="0"/>
        <w:keepLines w:val="0"/>
        <w:pageBreakBefore w:val="0"/>
        <w:widowControl w:val="0"/>
        <w:kinsoku/>
        <w:wordWrap/>
        <w:overflowPunct/>
        <w:topLinePunct w:val="0"/>
        <w:bidi w:val="0"/>
        <w:snapToGrid/>
        <w:spacing w:line="58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9、医疗救助：城乡医疗救助210（类）13（款）01（项）。</w:t>
      </w:r>
    </w:p>
    <w:p>
      <w:pPr>
        <w:pStyle w:val="9"/>
        <w:keepNext w:val="0"/>
        <w:keepLines w:val="0"/>
        <w:pageBreakBefore w:val="0"/>
        <w:widowControl w:val="0"/>
        <w:kinsoku/>
        <w:wordWrap/>
        <w:overflowPunct/>
        <w:topLinePunct w:val="0"/>
        <w:bidi w:val="0"/>
        <w:snapToGrid/>
        <w:spacing w:line="58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年初预算为0万元，支出决算为1万元，决算数大于年初预算数的主要原因是本年度发生了城乡医疗救助，年初未纳入预算。</w:t>
      </w:r>
    </w:p>
    <w:p>
      <w:pPr>
        <w:pStyle w:val="9"/>
        <w:keepNext w:val="0"/>
        <w:keepLines w:val="0"/>
        <w:pageBreakBefore w:val="0"/>
        <w:widowControl w:val="0"/>
        <w:kinsoku/>
        <w:wordWrap/>
        <w:overflowPunct/>
        <w:topLinePunct w:val="0"/>
        <w:bidi w:val="0"/>
        <w:snapToGrid/>
        <w:spacing w:line="58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10、交通运输支出：其他交通运输支出214（类）99（款）99（项）。</w:t>
      </w:r>
    </w:p>
    <w:p>
      <w:pPr>
        <w:pStyle w:val="9"/>
        <w:keepNext w:val="0"/>
        <w:keepLines w:val="0"/>
        <w:pageBreakBefore w:val="0"/>
        <w:widowControl w:val="0"/>
        <w:kinsoku/>
        <w:wordWrap/>
        <w:overflowPunct/>
        <w:topLinePunct w:val="0"/>
        <w:bidi w:val="0"/>
        <w:snapToGrid/>
        <w:spacing w:line="58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年初预算为96万元，支出决算为177.93万元，完成年初预算的100%，决算数大于年初预算数的主要原因是</w:t>
      </w:r>
      <w:r>
        <w:rPr>
          <w:rFonts w:hint="eastAsia" w:ascii="Times New Roman" w:hAnsi="Times New Roman" w:eastAsia="仿宋_GB2312"/>
          <w:sz w:val="32"/>
          <w:szCs w:val="32"/>
          <w:highlight w:val="none"/>
        </w:rPr>
        <w:t>湖天大道隔离栏建设费用，而</w:t>
      </w:r>
      <w:r>
        <w:rPr>
          <w:rFonts w:hint="eastAsia" w:ascii="Times New Roman" w:hAnsi="Times New Roman" w:eastAsia="仿宋_GB2312"/>
          <w:sz w:val="32"/>
          <w:szCs w:val="32"/>
        </w:rPr>
        <w:t>年初未纳入预算。</w:t>
      </w:r>
    </w:p>
    <w:p>
      <w:pPr>
        <w:pStyle w:val="9"/>
        <w:keepNext w:val="0"/>
        <w:keepLines w:val="0"/>
        <w:pageBreakBefore w:val="0"/>
        <w:widowControl w:val="0"/>
        <w:kinsoku/>
        <w:wordWrap/>
        <w:overflowPunct/>
        <w:topLinePunct w:val="0"/>
        <w:bidi w:val="0"/>
        <w:snapToGrid/>
        <w:spacing w:line="580" w:lineRule="exact"/>
        <w:ind w:firstLine="640" w:firstLineChars="200"/>
        <w:textAlignment w:val="auto"/>
        <w:rPr>
          <w:rFonts w:hAnsi="黑体"/>
          <w:bCs/>
          <w:sz w:val="32"/>
          <w:szCs w:val="32"/>
        </w:rPr>
      </w:pPr>
      <w:r>
        <w:rPr>
          <w:rFonts w:hint="eastAsia" w:hAnsi="黑体"/>
          <w:bCs/>
          <w:sz w:val="32"/>
          <w:szCs w:val="32"/>
        </w:rPr>
        <w:t>六、一般公共预算财政拨款基本支出决算情况说明</w:t>
      </w:r>
    </w:p>
    <w:p>
      <w:pPr>
        <w:pStyle w:val="9"/>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2022年度财政拨款基本支出6005.63万元，其中：</w:t>
      </w:r>
    </w:p>
    <w:p>
      <w:pPr>
        <w:pStyle w:val="9"/>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rPr>
        <w:t>5110.3万元，占基本支出的85.1%,主要包括基本工资、津贴补贴、奖金、伙食补助费、机关事业单位基本养老保险缴费、职工基本医疗保险缴费、其他工资福利支出、抚恤金、生活补助、其他对个人和家庭的补助。</w:t>
      </w:r>
    </w:p>
    <w:p>
      <w:pPr>
        <w:pStyle w:val="9"/>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rPr>
        <w:t>895.33万元，占基本支出的14.9%，主要包括办公费、印刷费、咨询费、水费、电费、邮电费、差旅费、维修（护）费、会议费、培训费、公务接待费、专用材料费、劳务费、委托业务费、工会经费、福利费、公务用车运行维护费、其他交通费用、其他商品和服务支出、办公设备购置。</w:t>
      </w:r>
    </w:p>
    <w:p>
      <w:pPr>
        <w:pStyle w:val="9"/>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b/>
          <w:sz w:val="32"/>
          <w:szCs w:val="32"/>
        </w:rPr>
      </w:pPr>
      <w:r>
        <w:rPr>
          <w:rFonts w:hint="eastAsia" w:hAnsi="黑体"/>
          <w:bCs/>
          <w:sz w:val="32"/>
          <w:szCs w:val="32"/>
        </w:rPr>
        <w:t>七、财政拨款三公经费支出决算情况说明</w:t>
      </w:r>
    </w:p>
    <w:p>
      <w:pPr>
        <w:pStyle w:val="9"/>
        <w:keepNext w:val="0"/>
        <w:keepLines w:val="0"/>
        <w:pageBreakBefore w:val="0"/>
        <w:widowControl w:val="0"/>
        <w:kinsoku/>
        <w:wordWrap/>
        <w:overflowPunct/>
        <w:topLinePunct w:val="0"/>
        <w:bidi w:val="0"/>
        <w:snapToGrid/>
        <w:spacing w:line="580" w:lineRule="exact"/>
        <w:ind w:firstLine="640" w:firstLineChars="200"/>
        <w:textAlignment w:val="auto"/>
        <w:rPr>
          <w:rFonts w:ascii="楷体" w:hAnsi="楷体" w:eastAsia="楷体" w:cs="楷体"/>
          <w:b/>
          <w:sz w:val="32"/>
          <w:szCs w:val="32"/>
        </w:rPr>
      </w:pPr>
      <w:r>
        <w:rPr>
          <w:rFonts w:hint="eastAsia" w:ascii="楷体" w:hAnsi="楷体" w:eastAsia="楷体" w:cs="楷体"/>
          <w:b/>
          <w:sz w:val="32"/>
          <w:szCs w:val="32"/>
        </w:rPr>
        <w:t>（一）“三公”经费财政拨款支出决算总体情况说明</w:t>
      </w:r>
    </w:p>
    <w:p>
      <w:pPr>
        <w:pStyle w:val="9"/>
        <w:keepNext w:val="0"/>
        <w:keepLines w:val="0"/>
        <w:pageBreakBefore w:val="0"/>
        <w:widowControl w:val="0"/>
        <w:kinsoku/>
        <w:wordWrap/>
        <w:overflowPunct/>
        <w:topLinePunct w:val="0"/>
        <w:bidi w:val="0"/>
        <w:snapToGrid/>
        <w:spacing w:line="58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“三公”经费财政拨款支出预算为342.37万元，支出决算为342.37万元，完成预算的100%，其中：</w:t>
      </w:r>
    </w:p>
    <w:p>
      <w:pPr>
        <w:pStyle w:val="9"/>
        <w:keepNext w:val="0"/>
        <w:keepLines w:val="0"/>
        <w:pageBreakBefore w:val="0"/>
        <w:widowControl w:val="0"/>
        <w:kinsoku/>
        <w:wordWrap/>
        <w:overflowPunct/>
        <w:topLinePunct w:val="0"/>
        <w:bidi w:val="0"/>
        <w:snapToGrid/>
        <w:spacing w:line="58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因公出国（境）费支出预算为0万元，支出决算为0万元，完成预算的0%，决算数等于年初预算数的主要原因是无因公出国安排。</w:t>
      </w:r>
    </w:p>
    <w:p>
      <w:pPr>
        <w:pStyle w:val="9"/>
        <w:keepNext w:val="0"/>
        <w:keepLines w:val="0"/>
        <w:pageBreakBefore w:val="0"/>
        <w:widowControl w:val="0"/>
        <w:kinsoku/>
        <w:wordWrap/>
        <w:overflowPunct/>
        <w:topLinePunct w:val="0"/>
        <w:bidi w:val="0"/>
        <w:snapToGrid/>
        <w:spacing w:line="58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公务接待费支出预算为42.84万元，支出决算为3.15万元，完成预算的7.35%，决算数小于预算数的主要原因是</w:t>
      </w:r>
      <w:r>
        <w:rPr>
          <w:rFonts w:hint="eastAsia" w:ascii="仿宋" w:hAnsi="仿宋" w:eastAsia="仿宋" w:cs="仿宋"/>
          <w:sz w:val="32"/>
          <w:szCs w:val="32"/>
        </w:rPr>
        <w:t>本单位例行节约</w:t>
      </w:r>
      <w:r>
        <w:rPr>
          <w:rFonts w:hint="eastAsia" w:ascii="Times New Roman" w:hAnsi="Times New Roman" w:eastAsia="仿宋_GB2312"/>
          <w:sz w:val="32"/>
          <w:szCs w:val="32"/>
        </w:rPr>
        <w:t>，与上年相比减少0.66万元，减少17.32%,减少的主要原因是严格控制公务接待支出，厉行节约。</w:t>
      </w:r>
    </w:p>
    <w:p>
      <w:pPr>
        <w:pStyle w:val="9"/>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公务用车购置费支出预算为0万元，支出决算为151.82万元，决算数大于预算数的主要原因是</w:t>
      </w:r>
      <w:r>
        <w:rPr>
          <w:rFonts w:hint="eastAsia" w:ascii="Times New Roman" w:hAnsi="Times New Roman" w:eastAsia="仿宋_GB2312"/>
          <w:sz w:val="32"/>
          <w:szCs w:val="32"/>
          <w:lang w:val="en-US" w:eastAsia="zh-CN"/>
        </w:rPr>
        <w:t>2022年根据省厅《关于基层公安派出所交警中队执法执勤专业技术用车配置工作的通知》要求，投入151.82万元新购置19辆执勤执法车</w:t>
      </w:r>
      <w:r>
        <w:rPr>
          <w:rFonts w:hint="eastAsia" w:ascii="Times New Roman" w:hAnsi="Times New Roman" w:eastAsia="仿宋_GB2312"/>
          <w:sz w:val="32"/>
          <w:szCs w:val="32"/>
        </w:rPr>
        <w:t>；与上年相比增加151.82万元，增长的主要原因是本年度新购置19辆执勤执法车。</w:t>
      </w:r>
    </w:p>
    <w:p>
      <w:pPr>
        <w:pStyle w:val="9"/>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公务用车运行维护费支出预算为180.36万元，支出决算为187.41万元，完成预算的100%，决算数大于预算数的</w:t>
      </w:r>
      <w:r>
        <w:rPr>
          <w:rFonts w:hint="eastAsia" w:ascii="Times New Roman" w:hAnsi="Times New Roman" w:eastAsia="仿宋_GB2312"/>
          <w:sz w:val="32"/>
          <w:szCs w:val="32"/>
          <w:highlight w:val="none"/>
        </w:rPr>
        <w:t>主要原因是</w:t>
      </w:r>
      <w:r>
        <w:rPr>
          <w:rFonts w:hint="eastAsia" w:ascii="Times New Roman" w:hAnsi="Times New Roman" w:eastAsia="仿宋_GB2312"/>
          <w:sz w:val="32"/>
          <w:szCs w:val="32"/>
          <w:highlight w:val="none"/>
          <w:lang w:val="en-US" w:eastAsia="zh-CN"/>
        </w:rPr>
        <w:t>2022年“二十大安保”专项开支，</w:t>
      </w:r>
      <w:r>
        <w:rPr>
          <w:rFonts w:hint="eastAsia" w:ascii="Times New Roman" w:hAnsi="Times New Roman" w:eastAsia="仿宋_GB2312"/>
          <w:sz w:val="32"/>
          <w:szCs w:val="32"/>
          <w:highlight w:val="none"/>
        </w:rPr>
        <w:t>疫情防控车辆运维费用增加，与上年相比增加54.02万元，增长40.5%，增长的主要原因是</w:t>
      </w:r>
      <w:r>
        <w:rPr>
          <w:rFonts w:hint="eastAsia" w:ascii="Times New Roman" w:hAnsi="Times New Roman" w:eastAsia="仿宋_GB2312"/>
          <w:sz w:val="32"/>
          <w:szCs w:val="32"/>
          <w:highlight w:val="none"/>
          <w:lang w:eastAsia="zh-CN"/>
        </w:rPr>
        <w:t>本年度</w:t>
      </w:r>
      <w:r>
        <w:rPr>
          <w:rFonts w:hint="eastAsia" w:ascii="Times New Roman" w:hAnsi="Times New Roman" w:eastAsia="仿宋_GB2312"/>
          <w:sz w:val="32"/>
          <w:szCs w:val="32"/>
          <w:highlight w:val="none"/>
        </w:rPr>
        <w:t>“二十大安保”专项开支，</w:t>
      </w:r>
      <w:r>
        <w:rPr>
          <w:rFonts w:hint="eastAsia" w:ascii="Times New Roman" w:hAnsi="Times New Roman" w:eastAsia="仿宋_GB2312"/>
          <w:sz w:val="32"/>
          <w:szCs w:val="32"/>
        </w:rPr>
        <w:t>疫情防控车辆运维费用增加。</w:t>
      </w:r>
    </w:p>
    <w:p>
      <w:pPr>
        <w:pStyle w:val="9"/>
        <w:keepNext w:val="0"/>
        <w:keepLines w:val="0"/>
        <w:pageBreakBefore w:val="0"/>
        <w:widowControl w:val="0"/>
        <w:kinsoku/>
        <w:wordWrap/>
        <w:overflowPunct/>
        <w:topLinePunct w:val="0"/>
        <w:bidi w:val="0"/>
        <w:snapToGrid/>
        <w:spacing w:line="580" w:lineRule="exact"/>
        <w:ind w:firstLine="640" w:firstLineChars="200"/>
        <w:textAlignment w:val="auto"/>
        <w:rPr>
          <w:rFonts w:ascii="楷体" w:hAnsi="楷体" w:eastAsia="楷体" w:cs="楷体"/>
          <w:b/>
          <w:sz w:val="32"/>
          <w:szCs w:val="32"/>
        </w:rPr>
      </w:pPr>
      <w:r>
        <w:rPr>
          <w:rFonts w:hint="eastAsia" w:ascii="楷体" w:hAnsi="楷体" w:eastAsia="楷体" w:cs="楷体"/>
          <w:b/>
          <w:sz w:val="32"/>
          <w:szCs w:val="32"/>
        </w:rPr>
        <w:t>（二）“三公”经费财政拨款支出决算具体情况说明</w:t>
      </w:r>
    </w:p>
    <w:p>
      <w:pPr>
        <w:pStyle w:val="9"/>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2022年度“三公”经费财政拨款支出决算中，公务接待费支出决算3.15万元，占0.92%,因公出国（境）费支出决算0万元，占0%,公务用车购置费及运行维护费支出决算339.23万元，占99.08%。其中：</w:t>
      </w:r>
    </w:p>
    <w:p>
      <w:pPr>
        <w:pStyle w:val="9"/>
        <w:keepNext w:val="0"/>
        <w:keepLines w:val="0"/>
        <w:pageBreakBefore w:val="0"/>
        <w:widowControl w:val="0"/>
        <w:kinsoku/>
        <w:wordWrap/>
        <w:overflowPunct/>
        <w:topLinePunct w:val="0"/>
        <w:bidi w:val="0"/>
        <w:snapToGrid/>
        <w:spacing w:line="580" w:lineRule="exact"/>
        <w:ind w:firstLine="800" w:firstLineChars="250"/>
        <w:textAlignment w:val="auto"/>
        <w:rPr>
          <w:rFonts w:ascii="楷体" w:hAnsi="楷体" w:eastAsia="仿宋_GB2312" w:cs="楷体"/>
          <w:b/>
          <w:bCs/>
          <w:i/>
          <w:color w:val="auto"/>
          <w:sz w:val="32"/>
          <w:szCs w:val="32"/>
        </w:rPr>
      </w:pPr>
      <w:r>
        <w:rPr>
          <w:rFonts w:hint="eastAsia" w:ascii="Times New Roman" w:hAnsi="Times New Roman" w:eastAsia="仿宋_GB2312"/>
          <w:sz w:val="32"/>
          <w:szCs w:val="32"/>
        </w:rPr>
        <w:t>1、因公出国（境）费支出决算为0万元，全年安排因公出国（境）团组0个，累计0人次。</w:t>
      </w:r>
    </w:p>
    <w:p>
      <w:pPr>
        <w:pStyle w:val="9"/>
        <w:keepNext w:val="0"/>
        <w:keepLines w:val="0"/>
        <w:pageBreakBefore w:val="0"/>
        <w:widowControl w:val="0"/>
        <w:kinsoku/>
        <w:wordWrap/>
        <w:overflowPunct/>
        <w:topLinePunct w:val="0"/>
        <w:bidi w:val="0"/>
        <w:snapToGrid/>
        <w:spacing w:line="58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2、公务接待费支出决算为3.15万元，全年共接待来访团组36个、来宾276人次，主要是</w:t>
      </w:r>
      <w:r>
        <w:rPr>
          <w:rFonts w:hint="eastAsia" w:ascii="仿宋" w:hAnsi="仿宋" w:eastAsia="仿宋" w:cs="仿宋"/>
          <w:sz w:val="32"/>
          <w:szCs w:val="32"/>
        </w:rPr>
        <w:t>公共交通警察业务</w:t>
      </w:r>
      <w:r>
        <w:rPr>
          <w:rFonts w:hint="eastAsia" w:ascii="Times New Roman" w:hAnsi="Times New Roman" w:eastAsia="仿宋_GB2312"/>
          <w:sz w:val="32"/>
          <w:szCs w:val="32"/>
        </w:rPr>
        <w:t>发生的接待支出。</w:t>
      </w:r>
    </w:p>
    <w:p>
      <w:pPr>
        <w:keepNext w:val="0"/>
        <w:keepLines w:val="0"/>
        <w:pageBreakBefore w:val="0"/>
        <w:widowControl w:val="0"/>
        <w:kinsoku/>
        <w:wordWrap/>
        <w:overflowPunct/>
        <w:topLinePunct w:val="0"/>
        <w:bidi w:val="0"/>
        <w:snapToGrid/>
        <w:spacing w:line="580" w:lineRule="exact"/>
        <w:ind w:firstLine="800" w:firstLineChars="250"/>
        <w:textAlignment w:val="auto"/>
        <w:rPr>
          <w:rFonts w:ascii="楷体" w:hAnsi="楷体" w:eastAsia="楷体" w:cs="楷体"/>
          <w:b/>
          <w:bCs/>
          <w:i/>
          <w:kern w:val="0"/>
          <w:sz w:val="32"/>
          <w:szCs w:val="32"/>
        </w:rPr>
      </w:pPr>
      <w:r>
        <w:rPr>
          <w:rFonts w:hint="eastAsia" w:ascii="Times New Roman" w:hAnsi="Times New Roman" w:eastAsia="仿宋_GB2312"/>
          <w:sz w:val="32"/>
          <w:szCs w:val="32"/>
        </w:rPr>
        <w:t>3、公务用车购置费及运行维护费支出决算为339.23万元，其中：公务用车购置费151.82万元，我单位更新公务用车17辆</w:t>
      </w:r>
      <w:r>
        <w:rPr>
          <w:rFonts w:hint="eastAsia" w:ascii="Times New Roman" w:hAnsi="Times New Roman" w:eastAsia="仿宋_GB2312"/>
          <w:color w:val="000000" w:themeColor="text1"/>
          <w:sz w:val="32"/>
          <w:szCs w:val="32"/>
        </w:rPr>
        <w:t>。</w:t>
      </w:r>
      <w:r>
        <w:rPr>
          <w:rFonts w:hint="eastAsia" w:ascii="Times New Roman" w:hAnsi="Times New Roman" w:eastAsia="仿宋_GB2312"/>
          <w:sz w:val="32"/>
          <w:szCs w:val="32"/>
        </w:rPr>
        <w:t>公务用车运行维护费187.41万元，主要是车辆油料费、车辆维修费、车辆过路费支出，截止2022年12月31日，我单位开支财政拨款的公务用车保有量为85辆。</w:t>
      </w:r>
    </w:p>
    <w:p>
      <w:pPr>
        <w:pStyle w:val="9"/>
        <w:keepNext w:val="0"/>
        <w:keepLines w:val="0"/>
        <w:pageBreakBefore w:val="0"/>
        <w:widowControl w:val="0"/>
        <w:kinsoku/>
        <w:wordWrap/>
        <w:overflowPunct/>
        <w:topLinePunct w:val="0"/>
        <w:bidi w:val="0"/>
        <w:snapToGrid/>
        <w:spacing w:line="580" w:lineRule="exact"/>
        <w:ind w:firstLine="640" w:firstLineChars="200"/>
        <w:textAlignment w:val="auto"/>
        <w:rPr>
          <w:rFonts w:hAnsi="黑体"/>
          <w:bCs/>
          <w:sz w:val="32"/>
          <w:szCs w:val="32"/>
        </w:rPr>
      </w:pPr>
      <w:r>
        <w:rPr>
          <w:rFonts w:hint="eastAsia" w:hAnsi="黑体"/>
          <w:bCs/>
          <w:sz w:val="32"/>
          <w:szCs w:val="32"/>
        </w:rPr>
        <w:t>八、政府性基金预算收入支出决算情况</w:t>
      </w:r>
    </w:p>
    <w:p>
      <w:pPr>
        <w:pStyle w:val="9"/>
        <w:keepNext w:val="0"/>
        <w:keepLines w:val="0"/>
        <w:pageBreakBefore w:val="0"/>
        <w:widowControl w:val="0"/>
        <w:kinsoku/>
        <w:wordWrap/>
        <w:overflowPunct/>
        <w:topLinePunct w:val="0"/>
        <w:bidi w:val="0"/>
        <w:snapToGrid/>
        <w:spacing w:line="580" w:lineRule="exact"/>
        <w:textAlignment w:val="auto"/>
        <w:rPr>
          <w:rFonts w:ascii="Times New Roman" w:hAnsi="Times New Roman" w:eastAsia="仿宋_GB2312" w:cs="楷体"/>
          <w:b/>
          <w:bCs/>
          <w:i/>
          <w:color w:val="auto"/>
          <w:sz w:val="32"/>
          <w:szCs w:val="32"/>
        </w:rPr>
      </w:pPr>
      <w:r>
        <w:rPr>
          <w:rFonts w:hint="eastAsia" w:ascii="Times New Roman" w:hAnsi="Times New Roman" w:eastAsia="仿宋_GB2312"/>
          <w:sz w:val="32"/>
          <w:szCs w:val="32"/>
        </w:rPr>
        <w:t xml:space="preserve">     本单位无政府性基金收支。</w:t>
      </w:r>
    </w:p>
    <w:p>
      <w:pPr>
        <w:pStyle w:val="9"/>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b/>
          <w:sz w:val="32"/>
          <w:szCs w:val="32"/>
        </w:rPr>
        <w:t>九、关于机关运行经费支出说明</w:t>
      </w:r>
    </w:p>
    <w:p>
      <w:pPr>
        <w:pStyle w:val="9"/>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2022年度机关运行经费支出895.33万元，比上年决算数减少106.78万元，降低10.66%。主要原因是：根据中央、省以及市委、市政府的相关要求，厉行勤俭节约，压减了一般性支出，印刷费、福利费、日常维修费、租赁费、专用材料费等减少。</w:t>
      </w:r>
    </w:p>
    <w:p>
      <w:pPr>
        <w:pStyle w:val="9"/>
        <w:keepNext w:val="0"/>
        <w:keepLines w:val="0"/>
        <w:pageBreakBefore w:val="0"/>
        <w:widowControl w:val="0"/>
        <w:kinsoku/>
        <w:wordWrap/>
        <w:overflowPunct/>
        <w:topLinePunct w:val="0"/>
        <w:bidi w:val="0"/>
        <w:snapToGrid/>
        <w:spacing w:line="580" w:lineRule="exact"/>
        <w:ind w:firstLine="640" w:firstLineChars="200"/>
        <w:textAlignment w:val="auto"/>
        <w:rPr>
          <w:rFonts w:hAnsi="黑体"/>
          <w:bCs/>
          <w:sz w:val="32"/>
          <w:szCs w:val="32"/>
        </w:rPr>
      </w:pPr>
      <w:r>
        <w:rPr>
          <w:rFonts w:hint="eastAsia" w:hAnsi="黑体"/>
          <w:bCs/>
          <w:sz w:val="32"/>
          <w:szCs w:val="32"/>
        </w:rPr>
        <w:t>十、一般性支出情况说明</w:t>
      </w:r>
    </w:p>
    <w:p>
      <w:pPr>
        <w:pStyle w:val="9"/>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2022年本部门开支会议费1.29万元，人数203人，具体内容涉密不予公开；开支培训费3.31万元，人数43人，具体内容涉密不予公开。</w:t>
      </w:r>
    </w:p>
    <w:p>
      <w:pPr>
        <w:pStyle w:val="9"/>
        <w:keepNext w:val="0"/>
        <w:keepLines w:val="0"/>
        <w:pageBreakBefore w:val="0"/>
        <w:widowControl w:val="0"/>
        <w:kinsoku/>
        <w:wordWrap/>
        <w:overflowPunct/>
        <w:topLinePunct w:val="0"/>
        <w:bidi w:val="0"/>
        <w:snapToGrid/>
        <w:spacing w:line="580" w:lineRule="exact"/>
        <w:ind w:firstLine="640" w:firstLineChars="200"/>
        <w:textAlignment w:val="auto"/>
        <w:rPr>
          <w:rFonts w:hAnsi="黑体"/>
          <w:bCs/>
          <w:sz w:val="32"/>
          <w:szCs w:val="32"/>
        </w:rPr>
      </w:pPr>
      <w:r>
        <w:rPr>
          <w:rFonts w:hint="eastAsia" w:hAnsi="黑体"/>
          <w:bCs/>
          <w:sz w:val="32"/>
          <w:szCs w:val="32"/>
        </w:rPr>
        <w:t>十一、关于政府采购支出说明</w:t>
      </w:r>
    </w:p>
    <w:p>
      <w:pPr>
        <w:pStyle w:val="9"/>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2022年度政府采购支出总额2906.11元，其中：政府采购货物支出1226.43万元、政府采购工程支出0万元、政府采购服务支出1679.69万元。授予中小企业合同金额2906.11万元，占政府采购支出总额的100%，其中：授予小微企业合同金额2906.11万元，占政府采购支出总额的100%。货物采购授予中小企业合同金额占货物支出金额的100%，工程采购授予中小企业合同金额占工程支出金额的100%，服务采购授予中小企业合同金额占服务支出金额的100%。</w:t>
      </w:r>
    </w:p>
    <w:p>
      <w:pPr>
        <w:pStyle w:val="9"/>
        <w:keepNext w:val="0"/>
        <w:keepLines w:val="0"/>
        <w:pageBreakBefore w:val="0"/>
        <w:widowControl w:val="0"/>
        <w:kinsoku/>
        <w:wordWrap/>
        <w:overflowPunct/>
        <w:topLinePunct w:val="0"/>
        <w:bidi w:val="0"/>
        <w:snapToGrid/>
        <w:spacing w:line="580" w:lineRule="exact"/>
        <w:ind w:firstLine="640" w:firstLineChars="200"/>
        <w:textAlignment w:val="auto"/>
        <w:rPr>
          <w:rFonts w:hAnsi="黑体"/>
          <w:bCs/>
          <w:sz w:val="32"/>
          <w:szCs w:val="32"/>
        </w:rPr>
      </w:pPr>
      <w:r>
        <w:rPr>
          <w:rFonts w:hint="eastAsia" w:hAnsi="黑体"/>
          <w:bCs/>
          <w:sz w:val="32"/>
          <w:szCs w:val="32"/>
        </w:rPr>
        <w:t>十二、关于国有资产占用情况说明</w:t>
      </w:r>
    </w:p>
    <w:p>
      <w:pPr>
        <w:pStyle w:val="9"/>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截至2022年12月31日，本单位共有车辆85辆，其中，主要领导干部用车0辆，机要通信用车0辆、应急保障用车0辆、执法执勤用车19辆、特种专业技术用车0辆、其他用车66辆，其他用车主要是公务用；单位价值50万元以上通用设备16台（套）；单位价值100万元以上专用设备7台（套）。</w:t>
      </w:r>
    </w:p>
    <w:p>
      <w:pPr>
        <w:pStyle w:val="9"/>
        <w:keepNext w:val="0"/>
        <w:keepLines w:val="0"/>
        <w:pageBreakBefore w:val="0"/>
        <w:widowControl w:val="0"/>
        <w:kinsoku/>
        <w:wordWrap/>
        <w:overflowPunct/>
        <w:topLinePunct w:val="0"/>
        <w:bidi w:val="0"/>
        <w:snapToGrid/>
        <w:spacing w:line="580" w:lineRule="exact"/>
        <w:ind w:firstLine="640" w:firstLineChars="200"/>
        <w:textAlignment w:val="auto"/>
        <w:rPr>
          <w:rFonts w:hAnsi="黑体"/>
          <w:bCs/>
          <w:sz w:val="32"/>
          <w:szCs w:val="32"/>
        </w:rPr>
      </w:pPr>
      <w:r>
        <w:rPr>
          <w:rFonts w:hint="eastAsia" w:hAnsi="黑体"/>
          <w:bCs/>
          <w:sz w:val="32"/>
          <w:szCs w:val="32"/>
        </w:rPr>
        <w:t>十三、关于</w:t>
      </w:r>
      <w:r>
        <w:rPr>
          <w:rFonts w:hint="eastAsia" w:ascii="Times New Roman" w:hAnsi="Times New Roman" w:eastAsia="仿宋_GB2312"/>
          <w:sz w:val="32"/>
          <w:szCs w:val="32"/>
        </w:rPr>
        <w:t>2022</w:t>
      </w:r>
      <w:r>
        <w:rPr>
          <w:rFonts w:hint="eastAsia" w:hAnsi="黑体"/>
          <w:bCs/>
          <w:sz w:val="32"/>
          <w:szCs w:val="32"/>
        </w:rPr>
        <w:t>年度预算绩效情况的说明</w:t>
      </w:r>
    </w:p>
    <w:p>
      <w:pPr>
        <w:pStyle w:val="9"/>
        <w:keepNext w:val="0"/>
        <w:keepLines w:val="0"/>
        <w:pageBreakBefore w:val="0"/>
        <w:widowControl w:val="0"/>
        <w:kinsoku/>
        <w:wordWrap/>
        <w:overflowPunct/>
        <w:topLinePunct w:val="0"/>
        <w:bidi w:val="0"/>
        <w:snapToGrid/>
        <w:spacing w:line="580" w:lineRule="exact"/>
        <w:ind w:firstLine="640" w:firstLineChars="200"/>
        <w:textAlignment w:val="auto"/>
        <w:rPr>
          <w:rFonts w:ascii="方正小标宋_GBK" w:hAnsi="方正小标宋_GBK" w:eastAsia="方正小标宋_GBK" w:cs="方正小标宋_GBK"/>
          <w:sz w:val="72"/>
          <w:szCs w:val="72"/>
        </w:rPr>
      </w:pPr>
      <w:r>
        <w:rPr>
          <w:rFonts w:hint="eastAsia" w:ascii="Times New Roman" w:hAnsi="Times New Roman" w:eastAsia="仿宋_GB2312"/>
          <w:sz w:val="32"/>
          <w:szCs w:val="32"/>
        </w:rPr>
        <w:t>本部门预算绩效管理开展情况、绩效目标和绩效评价报告等按照财政绩效部门要求已公开，见附件。</w:t>
      </w:r>
    </w:p>
    <w:p>
      <w:pPr>
        <w:pStyle w:val="9"/>
        <w:jc w:val="center"/>
        <w:rPr>
          <w:rFonts w:ascii="方正小标宋_GBK" w:hAnsi="方正小标宋_GBK" w:eastAsia="方正小标宋_GBK" w:cs="方正小标宋_GBK"/>
          <w:sz w:val="72"/>
          <w:szCs w:val="72"/>
        </w:rPr>
      </w:pPr>
    </w:p>
    <w:p>
      <w:pPr>
        <w:pStyle w:val="9"/>
        <w:jc w:val="center"/>
        <w:rPr>
          <w:rFonts w:ascii="方正小标宋_GBK" w:hAnsi="方正小标宋_GBK" w:eastAsia="方正小标宋_GBK" w:cs="方正小标宋_GBK"/>
          <w:sz w:val="72"/>
          <w:szCs w:val="72"/>
        </w:rPr>
      </w:pPr>
    </w:p>
    <w:p>
      <w:pPr>
        <w:pStyle w:val="9"/>
        <w:jc w:val="center"/>
        <w:rPr>
          <w:rFonts w:ascii="方正小标宋_GBK" w:hAnsi="方正小标宋_GBK" w:eastAsia="方正小标宋_GBK" w:cs="方正小标宋_GBK"/>
          <w:sz w:val="72"/>
          <w:szCs w:val="72"/>
        </w:rPr>
      </w:pPr>
    </w:p>
    <w:p>
      <w:pPr>
        <w:pStyle w:val="9"/>
        <w:jc w:val="center"/>
        <w:rPr>
          <w:rFonts w:ascii="方正小标宋_GBK" w:hAnsi="方正小标宋_GBK" w:eastAsia="方正小标宋_GBK" w:cs="方正小标宋_GBK"/>
          <w:sz w:val="72"/>
          <w:szCs w:val="72"/>
        </w:rPr>
      </w:pPr>
    </w:p>
    <w:p>
      <w:pPr>
        <w:pStyle w:val="9"/>
        <w:jc w:val="center"/>
        <w:rPr>
          <w:rFonts w:ascii="方正小标宋_GBK" w:hAnsi="方正小标宋_GBK" w:eastAsia="方正小标宋_GBK" w:cs="方正小标宋_GBK"/>
          <w:sz w:val="72"/>
          <w:szCs w:val="72"/>
        </w:rPr>
      </w:pPr>
    </w:p>
    <w:p>
      <w:pPr>
        <w:pStyle w:val="9"/>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center"/>
        <w:rPr>
          <w:rFonts w:ascii="方正小标宋_GBK" w:hAnsi="方正小标宋_GBK" w:eastAsia="方正小标宋_GBK" w:cs="方正小标宋_GBK"/>
          <w:color w:val="000000"/>
          <w:kern w:val="0"/>
          <w:sz w:val="70"/>
          <w:szCs w:val="70"/>
        </w:rPr>
      </w:pPr>
    </w:p>
    <w:p>
      <w:pPr>
        <w:jc w:val="center"/>
        <w:rPr>
          <w:rFonts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Times New Roman" w:hAnsi="Times New Roman" w:eastAsia="仿宋_GB2312" w:cs="黑体"/>
          <w:color w:val="000000"/>
          <w:kern w:val="0"/>
          <w:sz w:val="32"/>
          <w:szCs w:val="32"/>
        </w:rPr>
      </w:pPr>
      <w:r>
        <w:rPr>
          <w:rFonts w:hint="eastAsia" w:ascii="Times New Roman" w:hAnsi="Times New Roman" w:eastAsia="仿宋_GB2312" w:cs="黑体"/>
          <w:color w:val="000000"/>
          <w:kern w:val="0"/>
          <w:sz w:val="32"/>
          <w:szCs w:val="32"/>
        </w:rPr>
        <w:t>一、机关运行经费。为保障行政单位（包括参照公务员管理的事业单位）运行。用一般公共预算拨款安排用于购买货物和服务的各项资金，包括办公及印刷费、邮电费、咨询费、会议费、福利费、日常维修费、办公用房水电费、公务用车维护费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Times New Roman" w:hAnsi="Times New Roman" w:eastAsia="仿宋_GB2312" w:cs="黑体"/>
          <w:color w:val="000000"/>
          <w:kern w:val="0"/>
          <w:sz w:val="32"/>
          <w:szCs w:val="32"/>
        </w:rPr>
      </w:pPr>
      <w:r>
        <w:rPr>
          <w:rFonts w:hint="eastAsia" w:ascii="Times New Roman" w:hAnsi="Times New Roman" w:eastAsia="仿宋_GB2312" w:cs="黑体"/>
          <w:color w:val="000000"/>
          <w:kern w:val="0"/>
          <w:sz w:val="32"/>
          <w:szCs w:val="32"/>
        </w:rPr>
        <w:t>二、“三公”经费。纳入财政预算管理的“三公”经费，是指用一般公共预算拨款安排的公务接待费、公共用车购置及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w:t>
      </w: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pStyle w:val="9"/>
        <w:jc w:val="center"/>
        <w:rPr>
          <w:sz w:val="72"/>
          <w:szCs w:val="72"/>
        </w:rPr>
      </w:pPr>
    </w:p>
    <w:p>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0000000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200DE9"/>
    <w:multiLevelType w:val="singleLevel"/>
    <w:tmpl w:val="A9200DE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2I2NDZiYjU4Y2MyMTA3MzlhMjlmMDQ0YTM5ZTQ1MTIifQ=="/>
  </w:docVars>
  <w:rsids>
    <w:rsidRoot w:val="004506F9"/>
    <w:rsid w:val="0002229B"/>
    <w:rsid w:val="000273BD"/>
    <w:rsid w:val="00040CBC"/>
    <w:rsid w:val="000415B7"/>
    <w:rsid w:val="00041E3F"/>
    <w:rsid w:val="00055DAA"/>
    <w:rsid w:val="00061F7B"/>
    <w:rsid w:val="000658A3"/>
    <w:rsid w:val="00074155"/>
    <w:rsid w:val="000A3F69"/>
    <w:rsid w:val="000D05A2"/>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481A"/>
    <w:rsid w:val="003479BD"/>
    <w:rsid w:val="0037197D"/>
    <w:rsid w:val="003768D5"/>
    <w:rsid w:val="003926B9"/>
    <w:rsid w:val="0039456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48A2"/>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C2791"/>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81C2B"/>
    <w:rsid w:val="00A92E9F"/>
    <w:rsid w:val="00AB18FF"/>
    <w:rsid w:val="00B33BEA"/>
    <w:rsid w:val="00B57C9F"/>
    <w:rsid w:val="00B63572"/>
    <w:rsid w:val="00B845B3"/>
    <w:rsid w:val="00B85D8B"/>
    <w:rsid w:val="00BB4A40"/>
    <w:rsid w:val="00BD6C3E"/>
    <w:rsid w:val="00BE3674"/>
    <w:rsid w:val="00C10681"/>
    <w:rsid w:val="00C3049A"/>
    <w:rsid w:val="00C31B1E"/>
    <w:rsid w:val="00C57586"/>
    <w:rsid w:val="00C77645"/>
    <w:rsid w:val="00CE04C3"/>
    <w:rsid w:val="00CE76A0"/>
    <w:rsid w:val="00D148C6"/>
    <w:rsid w:val="00D17A8A"/>
    <w:rsid w:val="00D24E9A"/>
    <w:rsid w:val="00D415BA"/>
    <w:rsid w:val="00D63780"/>
    <w:rsid w:val="00D644EE"/>
    <w:rsid w:val="00DD06FF"/>
    <w:rsid w:val="00DD5FE9"/>
    <w:rsid w:val="00E00C7A"/>
    <w:rsid w:val="00E37D6C"/>
    <w:rsid w:val="00E55B68"/>
    <w:rsid w:val="00E561AE"/>
    <w:rsid w:val="00E67BE6"/>
    <w:rsid w:val="00E8683C"/>
    <w:rsid w:val="00E95B05"/>
    <w:rsid w:val="00EA2B72"/>
    <w:rsid w:val="00F74360"/>
    <w:rsid w:val="00FB462F"/>
    <w:rsid w:val="00FD1404"/>
    <w:rsid w:val="00FE16FA"/>
    <w:rsid w:val="00FE328A"/>
    <w:rsid w:val="00FE6269"/>
    <w:rsid w:val="00FF5CD6"/>
    <w:rsid w:val="01306371"/>
    <w:rsid w:val="021A27AB"/>
    <w:rsid w:val="021F3A98"/>
    <w:rsid w:val="036C1DAE"/>
    <w:rsid w:val="046B317D"/>
    <w:rsid w:val="050E257B"/>
    <w:rsid w:val="0A680B8E"/>
    <w:rsid w:val="0A6B1812"/>
    <w:rsid w:val="0C162AF8"/>
    <w:rsid w:val="0FE32D76"/>
    <w:rsid w:val="114D7C0E"/>
    <w:rsid w:val="12EE14DB"/>
    <w:rsid w:val="13381B60"/>
    <w:rsid w:val="13747139"/>
    <w:rsid w:val="15574829"/>
    <w:rsid w:val="177734BB"/>
    <w:rsid w:val="189320EF"/>
    <w:rsid w:val="1BA244F7"/>
    <w:rsid w:val="1CD05B68"/>
    <w:rsid w:val="1D226816"/>
    <w:rsid w:val="1F0A1157"/>
    <w:rsid w:val="1FD87CD3"/>
    <w:rsid w:val="203A6D77"/>
    <w:rsid w:val="22DE7A12"/>
    <w:rsid w:val="230C7214"/>
    <w:rsid w:val="24CC572F"/>
    <w:rsid w:val="25436490"/>
    <w:rsid w:val="257D7A40"/>
    <w:rsid w:val="27F93BE1"/>
    <w:rsid w:val="2AF7592B"/>
    <w:rsid w:val="2B46436C"/>
    <w:rsid w:val="2B717030"/>
    <w:rsid w:val="2C2B3683"/>
    <w:rsid w:val="2C6A5FB0"/>
    <w:rsid w:val="2CAC61AE"/>
    <w:rsid w:val="2E0B2056"/>
    <w:rsid w:val="31FB7047"/>
    <w:rsid w:val="320A200B"/>
    <w:rsid w:val="332F5C24"/>
    <w:rsid w:val="34746181"/>
    <w:rsid w:val="34B23049"/>
    <w:rsid w:val="350062A4"/>
    <w:rsid w:val="3A220143"/>
    <w:rsid w:val="3BE93715"/>
    <w:rsid w:val="3E6B5A1B"/>
    <w:rsid w:val="3F1958EE"/>
    <w:rsid w:val="3F5452A4"/>
    <w:rsid w:val="42DD7FDF"/>
    <w:rsid w:val="43972F54"/>
    <w:rsid w:val="443268F2"/>
    <w:rsid w:val="446A189B"/>
    <w:rsid w:val="45280308"/>
    <w:rsid w:val="45C002B0"/>
    <w:rsid w:val="47947ED7"/>
    <w:rsid w:val="47B377E2"/>
    <w:rsid w:val="48453B92"/>
    <w:rsid w:val="5270107C"/>
    <w:rsid w:val="52B0193D"/>
    <w:rsid w:val="545E419E"/>
    <w:rsid w:val="5729189B"/>
    <w:rsid w:val="5777D4F5"/>
    <w:rsid w:val="580E3A41"/>
    <w:rsid w:val="598C3561"/>
    <w:rsid w:val="5B1530DD"/>
    <w:rsid w:val="5CCD5ACF"/>
    <w:rsid w:val="5D323FC2"/>
    <w:rsid w:val="5EA22A81"/>
    <w:rsid w:val="5FC6BB1E"/>
    <w:rsid w:val="5FF720F1"/>
    <w:rsid w:val="679A4982"/>
    <w:rsid w:val="68F24F86"/>
    <w:rsid w:val="69845BA5"/>
    <w:rsid w:val="69BA1180"/>
    <w:rsid w:val="69E555EA"/>
    <w:rsid w:val="6A3D1BFD"/>
    <w:rsid w:val="6AE67665"/>
    <w:rsid w:val="6DF10F75"/>
    <w:rsid w:val="70070A1E"/>
    <w:rsid w:val="720F7FD6"/>
    <w:rsid w:val="728C73A4"/>
    <w:rsid w:val="72B252FB"/>
    <w:rsid w:val="7358745E"/>
    <w:rsid w:val="737D59BA"/>
    <w:rsid w:val="75A1363B"/>
    <w:rsid w:val="76306DFA"/>
    <w:rsid w:val="77C37683"/>
    <w:rsid w:val="79B0627E"/>
    <w:rsid w:val="79FF515B"/>
    <w:rsid w:val="7A224B2F"/>
    <w:rsid w:val="7E0554D3"/>
    <w:rsid w:val="7E795155"/>
    <w:rsid w:val="7E9F11B4"/>
    <w:rsid w:val="7F5E5A33"/>
    <w:rsid w:val="7FC69637"/>
    <w:rsid w:val="7FFDB408"/>
    <w:rsid w:val="CBFF70E0"/>
    <w:rsid w:val="EEABED75"/>
    <w:rsid w:val="FB36E1A6"/>
    <w:rsid w:val="FFFF1C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customStyle="1" w:styleId="9">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0">
    <w:name w:val="List Paragraph"/>
    <w:basedOn w:val="1"/>
    <w:qFormat/>
    <w:uiPriority w:val="34"/>
    <w:pPr>
      <w:ind w:firstLine="420" w:firstLineChars="200"/>
    </w:pPr>
  </w:style>
  <w:style w:type="character" w:customStyle="1" w:styleId="11">
    <w:name w:val="批注框文本 Char"/>
    <w:basedOn w:val="6"/>
    <w:link w:val="2"/>
    <w:semiHidden/>
    <w:qFormat/>
    <w:uiPriority w:val="99"/>
    <w:rPr>
      <w:sz w:val="18"/>
      <w:szCs w:val="18"/>
    </w:rPr>
  </w:style>
  <w:style w:type="character" w:customStyle="1" w:styleId="12">
    <w:name w:val="font01"/>
    <w:basedOn w:val="6"/>
    <w:qFormat/>
    <w:uiPriority w:val="0"/>
    <w:rPr>
      <w:rFonts w:hint="eastAsia" w:ascii="宋体" w:hAnsi="宋体" w:eastAsia="宋体" w:cs="宋体"/>
      <w:color w:val="000000"/>
      <w:sz w:val="22"/>
      <w:szCs w:val="22"/>
      <w:u w:val="none"/>
    </w:rPr>
  </w:style>
  <w:style w:type="character" w:customStyle="1" w:styleId="13">
    <w:name w:val="font21"/>
    <w:basedOn w:val="6"/>
    <w:qFormat/>
    <w:uiPriority w:val="0"/>
    <w:rPr>
      <w:rFonts w:hint="eastAsia" w:ascii="宋体" w:hAnsi="宋体" w:eastAsia="宋体" w:cs="宋体"/>
      <w:color w:val="000000"/>
      <w:sz w:val="24"/>
      <w:szCs w:val="24"/>
      <w:u w:val="none"/>
    </w:rPr>
  </w:style>
  <w:style w:type="character" w:customStyle="1" w:styleId="14">
    <w:name w:val="font11"/>
    <w:basedOn w:val="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25</Pages>
  <Words>2154</Words>
  <Characters>12278</Characters>
  <Lines>102</Lines>
  <Paragraphs>28</Paragraphs>
  <TotalTime>45</TotalTime>
  <ScaleCrop>false</ScaleCrop>
  <LinksUpToDate>false</LinksUpToDate>
  <CharactersWithSpaces>14404</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恋尘</cp:lastModifiedBy>
  <cp:lastPrinted>2023-08-15T09:28:00Z</cp:lastPrinted>
  <dcterms:modified xsi:type="dcterms:W3CDTF">2023-09-22T01:05:47Z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56DAEA23E59044C5A11AFAB498780FA3_12</vt:lpwstr>
  </property>
</Properties>
</file>