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jc w:val="center"/>
        <w:rPr>
          <w:color w:val="auto"/>
          <w:sz w:val="56"/>
          <w:szCs w:val="56"/>
          <w:highlight w:val="none"/>
        </w:rPr>
      </w:pPr>
    </w:p>
    <w:p>
      <w:pPr>
        <w:pStyle w:val="11"/>
        <w:jc w:val="center"/>
        <w:rPr>
          <w:color w:val="auto"/>
          <w:sz w:val="56"/>
          <w:szCs w:val="56"/>
          <w:highlight w:val="none"/>
        </w:rPr>
      </w:pPr>
    </w:p>
    <w:p>
      <w:pPr>
        <w:pStyle w:val="11"/>
        <w:jc w:val="center"/>
        <w:rPr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2022年度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怀化仲裁委员会秘书处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部门决算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color w:val="auto"/>
          <w:sz w:val="56"/>
          <w:szCs w:val="56"/>
          <w:highlight w:val="none"/>
        </w:rPr>
      </w:pPr>
    </w:p>
    <w:p>
      <w:pPr>
        <w:pStyle w:val="11"/>
        <w:jc w:val="center"/>
        <w:rPr>
          <w:color w:val="auto"/>
          <w:sz w:val="56"/>
          <w:szCs w:val="56"/>
          <w:highlight w:val="none"/>
        </w:rPr>
      </w:pPr>
    </w:p>
    <w:p>
      <w:pPr>
        <w:pStyle w:val="11"/>
        <w:jc w:val="center"/>
        <w:rPr>
          <w:color w:val="auto"/>
          <w:sz w:val="56"/>
          <w:szCs w:val="56"/>
          <w:highlight w:val="none"/>
        </w:rPr>
      </w:pPr>
    </w:p>
    <w:p>
      <w:pPr>
        <w:pStyle w:val="11"/>
        <w:jc w:val="center"/>
        <w:rPr>
          <w:color w:val="auto"/>
          <w:sz w:val="32"/>
          <w:szCs w:val="32"/>
          <w:highlight w:val="none"/>
        </w:rPr>
      </w:pPr>
    </w:p>
    <w:p>
      <w:pPr>
        <w:pStyle w:val="11"/>
        <w:jc w:val="center"/>
        <w:rPr>
          <w:color w:val="auto"/>
          <w:sz w:val="32"/>
          <w:szCs w:val="32"/>
          <w:highlight w:val="none"/>
        </w:rPr>
      </w:pPr>
    </w:p>
    <w:p>
      <w:pPr>
        <w:pStyle w:val="11"/>
        <w:spacing w:line="600" w:lineRule="exact"/>
        <w:jc w:val="both"/>
        <w:rPr>
          <w:b/>
          <w:color w:val="auto"/>
          <w:sz w:val="36"/>
          <w:szCs w:val="28"/>
          <w:highlight w:val="none"/>
        </w:rPr>
      </w:pPr>
    </w:p>
    <w:p>
      <w:pPr>
        <w:pStyle w:val="11"/>
        <w:spacing w:line="600" w:lineRule="exact"/>
        <w:jc w:val="center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目 录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第一部分怀化仲裁委员会秘书处概况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一、部门职责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二、机构设置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第二部分部门决算表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一、收入支出决算总表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二、收入决算表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三、支出决算表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四、财政拨款收入支出决算总表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五、一般公共预算财政拨款支出决算表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六、一般公共预算财政拨款基本支出决算明细表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七、政府性基金预算财政拨款收入支出决算表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八、国有资本经营预算财政拨款支出决算表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九、财政拨款“三公”经费支出决算表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第三部分部门决算情况说明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一、收入支出决算总体情况说明</w:t>
      </w:r>
    </w:p>
    <w:p>
      <w:pPr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二、收入决算情况说明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三、支出决算情况说明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四、财政拨款收入支出决算总体情况说明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五、一般公共预算财政拨款支出决算情况说明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六、一般公共预算财政拨款基本支出决算情况说明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七、一般公共预算财政拨款三公经费支出决算情况说明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八、政府性基金预算收入支出决算情况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九、国有资本经营预算财政拨款支出决算情况说明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十、关于机关运行经费支出说明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十一、一般性支出情况说明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十二、关于政府采购支出说明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十三、关于国有资产占用情况说明</w:t>
      </w:r>
    </w:p>
    <w:p>
      <w:pPr>
        <w:autoSpaceDE w:val="0"/>
        <w:autoSpaceDN w:val="0"/>
        <w:adjustRightInd w:val="0"/>
        <w:spacing w:line="44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十四、关于预算绩效情况的说明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第四部分名词解释</w:t>
      </w:r>
    </w:p>
    <w:p>
      <w:pPr>
        <w:pStyle w:val="11"/>
        <w:spacing w:line="440" w:lineRule="exact"/>
        <w:ind w:firstLine="640" w:firstLineChars="200"/>
        <w:rPr>
          <w:rFonts w:ascii="仿宋" w:hAnsi="仿宋" w:eastAsia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Cs/>
          <w:color w:val="auto"/>
          <w:sz w:val="32"/>
          <w:szCs w:val="32"/>
          <w:highlight w:val="none"/>
        </w:rPr>
        <w:t>第五部分附件</w:t>
      </w:r>
    </w:p>
    <w:p>
      <w:pPr>
        <w:pStyle w:val="11"/>
        <w:spacing w:line="500" w:lineRule="exact"/>
        <w:rPr>
          <w:rFonts w:hAnsi="黑体"/>
          <w:bCs/>
          <w:color w:val="auto"/>
          <w:sz w:val="32"/>
          <w:szCs w:val="32"/>
          <w:highlight w:val="none"/>
        </w:rPr>
      </w:pPr>
    </w:p>
    <w:p>
      <w:pPr>
        <w:pStyle w:val="11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第一部分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  <w:r>
        <w:rPr>
          <w:rFonts w:hint="eastAsia"/>
          <w:color w:val="auto"/>
          <w:sz w:val="72"/>
          <w:szCs w:val="72"/>
          <w:highlight w:val="none"/>
        </w:rPr>
        <w:t>怀化仲裁委员会秘书处概况</w:t>
      </w:r>
    </w:p>
    <w:p>
      <w:pPr>
        <w:jc w:val="center"/>
        <w:rPr>
          <w:rFonts w:ascii="方正小标宋_GBK" w:hAnsi="方正小标宋_GBK" w:eastAsia="方正小标宋_GBK" w:cs="方正小标宋_GBK"/>
          <w:color w:val="auto"/>
          <w:sz w:val="72"/>
          <w:szCs w:val="72"/>
          <w:highlight w:val="none"/>
        </w:rPr>
      </w:pPr>
    </w:p>
    <w:p>
      <w:pPr>
        <w:jc w:val="center"/>
        <w:rPr>
          <w:rFonts w:ascii="方正小标宋_GBK" w:hAnsi="方正小标宋_GBK" w:eastAsia="方正小标宋_GBK" w:cs="方正小标宋_GBK"/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jc w:val="center"/>
        <w:rPr>
          <w:rFonts w:hint="eastAsia"/>
          <w:color w:val="auto"/>
          <w:sz w:val="72"/>
          <w:szCs w:val="72"/>
          <w:highlight w:val="none"/>
        </w:rPr>
      </w:pPr>
    </w:p>
    <w:p>
      <w:pPr>
        <w:jc w:val="center"/>
        <w:rPr>
          <w:rFonts w:hint="eastAsia"/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rPr>
          <w:color w:val="auto"/>
          <w:sz w:val="72"/>
          <w:szCs w:val="72"/>
          <w:highlight w:val="none"/>
        </w:rPr>
      </w:pPr>
    </w:p>
    <w:p>
      <w:pPr>
        <w:pStyle w:val="12"/>
        <w:spacing w:line="600" w:lineRule="exact"/>
        <w:ind w:firstLine="640"/>
        <w:jc w:val="left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一、部门职责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（一）接待咨询，做好受理案件的有关工作；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（二）仲裁费用的收取和管理；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（三）非仲裁庭调解案件的调解；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（四）仲裁庭开庭时指派记录人员；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（五）收受、送达、保管仲裁文件；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（六）负责仲裁员培训、监督，提出仲裁员的增聘和解聘建议；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（七）负责仲裁秘书等事务性工作人员的聘用和解聘；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（八）其他由本会交办的事项。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二、机构设置及决算单位构成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（一）内设机构设置。怀化仲裁委员会秘书处为二级预算单位，内设机构包括：办公室、立案室、调解室。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highlight w:val="none"/>
        </w:rPr>
        <w:t>（二）决算单位构成。怀化仲裁委员会秘书处2022年部门决算汇总公开单位构成包括：怀化仲裁委员会秘书处本级。</w:t>
      </w:r>
    </w:p>
    <w:p>
      <w:pPr>
        <w:widowControl/>
        <w:spacing w:line="600" w:lineRule="exact"/>
        <w:rPr>
          <w:rFonts w:ascii="Times New Roman" w:hAnsi="Times New Roman" w:eastAsia="仿宋_GB2312" w:cs="仿宋_GB2312"/>
          <w:bCs/>
          <w:color w:val="auto"/>
          <w:kern w:val="0"/>
          <w:sz w:val="32"/>
          <w:szCs w:val="32"/>
          <w:highlight w:val="none"/>
        </w:rPr>
      </w:pPr>
    </w:p>
    <w:p>
      <w:pPr>
        <w:jc w:val="left"/>
        <w:rPr>
          <w:rFonts w:ascii="仿宋_GB2312" w:eastAsia="仿宋_GB2312" w:hAnsiTheme="minorEastAsia"/>
          <w:color w:val="auto"/>
          <w:sz w:val="28"/>
          <w:szCs w:val="32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ind w:firstLine="3360" w:firstLineChars="400"/>
        <w:jc w:val="both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第二部分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部门决算表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  <w:t>见附件</w:t>
      </w: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rPr>
          <w:color w:val="auto"/>
          <w:sz w:val="72"/>
          <w:szCs w:val="72"/>
          <w:highlight w:val="none"/>
        </w:rPr>
      </w:pPr>
    </w:p>
    <w:p>
      <w:pPr>
        <w:pStyle w:val="11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第三部分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70"/>
          <w:szCs w:val="70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2022年度部门决算情况说明</w:t>
      </w:r>
    </w:p>
    <w:p>
      <w:pPr>
        <w:widowControl/>
        <w:jc w:val="left"/>
        <w:rPr>
          <w:rFonts w:asciiTheme="minorEastAsia" w:hAnsiTheme="minorEastAsia"/>
          <w:color w:val="auto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0"/>
          <w:szCs w:val="70"/>
          <w:highlight w:val="none"/>
        </w:rPr>
        <w:br w:type="page"/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一、收入支出决算总体情况说明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2022年度收、支总计均为91.13万元。与上年相比，减少68.80万元，减少43.02%，主要是因为主要是因为仲裁费收支减少。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二、收入决算情况说明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2022年度收入合计38.60万元，其中：财政拨款收入38.60万元，占100%。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三、支出决算情况说明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2022年度支出合计91.13万元，其中：基本支出91.13万元，占100%。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四、财政拨款收入支出决算总体情况说明</w:t>
      </w:r>
    </w:p>
    <w:p>
      <w:pPr>
        <w:pStyle w:val="11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2022年度财政拨款收、支总计均为38.60万元，与上年相比，增加8.63万元,增长28.8%，主要是因为工作人员增加，人员经费及公用经费增加。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五、一般公共预算财政拨款支出决算情况说明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（一）财政拨款支出决算总体情况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财政拨款支出38.60万元，占本年支出合计的42.36%，与上年相比，财政拨款支出增加8.63万元，增长28.8%，主要是因为人员调整，工资、奖金、基本养老保险缴费、基本医疗保险缴费、办公费、差旅费等费用增加。</w:t>
      </w:r>
    </w:p>
    <w:p>
      <w:pPr>
        <w:pStyle w:val="11"/>
        <w:spacing w:line="600" w:lineRule="exact"/>
        <w:ind w:firstLine="480" w:firstLineChars="15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（二）财政拨款支出决算结构情况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财政拨款支出38.60万元，主要用于以下方面：一般公共服务（类）支出3.19万元，占8.26%；公共安全支出（类）支出31.53万元，占81.68%;社会保障和就业支出（类）支出2.72万元，占7.05%；卫生健康支出（类）支出1.16万元，占3.01%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（三）财政拨款支出决算具体情况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2022年度财政拨款支出年初预算数为19.58万元，支出决算数为38.6万元，完成年初预算的197.14%，其中：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1、一般公共服务（类）政府办公厅（室）及相关机构事务（款）行政运行（项）。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年初预算为19.58万元，支出决算为3.19万元，完成年初预算的16.29%，决算数小于年初预算数的主要原因是：工资福利支出由201（类）03（款）01（项）调整为204（类）06（款）01（项）。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2、公共安全支出（类）司法（款）行政运行（项）。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年初预算为0万元，支出决算为25.55万元，决算数大于年初预算数的主要原因是：工资福利支出由201（类）03（款）01（项）调整为204（类）06（款）01（项）。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3、公共安全支出（类）司法（款）其他司法支出（项）。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年初预算为0万元，支出决算为5.98万元，决算数大于年初预算数的主要原因是：增拨上年度奖金。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4、社会保障和就业支出（类）行政事业单位养老支出（款）机关事业单位基本养老保险缴费支出（项）。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年初预算为0万元，支出决算为2.72万元，决算数大于年初预算数的主要原因是：机关事业单位基本养老保险缴费支出功能科目调整由201（类）03（款）01（项）调整为208（类）05（款）05（项）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5、卫生健康支出（类）行政事业单位医疗（款）行政单位医疗（项）。</w:t>
      </w:r>
    </w:p>
    <w:p>
      <w:pPr>
        <w:pStyle w:val="11"/>
        <w:spacing w:line="600" w:lineRule="exact"/>
        <w:ind w:firstLine="800" w:firstLineChars="25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年初预算为0万元，支出决算为1.16万元，决算数大于年初预算数的主要原因是：基本医疗保险缴费支出功能科目调整由201（类）03（款）01（项）调整为210（类）11（款）01（项）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六、一般公共预算财政拨款基本支出决算情况说明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2022年度财政拨款基本支出38.60万元，其中：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人员经费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37.10万元，占基本支出的96.11%,主要包括基本工资、津贴补贴、奖金、伙食补助费、机关事业单位基本养老保险缴费、机关事业单位基本养老保险缴费等。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公用经费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1.51万元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，占基本支出的3.89%，主要包括办公费、邮电费、差旅费、维修（护）费、培训费、福利费。</w:t>
      </w:r>
    </w:p>
    <w:p>
      <w:pPr>
        <w:pStyle w:val="11"/>
        <w:numPr>
          <w:ilvl w:val="0"/>
          <w:numId w:val="1"/>
        </w:numPr>
        <w:spacing w:line="600" w:lineRule="exact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财政拨款三公经费支出决算情况说明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（一）“三公”经费财政拨款支出决算总体情况说明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“三公”经费财政拨款支出预算为0万元，支出决算为0万元，预算决算金额均为0万元，无法计算完成百分比，主要原因是未使用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“三公”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经费。与上年相比持平均为0万元，主要原因是未使用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“三公”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经费，其中：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因公出国（境）费支出预算为0万元，支出决算为0万元，预算决算金额均为0万元，无法计算完成百分比，主要原因是单位未因公出国（境），与上年相比持平均为0万元，无法计算完成百分比，主要原因是单位未因公出国（境）。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务接待费支出预算为0万元，支出决算为0万元，预算决算金额均为0万元，无法计算完成百分比，主要原因是未使用公务接待费，与上年相比持平均为0万元，无法计算完成百分比，主要原因是未使用公务接待费。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务用车购置费支出预算为0万元，支出决算为0万元，预算决算金额均为0万元，无法计算完成百分比，主要原因是未购置公务用车。与上年相比持平均为0万元，无法计算完成百分比，主要原因是未购置公务用车。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务用车运行维护费支出预算为0万元，支出决算为0万元，预算决算金额均为0万元，无法计算完成百分比，主要原因是未使用公务用车运行维护费，与上年相比持平均为0万元，无法计算完成百分比，主要原因是未使用公务用车运行维护费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（二）“三公”经费财政拨款支出决算具体情况说明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2022年度“三公”经费财政拨款支出决算中，公务接待费支出决算0万元，因公出国（境）费支出决算0万元，公务用车购置费及运行维护费支出决算0万元，其中：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1、因公出国（境）费支出决算为0万元，全年安排因公出国（境）团组0个，累计0人次，主要无因公出国。</w:t>
      </w:r>
    </w:p>
    <w:p>
      <w:pPr>
        <w:pStyle w:val="11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2、公务接待费支出决算为0万元，全年共接待来访团组0个、来宾0人次，主要是无发生的接待支出。</w:t>
      </w:r>
    </w:p>
    <w:p>
      <w:pPr>
        <w:pStyle w:val="11"/>
        <w:spacing w:line="600" w:lineRule="exact"/>
        <w:ind w:firstLine="640" w:firstLineChars="200"/>
        <w:rPr>
          <w:rFonts w:hAnsi="黑体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、公务用车购置费及运行维护费支出决算为0万元，其中：公务用车购置费0万元，更新公务用车0辆。公务用车运行维护费0万元，主要是无公务用车购置及维护费支出，截止2023年12月31日，我单位开支财政拨款的公务用车保有量为0辆。</w:t>
      </w:r>
    </w:p>
    <w:p>
      <w:pPr>
        <w:pStyle w:val="11"/>
        <w:spacing w:line="600" w:lineRule="exact"/>
        <w:ind w:firstLine="640" w:firstLineChars="20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八、政府性基金预算收入支出决算情况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2022年度本单位无政府性基金收支。</w:t>
      </w:r>
    </w:p>
    <w:p>
      <w:pPr>
        <w:pStyle w:val="11"/>
        <w:spacing w:line="600" w:lineRule="exact"/>
        <w:ind w:firstLine="640" w:firstLineChars="20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九、国有资本经营预算财政拨款支出决算情况说明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2022年度本单位无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国有资本经营预算财政拨款支出。</w:t>
      </w:r>
    </w:p>
    <w:p>
      <w:pPr>
        <w:pStyle w:val="11"/>
        <w:spacing w:line="600" w:lineRule="exact"/>
        <w:ind w:firstLine="640" w:firstLineChars="20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十、关于机关运行经费支出说明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本单位2022年度机关运行经费支出1.51万元，比上年决算数减少1.92万元，降低55.98%。主要原因是：用公用经费支付其他社会保障缴费等。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十一、一般性支出情况说明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2022年本部门开支会议费0万元；开支培训费0.12万元，用于开展事业单位工作人员职业培训，人数4人，内容为事业单位工作人员职业培训；无举办节庆、晚会、论坛、赛事活动等开支。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十二、关于政府采购支出说明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单位2022年度政府采购支出总额2.51万元，其中：政府采购货物支出0万元、政府采购工程支出0万元、政府采购服务支出2.51万元。授予中小企业合同金额2.51万元，占政府采购支出总额的100%，其中：授予小微企业合同金额2.51万元，占政府采购支出总额的100%。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</w:rPr>
        <w:t>由于货物采购授予中小企业合同金额占货物支出金额0万元</w:t>
      </w:r>
      <w:bookmarkStart w:id="0" w:name="DIS_MARK_GP_BGT_CGHW_AMT_1"/>
      <w:bookmarkEnd w:id="0"/>
      <w:bookmarkStart w:id="1" w:name="START_GP_BGT_CGGC_AMT"/>
      <w:bookmarkEnd w:id="1"/>
      <w:bookmarkStart w:id="2" w:name="END_GP_BGT_CGHW_AMT_1"/>
      <w:bookmarkEnd w:id="2"/>
      <w:bookmarkStart w:id="3" w:name="START_GP_BGT_CGGC_AMT_1"/>
      <w:bookmarkEnd w:id="3"/>
      <w:bookmarkStart w:id="4" w:name="START_GP_BGT_CGHW_AMT_1"/>
      <w:bookmarkEnd w:id="4"/>
      <w:bookmarkStart w:id="5" w:name="END_GP_BGT_CGGC_AMT"/>
      <w:bookmarkEnd w:id="5"/>
      <w:bookmarkStart w:id="6" w:name="DIS_MARK_GP_BGT_CGGC_AMT"/>
      <w:bookmarkEnd w:id="6"/>
      <w:bookmarkStart w:id="7" w:name="END_GP_BGT_CGHW_AMT"/>
      <w:bookmarkEnd w:id="7"/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</w:rPr>
        <w:t>，无法计算货物采购授予中小企业合同金额占货物支出金额的百分比；由于工程支出金额为0万元，无法计算工程采购授予中小企业合同金额占工程支出金额的百分比；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服务采购授予中小企业合同金额占服务支出金额的100%。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十三、关于国有资产占用情况说明</w:t>
      </w:r>
    </w:p>
    <w:p>
      <w:pPr>
        <w:pStyle w:val="11"/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截至2022年12月31日，本单位共有车辆0辆，其中，主要领导干部用车0辆，机要通信用车0辆、应急保障用车0辆、执法执勤用车0辆、特种专业技术用车0辆、其他用车0辆，其他用车主要是中心机关及管理部保留的0台公车，用于保障机要通信、应急和业务工作；单位价值50万元以上通用设备5台（套）；单位价值100万元以上专用设备0台（套）。</w:t>
      </w:r>
    </w:p>
    <w:p>
      <w:pPr>
        <w:pStyle w:val="11"/>
        <w:spacing w:line="600" w:lineRule="exact"/>
        <w:ind w:firstLine="640" w:firstLineChars="200"/>
        <w:rPr>
          <w:rFonts w:hAnsi="黑体"/>
          <w:bCs/>
          <w:color w:val="auto"/>
          <w:sz w:val="32"/>
          <w:szCs w:val="32"/>
          <w:highlight w:val="none"/>
        </w:rPr>
      </w:pPr>
      <w:r>
        <w:rPr>
          <w:rFonts w:hint="eastAsia" w:hAnsi="黑体"/>
          <w:bCs/>
          <w:color w:val="auto"/>
          <w:sz w:val="32"/>
          <w:szCs w:val="32"/>
          <w:highlight w:val="none"/>
        </w:rPr>
        <w:t>十四、关于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2022</w:t>
      </w:r>
      <w:r>
        <w:rPr>
          <w:rFonts w:hint="eastAsia" w:hAnsi="黑体"/>
          <w:bCs/>
          <w:color w:val="auto"/>
          <w:sz w:val="32"/>
          <w:szCs w:val="32"/>
          <w:highlight w:val="none"/>
        </w:rPr>
        <w:t>年度预算绩效情况的说明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仿宋" w:hAnsi="仿宋" w:eastAsia="仿宋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b/>
          <w:color w:val="auto"/>
          <w:kern w:val="0"/>
          <w:sz w:val="32"/>
          <w:szCs w:val="32"/>
          <w:highlight w:val="none"/>
        </w:rPr>
        <w:t>（1）绩效管理评价工作开展情况</w:t>
      </w:r>
      <w:r>
        <w:rPr>
          <w:rFonts w:hint="eastAsia" w:ascii="仿宋" w:hAnsi="仿宋" w:eastAsia="仿宋" w:cs="黑体"/>
          <w:color w:val="auto"/>
          <w:kern w:val="0"/>
          <w:sz w:val="32"/>
          <w:szCs w:val="32"/>
          <w:highlight w:val="none"/>
        </w:rPr>
        <w:t>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根据《怀化市财政局关于开展2022年度部门整体支出与专项资金绩效自评工作的通知》，我单位组织对2022年度一般公共预算整体支出，全面开展绩效自评，2022年本单位共涉及资金91.13万元，其中：一般公共预算支出38.60万元，占支出总额的42.36%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其他资金支出52.53万元，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占支出总额的57.64%。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无政府性基金预算支出和国有资本经营预算支出。</w:t>
      </w:r>
    </w:p>
    <w:p>
      <w:pPr>
        <w:pStyle w:val="17"/>
        <w:spacing w:line="600" w:lineRule="exact"/>
        <w:ind w:firstLine="640" w:firstLineChars="200"/>
        <w:rPr>
          <w:rFonts w:ascii="仿宋" w:hAnsi="仿宋" w:eastAsia="仿宋" w:cs="黑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b/>
          <w:color w:val="auto"/>
          <w:kern w:val="0"/>
          <w:sz w:val="32"/>
          <w:szCs w:val="32"/>
          <w:highlight w:val="none"/>
        </w:rPr>
        <w:t>（2）2022年度部门项目支出绩效评价报告。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仿宋" w:hAnsi="仿宋" w:eastAsia="仿宋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bCs/>
          <w:color w:val="auto"/>
          <w:kern w:val="0"/>
          <w:sz w:val="32"/>
          <w:szCs w:val="32"/>
          <w:highlight w:val="none"/>
        </w:rPr>
        <w:t>2022年度本单位无项目支出，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因此项目</w:t>
      </w:r>
      <w:r>
        <w:rPr>
          <w:rFonts w:hint="eastAsia" w:ascii="仿宋" w:hAnsi="仿宋" w:eastAsia="仿宋" w:cs="黑体"/>
          <w:color w:val="auto"/>
          <w:kern w:val="0"/>
          <w:sz w:val="32"/>
          <w:szCs w:val="32"/>
          <w:highlight w:val="none"/>
        </w:rPr>
        <w:t>支出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绩效报告。</w:t>
      </w:r>
    </w:p>
    <w:p>
      <w:pPr>
        <w:pStyle w:val="17"/>
        <w:spacing w:line="600" w:lineRule="exact"/>
        <w:ind w:firstLine="640" w:firstLineChars="200"/>
        <w:rPr>
          <w:rFonts w:ascii="仿宋" w:hAnsi="仿宋" w:eastAsia="仿宋" w:cs="黑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黑体"/>
          <w:b/>
          <w:color w:val="auto"/>
          <w:kern w:val="0"/>
          <w:sz w:val="32"/>
          <w:szCs w:val="32"/>
          <w:highlight w:val="none"/>
        </w:rPr>
        <w:t>（</w:t>
      </w:r>
      <w:r>
        <w:rPr>
          <w:rFonts w:ascii="仿宋" w:hAnsi="仿宋" w:eastAsia="仿宋" w:cs="黑体"/>
          <w:b/>
          <w:color w:val="auto"/>
          <w:kern w:val="0"/>
          <w:sz w:val="32"/>
          <w:szCs w:val="32"/>
          <w:highlight w:val="none"/>
        </w:rPr>
        <w:t>3</w:t>
      </w:r>
      <w:r>
        <w:rPr>
          <w:rFonts w:hint="eastAsia" w:ascii="仿宋" w:hAnsi="仿宋" w:eastAsia="仿宋" w:cs="黑体"/>
          <w:b/>
          <w:color w:val="auto"/>
          <w:kern w:val="0"/>
          <w:sz w:val="32"/>
          <w:szCs w:val="32"/>
          <w:highlight w:val="none"/>
        </w:rPr>
        <w:t>）部门评价项目绩效评价结果。</w:t>
      </w:r>
    </w:p>
    <w:p>
      <w:pPr>
        <w:pStyle w:val="11"/>
        <w:spacing w:line="60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我单位从经济性、效率性、有效性和可持续性对2022年部门整体支出绩效开展了评价，基本达到预期目标。绩效目标和绩效评价报告按照市财政局绩效部门要求已公开（详见附件二）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仿宋" w:hAnsi="仿宋" w:eastAsia="仿宋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本单位无重点项目，因此无重点项目绩效报告。</w:t>
      </w:r>
    </w:p>
    <w:p>
      <w:pPr>
        <w:pStyle w:val="11"/>
        <w:spacing w:line="600" w:lineRule="exact"/>
        <w:ind w:firstLine="640" w:firstLineChars="200"/>
        <w:rPr>
          <w:rFonts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（二）存在的问题及原因分析</w:t>
      </w:r>
    </w:p>
    <w:p>
      <w:pPr>
        <w:pStyle w:val="11"/>
        <w:spacing w:line="600" w:lineRule="exact"/>
        <w:ind w:firstLine="640" w:firstLineChars="200"/>
        <w:rPr>
          <w:color w:val="auto"/>
          <w:sz w:val="72"/>
          <w:szCs w:val="72"/>
          <w:highlight w:val="none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无。</w:t>
      </w: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rPr>
          <w:color w:val="auto"/>
          <w:sz w:val="72"/>
          <w:szCs w:val="72"/>
          <w:highlight w:val="none"/>
        </w:rPr>
      </w:pPr>
    </w:p>
    <w:p>
      <w:pPr>
        <w:pStyle w:val="11"/>
        <w:jc w:val="both"/>
        <w:rPr>
          <w:rFonts w:ascii="方正小标宋_GBK" w:hAnsi="方正小标宋_GBK" w:eastAsia="方正小标宋_GBK" w:cs="方正小标宋_GBK"/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第四部分</w:t>
      </w:r>
    </w:p>
    <w:p>
      <w:pPr>
        <w:jc w:val="center"/>
        <w:rPr>
          <w:rFonts w:ascii="方正小标宋_GBK" w:hAnsi="方正小标宋_GBK" w:eastAsia="方正小标宋_GBK" w:cs="方正小标宋_GBK"/>
          <w:color w:val="auto"/>
          <w:kern w:val="0"/>
          <w:sz w:val="70"/>
          <w:szCs w:val="70"/>
          <w:highlight w:val="none"/>
        </w:rPr>
      </w:pPr>
    </w:p>
    <w:p>
      <w:pPr>
        <w:jc w:val="center"/>
        <w:rPr>
          <w:rFonts w:ascii="方正小标宋_GBK" w:hAnsi="方正小标宋_GBK" w:eastAsia="方正小标宋_GBK" w:cs="方正小标宋_GBK"/>
          <w:color w:val="auto"/>
          <w:kern w:val="0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84"/>
          <w:szCs w:val="84"/>
          <w:highlight w:val="none"/>
        </w:rPr>
        <w:t>名词解释</w:t>
      </w:r>
    </w:p>
    <w:p>
      <w:pPr>
        <w:widowControl/>
        <w:jc w:val="left"/>
        <w:rPr>
          <w:rFonts w:cs="黑体" w:asciiTheme="minorEastAsia" w:hAnsiTheme="minorEastAsia"/>
          <w:color w:val="auto"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70"/>
          <w:szCs w:val="70"/>
          <w:highlight w:val="none"/>
        </w:rPr>
        <w:br w:type="page"/>
      </w:r>
    </w:p>
    <w:p>
      <w:pPr>
        <w:pStyle w:val="6"/>
        <w:widowControl/>
        <w:shd w:val="clear" w:color="auto" w:fill="FFFFFF"/>
        <w:spacing w:beforeAutospacing="0" w:afterAutospacing="0" w:line="600" w:lineRule="exact"/>
        <w:ind w:firstLine="640" w:firstLineChars="200"/>
        <w:jc w:val="both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pStyle w:val="6"/>
        <w:widowControl/>
        <w:shd w:val="clear" w:color="auto" w:fill="FFFFFF"/>
        <w:spacing w:beforeAutospacing="0" w:after="38" w:afterAutospacing="0" w:line="600" w:lineRule="exact"/>
        <w:ind w:firstLine="640" w:firstLineChars="200"/>
        <w:jc w:val="both"/>
        <w:rPr>
          <w:rFonts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二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pStyle w:val="11"/>
        <w:jc w:val="center"/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pStyle w:val="11"/>
        <w:jc w:val="center"/>
        <w:rPr>
          <w:rFonts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bookmarkStart w:id="8" w:name="_GoBack"/>
      <w:bookmarkEnd w:id="8"/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第五部分</w:t>
      </w: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</w:p>
    <w:p>
      <w:pPr>
        <w:pStyle w:val="11"/>
        <w:jc w:val="center"/>
        <w:rPr>
          <w:rFonts w:ascii="方正小标宋_GBK" w:hAnsi="方正小标宋_GBK" w:eastAsia="方正小标宋_GBK" w:cs="方正小标宋_GBK"/>
          <w:color w:val="auto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84"/>
          <w:szCs w:val="84"/>
          <w:highlight w:val="none"/>
        </w:rPr>
        <w:t>附件</w:t>
      </w: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1、202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2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年度部门决算表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2、202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2</w:t>
      </w:r>
      <w:r>
        <w:rPr>
          <w:rFonts w:ascii="仿宋" w:hAnsi="仿宋" w:eastAsia="仿宋"/>
          <w:color w:val="auto"/>
          <w:sz w:val="32"/>
          <w:szCs w:val="32"/>
          <w:highlight w:val="none"/>
        </w:rPr>
        <w:t>年度部门整体支出绩效评价报告</w:t>
      </w:r>
    </w:p>
    <w:p>
      <w:pPr>
        <w:pStyle w:val="11"/>
        <w:jc w:val="center"/>
        <w:rPr>
          <w:color w:val="auto"/>
          <w:sz w:val="72"/>
          <w:szCs w:val="72"/>
          <w:highlight w:val="none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永中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98A7B"/>
    <w:multiLevelType w:val="singleLevel"/>
    <w:tmpl w:val="16498A7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hhNTI0NGViMDk1MTliYTI5MmEzMjkzM2NhOTc0ZTIifQ=="/>
    <w:docVar w:name="KSO_WPS_MARK_KEY" w:val="d85513b1-136c-48e4-a110-b52b037451a3"/>
  </w:docVars>
  <w:rsids>
    <w:rsidRoot w:val="004506F9"/>
    <w:rsid w:val="0002229B"/>
    <w:rsid w:val="000273BD"/>
    <w:rsid w:val="00036995"/>
    <w:rsid w:val="00040CBC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8F2B87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120C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11532B5"/>
    <w:rsid w:val="03107175"/>
    <w:rsid w:val="04CD4A64"/>
    <w:rsid w:val="07406D44"/>
    <w:rsid w:val="08770110"/>
    <w:rsid w:val="0B7241C7"/>
    <w:rsid w:val="0D0C7DE3"/>
    <w:rsid w:val="0DF0393E"/>
    <w:rsid w:val="0E913FDD"/>
    <w:rsid w:val="1413185F"/>
    <w:rsid w:val="1725227F"/>
    <w:rsid w:val="1AF93BA0"/>
    <w:rsid w:val="1C807B08"/>
    <w:rsid w:val="1FA71A15"/>
    <w:rsid w:val="22F95711"/>
    <w:rsid w:val="278D0EB7"/>
    <w:rsid w:val="280E282A"/>
    <w:rsid w:val="29B57DA3"/>
    <w:rsid w:val="2AF066F7"/>
    <w:rsid w:val="2B6B65B2"/>
    <w:rsid w:val="2CAC0A3B"/>
    <w:rsid w:val="2D0A60C6"/>
    <w:rsid w:val="2DEC05A9"/>
    <w:rsid w:val="2E1110B5"/>
    <w:rsid w:val="3105235C"/>
    <w:rsid w:val="32CE6C43"/>
    <w:rsid w:val="338865A6"/>
    <w:rsid w:val="33CD6A54"/>
    <w:rsid w:val="34D575A3"/>
    <w:rsid w:val="35DB7EC8"/>
    <w:rsid w:val="3C4978C6"/>
    <w:rsid w:val="3D6C029E"/>
    <w:rsid w:val="42587B9A"/>
    <w:rsid w:val="45F16F3C"/>
    <w:rsid w:val="47A873D6"/>
    <w:rsid w:val="4D10540E"/>
    <w:rsid w:val="4E54584F"/>
    <w:rsid w:val="4F367AC5"/>
    <w:rsid w:val="52EE0C3A"/>
    <w:rsid w:val="5777D4F5"/>
    <w:rsid w:val="5C7C4AF1"/>
    <w:rsid w:val="5DAE5A0B"/>
    <w:rsid w:val="5FC6BB1E"/>
    <w:rsid w:val="5FF720F1"/>
    <w:rsid w:val="60592B29"/>
    <w:rsid w:val="60D15AC2"/>
    <w:rsid w:val="61963DD4"/>
    <w:rsid w:val="6E275541"/>
    <w:rsid w:val="72533B1E"/>
    <w:rsid w:val="72C046D1"/>
    <w:rsid w:val="72D05397"/>
    <w:rsid w:val="737D59BA"/>
    <w:rsid w:val="77C37683"/>
    <w:rsid w:val="79FF515B"/>
    <w:rsid w:val="7D527D69"/>
    <w:rsid w:val="7E9F11B4"/>
    <w:rsid w:val="7FC69637"/>
    <w:rsid w:val="7FFDB408"/>
    <w:rsid w:val="CBFF70E0"/>
    <w:rsid w:val="EEABED75"/>
    <w:rsid w:val="FB36E1A6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0"/>
    </w:pPr>
    <w:rPr>
      <w:rFonts w:ascii="永中宋体" w:hAnsi="永中宋体" w:eastAsia="方正小标宋_GBK" w:cs="永中宋体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1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4134</Words>
  <Characters>4470</Characters>
  <Lines>33</Lines>
  <Paragraphs>9</Paragraphs>
  <TotalTime>89</TotalTime>
  <ScaleCrop>false</ScaleCrop>
  <LinksUpToDate>false</LinksUpToDate>
  <CharactersWithSpaces>4471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2020-07-04T18:32:00Z</dcterms:created>
  <dc:creator>李航 null</dc:creator>
  <cp:lastModifiedBy>芳草碧连天</cp:lastModifiedBy>
  <cp:lastPrinted>2023-08-15T09:28:00Z</cp:lastPrinted>
  <dcterms:modified xsi:type="dcterms:W3CDTF">2024-10-17T05:02:18Z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2F56CEEDEE9C451A9DED4BEC534BC17C_12</vt:lpwstr>
  </property>
</Properties>
</file>