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3"/>
        <w:jc w:val="center"/>
        <w:rPr>
          <w:sz w:val="56"/>
          <w:szCs w:val="56"/>
        </w:rPr>
      </w:pPr>
      <w:r>
        <w:rPr>
          <w:sz w:val="56"/>
        </w:rPr>
        <w:pict>
          <v:shape id="_x0000_s1026" o:spid="_x0000_s1026" o:spt="202" type="#_x0000_t202" style="position:absolute;left:0pt;margin-left:-18.6pt;margin-top:-23.4pt;height:40.75pt;width:119.95pt;z-index:251659264;mso-width-relative:page;mso-height-relative:page;" fillcolor="#FFFFFF" filled="t" stroked="f" coordsize="21600,21600" o:gfxdata="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">
            <v:path/>
            <v:fill on="t" focussize="0,0"/>
            <v:stroke on="f" weight="0.5pt" joinstyle="miter"/>
            <v:imagedata o:title=""/>
            <o:lock v:ext="edit"/>
            <v:textbox>
              <w:txbxContent>
                <w:p>
                  <w:pPr>
                    <w:rPr>
                      <w:rFonts w:ascii="楷体" w:hAnsi="楷体" w:eastAsia="楷体" w:cs="楷体"/>
                      <w:sz w:val="30"/>
                      <w:szCs w:val="30"/>
                    </w:rPr>
                  </w:pPr>
                  <w:r>
                    <w:rPr>
                      <w:rFonts w:hint="eastAsia" w:ascii="楷体" w:hAnsi="楷体" w:eastAsia="楷体" w:cs="楷体"/>
                      <w:sz w:val="30"/>
                      <w:szCs w:val="30"/>
                    </w:rPr>
                    <w:t>附件1：</w:t>
                  </w:r>
                </w:p>
              </w:txbxContent>
            </v:textbox>
          </v:shape>
        </w:pict>
      </w:r>
    </w:p>
    <w:p>
      <w:pPr>
        <w:pStyle w:val="13"/>
        <w:jc w:val="center"/>
        <w:rPr>
          <w:sz w:val="56"/>
          <w:szCs w:val="56"/>
        </w:rPr>
      </w:pPr>
    </w:p>
    <w:p>
      <w:pPr>
        <w:pStyle w:val="13"/>
        <w:jc w:val="center"/>
        <w:rPr>
          <w:sz w:val="84"/>
          <w:szCs w:val="84"/>
        </w:rPr>
      </w:pPr>
    </w:p>
    <w:p>
      <w:pPr>
        <w:pStyle w:val="13"/>
        <w:jc w:val="center"/>
        <w:rPr>
          <w:sz w:val="84"/>
          <w:szCs w:val="84"/>
        </w:rPr>
      </w:pPr>
    </w:p>
    <w:p>
      <w:pPr>
        <w:pStyle w:val="13"/>
        <w:jc w:val="center"/>
        <w:rPr>
          <w:sz w:val="72"/>
          <w:szCs w:val="72"/>
        </w:rPr>
      </w:pPr>
      <w:r>
        <w:rPr>
          <w:rFonts w:hint="eastAsia"/>
          <w:sz w:val="72"/>
          <w:szCs w:val="72"/>
        </w:rPr>
        <w:t>2023年度</w:t>
      </w:r>
    </w:p>
    <w:p>
      <w:pPr>
        <w:pStyle w:val="13"/>
        <w:jc w:val="center"/>
        <w:rPr>
          <w:sz w:val="72"/>
          <w:szCs w:val="72"/>
        </w:rPr>
      </w:pPr>
      <w:r>
        <w:rPr>
          <w:rFonts w:hint="eastAsia"/>
          <w:sz w:val="72"/>
          <w:szCs w:val="72"/>
        </w:rPr>
        <w:t>怀化仲裁委员会秘书处部门决算</w:t>
      </w:r>
    </w:p>
    <w:p>
      <w:pPr>
        <w:pStyle w:val="13"/>
        <w:jc w:val="center"/>
        <w:rPr>
          <w:rFonts w:ascii="方正小标宋_GBK" w:hAnsi="方正小标宋_GBK" w:eastAsia="方正小标宋_GBK" w:cs="方正小标宋_GBK"/>
          <w:sz w:val="56"/>
          <w:szCs w:val="56"/>
        </w:rPr>
      </w:pPr>
    </w:p>
    <w:p>
      <w:pPr>
        <w:pStyle w:val="13"/>
        <w:jc w:val="center"/>
        <w:rPr>
          <w:sz w:val="56"/>
          <w:szCs w:val="56"/>
        </w:rPr>
      </w:pPr>
    </w:p>
    <w:p>
      <w:pPr>
        <w:pStyle w:val="13"/>
        <w:jc w:val="center"/>
        <w:rPr>
          <w:sz w:val="56"/>
          <w:szCs w:val="56"/>
        </w:rPr>
      </w:pPr>
    </w:p>
    <w:p>
      <w:pPr>
        <w:pStyle w:val="13"/>
        <w:jc w:val="center"/>
        <w:rPr>
          <w:sz w:val="56"/>
          <w:szCs w:val="56"/>
        </w:rPr>
      </w:pPr>
    </w:p>
    <w:p>
      <w:pPr>
        <w:pStyle w:val="13"/>
        <w:jc w:val="center"/>
        <w:rPr>
          <w:sz w:val="32"/>
          <w:szCs w:val="32"/>
        </w:rPr>
      </w:pPr>
    </w:p>
    <w:p>
      <w:pPr>
        <w:pStyle w:val="13"/>
        <w:jc w:val="center"/>
        <w:rPr>
          <w:sz w:val="32"/>
          <w:szCs w:val="32"/>
        </w:rPr>
      </w:pPr>
    </w:p>
    <w:p>
      <w:pPr>
        <w:pStyle w:val="13"/>
        <w:jc w:val="center"/>
        <w:rPr>
          <w:sz w:val="32"/>
          <w:szCs w:val="32"/>
        </w:rPr>
      </w:pPr>
    </w:p>
    <w:p>
      <w:pPr>
        <w:pStyle w:val="13"/>
        <w:jc w:val="center"/>
        <w:rPr>
          <w:sz w:val="32"/>
          <w:szCs w:val="32"/>
        </w:rPr>
      </w:pPr>
    </w:p>
    <w:p>
      <w:pPr>
        <w:pStyle w:val="13"/>
        <w:jc w:val="center"/>
        <w:rPr>
          <w:sz w:val="32"/>
          <w:szCs w:val="32"/>
        </w:rPr>
      </w:pPr>
    </w:p>
    <w:p>
      <w:pPr>
        <w:pStyle w:val="13"/>
        <w:spacing w:line="540" w:lineRule="exact"/>
        <w:jc w:val="center"/>
        <w:rPr>
          <w:sz w:val="56"/>
          <w:szCs w:val="56"/>
        </w:rPr>
      </w:pPr>
    </w:p>
    <w:p>
      <w:pPr>
        <w:pStyle w:val="13"/>
        <w:spacing w:line="500" w:lineRule="exact"/>
        <w:jc w:val="both"/>
        <w:rPr>
          <w:b/>
          <w:sz w:val="36"/>
          <w:szCs w:val="28"/>
        </w:rPr>
      </w:pPr>
    </w:p>
    <w:p>
      <w:pPr>
        <w:pStyle w:val="13"/>
        <w:spacing w:line="500" w:lineRule="exact"/>
        <w:jc w:val="center"/>
        <w:rPr>
          <w:b/>
          <w:sz w:val="36"/>
          <w:szCs w:val="28"/>
        </w:rPr>
      </w:pPr>
    </w:p>
    <w:p>
      <w:pPr>
        <w:pStyle w:val="13"/>
        <w:spacing w:line="500" w:lineRule="exact"/>
        <w:jc w:val="center"/>
        <w:rPr>
          <w:b/>
          <w:sz w:val="36"/>
          <w:szCs w:val="28"/>
        </w:rPr>
      </w:pPr>
      <w:r>
        <w:rPr>
          <w:rFonts w:hint="eastAsia"/>
          <w:b/>
          <w:sz w:val="36"/>
          <w:szCs w:val="28"/>
        </w:rPr>
        <w:t>目录</w:t>
      </w:r>
    </w:p>
    <w:p>
      <w:pPr>
        <w:pStyle w:val="13"/>
        <w:spacing w:line="500" w:lineRule="exact"/>
        <w:rPr>
          <w:rFonts w:hAnsi="黑体"/>
          <w:bCs/>
          <w:sz w:val="28"/>
          <w:szCs w:val="28"/>
        </w:rPr>
      </w:pPr>
      <w:r>
        <w:rPr>
          <w:rFonts w:hint="eastAsia" w:hAnsi="黑体"/>
          <w:bCs/>
          <w:sz w:val="28"/>
          <w:szCs w:val="28"/>
        </w:rPr>
        <w:t>第一部分怀化仲裁委员会秘书处概况</w:t>
      </w:r>
    </w:p>
    <w:p>
      <w:pPr>
        <w:pStyle w:val="13"/>
        <w:spacing w:line="500" w:lineRule="exact"/>
        <w:ind w:firstLine="700" w:firstLineChars="25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一、部门职责</w:t>
      </w:r>
    </w:p>
    <w:p>
      <w:pPr>
        <w:pStyle w:val="13"/>
        <w:spacing w:line="500" w:lineRule="exact"/>
        <w:ind w:firstLine="700" w:firstLineChars="25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二、机构设置</w:t>
      </w:r>
    </w:p>
    <w:p>
      <w:pPr>
        <w:pStyle w:val="13"/>
        <w:spacing w:line="500" w:lineRule="exact"/>
        <w:rPr>
          <w:rFonts w:hAnsi="黑体"/>
          <w:bCs/>
          <w:sz w:val="28"/>
          <w:szCs w:val="28"/>
        </w:rPr>
      </w:pPr>
      <w:r>
        <w:rPr>
          <w:rFonts w:hint="eastAsia" w:hAnsi="黑体"/>
          <w:bCs/>
          <w:sz w:val="28"/>
          <w:szCs w:val="28"/>
        </w:rPr>
        <w:t>第二部分部门决算表</w:t>
      </w:r>
    </w:p>
    <w:p>
      <w:pPr>
        <w:pStyle w:val="13"/>
        <w:spacing w:line="500" w:lineRule="exact"/>
        <w:ind w:firstLine="700" w:firstLineChars="25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一、收入支出决算总表</w:t>
      </w:r>
    </w:p>
    <w:p>
      <w:pPr>
        <w:pStyle w:val="13"/>
        <w:spacing w:line="500" w:lineRule="exact"/>
        <w:ind w:firstLine="700" w:firstLineChars="25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二、收入决算表</w:t>
      </w:r>
    </w:p>
    <w:p>
      <w:pPr>
        <w:pStyle w:val="13"/>
        <w:spacing w:line="500" w:lineRule="exact"/>
        <w:ind w:firstLine="700" w:firstLineChars="25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三、支出决算表</w:t>
      </w:r>
    </w:p>
    <w:p>
      <w:pPr>
        <w:pStyle w:val="13"/>
        <w:spacing w:line="500" w:lineRule="exact"/>
        <w:ind w:firstLine="700" w:firstLineChars="25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四、财政拨款收入支出决算总表</w:t>
      </w:r>
    </w:p>
    <w:p>
      <w:pPr>
        <w:pStyle w:val="13"/>
        <w:spacing w:line="500" w:lineRule="exact"/>
        <w:ind w:firstLine="700" w:firstLineChars="25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五、一般公共预算财政拨款支出决算表</w:t>
      </w:r>
    </w:p>
    <w:p>
      <w:pPr>
        <w:pStyle w:val="13"/>
        <w:spacing w:line="500" w:lineRule="exact"/>
        <w:ind w:firstLine="700" w:firstLineChars="25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六、一般公共预算财政拨款基本支出决算明细表</w:t>
      </w:r>
    </w:p>
    <w:p>
      <w:pPr>
        <w:pStyle w:val="13"/>
        <w:spacing w:line="500" w:lineRule="exact"/>
        <w:ind w:firstLine="700" w:firstLineChars="25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七、政府性基金预算财政拨款收入支出决算表</w:t>
      </w:r>
    </w:p>
    <w:p>
      <w:pPr>
        <w:pStyle w:val="13"/>
        <w:spacing w:line="500" w:lineRule="exact"/>
        <w:ind w:firstLine="700" w:firstLineChars="25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八、国有资本经营预算财政拨款支出决算表</w:t>
      </w:r>
    </w:p>
    <w:p>
      <w:pPr>
        <w:pStyle w:val="13"/>
        <w:spacing w:line="500" w:lineRule="exact"/>
        <w:ind w:firstLine="700" w:firstLineChars="25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九、财政拨款“三公”经费支出决算表</w:t>
      </w:r>
    </w:p>
    <w:p>
      <w:pPr>
        <w:pStyle w:val="13"/>
        <w:spacing w:line="500" w:lineRule="exact"/>
        <w:rPr>
          <w:rFonts w:hAnsi="黑体"/>
          <w:bCs/>
          <w:sz w:val="28"/>
          <w:szCs w:val="28"/>
        </w:rPr>
      </w:pPr>
      <w:r>
        <w:rPr>
          <w:rFonts w:hint="eastAsia" w:hAnsi="黑体"/>
          <w:bCs/>
          <w:sz w:val="28"/>
          <w:szCs w:val="28"/>
        </w:rPr>
        <w:t>第三部分部门决算情况说明</w:t>
      </w:r>
    </w:p>
    <w:p>
      <w:pPr>
        <w:pStyle w:val="13"/>
        <w:spacing w:line="500" w:lineRule="exact"/>
        <w:ind w:firstLine="700" w:firstLineChars="25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一、收入支出决算总体情况说明</w:t>
      </w:r>
    </w:p>
    <w:p>
      <w:pPr>
        <w:spacing w:line="500" w:lineRule="exact"/>
        <w:ind w:firstLine="700" w:firstLineChars="250"/>
        <w:jc w:val="left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二、收入决算情况说明</w:t>
      </w:r>
    </w:p>
    <w:p>
      <w:pPr>
        <w:autoSpaceDE w:val="0"/>
        <w:autoSpaceDN w:val="0"/>
        <w:adjustRightInd w:val="0"/>
        <w:spacing w:line="500" w:lineRule="exact"/>
        <w:ind w:firstLine="700" w:firstLineChars="250"/>
        <w:jc w:val="left"/>
        <w:rPr>
          <w:rFonts w:ascii="仿宋_GB2312" w:hAnsi="仿宋_GB2312" w:eastAsia="仿宋_GB2312" w:cs="仿宋_GB2312"/>
          <w:color w:val="000000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>三、支出决算情况说明</w:t>
      </w:r>
    </w:p>
    <w:p>
      <w:pPr>
        <w:autoSpaceDE w:val="0"/>
        <w:autoSpaceDN w:val="0"/>
        <w:adjustRightInd w:val="0"/>
        <w:spacing w:line="500" w:lineRule="exact"/>
        <w:ind w:firstLine="700" w:firstLineChars="250"/>
        <w:jc w:val="left"/>
        <w:rPr>
          <w:rFonts w:ascii="仿宋_GB2312" w:hAnsi="仿宋_GB2312" w:eastAsia="仿宋_GB2312" w:cs="仿宋_GB2312"/>
          <w:color w:val="000000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>四、财政拨款收入支出决算总体情况说明</w:t>
      </w:r>
    </w:p>
    <w:p>
      <w:pPr>
        <w:autoSpaceDE w:val="0"/>
        <w:autoSpaceDN w:val="0"/>
        <w:adjustRightInd w:val="0"/>
        <w:spacing w:line="500" w:lineRule="exact"/>
        <w:ind w:firstLine="700" w:firstLineChars="250"/>
        <w:jc w:val="left"/>
        <w:rPr>
          <w:rFonts w:ascii="仿宋_GB2312" w:hAnsi="仿宋_GB2312" w:eastAsia="仿宋_GB2312" w:cs="仿宋_GB2312"/>
          <w:color w:val="000000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>五、一般公共预算财政拨款支出决算情况说明</w:t>
      </w:r>
    </w:p>
    <w:p>
      <w:pPr>
        <w:autoSpaceDE w:val="0"/>
        <w:autoSpaceDN w:val="0"/>
        <w:adjustRightInd w:val="0"/>
        <w:spacing w:line="500" w:lineRule="exact"/>
        <w:ind w:firstLine="700" w:firstLineChars="250"/>
        <w:jc w:val="left"/>
        <w:rPr>
          <w:rFonts w:ascii="仿宋_GB2312" w:hAnsi="仿宋_GB2312" w:eastAsia="仿宋_GB2312" w:cs="仿宋_GB2312"/>
          <w:color w:val="000000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>六、一般公共预算财政拨款基本支出决算情况说明</w:t>
      </w:r>
    </w:p>
    <w:p>
      <w:pPr>
        <w:autoSpaceDE w:val="0"/>
        <w:autoSpaceDN w:val="0"/>
        <w:adjustRightInd w:val="0"/>
        <w:spacing w:line="500" w:lineRule="exact"/>
        <w:ind w:firstLine="700" w:firstLineChars="250"/>
        <w:jc w:val="left"/>
        <w:rPr>
          <w:rFonts w:ascii="仿宋_GB2312" w:hAnsi="仿宋_GB2312" w:eastAsia="仿宋_GB2312" w:cs="仿宋_GB2312"/>
          <w:color w:val="000000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>七、财政拨款三公经费支出决算情况说明</w:t>
      </w:r>
    </w:p>
    <w:p>
      <w:pPr>
        <w:autoSpaceDE w:val="0"/>
        <w:autoSpaceDN w:val="0"/>
        <w:adjustRightInd w:val="0"/>
        <w:spacing w:line="500" w:lineRule="exact"/>
        <w:ind w:firstLine="700" w:firstLineChars="250"/>
        <w:jc w:val="left"/>
        <w:rPr>
          <w:rFonts w:ascii="仿宋_GB2312" w:hAnsi="仿宋_GB2312" w:eastAsia="仿宋_GB2312" w:cs="仿宋_GB2312"/>
          <w:color w:val="000000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>八、政府性基金预算收入支出决算情况</w:t>
      </w:r>
    </w:p>
    <w:p>
      <w:pPr>
        <w:autoSpaceDE w:val="0"/>
        <w:autoSpaceDN w:val="0"/>
        <w:adjustRightInd w:val="0"/>
        <w:spacing w:line="500" w:lineRule="exact"/>
        <w:ind w:firstLine="700" w:firstLineChars="250"/>
        <w:jc w:val="left"/>
        <w:rPr>
          <w:rFonts w:ascii="仿宋_GB2312" w:hAnsi="仿宋_GB2312" w:eastAsia="仿宋_GB2312" w:cs="仿宋_GB2312"/>
          <w:color w:val="000000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>九、国有资本经营预算财政拨款支出决算情况说明</w:t>
      </w:r>
    </w:p>
    <w:p>
      <w:pPr>
        <w:autoSpaceDE w:val="0"/>
        <w:autoSpaceDN w:val="0"/>
        <w:adjustRightInd w:val="0"/>
        <w:spacing w:line="500" w:lineRule="exact"/>
        <w:ind w:firstLine="840" w:firstLineChars="300"/>
        <w:jc w:val="left"/>
        <w:rPr>
          <w:rFonts w:ascii="仿宋_GB2312" w:hAnsi="仿宋_GB2312" w:eastAsia="仿宋_GB2312" w:cs="仿宋_GB2312"/>
          <w:color w:val="000000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>十、关于机关运行经费支出说明</w:t>
      </w:r>
    </w:p>
    <w:p>
      <w:pPr>
        <w:autoSpaceDE w:val="0"/>
        <w:autoSpaceDN w:val="0"/>
        <w:adjustRightInd w:val="0"/>
        <w:spacing w:line="500" w:lineRule="exact"/>
        <w:ind w:firstLine="700" w:firstLineChars="250"/>
        <w:jc w:val="left"/>
        <w:rPr>
          <w:rFonts w:ascii="仿宋_GB2312" w:hAnsi="仿宋_GB2312" w:eastAsia="仿宋_GB2312" w:cs="仿宋_GB2312"/>
          <w:color w:val="000000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>十一、一般性支出情况说明</w:t>
      </w:r>
    </w:p>
    <w:p>
      <w:pPr>
        <w:autoSpaceDE w:val="0"/>
        <w:autoSpaceDN w:val="0"/>
        <w:adjustRightInd w:val="0"/>
        <w:spacing w:line="500" w:lineRule="exact"/>
        <w:ind w:firstLine="700" w:firstLineChars="250"/>
        <w:jc w:val="left"/>
        <w:rPr>
          <w:rFonts w:ascii="仿宋_GB2312" w:hAnsi="仿宋_GB2312" w:eastAsia="仿宋_GB2312" w:cs="仿宋_GB2312"/>
          <w:color w:val="000000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十二、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>关于政府采购支出说明</w:t>
      </w:r>
    </w:p>
    <w:p>
      <w:pPr>
        <w:pStyle w:val="13"/>
        <w:spacing w:line="500" w:lineRule="exact"/>
        <w:ind w:firstLine="700" w:firstLineChars="25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十三、关于国有资产占用情况说明</w:t>
      </w:r>
    </w:p>
    <w:p>
      <w:pPr>
        <w:pStyle w:val="13"/>
        <w:spacing w:line="500" w:lineRule="exact"/>
        <w:ind w:firstLine="700" w:firstLineChars="25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十四、关于</w:t>
      </w:r>
      <w:r>
        <w:rPr>
          <w:rFonts w:ascii="Times New Roman" w:hAnsi="Times New Roman" w:eastAsia="仿宋_GB2312" w:cs="Times New Roman"/>
          <w:sz w:val="28"/>
          <w:szCs w:val="28"/>
        </w:rPr>
        <w:t>2023</w:t>
      </w:r>
      <w:r>
        <w:rPr>
          <w:rFonts w:hint="eastAsia" w:ascii="仿宋_GB2312" w:hAnsi="仿宋_GB2312" w:eastAsia="仿宋_GB2312" w:cs="仿宋_GB2312"/>
          <w:sz w:val="28"/>
          <w:szCs w:val="28"/>
        </w:rPr>
        <w:t>年度预算绩效情况的说明</w:t>
      </w:r>
    </w:p>
    <w:p>
      <w:pPr>
        <w:pStyle w:val="13"/>
        <w:spacing w:line="500" w:lineRule="exact"/>
        <w:ind w:firstLine="840" w:firstLineChars="300"/>
        <w:rPr>
          <w:rFonts w:hAnsi="黑体"/>
          <w:bCs/>
          <w:sz w:val="28"/>
          <w:szCs w:val="28"/>
        </w:rPr>
      </w:pPr>
      <w:r>
        <w:rPr>
          <w:rFonts w:hint="eastAsia" w:hAnsi="黑体"/>
          <w:bCs/>
          <w:sz w:val="28"/>
          <w:szCs w:val="28"/>
        </w:rPr>
        <w:t>第四部分名词解释</w:t>
      </w:r>
    </w:p>
    <w:p>
      <w:pPr>
        <w:pStyle w:val="13"/>
        <w:spacing w:line="500" w:lineRule="exact"/>
        <w:ind w:firstLine="560" w:firstLineChars="200"/>
        <w:rPr>
          <w:rFonts w:hAnsi="黑体"/>
          <w:bCs/>
          <w:sz w:val="28"/>
          <w:szCs w:val="28"/>
        </w:rPr>
      </w:pPr>
      <w:r>
        <w:rPr>
          <w:rFonts w:hint="eastAsia" w:hAnsi="黑体"/>
          <w:bCs/>
          <w:sz w:val="28"/>
          <w:szCs w:val="28"/>
        </w:rPr>
        <w:t>第五部分附件</w:t>
      </w:r>
    </w:p>
    <w:p>
      <w:pPr>
        <w:pStyle w:val="13"/>
        <w:spacing w:line="500" w:lineRule="exact"/>
        <w:rPr>
          <w:rFonts w:hAnsi="黑体"/>
          <w:bCs/>
          <w:sz w:val="28"/>
          <w:szCs w:val="28"/>
        </w:rPr>
      </w:pPr>
    </w:p>
    <w:p>
      <w:pPr>
        <w:jc w:val="center"/>
        <w:rPr>
          <w:sz w:val="72"/>
          <w:szCs w:val="72"/>
        </w:rPr>
      </w:pPr>
    </w:p>
    <w:p>
      <w:pPr>
        <w:jc w:val="center"/>
        <w:rPr>
          <w:sz w:val="72"/>
          <w:szCs w:val="72"/>
        </w:rPr>
      </w:pPr>
    </w:p>
    <w:p>
      <w:pPr>
        <w:jc w:val="center"/>
        <w:rPr>
          <w:sz w:val="72"/>
          <w:szCs w:val="72"/>
        </w:rPr>
      </w:pPr>
    </w:p>
    <w:p>
      <w:pPr>
        <w:jc w:val="center"/>
        <w:rPr>
          <w:sz w:val="72"/>
          <w:szCs w:val="72"/>
        </w:rPr>
      </w:pPr>
    </w:p>
    <w:p>
      <w:pPr>
        <w:rPr>
          <w:rFonts w:ascii="方正小标宋_GBK" w:hAnsi="方正小标宋_GBK" w:eastAsia="方正小标宋_GBK" w:cs="方正小标宋_GBK"/>
          <w:sz w:val="72"/>
          <w:szCs w:val="72"/>
        </w:rPr>
      </w:pPr>
    </w:p>
    <w:p>
      <w:pPr>
        <w:pStyle w:val="13"/>
        <w:jc w:val="center"/>
        <w:rPr>
          <w:sz w:val="72"/>
          <w:szCs w:val="72"/>
        </w:rPr>
      </w:pPr>
    </w:p>
    <w:p>
      <w:pPr>
        <w:pStyle w:val="13"/>
        <w:jc w:val="center"/>
        <w:rPr>
          <w:sz w:val="72"/>
          <w:szCs w:val="72"/>
        </w:rPr>
      </w:pPr>
    </w:p>
    <w:p>
      <w:pPr>
        <w:pStyle w:val="13"/>
        <w:ind w:firstLine="3600" w:firstLineChars="500"/>
        <w:jc w:val="both"/>
        <w:rPr>
          <w:sz w:val="72"/>
          <w:szCs w:val="72"/>
        </w:rPr>
      </w:pPr>
      <w:r>
        <w:rPr>
          <w:rFonts w:hint="eastAsia"/>
          <w:sz w:val="72"/>
          <w:szCs w:val="72"/>
        </w:rPr>
        <w:t xml:space="preserve">第一部分 </w:t>
      </w:r>
    </w:p>
    <w:p>
      <w:pPr>
        <w:pStyle w:val="13"/>
        <w:jc w:val="center"/>
        <w:rPr>
          <w:sz w:val="72"/>
          <w:szCs w:val="72"/>
        </w:rPr>
      </w:pPr>
    </w:p>
    <w:p>
      <w:pPr>
        <w:pStyle w:val="13"/>
        <w:jc w:val="center"/>
        <w:rPr>
          <w:sz w:val="72"/>
          <w:szCs w:val="72"/>
        </w:rPr>
      </w:pPr>
      <w:r>
        <w:rPr>
          <w:rFonts w:hint="eastAsia"/>
          <w:sz w:val="72"/>
          <w:szCs w:val="72"/>
        </w:rPr>
        <w:t>怀化仲裁委员会秘书处概况</w:t>
      </w:r>
    </w:p>
    <w:p>
      <w:pPr>
        <w:jc w:val="center"/>
        <w:rPr>
          <w:rFonts w:ascii="方正小标宋_GBK" w:hAnsi="方正小标宋_GBK" w:eastAsia="方正小标宋_GBK" w:cs="方正小标宋_GBK"/>
          <w:sz w:val="72"/>
          <w:szCs w:val="72"/>
        </w:rPr>
      </w:pPr>
    </w:p>
    <w:p>
      <w:pPr>
        <w:jc w:val="center"/>
        <w:rPr>
          <w:rFonts w:ascii="方正小标宋_GBK" w:hAnsi="方正小标宋_GBK" w:eastAsia="方正小标宋_GBK" w:cs="方正小标宋_GBK"/>
          <w:sz w:val="72"/>
          <w:szCs w:val="72"/>
        </w:rPr>
      </w:pPr>
    </w:p>
    <w:p>
      <w:pPr>
        <w:pStyle w:val="14"/>
        <w:ind w:firstLine="0" w:firstLineChars="0"/>
        <w:jc w:val="left"/>
        <w:rPr>
          <w:rFonts w:ascii="黑体" w:hAnsi="黑体" w:eastAsia="黑体" w:cs="黑体"/>
          <w:sz w:val="32"/>
          <w:szCs w:val="32"/>
        </w:rPr>
      </w:pPr>
    </w:p>
    <w:p>
      <w:pPr>
        <w:pStyle w:val="14"/>
        <w:ind w:firstLine="0" w:firstLineChars="0"/>
        <w:jc w:val="left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一、部门职责</w:t>
      </w:r>
    </w:p>
    <w:p>
      <w:pPr>
        <w:widowControl/>
        <w:spacing w:line="600" w:lineRule="exact"/>
        <w:rPr>
          <w:rFonts w:ascii="Times New Roman" w:hAnsi="Times New Roman" w:eastAsia="仿宋_GB2312" w:cs="仿宋_GB2312"/>
          <w:bCs/>
          <w:kern w:val="0"/>
          <w:sz w:val="32"/>
          <w:szCs w:val="32"/>
        </w:rPr>
      </w:pPr>
      <w:r>
        <w:rPr>
          <w:rFonts w:hint="eastAsia" w:ascii="Times New Roman" w:hAnsi="Times New Roman" w:eastAsia="仿宋_GB2312" w:cs="仿宋_GB2312"/>
          <w:bCs/>
          <w:kern w:val="0"/>
          <w:sz w:val="32"/>
          <w:szCs w:val="32"/>
        </w:rPr>
        <w:t>（一）接待咨询，做好受理案件的有关工作；</w:t>
      </w:r>
    </w:p>
    <w:p>
      <w:pPr>
        <w:widowControl/>
        <w:spacing w:line="600" w:lineRule="exact"/>
        <w:rPr>
          <w:rFonts w:ascii="Times New Roman" w:hAnsi="Times New Roman" w:eastAsia="仿宋_GB2312" w:cs="仿宋_GB2312"/>
          <w:bCs/>
          <w:kern w:val="0"/>
          <w:sz w:val="32"/>
          <w:szCs w:val="32"/>
        </w:rPr>
      </w:pPr>
      <w:r>
        <w:rPr>
          <w:rFonts w:hint="eastAsia" w:ascii="Times New Roman" w:hAnsi="Times New Roman" w:eastAsia="仿宋_GB2312" w:cs="仿宋_GB2312"/>
          <w:bCs/>
          <w:kern w:val="0"/>
          <w:sz w:val="32"/>
          <w:szCs w:val="32"/>
        </w:rPr>
        <w:t>（二）仲裁费用的收取和管理；</w:t>
      </w:r>
    </w:p>
    <w:p>
      <w:pPr>
        <w:widowControl/>
        <w:spacing w:line="600" w:lineRule="exact"/>
        <w:rPr>
          <w:rFonts w:ascii="Times New Roman" w:hAnsi="Times New Roman" w:eastAsia="仿宋_GB2312" w:cs="仿宋_GB2312"/>
          <w:bCs/>
          <w:kern w:val="0"/>
          <w:sz w:val="32"/>
          <w:szCs w:val="32"/>
        </w:rPr>
      </w:pPr>
      <w:r>
        <w:rPr>
          <w:rFonts w:hint="eastAsia" w:ascii="Times New Roman" w:hAnsi="Times New Roman" w:eastAsia="仿宋_GB2312" w:cs="仿宋_GB2312"/>
          <w:bCs/>
          <w:kern w:val="0"/>
          <w:sz w:val="32"/>
          <w:szCs w:val="32"/>
        </w:rPr>
        <w:t>（三）非仲裁庭调解案件的调解；</w:t>
      </w:r>
    </w:p>
    <w:p>
      <w:pPr>
        <w:widowControl/>
        <w:spacing w:line="600" w:lineRule="exact"/>
        <w:rPr>
          <w:rFonts w:ascii="Times New Roman" w:hAnsi="Times New Roman" w:eastAsia="仿宋_GB2312" w:cs="仿宋_GB2312"/>
          <w:bCs/>
          <w:kern w:val="0"/>
          <w:sz w:val="32"/>
          <w:szCs w:val="32"/>
        </w:rPr>
      </w:pPr>
      <w:r>
        <w:rPr>
          <w:rFonts w:hint="eastAsia" w:ascii="Times New Roman" w:hAnsi="Times New Roman" w:eastAsia="仿宋_GB2312" w:cs="仿宋_GB2312"/>
          <w:bCs/>
          <w:kern w:val="0"/>
          <w:sz w:val="32"/>
          <w:szCs w:val="32"/>
        </w:rPr>
        <w:t>（四）仲裁庭开庭时指派记录人员；</w:t>
      </w:r>
    </w:p>
    <w:p>
      <w:pPr>
        <w:widowControl/>
        <w:spacing w:line="600" w:lineRule="exact"/>
        <w:rPr>
          <w:rFonts w:ascii="Times New Roman" w:hAnsi="Times New Roman" w:eastAsia="仿宋_GB2312" w:cs="仿宋_GB2312"/>
          <w:bCs/>
          <w:kern w:val="0"/>
          <w:sz w:val="32"/>
          <w:szCs w:val="32"/>
        </w:rPr>
      </w:pPr>
      <w:r>
        <w:rPr>
          <w:rFonts w:hint="eastAsia" w:ascii="Times New Roman" w:hAnsi="Times New Roman" w:eastAsia="仿宋_GB2312" w:cs="仿宋_GB2312"/>
          <w:bCs/>
          <w:kern w:val="0"/>
          <w:sz w:val="32"/>
          <w:szCs w:val="32"/>
        </w:rPr>
        <w:t>（五）收受、送达、保管仲裁文件；</w:t>
      </w:r>
    </w:p>
    <w:p>
      <w:pPr>
        <w:widowControl/>
        <w:spacing w:line="600" w:lineRule="exact"/>
        <w:rPr>
          <w:rFonts w:ascii="Times New Roman" w:hAnsi="Times New Roman" w:eastAsia="仿宋_GB2312" w:cs="仿宋_GB2312"/>
          <w:bCs/>
          <w:kern w:val="0"/>
          <w:sz w:val="32"/>
          <w:szCs w:val="32"/>
        </w:rPr>
      </w:pPr>
      <w:r>
        <w:rPr>
          <w:rFonts w:hint="eastAsia" w:ascii="Times New Roman" w:hAnsi="Times New Roman" w:eastAsia="仿宋_GB2312" w:cs="仿宋_GB2312"/>
          <w:bCs/>
          <w:kern w:val="0"/>
          <w:sz w:val="32"/>
          <w:szCs w:val="32"/>
        </w:rPr>
        <w:t>（六）负责仲裁员培训、监督，提出仲裁员的增聘和解聘建议；</w:t>
      </w:r>
    </w:p>
    <w:p>
      <w:pPr>
        <w:widowControl/>
        <w:spacing w:line="600" w:lineRule="exact"/>
        <w:rPr>
          <w:rFonts w:ascii="Times New Roman" w:hAnsi="Times New Roman" w:eastAsia="仿宋_GB2312" w:cs="仿宋_GB2312"/>
          <w:bCs/>
          <w:kern w:val="0"/>
          <w:sz w:val="32"/>
          <w:szCs w:val="32"/>
        </w:rPr>
      </w:pPr>
      <w:r>
        <w:rPr>
          <w:rFonts w:hint="eastAsia" w:ascii="Times New Roman" w:hAnsi="Times New Roman" w:eastAsia="仿宋_GB2312" w:cs="仿宋_GB2312"/>
          <w:bCs/>
          <w:kern w:val="0"/>
          <w:sz w:val="32"/>
          <w:szCs w:val="32"/>
        </w:rPr>
        <w:t>（七）负责仲裁秘书等事务性工作人员的聘用和解聘；</w:t>
      </w:r>
    </w:p>
    <w:p>
      <w:pPr>
        <w:widowControl/>
        <w:spacing w:line="600" w:lineRule="exact"/>
        <w:rPr>
          <w:rFonts w:ascii="Times New Roman" w:hAnsi="Times New Roman" w:eastAsia="仿宋_GB2312" w:cs="仿宋_GB2312"/>
          <w:bCs/>
          <w:kern w:val="0"/>
          <w:sz w:val="32"/>
          <w:szCs w:val="32"/>
        </w:rPr>
      </w:pPr>
      <w:r>
        <w:rPr>
          <w:rFonts w:hint="eastAsia" w:ascii="Times New Roman" w:hAnsi="Times New Roman" w:eastAsia="仿宋_GB2312" w:cs="仿宋_GB2312"/>
          <w:bCs/>
          <w:kern w:val="0"/>
          <w:sz w:val="32"/>
          <w:szCs w:val="32"/>
        </w:rPr>
        <w:t>（八）其他由本会交办的事项。</w:t>
      </w:r>
    </w:p>
    <w:p>
      <w:pPr>
        <w:widowControl/>
        <w:spacing w:line="600" w:lineRule="exact"/>
        <w:ind w:firstLine="320" w:firstLineChars="100"/>
        <w:rPr>
          <w:rFonts w:ascii="黑体" w:hAnsi="黑体" w:eastAsia="黑体" w:cs="黑体"/>
          <w:bCs/>
          <w:kern w:val="0"/>
          <w:sz w:val="32"/>
          <w:szCs w:val="32"/>
        </w:rPr>
      </w:pPr>
      <w:r>
        <w:rPr>
          <w:rFonts w:hint="eastAsia" w:ascii="黑体" w:hAnsi="黑体" w:eastAsia="黑体" w:cs="黑体"/>
          <w:bCs/>
          <w:kern w:val="0"/>
          <w:sz w:val="32"/>
          <w:szCs w:val="32"/>
        </w:rPr>
        <w:t>二、机构设置及决算单位构成</w:t>
      </w:r>
    </w:p>
    <w:p>
      <w:pPr>
        <w:widowControl/>
        <w:spacing w:line="600" w:lineRule="exact"/>
        <w:rPr>
          <w:rFonts w:ascii="Times New Roman" w:hAnsi="Times New Roman" w:eastAsia="仿宋_GB2312" w:cs="仿宋_GB2312"/>
          <w:bCs/>
          <w:kern w:val="0"/>
          <w:sz w:val="32"/>
          <w:szCs w:val="32"/>
        </w:rPr>
      </w:pPr>
      <w:r>
        <w:rPr>
          <w:rFonts w:hint="eastAsia" w:ascii="Times New Roman" w:hAnsi="Times New Roman" w:eastAsia="仿宋_GB2312" w:cs="仿宋_GB2312"/>
          <w:bCs/>
          <w:kern w:val="0"/>
          <w:sz w:val="32"/>
          <w:szCs w:val="32"/>
        </w:rPr>
        <w:t>（一）内设机构设置。怀化仲裁委员会秘书处为二级预算单位，内设机构包括：办公室、立案室、调解室。</w:t>
      </w:r>
    </w:p>
    <w:p>
      <w:pPr>
        <w:widowControl/>
        <w:spacing w:line="600" w:lineRule="exact"/>
        <w:rPr>
          <w:rFonts w:ascii="Times New Roman" w:hAnsi="Times New Roman" w:eastAsia="仿宋_GB2312" w:cs="仿宋_GB2312"/>
          <w:bCs/>
          <w:kern w:val="0"/>
          <w:sz w:val="32"/>
          <w:szCs w:val="32"/>
        </w:rPr>
      </w:pPr>
      <w:r>
        <w:rPr>
          <w:rFonts w:hint="eastAsia" w:ascii="Times New Roman" w:hAnsi="Times New Roman" w:eastAsia="仿宋_GB2312" w:cs="仿宋_GB2312"/>
          <w:bCs/>
          <w:kern w:val="0"/>
          <w:sz w:val="32"/>
          <w:szCs w:val="32"/>
        </w:rPr>
        <w:t>（二）决算单位构成。怀化仲裁委员会秘书处2023年部门决算汇总公开单位构成包括：怀化仲裁委员会秘书处本级。</w:t>
      </w:r>
    </w:p>
    <w:p>
      <w:pPr>
        <w:widowControl/>
        <w:spacing w:line="600" w:lineRule="exact"/>
        <w:rPr>
          <w:rFonts w:ascii="Times New Roman" w:hAnsi="Times New Roman" w:eastAsia="仿宋_GB2312" w:cs="仿宋_GB2312"/>
          <w:bCs/>
          <w:kern w:val="0"/>
          <w:sz w:val="32"/>
          <w:szCs w:val="32"/>
        </w:rPr>
      </w:pPr>
    </w:p>
    <w:p>
      <w:pPr>
        <w:jc w:val="left"/>
        <w:rPr>
          <w:rFonts w:ascii="仿宋_GB2312" w:eastAsia="仿宋_GB2312" w:hAnsiTheme="minorEastAsia"/>
          <w:sz w:val="28"/>
          <w:szCs w:val="32"/>
        </w:rPr>
      </w:pPr>
    </w:p>
    <w:p>
      <w:pPr>
        <w:jc w:val="center"/>
        <w:rPr>
          <w:rFonts w:ascii="黑体" w:hAnsi="黑体" w:eastAsia="黑体"/>
          <w:sz w:val="28"/>
          <w:szCs w:val="28"/>
        </w:rPr>
      </w:pPr>
    </w:p>
    <w:p>
      <w:pPr>
        <w:jc w:val="center"/>
        <w:rPr>
          <w:rFonts w:ascii="黑体" w:hAnsi="黑体" w:eastAsia="黑体"/>
          <w:sz w:val="28"/>
          <w:szCs w:val="28"/>
        </w:rPr>
      </w:pPr>
    </w:p>
    <w:p>
      <w:pPr>
        <w:jc w:val="center"/>
        <w:rPr>
          <w:rFonts w:ascii="黑体" w:hAnsi="黑体" w:eastAsia="黑体"/>
          <w:sz w:val="28"/>
          <w:szCs w:val="28"/>
        </w:rPr>
      </w:pPr>
    </w:p>
    <w:p>
      <w:pPr>
        <w:jc w:val="center"/>
        <w:rPr>
          <w:rFonts w:ascii="黑体" w:hAnsi="黑体" w:eastAsia="黑体"/>
          <w:sz w:val="28"/>
          <w:szCs w:val="28"/>
        </w:rPr>
      </w:pPr>
    </w:p>
    <w:p>
      <w:pPr>
        <w:jc w:val="center"/>
        <w:rPr>
          <w:rFonts w:ascii="黑体" w:hAnsi="黑体" w:eastAsia="黑体"/>
          <w:sz w:val="28"/>
          <w:szCs w:val="28"/>
        </w:rPr>
      </w:pPr>
    </w:p>
    <w:p>
      <w:pPr>
        <w:jc w:val="center"/>
        <w:rPr>
          <w:rFonts w:ascii="黑体" w:hAnsi="黑体" w:eastAsia="黑体"/>
          <w:sz w:val="28"/>
          <w:szCs w:val="28"/>
        </w:rPr>
      </w:pPr>
    </w:p>
    <w:p>
      <w:pPr>
        <w:jc w:val="center"/>
        <w:rPr>
          <w:rFonts w:ascii="黑体" w:hAnsi="黑体" w:eastAsia="黑体"/>
          <w:sz w:val="28"/>
          <w:szCs w:val="28"/>
        </w:rPr>
      </w:pPr>
    </w:p>
    <w:p>
      <w:pPr>
        <w:jc w:val="center"/>
        <w:rPr>
          <w:rFonts w:ascii="黑体" w:hAnsi="黑体" w:eastAsia="黑体"/>
          <w:sz w:val="28"/>
          <w:szCs w:val="28"/>
        </w:rPr>
      </w:pPr>
    </w:p>
    <w:p>
      <w:pPr>
        <w:jc w:val="center"/>
        <w:rPr>
          <w:rFonts w:ascii="黑体" w:hAnsi="黑体" w:eastAsia="黑体"/>
          <w:sz w:val="28"/>
          <w:szCs w:val="28"/>
        </w:rPr>
      </w:pPr>
    </w:p>
    <w:p>
      <w:pPr>
        <w:jc w:val="center"/>
        <w:rPr>
          <w:rFonts w:ascii="黑体" w:hAnsi="黑体" w:eastAsia="黑体"/>
          <w:sz w:val="28"/>
          <w:szCs w:val="28"/>
        </w:rPr>
      </w:pPr>
    </w:p>
    <w:p>
      <w:pPr>
        <w:jc w:val="center"/>
        <w:rPr>
          <w:rFonts w:ascii="黑体" w:hAnsi="黑体" w:eastAsia="黑体"/>
          <w:sz w:val="28"/>
          <w:szCs w:val="28"/>
        </w:rPr>
      </w:pPr>
    </w:p>
    <w:p>
      <w:pPr>
        <w:jc w:val="center"/>
        <w:rPr>
          <w:rFonts w:ascii="黑体" w:hAnsi="黑体" w:eastAsia="黑体"/>
          <w:sz w:val="28"/>
          <w:szCs w:val="28"/>
        </w:rPr>
      </w:pPr>
    </w:p>
    <w:p>
      <w:pPr>
        <w:jc w:val="center"/>
        <w:rPr>
          <w:sz w:val="72"/>
          <w:szCs w:val="72"/>
        </w:rPr>
      </w:pPr>
    </w:p>
    <w:p>
      <w:pPr>
        <w:pStyle w:val="13"/>
        <w:jc w:val="center"/>
        <w:rPr>
          <w:rFonts w:ascii="方正小标宋_GBK" w:hAnsi="方正小标宋_GBK" w:eastAsia="方正小标宋_GBK" w:cs="方正小标宋_GBK"/>
          <w:sz w:val="84"/>
          <w:szCs w:val="84"/>
        </w:rPr>
      </w:pPr>
      <w:r>
        <w:rPr>
          <w:rFonts w:hint="eastAsia" w:ascii="方正小标宋_GBK" w:hAnsi="方正小标宋_GBK" w:eastAsia="方正小标宋_GBK" w:cs="方正小标宋_GBK"/>
          <w:sz w:val="84"/>
          <w:szCs w:val="84"/>
        </w:rPr>
        <w:t>第二部分</w:t>
      </w:r>
      <w:bookmarkStart w:id="0" w:name="_GoBack"/>
      <w:bookmarkEnd w:id="0"/>
    </w:p>
    <w:p>
      <w:pPr>
        <w:pStyle w:val="13"/>
        <w:ind w:firstLine="3360" w:firstLineChars="400"/>
        <w:jc w:val="both"/>
        <w:rPr>
          <w:rFonts w:ascii="方正小标宋_GBK" w:hAnsi="方正小标宋_GBK" w:eastAsia="方正小标宋_GBK" w:cs="方正小标宋_GBK"/>
          <w:sz w:val="84"/>
          <w:szCs w:val="84"/>
        </w:rPr>
      </w:pPr>
      <w:r>
        <w:rPr>
          <w:rFonts w:hint="eastAsia" w:ascii="方正小标宋_GBK" w:hAnsi="方正小标宋_GBK" w:eastAsia="方正小标宋_GBK" w:cs="方正小标宋_GBK"/>
          <w:sz w:val="84"/>
          <w:szCs w:val="84"/>
        </w:rPr>
        <w:t>部门决算表</w:t>
      </w:r>
    </w:p>
    <w:p>
      <w:pPr>
        <w:jc w:val="center"/>
        <w:rPr>
          <w:sz w:val="72"/>
          <w:szCs w:val="72"/>
        </w:rPr>
      </w:pPr>
    </w:p>
    <w:p>
      <w:pPr>
        <w:pStyle w:val="13"/>
        <w:jc w:val="center"/>
        <w:rPr>
          <w:rFonts w:ascii="方正小标宋_GBK" w:hAnsi="方正小标宋_GBK" w:eastAsia="方正小标宋_GBK" w:cs="方正小标宋_GBK"/>
          <w:sz w:val="52"/>
          <w:szCs w:val="52"/>
        </w:rPr>
      </w:pPr>
      <w:r>
        <w:rPr>
          <w:rFonts w:hint="eastAsia" w:ascii="方正小标宋_GBK" w:hAnsi="方正小标宋_GBK" w:eastAsia="方正小标宋_GBK" w:cs="方正小标宋_GBK"/>
          <w:sz w:val="52"/>
          <w:szCs w:val="52"/>
        </w:rPr>
        <w:t>见附件</w:t>
      </w:r>
    </w:p>
    <w:p>
      <w:pPr>
        <w:pStyle w:val="13"/>
        <w:rPr>
          <w:sz w:val="72"/>
          <w:szCs w:val="72"/>
        </w:rPr>
      </w:pPr>
    </w:p>
    <w:p>
      <w:pPr>
        <w:pStyle w:val="13"/>
        <w:rPr>
          <w:sz w:val="72"/>
          <w:szCs w:val="72"/>
        </w:rPr>
      </w:pPr>
    </w:p>
    <w:p>
      <w:pPr>
        <w:pStyle w:val="13"/>
        <w:rPr>
          <w:sz w:val="72"/>
          <w:szCs w:val="72"/>
        </w:rPr>
      </w:pPr>
    </w:p>
    <w:p>
      <w:pPr>
        <w:pStyle w:val="13"/>
        <w:rPr>
          <w:sz w:val="72"/>
          <w:szCs w:val="72"/>
        </w:rPr>
      </w:pPr>
    </w:p>
    <w:p>
      <w:pPr>
        <w:pStyle w:val="13"/>
        <w:jc w:val="center"/>
        <w:rPr>
          <w:sz w:val="72"/>
          <w:szCs w:val="72"/>
        </w:rPr>
      </w:pPr>
    </w:p>
    <w:p>
      <w:pPr>
        <w:pStyle w:val="13"/>
        <w:jc w:val="center"/>
        <w:rPr>
          <w:rFonts w:ascii="方正小标宋_GBK" w:hAnsi="方正小标宋_GBK" w:eastAsia="方正小标宋_GBK" w:cs="方正小标宋_GBK"/>
          <w:sz w:val="72"/>
          <w:szCs w:val="72"/>
        </w:rPr>
      </w:pPr>
    </w:p>
    <w:p>
      <w:pPr>
        <w:pStyle w:val="13"/>
        <w:jc w:val="center"/>
        <w:rPr>
          <w:rFonts w:hint="eastAsia" w:ascii="方正小标宋_GBK" w:hAnsi="方正小标宋_GBK" w:eastAsia="方正小标宋_GBK" w:cs="方正小标宋_GBK"/>
          <w:sz w:val="72"/>
          <w:szCs w:val="72"/>
        </w:rPr>
      </w:pPr>
      <w:r>
        <w:rPr>
          <w:rFonts w:hint="eastAsia" w:ascii="方正小标宋_GBK" w:hAnsi="方正小标宋_GBK" w:eastAsia="方正小标宋_GBK" w:cs="方正小标宋_GBK"/>
          <w:sz w:val="72"/>
          <w:szCs w:val="72"/>
        </w:rPr>
        <w:t xml:space="preserve"> </w:t>
      </w:r>
    </w:p>
    <w:p>
      <w:pPr>
        <w:pStyle w:val="13"/>
        <w:jc w:val="center"/>
        <w:rPr>
          <w:rFonts w:hint="eastAsia" w:ascii="方正小标宋_GBK" w:hAnsi="方正小标宋_GBK" w:eastAsia="方正小标宋_GBK" w:cs="方正小标宋_GBK"/>
          <w:sz w:val="72"/>
          <w:szCs w:val="72"/>
        </w:rPr>
      </w:pPr>
    </w:p>
    <w:p>
      <w:pPr>
        <w:pStyle w:val="13"/>
        <w:jc w:val="center"/>
        <w:rPr>
          <w:rFonts w:ascii="方正小标宋_GBK" w:hAnsi="方正小标宋_GBK" w:eastAsia="方正小标宋_GBK" w:cs="方正小标宋_GBK"/>
          <w:sz w:val="72"/>
          <w:szCs w:val="72"/>
        </w:rPr>
      </w:pPr>
      <w:r>
        <w:rPr>
          <w:rFonts w:hint="eastAsia" w:ascii="方正小标宋_GBK" w:hAnsi="方正小标宋_GBK" w:eastAsia="方正小标宋_GBK" w:cs="方正小标宋_GBK"/>
          <w:sz w:val="72"/>
          <w:szCs w:val="72"/>
        </w:rPr>
        <w:t>第三部分</w:t>
      </w:r>
    </w:p>
    <w:p>
      <w:pPr>
        <w:pStyle w:val="13"/>
        <w:jc w:val="center"/>
        <w:rPr>
          <w:rFonts w:ascii="方正小标宋_GBK" w:hAnsi="方正小标宋_GBK" w:eastAsia="方正小标宋_GBK" w:cs="方正小标宋_GBK"/>
          <w:sz w:val="70"/>
          <w:szCs w:val="70"/>
        </w:rPr>
      </w:pPr>
    </w:p>
    <w:p>
      <w:pPr>
        <w:pStyle w:val="13"/>
        <w:jc w:val="center"/>
        <w:rPr>
          <w:rFonts w:ascii="方正小标宋_GBK" w:hAnsi="方正小标宋_GBK" w:eastAsia="方正小标宋_GBK" w:cs="方正小标宋_GBK"/>
          <w:sz w:val="70"/>
          <w:szCs w:val="70"/>
        </w:rPr>
      </w:pPr>
      <w:r>
        <w:rPr>
          <w:rFonts w:hint="eastAsia" w:ascii="方正小标宋_GBK" w:hAnsi="方正小标宋_GBK" w:eastAsia="方正小标宋_GBK" w:cs="方正小标宋_GBK"/>
          <w:sz w:val="70"/>
          <w:szCs w:val="70"/>
        </w:rPr>
        <w:t>2023年度部门决算情况说明</w:t>
      </w:r>
    </w:p>
    <w:p>
      <w:pPr>
        <w:widowControl/>
        <w:jc w:val="left"/>
        <w:rPr>
          <w:rFonts w:asciiTheme="minorEastAsia" w:hAnsiTheme="minorEastAsia"/>
          <w:sz w:val="32"/>
          <w:szCs w:val="32"/>
        </w:rPr>
      </w:pPr>
      <w:r>
        <w:rPr>
          <w:rFonts w:hint="eastAsia" w:ascii="方正小标宋_GBK" w:hAnsi="方正小标宋_GBK" w:eastAsia="方正小标宋_GBK" w:cs="方正小标宋_GBK"/>
          <w:sz w:val="70"/>
          <w:szCs w:val="70"/>
        </w:rPr>
        <w:br w:type="page"/>
      </w:r>
    </w:p>
    <w:p>
      <w:pPr>
        <w:pStyle w:val="13"/>
        <w:spacing w:line="600" w:lineRule="exact"/>
        <w:ind w:firstLine="640" w:firstLineChars="200"/>
        <w:rPr>
          <w:rFonts w:hAnsi="黑体"/>
          <w:bCs/>
          <w:sz w:val="32"/>
          <w:szCs w:val="32"/>
        </w:rPr>
      </w:pPr>
      <w:r>
        <w:rPr>
          <w:rFonts w:hint="eastAsia" w:hAnsi="黑体"/>
          <w:bCs/>
          <w:sz w:val="32"/>
          <w:szCs w:val="32"/>
        </w:rPr>
        <w:t>一、收入支出决算总体情况说明</w:t>
      </w:r>
    </w:p>
    <w:p>
      <w:pPr>
        <w:pStyle w:val="13"/>
        <w:spacing w:line="60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2023年度收、支总计149.32万元。与上年相比，增加58.19万元，增长63.85%，主要是因为仲裁费收入增加。</w:t>
      </w:r>
    </w:p>
    <w:p>
      <w:pPr>
        <w:pStyle w:val="13"/>
        <w:spacing w:line="600" w:lineRule="exact"/>
        <w:ind w:firstLine="640" w:firstLineChars="200"/>
        <w:rPr>
          <w:rFonts w:hAnsi="黑体"/>
          <w:bCs/>
          <w:sz w:val="32"/>
          <w:szCs w:val="32"/>
        </w:rPr>
      </w:pPr>
      <w:r>
        <w:rPr>
          <w:rFonts w:hint="eastAsia" w:hAnsi="黑体"/>
          <w:bCs/>
          <w:sz w:val="32"/>
          <w:szCs w:val="32"/>
        </w:rPr>
        <w:t>二、收入决算情况说明</w:t>
      </w:r>
    </w:p>
    <w:p>
      <w:pPr>
        <w:pStyle w:val="13"/>
        <w:spacing w:line="60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2023年度收入合计149.32万元，其中：财政拨款收入48.11万元，占32.22%；上级补助收入0万元，占0%；事业收入0万元，占0%；经营收入0万元，占0%；附属单位上缴收入0万元，占0%；其他收入101.21万元，占67.78%。</w:t>
      </w:r>
    </w:p>
    <w:p>
      <w:pPr>
        <w:pStyle w:val="13"/>
        <w:spacing w:line="600" w:lineRule="exact"/>
        <w:ind w:firstLine="640" w:firstLineChars="200"/>
        <w:rPr>
          <w:rFonts w:hAnsi="黑体"/>
          <w:bCs/>
          <w:sz w:val="32"/>
          <w:szCs w:val="32"/>
        </w:rPr>
      </w:pPr>
      <w:r>
        <w:rPr>
          <w:rFonts w:hint="eastAsia" w:hAnsi="黑体"/>
          <w:bCs/>
          <w:sz w:val="32"/>
          <w:szCs w:val="32"/>
        </w:rPr>
        <w:t>三、支出决算情况说明</w:t>
      </w:r>
    </w:p>
    <w:p>
      <w:pPr>
        <w:pStyle w:val="13"/>
        <w:spacing w:line="60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2023年度支出合计149.32万元，其中：基本支出48.11万元，占32.22%；项目支出101.21万元，占67.78%；上缴上级支出0万元，占0%；经营支出0万元，占0%；对附属单位补助支出0万元，占0%。</w:t>
      </w:r>
    </w:p>
    <w:p>
      <w:pPr>
        <w:pStyle w:val="13"/>
        <w:spacing w:line="600" w:lineRule="exact"/>
        <w:ind w:firstLine="640" w:firstLineChars="200"/>
        <w:rPr>
          <w:rFonts w:hAnsi="黑体"/>
          <w:bCs/>
          <w:sz w:val="32"/>
          <w:szCs w:val="32"/>
        </w:rPr>
      </w:pPr>
      <w:r>
        <w:rPr>
          <w:rFonts w:hint="eastAsia" w:hAnsi="黑体"/>
          <w:bCs/>
          <w:sz w:val="32"/>
          <w:szCs w:val="32"/>
        </w:rPr>
        <w:t>四、财政拨款收入支出决算总体情况说明</w:t>
      </w:r>
    </w:p>
    <w:p>
      <w:pPr>
        <w:pStyle w:val="3"/>
        <w:ind w:firstLine="640"/>
        <w:rPr>
          <w:rFonts w:ascii="仿宋" w:hAnsi="仿宋" w:eastAsia="仿宋" w:cs="仿宋"/>
          <w:color w:val="FF0000"/>
          <w:sz w:val="30"/>
          <w:szCs w:val="30"/>
          <w:shd w:val="clear" w:color="auto" w:fill="FFFFFF"/>
        </w:rPr>
      </w:pPr>
      <w:r>
        <w:rPr>
          <w:rFonts w:hint="eastAsia" w:ascii="Times New Roman" w:hAnsi="Times New Roman" w:eastAsia="仿宋_GB2312"/>
          <w:sz w:val="32"/>
          <w:szCs w:val="32"/>
        </w:rPr>
        <w:t xml:space="preserve">  2023年度财政拨款收、支总计48.11万元，与上年相比，增加9.51万元,增长24.64%，主要是因为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财政拨款供养人员较上年增加，</w:t>
      </w:r>
      <w:r>
        <w:rPr>
          <w:rFonts w:hint="eastAsia" w:ascii="仿宋" w:hAnsi="仿宋" w:eastAsia="仿宋" w:cs="仿宋"/>
          <w:sz w:val="30"/>
          <w:szCs w:val="30"/>
        </w:rPr>
        <w:t>财政拨款</w:t>
      </w:r>
      <w:r>
        <w:rPr>
          <w:rFonts w:hint="eastAsia" w:ascii="仿宋" w:hAnsi="仿宋" w:eastAsia="仿宋" w:cs="仿宋"/>
          <w:sz w:val="30"/>
          <w:szCs w:val="30"/>
          <w:shd w:val="clear" w:color="auto" w:fill="FFFFFF"/>
        </w:rPr>
        <w:t>人员经费、公用</w:t>
      </w:r>
      <w:r>
        <w:rPr>
          <w:rFonts w:hint="eastAsia" w:ascii="仿宋" w:hAnsi="仿宋" w:eastAsia="仿宋" w:cs="楷体"/>
          <w:bCs/>
          <w:sz w:val="30"/>
          <w:szCs w:val="30"/>
          <w:shd w:val="clear" w:color="auto" w:fill="FFFFFF"/>
        </w:rPr>
        <w:t>经费</w:t>
      </w:r>
      <w:r>
        <w:rPr>
          <w:rFonts w:hint="eastAsia" w:ascii="仿宋" w:hAnsi="仿宋" w:eastAsia="仿宋" w:cs="仿宋"/>
          <w:sz w:val="30"/>
          <w:szCs w:val="30"/>
          <w:shd w:val="clear" w:color="auto" w:fill="FFFFFF"/>
        </w:rPr>
        <w:t>增加。</w:t>
      </w:r>
    </w:p>
    <w:p>
      <w:pPr>
        <w:pStyle w:val="13"/>
        <w:spacing w:line="600" w:lineRule="exact"/>
        <w:ind w:firstLine="640" w:firstLineChars="200"/>
        <w:rPr>
          <w:rFonts w:hAnsi="黑体"/>
          <w:bCs/>
          <w:sz w:val="32"/>
          <w:szCs w:val="32"/>
        </w:rPr>
      </w:pPr>
      <w:r>
        <w:rPr>
          <w:rFonts w:hint="eastAsia" w:hAnsi="黑体"/>
          <w:bCs/>
          <w:sz w:val="32"/>
          <w:szCs w:val="32"/>
        </w:rPr>
        <w:t>五、一般公共预算财政拨款支出决算情况说明</w:t>
      </w:r>
    </w:p>
    <w:p>
      <w:pPr>
        <w:pStyle w:val="13"/>
        <w:spacing w:line="600" w:lineRule="exact"/>
        <w:ind w:firstLine="640" w:firstLineChars="200"/>
        <w:rPr>
          <w:rFonts w:ascii="楷体" w:hAnsi="楷体" w:eastAsia="楷体" w:cs="楷体"/>
          <w:bCs/>
          <w:sz w:val="32"/>
          <w:szCs w:val="32"/>
        </w:rPr>
      </w:pPr>
      <w:r>
        <w:rPr>
          <w:rFonts w:hint="eastAsia" w:ascii="楷体" w:hAnsi="楷体" w:eastAsia="楷体" w:cs="楷体"/>
          <w:bCs/>
          <w:sz w:val="32"/>
          <w:szCs w:val="32"/>
        </w:rPr>
        <w:t>（一）一般公共预算财政拨款支出决算总体情况</w:t>
      </w:r>
    </w:p>
    <w:p>
      <w:pPr>
        <w:pStyle w:val="13"/>
        <w:spacing w:line="600" w:lineRule="exact"/>
        <w:ind w:firstLine="800" w:firstLineChars="25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2023年度财政拨款支出48.11万元，占本年支出合计的32.22%，与上年相比，财政拨款支出增加9.51万元，增长24.64%，主要是因为人员较上年增加，工资、奖金、基本养老保险缴费、基本医疗保险缴费、办公费、差旅费等费用增加。</w:t>
      </w:r>
    </w:p>
    <w:p>
      <w:pPr>
        <w:pStyle w:val="13"/>
        <w:spacing w:line="600" w:lineRule="exact"/>
        <w:ind w:firstLine="800" w:firstLineChars="250"/>
        <w:rPr>
          <w:rFonts w:ascii="Times New Roman" w:hAnsi="Times New Roman" w:eastAsia="仿宋_GB2312"/>
          <w:sz w:val="32"/>
          <w:szCs w:val="32"/>
        </w:rPr>
      </w:pPr>
    </w:p>
    <w:p>
      <w:pPr>
        <w:pStyle w:val="13"/>
        <w:spacing w:line="600" w:lineRule="exact"/>
        <w:ind w:firstLine="480" w:firstLineChars="150"/>
        <w:rPr>
          <w:rFonts w:ascii="楷体" w:hAnsi="楷体" w:eastAsia="楷体" w:cs="楷体"/>
          <w:bCs/>
          <w:sz w:val="32"/>
          <w:szCs w:val="32"/>
        </w:rPr>
      </w:pPr>
      <w:r>
        <w:rPr>
          <w:rFonts w:hint="eastAsia" w:ascii="楷体" w:hAnsi="楷体" w:eastAsia="楷体" w:cs="楷体"/>
          <w:bCs/>
          <w:sz w:val="32"/>
          <w:szCs w:val="32"/>
        </w:rPr>
        <w:t>（二）一般公共预算财政拨款支出决算结构情况</w:t>
      </w:r>
    </w:p>
    <w:p>
      <w:pPr>
        <w:pStyle w:val="13"/>
        <w:spacing w:line="600" w:lineRule="exact"/>
        <w:ind w:firstLine="640" w:firstLineChars="200"/>
        <w:rPr>
          <w:rFonts w:ascii="Times New Roman" w:hAnsi="Times New Roman" w:eastAsia="仿宋_GB2312"/>
          <w:color w:val="auto"/>
          <w:sz w:val="32"/>
          <w:szCs w:val="32"/>
        </w:rPr>
      </w:pPr>
      <w:r>
        <w:rPr>
          <w:rFonts w:hint="eastAsia" w:ascii="Times New Roman" w:hAnsi="Times New Roman" w:eastAsia="仿宋_GB2312"/>
          <w:color w:val="auto"/>
          <w:sz w:val="32"/>
          <w:szCs w:val="32"/>
        </w:rPr>
        <w:t>2023年度财政拨款支出48.11万元，主要用于以下方面：一般公共服务（类）支出0.73万元，占1.52%；公共安全支出（类）支出41.33万元，占85.9%;社会保障和就业支出（类）支出4.03万元，占8.38%；卫生健康支出（类）支出2.02万元，占4.2%。</w:t>
      </w:r>
    </w:p>
    <w:p>
      <w:pPr>
        <w:pStyle w:val="13"/>
        <w:spacing w:line="600" w:lineRule="exact"/>
        <w:ind w:firstLine="800" w:firstLineChars="250"/>
        <w:rPr>
          <w:rFonts w:ascii="楷体" w:hAnsi="楷体" w:eastAsia="楷体" w:cs="楷体"/>
          <w:bCs/>
          <w:sz w:val="32"/>
          <w:szCs w:val="32"/>
        </w:rPr>
      </w:pPr>
      <w:r>
        <w:rPr>
          <w:rFonts w:hint="eastAsia" w:ascii="楷体" w:hAnsi="楷体" w:eastAsia="楷体" w:cs="楷体"/>
          <w:bCs/>
          <w:sz w:val="32"/>
          <w:szCs w:val="32"/>
        </w:rPr>
        <w:t>（三）一般公共预算财政拨款支出决算具体情况</w:t>
      </w:r>
    </w:p>
    <w:p>
      <w:pPr>
        <w:pStyle w:val="13"/>
        <w:spacing w:line="600" w:lineRule="exact"/>
        <w:ind w:firstLine="800" w:firstLineChars="250"/>
        <w:rPr>
          <w:rFonts w:ascii="Times New Roman" w:hAnsi="Times New Roman" w:eastAsia="仿宋_GB2312"/>
          <w:color w:val="auto"/>
          <w:sz w:val="32"/>
          <w:szCs w:val="32"/>
        </w:rPr>
      </w:pPr>
      <w:r>
        <w:rPr>
          <w:rFonts w:hint="eastAsia" w:ascii="Times New Roman" w:hAnsi="Times New Roman" w:eastAsia="仿宋_GB2312"/>
          <w:color w:val="auto"/>
          <w:sz w:val="32"/>
          <w:szCs w:val="32"/>
        </w:rPr>
        <w:t>2023年度财政拨款支出年初预算数为57.2万元，支出决算数为48.11万元，完成年初预算的84.11%，其中：</w:t>
      </w:r>
    </w:p>
    <w:p>
      <w:pPr>
        <w:pStyle w:val="13"/>
        <w:spacing w:line="600" w:lineRule="exact"/>
        <w:ind w:firstLine="800" w:firstLineChars="250"/>
        <w:rPr>
          <w:rFonts w:ascii="Times New Roman" w:hAnsi="Times New Roman" w:eastAsia="仿宋_GB2312"/>
          <w:color w:val="auto"/>
          <w:sz w:val="32"/>
          <w:szCs w:val="32"/>
        </w:rPr>
      </w:pPr>
      <w:r>
        <w:rPr>
          <w:rFonts w:hint="eastAsia" w:ascii="Times New Roman" w:hAnsi="Times New Roman" w:eastAsia="仿宋_GB2312"/>
          <w:color w:val="auto"/>
          <w:sz w:val="32"/>
          <w:szCs w:val="32"/>
        </w:rPr>
        <w:t>1、一般公共服务（类）政府办公厅（室）及相关机构事务（款）政运行（项）。</w:t>
      </w:r>
    </w:p>
    <w:p>
      <w:pPr>
        <w:pStyle w:val="13"/>
        <w:spacing w:line="600" w:lineRule="exact"/>
        <w:ind w:firstLine="800" w:firstLineChars="250"/>
        <w:rPr>
          <w:rFonts w:hint="eastAsia" w:ascii="Times New Roman" w:hAnsi="Times New Roman" w:eastAsia="仿宋_GB2312"/>
          <w:color w:val="auto"/>
          <w:sz w:val="32"/>
          <w:szCs w:val="32"/>
        </w:rPr>
      </w:pPr>
      <w:r>
        <w:rPr>
          <w:rFonts w:hint="eastAsia" w:ascii="Times New Roman" w:hAnsi="Times New Roman" w:eastAsia="仿宋_GB2312"/>
          <w:color w:val="auto"/>
          <w:sz w:val="32"/>
          <w:szCs w:val="32"/>
        </w:rPr>
        <w:t>年初预算为37.54万元，支出决算为0.74万元，完成年初预算的1.97%，决算数小于年初预算数的主要原因是财政发工资时，功能科目调整。</w:t>
      </w:r>
    </w:p>
    <w:p>
      <w:pPr>
        <w:pStyle w:val="13"/>
        <w:spacing w:line="600" w:lineRule="exact"/>
        <w:ind w:firstLine="800" w:firstLineChars="250"/>
        <w:rPr>
          <w:rFonts w:ascii="Times New Roman" w:hAnsi="Times New Roman" w:eastAsia="仿宋_GB2312"/>
          <w:color w:val="auto"/>
          <w:sz w:val="32"/>
          <w:szCs w:val="32"/>
        </w:rPr>
      </w:pPr>
      <w:r>
        <w:rPr>
          <w:rFonts w:hint="eastAsia" w:ascii="Times New Roman" w:hAnsi="Times New Roman" w:eastAsia="仿宋_GB2312"/>
          <w:color w:val="auto"/>
          <w:sz w:val="32"/>
          <w:szCs w:val="32"/>
        </w:rPr>
        <w:t xml:space="preserve"> 2、公共安全支出（类）司法（款）行政运行（项）。</w:t>
      </w:r>
    </w:p>
    <w:p>
      <w:pPr>
        <w:pStyle w:val="13"/>
        <w:spacing w:line="600" w:lineRule="exact"/>
        <w:ind w:firstLine="800" w:firstLineChars="250"/>
        <w:rPr>
          <w:rFonts w:ascii="Times New Roman" w:hAnsi="Times New Roman" w:eastAsia="仿宋_GB2312"/>
          <w:color w:val="auto"/>
          <w:sz w:val="32"/>
          <w:szCs w:val="32"/>
        </w:rPr>
      </w:pPr>
      <w:r>
        <w:rPr>
          <w:rFonts w:hint="eastAsia" w:ascii="Times New Roman" w:hAnsi="Times New Roman" w:eastAsia="仿宋_GB2312"/>
          <w:color w:val="auto"/>
          <w:sz w:val="32"/>
          <w:szCs w:val="32"/>
        </w:rPr>
        <w:t>年初预算为8万元，支出决算为38.33万元，完成年初预算的479.13%，决算数大于年初预算数的主要原因是：财政发工资时，功能科目调整，主要用于在编在岗人员工资、津贴补贴、伙食补助费等支出。</w:t>
      </w:r>
    </w:p>
    <w:p>
      <w:pPr>
        <w:pStyle w:val="13"/>
        <w:spacing w:line="600" w:lineRule="exact"/>
        <w:ind w:firstLine="800" w:firstLineChars="250"/>
        <w:rPr>
          <w:rFonts w:ascii="Times New Roman" w:hAnsi="Times New Roman" w:eastAsia="仿宋_GB2312"/>
          <w:color w:val="auto"/>
          <w:sz w:val="32"/>
          <w:szCs w:val="32"/>
        </w:rPr>
      </w:pPr>
      <w:r>
        <w:rPr>
          <w:rFonts w:hint="eastAsia" w:ascii="Times New Roman" w:hAnsi="Times New Roman" w:eastAsia="仿宋_GB2312"/>
          <w:color w:val="auto"/>
          <w:sz w:val="32"/>
          <w:szCs w:val="32"/>
        </w:rPr>
        <w:t>3、公共安全支出（类）司法（款）其他司法支出（项）。</w:t>
      </w:r>
    </w:p>
    <w:p>
      <w:pPr>
        <w:pStyle w:val="13"/>
        <w:spacing w:line="600" w:lineRule="exact"/>
        <w:ind w:firstLine="800" w:firstLineChars="250"/>
        <w:rPr>
          <w:rFonts w:ascii="Times New Roman" w:hAnsi="Times New Roman" w:eastAsia="仿宋_GB2312"/>
          <w:color w:val="auto"/>
          <w:sz w:val="32"/>
          <w:szCs w:val="32"/>
        </w:rPr>
      </w:pPr>
      <w:r>
        <w:rPr>
          <w:rFonts w:hint="eastAsia" w:ascii="Times New Roman" w:hAnsi="Times New Roman" w:eastAsia="仿宋_GB2312"/>
          <w:color w:val="auto"/>
          <w:sz w:val="32"/>
          <w:szCs w:val="32"/>
        </w:rPr>
        <w:t>年初预算为0万元，支出决算为3万元，决算数大于年初预算数的主要原因是：预发2022年绩效考核奖。</w:t>
      </w:r>
    </w:p>
    <w:p>
      <w:pPr>
        <w:pStyle w:val="13"/>
        <w:numPr>
          <w:ilvl w:val="0"/>
          <w:numId w:val="1"/>
        </w:numPr>
        <w:spacing w:line="600" w:lineRule="exact"/>
        <w:ind w:firstLine="800" w:firstLineChars="250"/>
        <w:rPr>
          <w:rFonts w:ascii="Times New Roman" w:hAnsi="Times New Roman" w:eastAsia="仿宋_GB2312"/>
          <w:color w:val="auto"/>
          <w:sz w:val="32"/>
          <w:szCs w:val="32"/>
        </w:rPr>
      </w:pPr>
      <w:r>
        <w:rPr>
          <w:rFonts w:hint="eastAsia" w:ascii="Times New Roman" w:hAnsi="Times New Roman" w:eastAsia="仿宋_GB2312"/>
          <w:color w:val="auto"/>
          <w:sz w:val="32"/>
          <w:szCs w:val="32"/>
        </w:rPr>
        <w:t>社会保障和就业支出（类）行政事业单位养老支出（款）机关事业单位基本养老保险缴费支出（项）。</w:t>
      </w:r>
    </w:p>
    <w:p>
      <w:pPr>
        <w:pStyle w:val="13"/>
        <w:spacing w:line="600" w:lineRule="exact"/>
        <w:ind w:left="159" w:leftChars="76" w:firstLine="640" w:firstLineChars="200"/>
        <w:rPr>
          <w:rFonts w:ascii="Times New Roman" w:hAnsi="Times New Roman" w:eastAsia="仿宋_GB2312"/>
          <w:color w:val="auto"/>
          <w:sz w:val="32"/>
          <w:szCs w:val="32"/>
        </w:rPr>
      </w:pPr>
      <w:r>
        <w:rPr>
          <w:rFonts w:hint="eastAsia" w:ascii="Times New Roman" w:hAnsi="Times New Roman" w:eastAsia="仿宋_GB2312"/>
          <w:color w:val="auto"/>
          <w:sz w:val="32"/>
          <w:szCs w:val="32"/>
        </w:rPr>
        <w:t>年初预算为5.17万元，支出决算为4.03万元，完成年初预算的77.95%，决算数小于年初预算数的主要原因是：本年实际支付基本养老保险缴费基数小于年初预算测算基数。</w:t>
      </w:r>
    </w:p>
    <w:p>
      <w:pPr>
        <w:pStyle w:val="13"/>
        <w:numPr>
          <w:ilvl w:val="0"/>
          <w:numId w:val="1"/>
        </w:numPr>
        <w:spacing w:line="600" w:lineRule="exact"/>
        <w:ind w:firstLine="800" w:firstLineChars="250"/>
        <w:rPr>
          <w:rFonts w:ascii="Times New Roman" w:hAnsi="Times New Roman" w:eastAsia="仿宋_GB2312"/>
          <w:color w:val="auto"/>
          <w:sz w:val="32"/>
          <w:szCs w:val="32"/>
        </w:rPr>
      </w:pPr>
      <w:r>
        <w:rPr>
          <w:rFonts w:hint="eastAsia" w:ascii="Times New Roman" w:hAnsi="Times New Roman" w:eastAsia="仿宋_GB2312"/>
          <w:color w:val="auto"/>
          <w:sz w:val="32"/>
          <w:szCs w:val="32"/>
        </w:rPr>
        <w:t>卫生健康支出（类）行政事业单位医疗（款）行政单位医疗（项）。</w:t>
      </w:r>
    </w:p>
    <w:p>
      <w:pPr>
        <w:pStyle w:val="13"/>
        <w:spacing w:line="600" w:lineRule="exact"/>
        <w:ind w:left="159" w:leftChars="76" w:firstLine="640" w:firstLineChars="200"/>
        <w:rPr>
          <w:rFonts w:ascii="Times New Roman" w:hAnsi="Times New Roman" w:eastAsia="仿宋_GB2312"/>
          <w:color w:val="FF0000"/>
          <w:sz w:val="32"/>
          <w:szCs w:val="32"/>
        </w:rPr>
      </w:pPr>
      <w:r>
        <w:rPr>
          <w:rFonts w:hint="eastAsia" w:ascii="Times New Roman" w:hAnsi="Times New Roman" w:eastAsia="仿宋_GB2312"/>
          <w:color w:val="auto"/>
          <w:sz w:val="32"/>
          <w:szCs w:val="32"/>
        </w:rPr>
        <w:t>年初预算为2.14万元，支出决算为2.02万元，完成年初预算的94.39%，决算数小于年初预算数的主要原因是：：本年实际支付基本医疗保险缴费基数小于年初预算测算基数。</w:t>
      </w:r>
    </w:p>
    <w:p>
      <w:pPr>
        <w:pStyle w:val="13"/>
        <w:spacing w:line="600" w:lineRule="exact"/>
        <w:ind w:firstLine="800" w:firstLineChars="250"/>
        <w:rPr>
          <w:rFonts w:hAnsi="黑体"/>
          <w:bCs/>
          <w:sz w:val="32"/>
          <w:szCs w:val="32"/>
        </w:rPr>
      </w:pPr>
      <w:r>
        <w:rPr>
          <w:rFonts w:hint="eastAsia" w:hAnsi="黑体"/>
          <w:bCs/>
          <w:sz w:val="32"/>
          <w:szCs w:val="32"/>
        </w:rPr>
        <w:t>六、一般公共预算财政拨款基本支出决算情况说明</w:t>
      </w:r>
    </w:p>
    <w:p>
      <w:pPr>
        <w:pStyle w:val="13"/>
        <w:spacing w:line="60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2023年度财政拨款基本支出48.11万元，其中：</w:t>
      </w:r>
    </w:p>
    <w:p>
      <w:pPr>
        <w:pStyle w:val="13"/>
        <w:spacing w:line="60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b/>
          <w:bCs/>
          <w:sz w:val="32"/>
          <w:szCs w:val="32"/>
        </w:rPr>
        <w:t>人员经费</w:t>
      </w:r>
      <w:r>
        <w:rPr>
          <w:rFonts w:hint="eastAsia" w:ascii="Times New Roman" w:hAnsi="Times New Roman" w:eastAsia="仿宋_GB2312"/>
          <w:sz w:val="32"/>
          <w:szCs w:val="32"/>
        </w:rPr>
        <w:t>45.97万元，占基本支出的95.55%,主要包括基本工资、津贴补贴、奖金、伙食补助费、机关事业单位基本养老保险缴费、职工基本医疗保险缴费等。</w:t>
      </w:r>
    </w:p>
    <w:p>
      <w:pPr>
        <w:pStyle w:val="13"/>
        <w:spacing w:line="60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b/>
          <w:bCs/>
          <w:sz w:val="32"/>
          <w:szCs w:val="32"/>
        </w:rPr>
        <w:t>公用经费</w:t>
      </w:r>
      <w:r>
        <w:rPr>
          <w:rFonts w:hint="eastAsia" w:ascii="Times New Roman" w:hAnsi="Times New Roman" w:eastAsia="仿宋_GB2312"/>
          <w:sz w:val="32"/>
          <w:szCs w:val="32"/>
        </w:rPr>
        <w:t>2.15万元，占基本支出的4.45%，主要包括办公费、邮电费、差旅费、培训费、维修（护）费、福利费等。</w:t>
      </w:r>
    </w:p>
    <w:p>
      <w:pPr>
        <w:pStyle w:val="13"/>
        <w:numPr>
          <w:ilvl w:val="0"/>
          <w:numId w:val="2"/>
        </w:numPr>
        <w:spacing w:line="600" w:lineRule="exact"/>
        <w:ind w:firstLine="640" w:firstLineChars="200"/>
        <w:rPr>
          <w:rFonts w:hAnsi="黑体"/>
          <w:bCs/>
          <w:sz w:val="32"/>
          <w:szCs w:val="32"/>
        </w:rPr>
      </w:pPr>
      <w:r>
        <w:rPr>
          <w:rFonts w:hint="eastAsia" w:hAnsi="黑体"/>
          <w:bCs/>
          <w:sz w:val="32"/>
          <w:szCs w:val="32"/>
        </w:rPr>
        <w:t>财政拨款三公经费支出决算情况说明</w:t>
      </w:r>
    </w:p>
    <w:p>
      <w:pPr>
        <w:pStyle w:val="13"/>
        <w:spacing w:line="600" w:lineRule="exact"/>
        <w:ind w:firstLine="640" w:firstLineChars="200"/>
        <w:rPr>
          <w:rFonts w:ascii="楷体" w:hAnsi="楷体" w:eastAsia="楷体" w:cs="楷体"/>
          <w:b/>
          <w:sz w:val="32"/>
          <w:szCs w:val="32"/>
        </w:rPr>
      </w:pPr>
      <w:r>
        <w:rPr>
          <w:rFonts w:hint="eastAsia" w:ascii="楷体" w:hAnsi="楷体" w:eastAsia="楷体" w:cs="楷体"/>
          <w:b/>
          <w:sz w:val="32"/>
          <w:szCs w:val="32"/>
        </w:rPr>
        <w:t>（一）“三公”经费财政拨款支出决算总体情况说明</w:t>
      </w:r>
    </w:p>
    <w:p>
      <w:pPr>
        <w:pStyle w:val="13"/>
        <w:ind w:firstLine="640" w:firstLineChars="200"/>
        <w:rPr>
          <w:rFonts w:asciiTheme="minorEastAsia" w:hAnsiTheme="minorEastAsia" w:eastAsiaTheme="minorEastAsia"/>
          <w:sz w:val="32"/>
          <w:szCs w:val="32"/>
        </w:rPr>
      </w:pPr>
      <w:r>
        <w:rPr>
          <w:rFonts w:hint="eastAsia" w:asciiTheme="minorEastAsia" w:hAnsiTheme="minorEastAsia" w:eastAsiaTheme="minorEastAsia"/>
          <w:sz w:val="32"/>
          <w:szCs w:val="32"/>
        </w:rPr>
        <w:t>本单位无“三公”经费支出。</w:t>
      </w:r>
    </w:p>
    <w:p>
      <w:pPr>
        <w:pStyle w:val="13"/>
        <w:spacing w:line="600" w:lineRule="exact"/>
        <w:ind w:firstLine="640" w:firstLineChars="200"/>
        <w:rPr>
          <w:rFonts w:ascii="楷体" w:hAnsi="楷体" w:eastAsia="楷体" w:cs="楷体"/>
          <w:b/>
          <w:sz w:val="32"/>
          <w:szCs w:val="32"/>
        </w:rPr>
      </w:pPr>
      <w:r>
        <w:rPr>
          <w:rFonts w:hint="eastAsia" w:ascii="楷体" w:hAnsi="楷体" w:eastAsia="楷体" w:cs="楷体"/>
          <w:b/>
          <w:sz w:val="32"/>
          <w:szCs w:val="32"/>
        </w:rPr>
        <w:t>（二）“三公”经费财政拨款支出决算具体情况说明</w:t>
      </w:r>
    </w:p>
    <w:p>
      <w:pPr>
        <w:spacing w:line="600" w:lineRule="exact"/>
        <w:ind w:firstLine="800" w:firstLineChars="25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2023年度本单位无“三公”经费支出。</w:t>
      </w:r>
    </w:p>
    <w:p>
      <w:pPr>
        <w:spacing w:line="600" w:lineRule="exact"/>
        <w:ind w:firstLine="800" w:firstLineChars="250"/>
        <w:rPr>
          <w:rFonts w:ascii="楷体" w:hAnsi="楷体" w:eastAsia="楷体" w:cs="楷体"/>
          <w:b/>
          <w:bCs/>
          <w:i/>
          <w:kern w:val="0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截止2023年12月31日，我单位无公务用车。</w:t>
      </w:r>
    </w:p>
    <w:p>
      <w:pPr>
        <w:pStyle w:val="13"/>
        <w:spacing w:line="600" w:lineRule="exact"/>
        <w:ind w:firstLine="640" w:firstLineChars="200"/>
        <w:rPr>
          <w:rFonts w:hAnsi="黑体"/>
          <w:bCs/>
          <w:sz w:val="32"/>
          <w:szCs w:val="32"/>
        </w:rPr>
      </w:pPr>
      <w:r>
        <w:rPr>
          <w:rFonts w:hint="eastAsia" w:hAnsi="黑体"/>
          <w:bCs/>
          <w:sz w:val="32"/>
          <w:szCs w:val="32"/>
        </w:rPr>
        <w:t>八、政府性基金预算收入支出决算情况</w:t>
      </w:r>
    </w:p>
    <w:p>
      <w:pPr>
        <w:pStyle w:val="13"/>
        <w:spacing w:line="600" w:lineRule="exact"/>
        <w:ind w:firstLine="800" w:firstLineChars="250"/>
        <w:rPr>
          <w:rFonts w:hint="eastAsia"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 xml:space="preserve">   本单位无政府性基金收支。</w:t>
      </w:r>
    </w:p>
    <w:p>
      <w:pPr>
        <w:pStyle w:val="13"/>
        <w:ind w:firstLine="640" w:firstLineChars="200"/>
        <w:rPr>
          <w:rFonts w:hAnsi="黑体"/>
          <w:sz w:val="32"/>
          <w:szCs w:val="32"/>
        </w:rPr>
      </w:pPr>
      <w:r>
        <w:rPr>
          <w:rFonts w:hint="eastAsia" w:hAnsi="黑体"/>
          <w:sz w:val="32"/>
          <w:szCs w:val="32"/>
        </w:rPr>
        <w:t>九、国有资本经营预算财政拨款支出决算情况说明</w:t>
      </w:r>
    </w:p>
    <w:p>
      <w:pPr>
        <w:pStyle w:val="13"/>
        <w:ind w:firstLine="1120" w:firstLineChars="350"/>
        <w:rPr>
          <w:rFonts w:asciiTheme="minorEastAsia" w:hAnsiTheme="minorEastAsia" w:eastAsiaTheme="minorEastAsia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本单位无</w:t>
      </w:r>
      <w:r>
        <w:rPr>
          <w:rFonts w:hint="eastAsia" w:ascii="仿宋" w:hAnsi="仿宋" w:eastAsia="仿宋" w:cs="仿宋"/>
          <w:sz w:val="32"/>
          <w:szCs w:val="32"/>
        </w:rPr>
        <w:t>国有资本经营预算财政拨款支出</w:t>
      </w:r>
    </w:p>
    <w:p>
      <w:pPr>
        <w:pStyle w:val="13"/>
        <w:spacing w:line="600" w:lineRule="exact"/>
        <w:ind w:firstLine="640" w:firstLineChars="200"/>
        <w:rPr>
          <w:rFonts w:ascii="Times New Roman" w:hAnsi="Times New Roman" w:eastAsia="仿宋_GB2312"/>
          <w:b/>
          <w:color w:val="auto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十</w:t>
      </w:r>
      <w:r>
        <w:rPr>
          <w:rFonts w:hint="eastAsia" w:ascii="Times New Roman" w:hAnsi="Times New Roman" w:eastAsia="仿宋_GB2312"/>
          <w:b/>
          <w:color w:val="auto"/>
          <w:sz w:val="32"/>
          <w:szCs w:val="32"/>
        </w:rPr>
        <w:t>、关于机关运行经费支出说明</w:t>
      </w:r>
    </w:p>
    <w:p>
      <w:pPr>
        <w:pStyle w:val="13"/>
        <w:spacing w:line="600" w:lineRule="exact"/>
        <w:ind w:firstLine="800" w:firstLineChars="25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本单位2023年度机关运行经费支出2.15万元，比上年决算数增加0.64万元，增长42.38%。主要原因是：人员较上年增加2人，公用经费增加。</w:t>
      </w:r>
    </w:p>
    <w:p>
      <w:pPr>
        <w:pStyle w:val="13"/>
        <w:spacing w:line="600" w:lineRule="exact"/>
        <w:ind w:firstLine="640" w:firstLineChars="200"/>
        <w:rPr>
          <w:rFonts w:hAnsi="黑体"/>
          <w:bCs/>
          <w:sz w:val="32"/>
          <w:szCs w:val="32"/>
        </w:rPr>
      </w:pPr>
      <w:r>
        <w:rPr>
          <w:rFonts w:hint="eastAsia" w:hAnsi="黑体"/>
          <w:bCs/>
          <w:sz w:val="32"/>
          <w:szCs w:val="32"/>
        </w:rPr>
        <w:t>十一、一般性支出情况说明</w:t>
      </w:r>
    </w:p>
    <w:p>
      <w:pPr>
        <w:pStyle w:val="13"/>
        <w:spacing w:line="600" w:lineRule="exact"/>
        <w:ind w:firstLine="640" w:firstLineChars="200"/>
        <w:rPr>
          <w:rFonts w:ascii="Times New Roman" w:hAnsi="Times New Roman" w:eastAsia="仿宋_GB2312"/>
          <w:color w:val="auto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2023年本单位开支会议费0万元；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开支培训费0.1万元，用于开展2023年全省事业单位工作人员培训，人数4人，内容为湖南省事业单位在编在岗工作人员培训；无举办节庆、晚会、论坛、赛事活动等开支。</w:t>
      </w:r>
    </w:p>
    <w:p>
      <w:pPr>
        <w:pStyle w:val="13"/>
        <w:spacing w:line="600" w:lineRule="exact"/>
        <w:ind w:firstLine="640" w:firstLineChars="200"/>
        <w:rPr>
          <w:rFonts w:hAnsi="黑体"/>
          <w:bCs/>
          <w:sz w:val="32"/>
          <w:szCs w:val="32"/>
        </w:rPr>
      </w:pPr>
      <w:r>
        <w:rPr>
          <w:rFonts w:hint="eastAsia" w:hAnsi="黑体"/>
          <w:bCs/>
          <w:sz w:val="32"/>
          <w:szCs w:val="32"/>
        </w:rPr>
        <w:t>十二、关于政府采购支出说明</w:t>
      </w:r>
    </w:p>
    <w:p>
      <w:pPr>
        <w:pStyle w:val="13"/>
        <w:spacing w:line="580" w:lineRule="exact"/>
        <w:ind w:firstLine="640" w:firstLineChars="200"/>
        <w:rPr>
          <w:rFonts w:ascii="Times New Roman" w:hAnsi="Times New Roman" w:eastAsia="仿宋_GB2312"/>
          <w:color w:val="auto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本部门2023年度政府采购支出总额19.09万元，其中：政府采购货物支出3.19万元、政府采购工程支出0万元、政府采购服务支出15.9万元。授予中小企业合同金额19.09万元，占政府采购支出总额的100%，其中：授予小微企业合同金额19.09万元，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占授予中小企业合同金额的100%。货物采购授予中小企业合同金额占货物支出金额的100%，工程采购授予中小企业合同金额占工程支出金额的0%，服务采购授予中小企业合同金额占服务支出金额的100%。</w:t>
      </w:r>
    </w:p>
    <w:p>
      <w:pPr>
        <w:pStyle w:val="13"/>
        <w:spacing w:line="580" w:lineRule="exact"/>
        <w:ind w:firstLine="640" w:firstLineChars="200"/>
        <w:rPr>
          <w:rFonts w:hAnsi="黑体"/>
          <w:bCs/>
          <w:color w:val="auto"/>
          <w:sz w:val="32"/>
          <w:szCs w:val="32"/>
        </w:rPr>
      </w:pPr>
      <w:r>
        <w:rPr>
          <w:rFonts w:hint="eastAsia" w:hAnsi="黑体"/>
          <w:bCs/>
          <w:color w:val="auto"/>
          <w:sz w:val="32"/>
          <w:szCs w:val="32"/>
        </w:rPr>
        <w:t>十三、关于国有资产占用情况说明</w:t>
      </w:r>
    </w:p>
    <w:p>
      <w:pPr>
        <w:pStyle w:val="13"/>
        <w:spacing w:line="60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color w:val="auto"/>
          <w:sz w:val="32"/>
          <w:szCs w:val="32"/>
        </w:rPr>
        <w:t>截至2023年12月31日，</w:t>
      </w:r>
      <w:r>
        <w:rPr>
          <w:rFonts w:hint="eastAsia" w:ascii="Times New Roman" w:hAnsi="Times New Roman" w:eastAsia="仿宋_GB2312"/>
          <w:sz w:val="32"/>
          <w:szCs w:val="32"/>
        </w:rPr>
        <w:t>本单位无公务用车；无单位价值100万元以上专用设备。</w:t>
      </w:r>
    </w:p>
    <w:p>
      <w:pPr>
        <w:pStyle w:val="13"/>
        <w:spacing w:line="580" w:lineRule="exact"/>
        <w:ind w:firstLine="640" w:firstLineChars="200"/>
        <w:rPr>
          <w:rFonts w:hAnsi="黑体"/>
          <w:bCs/>
          <w:color w:val="auto"/>
          <w:sz w:val="32"/>
          <w:szCs w:val="32"/>
        </w:rPr>
      </w:pPr>
      <w:r>
        <w:rPr>
          <w:rFonts w:hint="eastAsia" w:hAnsi="黑体"/>
          <w:bCs/>
          <w:color w:val="auto"/>
          <w:sz w:val="32"/>
          <w:szCs w:val="32"/>
        </w:rPr>
        <w:t>十四、关于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2023</w:t>
      </w:r>
      <w:r>
        <w:rPr>
          <w:rFonts w:hint="eastAsia" w:hAnsi="黑体"/>
          <w:bCs/>
          <w:color w:val="auto"/>
          <w:sz w:val="32"/>
          <w:szCs w:val="32"/>
        </w:rPr>
        <w:t>年度预算绩效情况的说明</w:t>
      </w:r>
    </w:p>
    <w:p>
      <w:pPr>
        <w:pStyle w:val="13"/>
        <w:spacing w:line="580" w:lineRule="exact"/>
        <w:ind w:firstLine="640" w:firstLineChars="200"/>
        <w:rPr>
          <w:rFonts w:ascii="楷体" w:hAnsi="楷体" w:eastAsia="楷体" w:cs="楷体"/>
          <w:b/>
          <w:bCs/>
          <w:sz w:val="32"/>
          <w:szCs w:val="32"/>
        </w:rPr>
      </w:pPr>
      <w:r>
        <w:rPr>
          <w:rFonts w:hint="eastAsia" w:ascii="楷体" w:hAnsi="楷体" w:eastAsia="楷体" w:cs="楷体"/>
          <w:b/>
          <w:bCs/>
          <w:sz w:val="32"/>
          <w:szCs w:val="32"/>
        </w:rPr>
        <w:t>（一）绩效管理工作开展情况</w:t>
      </w:r>
    </w:p>
    <w:p>
      <w:pPr>
        <w:pStyle w:val="13"/>
        <w:spacing w:line="60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根据</w:t>
      </w:r>
      <w:r>
        <w:rPr>
          <w:rFonts w:hint="eastAsia" w:ascii="仿宋" w:hAnsi="仿宋" w:eastAsia="仿宋" w:cs="仿宋"/>
          <w:color w:val="auto"/>
          <w:sz w:val="30"/>
          <w:szCs w:val="30"/>
          <w:shd w:val="clear" w:color="auto" w:fill="FFFFFF"/>
        </w:rPr>
        <w:t>《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怀化市财政局关于开展2023年度预算支出绩效自评工作的通知》（怀财绩〔2024〕46号）的文件精神</w:t>
      </w:r>
      <w:r>
        <w:rPr>
          <w:rFonts w:hint="eastAsia" w:asciiTheme="minorEastAsia" w:hAnsiTheme="minorEastAsia" w:eastAsiaTheme="minorEastAsia"/>
          <w:sz w:val="32"/>
          <w:szCs w:val="32"/>
        </w:rPr>
        <w:t>，</w:t>
      </w:r>
      <w:r>
        <w:rPr>
          <w:rFonts w:hint="eastAsia" w:ascii="Times New Roman" w:hAnsi="Times New Roman" w:eastAsia="仿宋_GB2312"/>
          <w:sz w:val="32"/>
          <w:szCs w:val="32"/>
        </w:rPr>
        <w:t>我单位组织对2023年度一般公共预算整体支出、项目支出全面开展绩效自评，2023年本部门</w:t>
      </w:r>
      <w:r>
        <w:rPr>
          <w:rFonts w:ascii="Times New Roman" w:hAnsi="Times New Roman" w:eastAsia="仿宋_GB2312"/>
          <w:sz w:val="32"/>
          <w:szCs w:val="32"/>
        </w:rPr>
        <w:t>共</w:t>
      </w:r>
      <w:r>
        <w:rPr>
          <w:rFonts w:hint="eastAsia" w:ascii="Times New Roman" w:hAnsi="Times New Roman" w:eastAsia="仿宋_GB2312"/>
          <w:sz w:val="32"/>
          <w:szCs w:val="32"/>
        </w:rPr>
        <w:t>涉及一般公共预算支出149.32</w:t>
      </w:r>
      <w:r>
        <w:rPr>
          <w:rFonts w:ascii="Times New Roman" w:hAnsi="Times New Roman" w:eastAsia="仿宋_GB2312"/>
          <w:sz w:val="32"/>
          <w:szCs w:val="32"/>
        </w:rPr>
        <w:t>万元</w:t>
      </w:r>
      <w:r>
        <w:rPr>
          <w:rFonts w:hint="eastAsia" w:ascii="Times New Roman" w:hAnsi="Times New Roman" w:eastAsia="仿宋_GB2312"/>
          <w:sz w:val="32"/>
          <w:szCs w:val="32"/>
        </w:rPr>
        <w:t>，其中</w:t>
      </w:r>
      <w:r>
        <w:rPr>
          <w:rFonts w:ascii="Times New Roman" w:hAnsi="Times New Roman" w:eastAsia="仿宋_GB2312"/>
          <w:sz w:val="32"/>
          <w:szCs w:val="32"/>
        </w:rPr>
        <w:t>项目</w:t>
      </w:r>
      <w:r>
        <w:rPr>
          <w:rFonts w:hint="eastAsia" w:ascii="Times New Roman" w:hAnsi="Times New Roman" w:eastAsia="仿宋_GB2312"/>
          <w:sz w:val="32"/>
          <w:szCs w:val="32"/>
        </w:rPr>
        <w:t>支出1个，涉及资金101.21万元，占一般公共预算项目支出总额的100%。我单位从经济性、效率性、有效性和可持续性对2023年部门整体支出绩效开展了评价，基本达到预期目标。</w:t>
      </w:r>
    </w:p>
    <w:p>
      <w:pPr>
        <w:pStyle w:val="13"/>
        <w:spacing w:line="580" w:lineRule="exact"/>
        <w:ind w:firstLine="640" w:firstLineChars="200"/>
        <w:rPr>
          <w:rFonts w:ascii="楷体" w:hAnsi="楷体" w:eastAsia="楷体" w:cs="楷体"/>
          <w:b/>
          <w:bCs/>
          <w:sz w:val="32"/>
          <w:szCs w:val="32"/>
        </w:rPr>
      </w:pPr>
    </w:p>
    <w:p>
      <w:pPr>
        <w:pStyle w:val="13"/>
        <w:spacing w:line="580" w:lineRule="exact"/>
        <w:ind w:firstLine="640" w:firstLineChars="200"/>
        <w:rPr>
          <w:rFonts w:ascii="楷体" w:hAnsi="楷体" w:eastAsia="楷体" w:cs="楷体"/>
          <w:b/>
          <w:bCs/>
          <w:sz w:val="32"/>
          <w:szCs w:val="32"/>
        </w:rPr>
      </w:pPr>
      <w:r>
        <w:rPr>
          <w:rFonts w:hint="eastAsia" w:ascii="楷体" w:hAnsi="楷体" w:eastAsia="楷体" w:cs="楷体"/>
          <w:b/>
          <w:bCs/>
          <w:sz w:val="32"/>
          <w:szCs w:val="32"/>
        </w:rPr>
        <w:t>（二）部门（单位）整体支出绩效情况</w:t>
      </w:r>
    </w:p>
    <w:p>
      <w:pPr>
        <w:pStyle w:val="13"/>
        <w:spacing w:line="580" w:lineRule="exact"/>
        <w:ind w:firstLine="640" w:firstLineChars="200"/>
        <w:rPr>
          <w:rFonts w:ascii="楷体" w:hAnsi="楷体" w:eastAsia="楷体" w:cs="楷体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本单位2023年度预算绩效管理开展情况、绩效目标和绩效评价报告按照市财政局绩效部门要求已公开（详见附件）。</w:t>
      </w:r>
    </w:p>
    <w:p>
      <w:pPr>
        <w:pStyle w:val="13"/>
        <w:spacing w:line="580" w:lineRule="exact"/>
        <w:ind w:firstLine="640" w:firstLineChars="200"/>
        <w:rPr>
          <w:rFonts w:ascii="楷体" w:hAnsi="楷体" w:eastAsia="楷体" w:cs="楷体"/>
          <w:b/>
          <w:bCs/>
          <w:sz w:val="32"/>
          <w:szCs w:val="32"/>
        </w:rPr>
      </w:pPr>
      <w:r>
        <w:rPr>
          <w:rFonts w:hint="eastAsia" w:ascii="楷体" w:hAnsi="楷体" w:eastAsia="楷体" w:cs="楷体"/>
          <w:b/>
          <w:bCs/>
          <w:sz w:val="32"/>
          <w:szCs w:val="32"/>
        </w:rPr>
        <w:t>（三）存在的问题及原因分析</w:t>
      </w:r>
    </w:p>
    <w:p>
      <w:pPr>
        <w:pStyle w:val="13"/>
        <w:spacing w:line="58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加强预算和预算绩效管理，进一步细化预算指标，合理使用和管理预算资金。</w:t>
      </w:r>
    </w:p>
    <w:p>
      <w:pPr>
        <w:pStyle w:val="13"/>
        <w:jc w:val="both"/>
        <w:rPr>
          <w:sz w:val="72"/>
          <w:szCs w:val="72"/>
        </w:rPr>
      </w:pPr>
    </w:p>
    <w:p>
      <w:pPr>
        <w:pStyle w:val="13"/>
        <w:jc w:val="center"/>
        <w:rPr>
          <w:sz w:val="72"/>
          <w:szCs w:val="72"/>
        </w:rPr>
      </w:pPr>
    </w:p>
    <w:p>
      <w:pPr>
        <w:pStyle w:val="13"/>
        <w:jc w:val="center"/>
        <w:rPr>
          <w:sz w:val="72"/>
          <w:szCs w:val="72"/>
        </w:rPr>
      </w:pPr>
    </w:p>
    <w:p>
      <w:pPr>
        <w:pStyle w:val="13"/>
        <w:jc w:val="both"/>
        <w:rPr>
          <w:rFonts w:ascii="方正小标宋_GBK" w:hAnsi="方正小标宋_GBK" w:eastAsia="方正小标宋_GBK" w:cs="方正小标宋_GBK"/>
          <w:sz w:val="72"/>
          <w:szCs w:val="72"/>
        </w:rPr>
      </w:pPr>
    </w:p>
    <w:p>
      <w:pPr>
        <w:pStyle w:val="13"/>
        <w:jc w:val="center"/>
        <w:rPr>
          <w:rFonts w:ascii="方正小标宋_GBK" w:hAnsi="方正小标宋_GBK" w:eastAsia="方正小标宋_GBK" w:cs="方正小标宋_GBK"/>
          <w:sz w:val="72"/>
          <w:szCs w:val="72"/>
        </w:rPr>
      </w:pPr>
    </w:p>
    <w:p>
      <w:pPr>
        <w:pStyle w:val="13"/>
        <w:jc w:val="center"/>
        <w:rPr>
          <w:rFonts w:ascii="方正小标宋_GBK" w:hAnsi="方正小标宋_GBK" w:eastAsia="方正小标宋_GBK" w:cs="方正小标宋_GBK"/>
          <w:sz w:val="72"/>
          <w:szCs w:val="72"/>
        </w:rPr>
      </w:pPr>
      <w:r>
        <w:rPr>
          <w:rFonts w:hint="eastAsia" w:ascii="方正小标宋_GBK" w:hAnsi="方正小标宋_GBK" w:eastAsia="方正小标宋_GBK" w:cs="方正小标宋_GBK"/>
          <w:sz w:val="72"/>
          <w:szCs w:val="72"/>
        </w:rPr>
        <w:t>第四部分</w:t>
      </w:r>
    </w:p>
    <w:p>
      <w:pPr>
        <w:jc w:val="center"/>
        <w:rPr>
          <w:rFonts w:ascii="方正小标宋_GBK" w:hAnsi="方正小标宋_GBK" w:eastAsia="方正小标宋_GBK" w:cs="方正小标宋_GBK"/>
          <w:color w:val="000000"/>
          <w:kern w:val="0"/>
          <w:sz w:val="70"/>
          <w:szCs w:val="70"/>
        </w:rPr>
      </w:pPr>
    </w:p>
    <w:p>
      <w:pPr>
        <w:jc w:val="center"/>
        <w:rPr>
          <w:rFonts w:ascii="方正小标宋_GBK" w:hAnsi="方正小标宋_GBK" w:eastAsia="方正小标宋_GBK" w:cs="方正小标宋_GBK"/>
          <w:color w:val="000000"/>
          <w:kern w:val="0"/>
          <w:sz w:val="70"/>
          <w:szCs w:val="70"/>
        </w:rPr>
      </w:pPr>
      <w:r>
        <w:rPr>
          <w:rFonts w:hint="eastAsia" w:ascii="方正小标宋_GBK" w:hAnsi="方正小标宋_GBK" w:eastAsia="方正小标宋_GBK" w:cs="方正小标宋_GBK"/>
          <w:color w:val="000000"/>
          <w:kern w:val="0"/>
          <w:sz w:val="70"/>
          <w:szCs w:val="70"/>
        </w:rPr>
        <w:t>名词解释</w:t>
      </w:r>
    </w:p>
    <w:p>
      <w:pPr>
        <w:widowControl/>
        <w:jc w:val="left"/>
        <w:rPr>
          <w:rFonts w:cs="黑体" w:asciiTheme="minorEastAsia" w:hAnsiTheme="minorEastAsia"/>
          <w:color w:val="000000"/>
          <w:kern w:val="0"/>
          <w:sz w:val="32"/>
          <w:szCs w:val="32"/>
        </w:rPr>
      </w:pPr>
      <w:r>
        <w:rPr>
          <w:rFonts w:hint="eastAsia" w:ascii="方正小标宋_GBK" w:hAnsi="方正小标宋_GBK" w:eastAsia="方正小标宋_GBK" w:cs="方正小标宋_GBK"/>
          <w:color w:val="000000"/>
          <w:kern w:val="0"/>
          <w:sz w:val="70"/>
          <w:szCs w:val="70"/>
        </w:rPr>
        <w:br w:type="page"/>
      </w:r>
    </w:p>
    <w:p>
      <w:pPr>
        <w:pStyle w:val="8"/>
        <w:widowControl/>
        <w:shd w:val="clear" w:color="auto" w:fill="FFFFFF"/>
        <w:spacing w:beforeAutospacing="0" w:afterAutospacing="0" w:line="255" w:lineRule="atLeast"/>
        <w:ind w:firstLine="640" w:firstLineChars="200"/>
        <w:jc w:val="both"/>
        <w:rPr>
          <w:rFonts w:ascii="Times New Roman" w:hAnsi="Times New Roman" w:eastAsia="仿宋_GB2312" w:cs="黑体"/>
          <w:color w:val="000000"/>
          <w:sz w:val="32"/>
          <w:szCs w:val="32"/>
        </w:rPr>
      </w:pPr>
      <w:r>
        <w:rPr>
          <w:rFonts w:hint="eastAsia" w:ascii="Times New Roman" w:hAnsi="Times New Roman" w:eastAsia="仿宋_GB2312" w:cs="黑体"/>
          <w:color w:val="000000"/>
          <w:sz w:val="32"/>
          <w:szCs w:val="32"/>
        </w:rPr>
        <w:t>一、机关运行经费：为保障行政单位（包括参照公务员法管理的事业单位）运行，用一般公共预算拨款安排用于购买货物和服务的各项资金，包括办公及印刷费、邮电费、差旅费、会议费、福利费、日常维修费、办公用房水电费、办公用房取暖费、办公用房物业管理费、公务用车运行维护费以及其他费用。</w:t>
      </w:r>
    </w:p>
    <w:p>
      <w:pPr>
        <w:pStyle w:val="8"/>
        <w:widowControl/>
        <w:shd w:val="clear" w:color="auto" w:fill="FFFFFF"/>
        <w:spacing w:beforeAutospacing="0" w:after="38" w:afterAutospacing="0" w:line="255" w:lineRule="atLeast"/>
        <w:ind w:firstLine="640" w:firstLineChars="200"/>
        <w:jc w:val="both"/>
        <w:rPr>
          <w:rFonts w:ascii="Times New Roman" w:hAnsi="Times New Roman" w:eastAsia="仿宋_GB2312" w:cs="黑体"/>
          <w:color w:val="000000"/>
          <w:sz w:val="32"/>
          <w:szCs w:val="32"/>
        </w:rPr>
      </w:pPr>
      <w:r>
        <w:rPr>
          <w:rFonts w:hint="eastAsia" w:ascii="Times New Roman" w:hAnsi="Times New Roman" w:eastAsia="仿宋_GB2312" w:cs="黑体"/>
          <w:color w:val="000000"/>
          <w:sz w:val="32"/>
          <w:szCs w:val="32"/>
        </w:rPr>
        <w:t>二、“三公”经费：纳入财政预算管理的“三公“经费，是指用一般公共预算拨款安排的公务接待费、公务用车购置及运行维护费和因公出国（境）费。其中，公务接待费反映单位按规定开支的各类公务接待支出；公务用车购置及运行费反映单位公务用车车辆购置支出（含车辆购置税），以及燃料费、维修费、保险费等支出；因公出国（境）费反映单位公务出国（境）的国际旅费、国外城市间交通费、食宿费等支出。</w:t>
      </w:r>
    </w:p>
    <w:p>
      <w:pPr>
        <w:pStyle w:val="13"/>
        <w:jc w:val="center"/>
        <w:rPr>
          <w:sz w:val="72"/>
          <w:szCs w:val="72"/>
        </w:rPr>
      </w:pPr>
    </w:p>
    <w:p>
      <w:pPr>
        <w:pStyle w:val="13"/>
        <w:jc w:val="center"/>
        <w:rPr>
          <w:sz w:val="72"/>
          <w:szCs w:val="72"/>
        </w:rPr>
      </w:pPr>
    </w:p>
    <w:p>
      <w:pPr>
        <w:pStyle w:val="13"/>
        <w:jc w:val="center"/>
        <w:rPr>
          <w:sz w:val="72"/>
          <w:szCs w:val="72"/>
        </w:rPr>
      </w:pPr>
    </w:p>
    <w:p>
      <w:pPr>
        <w:pStyle w:val="13"/>
        <w:jc w:val="center"/>
        <w:rPr>
          <w:sz w:val="72"/>
          <w:szCs w:val="72"/>
        </w:rPr>
      </w:pPr>
    </w:p>
    <w:p>
      <w:pPr>
        <w:pStyle w:val="13"/>
        <w:jc w:val="center"/>
        <w:rPr>
          <w:sz w:val="72"/>
          <w:szCs w:val="72"/>
        </w:rPr>
      </w:pPr>
    </w:p>
    <w:p>
      <w:pPr>
        <w:pStyle w:val="13"/>
        <w:jc w:val="center"/>
        <w:rPr>
          <w:sz w:val="72"/>
          <w:szCs w:val="72"/>
        </w:rPr>
      </w:pPr>
    </w:p>
    <w:p>
      <w:pPr>
        <w:pStyle w:val="13"/>
        <w:jc w:val="center"/>
        <w:rPr>
          <w:sz w:val="72"/>
          <w:szCs w:val="72"/>
        </w:rPr>
      </w:pPr>
    </w:p>
    <w:p>
      <w:pPr>
        <w:rPr>
          <w:sz w:val="72"/>
          <w:szCs w:val="72"/>
        </w:rPr>
      </w:pPr>
      <w:r>
        <w:rPr>
          <w:sz w:val="72"/>
          <w:szCs w:val="72"/>
        </w:rPr>
        <w:br w:type="page"/>
      </w:r>
    </w:p>
    <w:p>
      <w:pPr>
        <w:pStyle w:val="13"/>
        <w:jc w:val="center"/>
        <w:rPr>
          <w:rFonts w:ascii="方正小标宋_GBK" w:hAnsi="方正小标宋_GBK" w:eastAsia="方正小标宋_GBK" w:cs="方正小标宋_GBK"/>
          <w:sz w:val="72"/>
          <w:szCs w:val="72"/>
        </w:rPr>
      </w:pPr>
    </w:p>
    <w:p>
      <w:pPr>
        <w:pStyle w:val="13"/>
        <w:jc w:val="center"/>
        <w:rPr>
          <w:rFonts w:ascii="方正小标宋_GBK" w:hAnsi="方正小标宋_GBK" w:eastAsia="方正小标宋_GBK" w:cs="方正小标宋_GBK"/>
          <w:sz w:val="72"/>
          <w:szCs w:val="72"/>
        </w:rPr>
      </w:pPr>
    </w:p>
    <w:p>
      <w:pPr>
        <w:pStyle w:val="13"/>
        <w:jc w:val="center"/>
        <w:rPr>
          <w:rFonts w:ascii="方正小标宋_GBK" w:hAnsi="方正小标宋_GBK" w:eastAsia="方正小标宋_GBK" w:cs="方正小标宋_GBK"/>
          <w:sz w:val="72"/>
          <w:szCs w:val="72"/>
        </w:rPr>
      </w:pPr>
    </w:p>
    <w:p>
      <w:pPr>
        <w:pStyle w:val="13"/>
        <w:jc w:val="center"/>
        <w:rPr>
          <w:rFonts w:ascii="方正小标宋_GBK" w:hAnsi="方正小标宋_GBK" w:eastAsia="方正小标宋_GBK" w:cs="方正小标宋_GBK"/>
          <w:sz w:val="72"/>
          <w:szCs w:val="72"/>
        </w:rPr>
      </w:pPr>
    </w:p>
    <w:p>
      <w:pPr>
        <w:pStyle w:val="13"/>
        <w:jc w:val="center"/>
        <w:rPr>
          <w:rFonts w:ascii="方正小标宋_GBK" w:hAnsi="方正小标宋_GBK" w:eastAsia="方正小标宋_GBK" w:cs="方正小标宋_GBK"/>
          <w:sz w:val="72"/>
          <w:szCs w:val="72"/>
        </w:rPr>
      </w:pPr>
    </w:p>
    <w:p>
      <w:pPr>
        <w:pStyle w:val="13"/>
        <w:jc w:val="center"/>
        <w:rPr>
          <w:rFonts w:ascii="方正小标宋_GBK" w:hAnsi="方正小标宋_GBK" w:eastAsia="方正小标宋_GBK" w:cs="方正小标宋_GBK"/>
          <w:sz w:val="72"/>
          <w:szCs w:val="72"/>
        </w:rPr>
      </w:pPr>
      <w:r>
        <w:rPr>
          <w:rFonts w:hint="eastAsia" w:ascii="方正小标宋_GBK" w:hAnsi="方正小标宋_GBK" w:eastAsia="方正小标宋_GBK" w:cs="方正小标宋_GBK"/>
          <w:sz w:val="72"/>
          <w:szCs w:val="72"/>
        </w:rPr>
        <w:t>第五部分</w:t>
      </w:r>
    </w:p>
    <w:p>
      <w:pPr>
        <w:pStyle w:val="13"/>
        <w:jc w:val="center"/>
        <w:rPr>
          <w:rFonts w:ascii="方正小标宋_GBK" w:hAnsi="方正小标宋_GBK" w:eastAsia="方正小标宋_GBK" w:cs="方正小标宋_GBK"/>
          <w:sz w:val="70"/>
          <w:szCs w:val="70"/>
        </w:rPr>
      </w:pPr>
    </w:p>
    <w:p>
      <w:pPr>
        <w:pStyle w:val="13"/>
        <w:jc w:val="center"/>
        <w:rPr>
          <w:sz w:val="72"/>
          <w:szCs w:val="72"/>
        </w:rPr>
      </w:pPr>
      <w:r>
        <w:rPr>
          <w:rFonts w:hint="eastAsia" w:ascii="方正小标宋_GBK" w:hAnsi="方正小标宋_GBK" w:eastAsia="方正小标宋_GBK" w:cs="方正小标宋_GBK"/>
          <w:sz w:val="70"/>
          <w:szCs w:val="70"/>
        </w:rPr>
        <w:t>附件</w:t>
      </w:r>
    </w:p>
    <w:p>
      <w:pPr>
        <w:rPr>
          <w:sz w:val="72"/>
          <w:szCs w:val="72"/>
        </w:rPr>
      </w:pPr>
      <w:r>
        <w:rPr>
          <w:sz w:val="72"/>
          <w:szCs w:val="72"/>
        </w:rPr>
        <w:br w:type="page"/>
      </w:r>
    </w:p>
    <w:p>
      <w:pPr>
        <w:pStyle w:val="13"/>
        <w:spacing w:line="60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楷体" w:hAnsi="楷体" w:eastAsia="楷体" w:cs="楷体"/>
          <w:b/>
          <w:bCs/>
          <w:sz w:val="32"/>
          <w:szCs w:val="32"/>
        </w:rPr>
        <w:t>一、</w:t>
      </w:r>
      <w:r>
        <w:rPr>
          <w:rFonts w:hint="eastAsia" w:ascii="Times New Roman" w:hAnsi="Times New Roman" w:eastAsia="仿宋_GB2312"/>
          <w:sz w:val="32"/>
          <w:szCs w:val="32"/>
        </w:rPr>
        <w:t>2023年度部门整体支出绩效自评报告。</w:t>
      </w:r>
    </w:p>
    <w:p>
      <w:pPr>
        <w:pStyle w:val="13"/>
        <w:spacing w:line="600" w:lineRule="exact"/>
        <w:ind w:firstLine="640" w:firstLineChars="200"/>
        <w:rPr>
          <w:rFonts w:ascii="楷体" w:hAnsi="楷体" w:eastAsia="楷体" w:cs="楷体"/>
          <w:bCs/>
          <w:sz w:val="32"/>
          <w:szCs w:val="32"/>
        </w:rPr>
      </w:pPr>
      <w:r>
        <w:rPr>
          <w:rFonts w:hint="eastAsia" w:ascii="楷体" w:hAnsi="楷体" w:eastAsia="楷体" w:cs="楷体"/>
          <w:bCs/>
          <w:sz w:val="32"/>
          <w:szCs w:val="32"/>
        </w:rPr>
        <w:t>二、2023年怀化仲裁委员会秘书处决算公开表</w:t>
      </w:r>
    </w:p>
    <w:p>
      <w:pPr>
        <w:pStyle w:val="13"/>
        <w:jc w:val="center"/>
        <w:rPr>
          <w:sz w:val="72"/>
          <w:szCs w:val="72"/>
        </w:rPr>
      </w:pPr>
    </w:p>
    <w:p>
      <w:pPr>
        <w:pStyle w:val="13"/>
        <w:jc w:val="center"/>
        <w:rPr>
          <w:sz w:val="72"/>
          <w:szCs w:val="72"/>
        </w:rPr>
      </w:pPr>
    </w:p>
    <w:p>
      <w:pPr>
        <w:jc w:val="left"/>
        <w:rPr>
          <w:rFonts w:cs="黑体" w:asciiTheme="minorEastAsia" w:hAnsiTheme="minorEastAsia"/>
          <w:color w:val="000000"/>
          <w:kern w:val="0"/>
          <w:sz w:val="32"/>
          <w:szCs w:val="32"/>
        </w:rPr>
      </w:pPr>
    </w:p>
    <w:sectPr>
      <w:pgSz w:w="11906" w:h="16838"/>
      <w:pgMar w:top="720" w:right="720" w:bottom="720" w:left="720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">
    <w:altName w:val="方正楷体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14A9AC5"/>
    <w:multiLevelType w:val="singleLevel"/>
    <w:tmpl w:val="114A9AC5"/>
    <w:lvl w:ilvl="0" w:tentative="0">
      <w:start w:val="7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4B960D40"/>
    <w:multiLevelType w:val="singleLevel"/>
    <w:tmpl w:val="4B960D40"/>
    <w:lvl w:ilvl="0" w:tentative="0">
      <w:start w:val="4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4506F9"/>
    <w:rsid w:val="0002229B"/>
    <w:rsid w:val="000273BD"/>
    <w:rsid w:val="00040CBC"/>
    <w:rsid w:val="000415B7"/>
    <w:rsid w:val="00041E3F"/>
    <w:rsid w:val="00055DAA"/>
    <w:rsid w:val="00061F7B"/>
    <w:rsid w:val="000658A3"/>
    <w:rsid w:val="00074155"/>
    <w:rsid w:val="000A3F69"/>
    <w:rsid w:val="00103957"/>
    <w:rsid w:val="00152C6D"/>
    <w:rsid w:val="00162D39"/>
    <w:rsid w:val="001678BD"/>
    <w:rsid w:val="00182373"/>
    <w:rsid w:val="001A67DB"/>
    <w:rsid w:val="001C3C29"/>
    <w:rsid w:val="001D51E5"/>
    <w:rsid w:val="001E080D"/>
    <w:rsid w:val="001E53D0"/>
    <w:rsid w:val="001F0C3B"/>
    <w:rsid w:val="00202C82"/>
    <w:rsid w:val="00214427"/>
    <w:rsid w:val="00226CB7"/>
    <w:rsid w:val="00264552"/>
    <w:rsid w:val="00264EF9"/>
    <w:rsid w:val="00265724"/>
    <w:rsid w:val="0027426B"/>
    <w:rsid w:val="00276CA4"/>
    <w:rsid w:val="002C384A"/>
    <w:rsid w:val="002E0A30"/>
    <w:rsid w:val="003130C4"/>
    <w:rsid w:val="00316C4B"/>
    <w:rsid w:val="0032192B"/>
    <w:rsid w:val="003479BD"/>
    <w:rsid w:val="0037197D"/>
    <w:rsid w:val="003768D5"/>
    <w:rsid w:val="003926B9"/>
    <w:rsid w:val="003C47E6"/>
    <w:rsid w:val="003C4FC2"/>
    <w:rsid w:val="003F2685"/>
    <w:rsid w:val="00416E61"/>
    <w:rsid w:val="0042790C"/>
    <w:rsid w:val="004506F9"/>
    <w:rsid w:val="004717A2"/>
    <w:rsid w:val="00473DF3"/>
    <w:rsid w:val="00487911"/>
    <w:rsid w:val="00491741"/>
    <w:rsid w:val="00496C90"/>
    <w:rsid w:val="004B0CEE"/>
    <w:rsid w:val="00500E5F"/>
    <w:rsid w:val="005122EF"/>
    <w:rsid w:val="0051441A"/>
    <w:rsid w:val="00517C33"/>
    <w:rsid w:val="00517D5F"/>
    <w:rsid w:val="00523644"/>
    <w:rsid w:val="0054069E"/>
    <w:rsid w:val="00544866"/>
    <w:rsid w:val="005767CC"/>
    <w:rsid w:val="00590D9F"/>
    <w:rsid w:val="00595D26"/>
    <w:rsid w:val="005A74E6"/>
    <w:rsid w:val="005B404E"/>
    <w:rsid w:val="005C2AA9"/>
    <w:rsid w:val="005D4D55"/>
    <w:rsid w:val="005E2CFB"/>
    <w:rsid w:val="005F2103"/>
    <w:rsid w:val="005F3D1C"/>
    <w:rsid w:val="0062378F"/>
    <w:rsid w:val="00641842"/>
    <w:rsid w:val="00651EEC"/>
    <w:rsid w:val="00686673"/>
    <w:rsid w:val="00691E8C"/>
    <w:rsid w:val="006A22C4"/>
    <w:rsid w:val="006A351B"/>
    <w:rsid w:val="006B0422"/>
    <w:rsid w:val="006C1B53"/>
    <w:rsid w:val="006D7730"/>
    <w:rsid w:val="006E5284"/>
    <w:rsid w:val="006F3EB5"/>
    <w:rsid w:val="00702E34"/>
    <w:rsid w:val="00704395"/>
    <w:rsid w:val="00710FE7"/>
    <w:rsid w:val="00717621"/>
    <w:rsid w:val="00720FF1"/>
    <w:rsid w:val="00727A53"/>
    <w:rsid w:val="00787B42"/>
    <w:rsid w:val="007C4539"/>
    <w:rsid w:val="007F3657"/>
    <w:rsid w:val="00812ED5"/>
    <w:rsid w:val="008277D9"/>
    <w:rsid w:val="0084478C"/>
    <w:rsid w:val="0086638C"/>
    <w:rsid w:val="008A3E8D"/>
    <w:rsid w:val="009237C4"/>
    <w:rsid w:val="00944C48"/>
    <w:rsid w:val="00950252"/>
    <w:rsid w:val="009604C9"/>
    <w:rsid w:val="00967F5D"/>
    <w:rsid w:val="009A0F95"/>
    <w:rsid w:val="009B3ADF"/>
    <w:rsid w:val="009C3B52"/>
    <w:rsid w:val="009E6817"/>
    <w:rsid w:val="009E6E9A"/>
    <w:rsid w:val="00A01D2B"/>
    <w:rsid w:val="00A42218"/>
    <w:rsid w:val="00A70249"/>
    <w:rsid w:val="00A70B02"/>
    <w:rsid w:val="00A71D9F"/>
    <w:rsid w:val="00A92E9F"/>
    <w:rsid w:val="00AA096C"/>
    <w:rsid w:val="00AB18FF"/>
    <w:rsid w:val="00B21EB5"/>
    <w:rsid w:val="00B33BEA"/>
    <w:rsid w:val="00B57C9F"/>
    <w:rsid w:val="00B63572"/>
    <w:rsid w:val="00B845B3"/>
    <w:rsid w:val="00B85D8B"/>
    <w:rsid w:val="00BB4A40"/>
    <w:rsid w:val="00BD6C3E"/>
    <w:rsid w:val="00BE3674"/>
    <w:rsid w:val="00C10681"/>
    <w:rsid w:val="00C3049A"/>
    <w:rsid w:val="00C31B1E"/>
    <w:rsid w:val="00C77645"/>
    <w:rsid w:val="00CE04C3"/>
    <w:rsid w:val="00CE76A0"/>
    <w:rsid w:val="00D148C6"/>
    <w:rsid w:val="00D17A8A"/>
    <w:rsid w:val="00D415BA"/>
    <w:rsid w:val="00D63780"/>
    <w:rsid w:val="00D644EE"/>
    <w:rsid w:val="00DD06FF"/>
    <w:rsid w:val="00DD13A7"/>
    <w:rsid w:val="00DD5FE9"/>
    <w:rsid w:val="00E00C7A"/>
    <w:rsid w:val="00E37D6C"/>
    <w:rsid w:val="00E55B68"/>
    <w:rsid w:val="00E561AE"/>
    <w:rsid w:val="00E67BE6"/>
    <w:rsid w:val="00E8683C"/>
    <w:rsid w:val="00EA2B72"/>
    <w:rsid w:val="00F01B20"/>
    <w:rsid w:val="00F74360"/>
    <w:rsid w:val="00FB462F"/>
    <w:rsid w:val="00FE16FA"/>
    <w:rsid w:val="00FE328A"/>
    <w:rsid w:val="00FE6269"/>
    <w:rsid w:val="00FF5CD6"/>
    <w:rsid w:val="12093839"/>
    <w:rsid w:val="17AC4168"/>
    <w:rsid w:val="1D97DEFF"/>
    <w:rsid w:val="1DFF72E5"/>
    <w:rsid w:val="1EFC6F07"/>
    <w:rsid w:val="2FDF85B8"/>
    <w:rsid w:val="2FFFEE04"/>
    <w:rsid w:val="34DF85B0"/>
    <w:rsid w:val="3B8F36BC"/>
    <w:rsid w:val="491FF225"/>
    <w:rsid w:val="4FFD214C"/>
    <w:rsid w:val="5777D4F5"/>
    <w:rsid w:val="59DD8326"/>
    <w:rsid w:val="5DEF592A"/>
    <w:rsid w:val="5FC6BB1E"/>
    <w:rsid w:val="5FF720F1"/>
    <w:rsid w:val="67FF5C0B"/>
    <w:rsid w:val="692D1517"/>
    <w:rsid w:val="6EFC0924"/>
    <w:rsid w:val="6FB74722"/>
    <w:rsid w:val="6FEF8B7E"/>
    <w:rsid w:val="71A6591B"/>
    <w:rsid w:val="737D59BA"/>
    <w:rsid w:val="77C37683"/>
    <w:rsid w:val="79FF515B"/>
    <w:rsid w:val="7E9E1962"/>
    <w:rsid w:val="7E9F11B4"/>
    <w:rsid w:val="7F37EC1E"/>
    <w:rsid w:val="7F7DCD9D"/>
    <w:rsid w:val="7F970A6F"/>
    <w:rsid w:val="7FC1FFF3"/>
    <w:rsid w:val="7FC69637"/>
    <w:rsid w:val="7FDF8620"/>
    <w:rsid w:val="7FFB242F"/>
    <w:rsid w:val="7FFDB408"/>
    <w:rsid w:val="7FFE4EEB"/>
    <w:rsid w:val="95FB2B98"/>
    <w:rsid w:val="9A639BC2"/>
    <w:rsid w:val="9FF7D786"/>
    <w:rsid w:val="ABBFB23D"/>
    <w:rsid w:val="C3B4DA5A"/>
    <w:rsid w:val="CBFF70E0"/>
    <w:rsid w:val="CFF50B82"/>
    <w:rsid w:val="CFFFAD89"/>
    <w:rsid w:val="DFFE359E"/>
    <w:rsid w:val="DFFE4FFD"/>
    <w:rsid w:val="E5EFD9CE"/>
    <w:rsid w:val="EEABED75"/>
    <w:rsid w:val="F56FDF51"/>
    <w:rsid w:val="F6B69F17"/>
    <w:rsid w:val="F77F1D61"/>
    <w:rsid w:val="F7FED3A9"/>
    <w:rsid w:val="F8C9DB26"/>
    <w:rsid w:val="F97E8EAE"/>
    <w:rsid w:val="FB36E1A6"/>
    <w:rsid w:val="FB3BE134"/>
    <w:rsid w:val="FCFF4275"/>
    <w:rsid w:val="FD7FEEEA"/>
    <w:rsid w:val="FDFFB577"/>
    <w:rsid w:val="FEEA50FE"/>
    <w:rsid w:val="FF7D47A9"/>
    <w:rsid w:val="FFCF21CB"/>
    <w:rsid w:val="FFFF1C8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nhideWhenUsed="0" w:uiPriority="0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iPriority="99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note text"/>
    <w:basedOn w:val="1"/>
    <w:next w:val="3"/>
    <w:semiHidden/>
    <w:qFormat/>
    <w:uiPriority w:val="0"/>
    <w:pPr>
      <w:snapToGrid w:val="0"/>
      <w:jc w:val="left"/>
    </w:pPr>
    <w:rPr>
      <w:sz w:val="18"/>
      <w:szCs w:val="18"/>
    </w:rPr>
  </w:style>
  <w:style w:type="paragraph" w:styleId="3">
    <w:name w:val="Body Text First Indent 2"/>
    <w:basedOn w:val="4"/>
    <w:next w:val="1"/>
    <w:unhideWhenUsed/>
    <w:qFormat/>
    <w:uiPriority w:val="99"/>
    <w:pPr>
      <w:ind w:firstLine="420" w:firstLineChars="200"/>
    </w:pPr>
  </w:style>
  <w:style w:type="paragraph" w:styleId="4">
    <w:name w:val="Body Text Indent"/>
    <w:basedOn w:val="1"/>
    <w:next w:val="3"/>
    <w:unhideWhenUsed/>
    <w:qFormat/>
    <w:uiPriority w:val="99"/>
    <w:pPr>
      <w:widowControl/>
      <w:spacing w:after="120"/>
      <w:ind w:left="420" w:leftChars="200"/>
      <w:jc w:val="left"/>
    </w:pPr>
    <w:rPr>
      <w:rFonts w:ascii="宋体" w:hAnsi="宋体" w:eastAsia="宋体" w:cs="宋体"/>
      <w:kern w:val="0"/>
      <w:sz w:val="24"/>
    </w:rPr>
  </w:style>
  <w:style w:type="paragraph" w:styleId="5">
    <w:name w:val="Balloon Text"/>
    <w:basedOn w:val="1"/>
    <w:link w:val="15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semiHidden/>
    <w:unhideWhenUsed/>
    <w:qFormat/>
    <w:uiPriority w:val="99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customStyle="1" w:styleId="11">
    <w:name w:val="页眉 Char"/>
    <w:basedOn w:val="10"/>
    <w:link w:val="7"/>
    <w:qFormat/>
    <w:uiPriority w:val="99"/>
    <w:rPr>
      <w:sz w:val="18"/>
      <w:szCs w:val="18"/>
    </w:rPr>
  </w:style>
  <w:style w:type="character" w:customStyle="1" w:styleId="12">
    <w:name w:val="页脚 Char"/>
    <w:basedOn w:val="10"/>
    <w:link w:val="6"/>
    <w:qFormat/>
    <w:uiPriority w:val="99"/>
    <w:rPr>
      <w:sz w:val="18"/>
      <w:szCs w:val="18"/>
    </w:rPr>
  </w:style>
  <w:style w:type="paragraph" w:customStyle="1" w:styleId="13">
    <w:name w:val="Default"/>
    <w:qFormat/>
    <w:uiPriority w:val="0"/>
    <w:pPr>
      <w:widowControl w:val="0"/>
      <w:autoSpaceDE w:val="0"/>
      <w:autoSpaceDN w:val="0"/>
      <w:adjustRightInd w:val="0"/>
    </w:pPr>
    <w:rPr>
      <w:rFonts w:ascii="黑体" w:eastAsia="黑体" w:cs="黑体" w:hAnsiTheme="minorHAnsi"/>
      <w:color w:val="000000"/>
      <w:sz w:val="24"/>
      <w:szCs w:val="24"/>
      <w:lang w:val="en-US" w:eastAsia="zh-CN" w:bidi="ar-SA"/>
    </w:rPr>
  </w:style>
  <w:style w:type="paragraph" w:styleId="14">
    <w:name w:val="List Paragraph"/>
    <w:basedOn w:val="1"/>
    <w:qFormat/>
    <w:uiPriority w:val="34"/>
    <w:pPr>
      <w:ind w:firstLine="420" w:firstLineChars="200"/>
    </w:pPr>
  </w:style>
  <w:style w:type="character" w:customStyle="1" w:styleId="15">
    <w:name w:val="批注框文本 Char"/>
    <w:basedOn w:val="10"/>
    <w:link w:val="5"/>
    <w:semiHidden/>
    <w:qFormat/>
    <w:uiPriority w:val="99"/>
    <w:rPr>
      <w:sz w:val="18"/>
      <w:szCs w:val="18"/>
    </w:rPr>
  </w:style>
  <w:style w:type="character" w:customStyle="1" w:styleId="16">
    <w:name w:val="font01"/>
    <w:basedOn w:val="10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7">
    <w:name w:val="font21"/>
    <w:basedOn w:val="10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8">
    <w:name w:val="font11"/>
    <w:basedOn w:val="10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15</Pages>
  <Words>3314</Words>
  <Characters>3672</Characters>
  <Lines>4</Lines>
  <Paragraphs>7</Paragraphs>
  <TotalTime>64</TotalTime>
  <ScaleCrop>false</ScaleCrop>
  <LinksUpToDate>false</LinksUpToDate>
  <CharactersWithSpaces>3680</CharactersWithSpaces>
  <Application>WPS Office_12.8.2.1112_F1E327BC-269C-435d-A152-05C5408002CA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2020-07-08T10:32:00Z</dcterms:created>
  <dc:creator>李航 null</dc:creator>
  <cp:lastModifiedBy>宜烨</cp:lastModifiedBy>
  <cp:lastPrinted>2024-08-08T18:20:00Z</cp:lastPrinted>
  <dcterms:modified xsi:type="dcterms:W3CDTF">2024-09-25T09:55:14Z</dcterms:modified>
  <cp:revision>72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2052-12.8.2.1112</vt:lpwstr>
  </property>
  <property fmtid="{D5CDD505-2E9C-101B-9397-08002B2CF9AE}" pid="3" name="ICV">
    <vt:lpwstr>E20B4F095E224C9F87FE0112E1078567</vt:lpwstr>
  </property>
</Properties>
</file>