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jc w:val="both"/>
        <w:rPr>
          <w:sz w:val="84"/>
          <w:szCs w:val="84"/>
        </w:rPr>
      </w:pPr>
    </w:p>
    <w:p>
      <w:pPr>
        <w:pStyle w:val="11"/>
        <w:jc w:val="center"/>
        <w:rPr>
          <w:sz w:val="84"/>
          <w:szCs w:val="84"/>
        </w:rPr>
      </w:pPr>
      <w:r>
        <w:rPr>
          <w:rFonts w:hint="eastAsia"/>
          <w:sz w:val="84"/>
          <w:szCs w:val="84"/>
        </w:rPr>
        <w:t>2021年度</w:t>
      </w:r>
    </w:p>
    <w:p>
      <w:pPr>
        <w:pStyle w:val="11"/>
        <w:jc w:val="center"/>
        <w:rPr>
          <w:rFonts w:hint="eastAsia"/>
          <w:sz w:val="84"/>
          <w:szCs w:val="84"/>
          <w:lang w:eastAsia="zh-CN"/>
        </w:rPr>
      </w:pPr>
      <w:r>
        <w:rPr>
          <w:rFonts w:hint="eastAsia"/>
          <w:sz w:val="84"/>
          <w:szCs w:val="84"/>
          <w:lang w:eastAsia="zh-CN"/>
        </w:rPr>
        <w:t>怀化市强制隔离戒所</w:t>
      </w:r>
    </w:p>
    <w:p>
      <w:pPr>
        <w:pStyle w:val="11"/>
        <w:jc w:val="center"/>
        <w:rPr>
          <w:sz w:val="84"/>
          <w:szCs w:val="84"/>
        </w:rPr>
      </w:pPr>
      <w:r>
        <w:rPr>
          <w:rFonts w:hint="eastAsia"/>
          <w:sz w:val="84"/>
          <w:szCs w:val="84"/>
        </w:rPr>
        <w:t>部门决算</w:t>
      </w:r>
    </w:p>
    <w:p>
      <w:pPr>
        <w:pStyle w:val="11"/>
        <w:spacing w:line="500" w:lineRule="exact"/>
        <w:jc w:val="center"/>
        <w:rPr>
          <w:b/>
          <w:sz w:val="36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600" w:lineRule="exact"/>
        <w:jc w:val="center"/>
        <w:textAlignment w:val="auto"/>
        <w:rPr>
          <w:rFonts w:eastAsia="黑体"/>
          <w:bCs/>
          <w:kern w:val="0"/>
          <w:sz w:val="32"/>
          <w:szCs w:val="32"/>
        </w:rPr>
      </w:pPr>
      <w:r>
        <w:rPr>
          <w:rFonts w:eastAsia="黑体"/>
          <w:bCs/>
          <w:kern w:val="0"/>
          <w:sz w:val="32"/>
          <w:szCs w:val="32"/>
        </w:rPr>
        <w:t>目 录</w:t>
      </w:r>
    </w:p>
    <w:p>
      <w:pPr>
        <w:pStyle w:val="11"/>
        <w:spacing w:line="500" w:lineRule="exact"/>
        <w:jc w:val="center"/>
        <w:rPr>
          <w:b/>
          <w:sz w:val="36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</w:rPr>
        <w:t>第一部分</w:t>
      </w: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eastAsia="zh-CN"/>
        </w:rPr>
        <w:t>怀化市强制隔离戒毒所</w:t>
      </w: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/>
        </w:rPr>
        <w:t>部门</w:t>
      </w:r>
      <w:r>
        <w:rPr>
          <w:rFonts w:hint="eastAsia" w:ascii="黑体" w:hAnsi="黑体" w:eastAsia="黑体" w:cs="黑体"/>
          <w:b/>
          <w:bCs/>
          <w:kern w:val="0"/>
          <w:sz w:val="32"/>
          <w:szCs w:val="32"/>
        </w:rPr>
        <w:t>概况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一、部门职责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二、机构设置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</w:rPr>
        <w:t xml:space="preserve">第二部分 </w:t>
      </w: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/>
        </w:rPr>
        <w:t>2021年度</w:t>
      </w:r>
      <w:r>
        <w:rPr>
          <w:rFonts w:hint="eastAsia" w:ascii="黑体" w:hAnsi="黑体" w:eastAsia="黑体" w:cs="黑体"/>
          <w:b/>
          <w:bCs/>
          <w:kern w:val="0"/>
          <w:sz w:val="32"/>
          <w:szCs w:val="32"/>
        </w:rPr>
        <w:t>部门决算表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一、收入支出决算总表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二、收入决算表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三、支出决算表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四、财政拨款收入支出决算总表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五、一般公共预算财政拨款支出决算表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六、一般公共预算财政拨款基本支出决算表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七、一般公共预算财政拨款“三公”经费支出决算表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八、政府性基金预算财政拨款收入支出决算表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九、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国有资本经营预算财政拨款支出决算表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left"/>
        <w:textAlignment w:val="auto"/>
        <w:rPr>
          <w:rFonts w:eastAsia="仿宋_GB2312"/>
          <w:b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</w:rPr>
        <w:t xml:space="preserve">第三部分 </w:t>
      </w: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 w:cs="黑体"/>
          <w:b/>
          <w:bCs/>
          <w:kern w:val="0"/>
          <w:sz w:val="32"/>
          <w:szCs w:val="32"/>
        </w:rPr>
        <w:t>年度部门决算情况说明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一、收入支出决算总体情况说明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二、收入决算情况说明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三、支出决算情况说明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四、财政拨款收入支出决算总体情况说明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五、一般公共预算财政拨款支出决算情况说明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六、一般公共预算财政拨款基本支出决算情况说明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七、一般公共预算财政拨款三公经费支出决算情况说明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八、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政府性基金预算收入支出决算情况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说明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九、国有资本经营预算财政拨款支出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决算情况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说明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十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  <w:t>、关于机关运行经费支出说明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  <w:t>十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  <w:t>、一般性支出情况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说明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  <w:t>十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  <w:t>、关于政府采购支出说明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  <w:t>十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  <w:t>、关于国有资产占用情况说明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  <w:t>十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四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  <w:t>、关于2021年度预算绩效情况的说明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</w:rPr>
        <w:t>第四部分名词解释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left"/>
        <w:textAlignment w:val="auto"/>
        <w:rPr>
          <w:rFonts w:ascii="黑体" w:hAnsi="黑体" w:eastAsia="黑体" w:cs="仿宋_GB2312"/>
          <w:b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</w:rPr>
        <w:t>第五部分附件</w:t>
      </w:r>
    </w:p>
    <w:p>
      <w:pPr>
        <w:jc w:val="center"/>
        <w:rPr>
          <w:sz w:val="72"/>
          <w:szCs w:val="72"/>
        </w:rPr>
      </w:pPr>
    </w:p>
    <w:p>
      <w:pPr>
        <w:rPr>
          <w:sz w:val="72"/>
          <w:szCs w:val="72"/>
        </w:rPr>
      </w:pPr>
    </w:p>
    <w:p>
      <w:pPr>
        <w:pStyle w:val="11"/>
        <w:jc w:val="center"/>
        <w:rPr>
          <w:sz w:val="52"/>
          <w:szCs w:val="52"/>
        </w:rPr>
      </w:pPr>
      <w:r>
        <w:rPr>
          <w:rFonts w:hint="eastAsia"/>
          <w:sz w:val="52"/>
          <w:szCs w:val="52"/>
        </w:rPr>
        <w:t>第一部分</w:t>
      </w:r>
      <w:r>
        <w:rPr>
          <w:sz w:val="52"/>
          <w:szCs w:val="52"/>
        </w:rPr>
        <w:t xml:space="preserve"> </w:t>
      </w:r>
    </w:p>
    <w:p>
      <w:pPr>
        <w:pStyle w:val="11"/>
        <w:jc w:val="center"/>
        <w:rPr>
          <w:rFonts w:hint="eastAsia"/>
          <w:sz w:val="52"/>
          <w:szCs w:val="52"/>
          <w:lang w:eastAsia="zh-CN"/>
        </w:rPr>
      </w:pPr>
      <w:r>
        <w:rPr>
          <w:rFonts w:hint="eastAsia"/>
          <w:sz w:val="52"/>
          <w:szCs w:val="52"/>
          <w:lang w:eastAsia="zh-CN"/>
        </w:rPr>
        <w:t>怀化市强制隔离戒所</w:t>
      </w:r>
    </w:p>
    <w:p>
      <w:pPr>
        <w:pStyle w:val="11"/>
        <w:jc w:val="center"/>
        <w:rPr>
          <w:sz w:val="52"/>
          <w:szCs w:val="52"/>
        </w:rPr>
      </w:pPr>
      <w:r>
        <w:rPr>
          <w:rFonts w:hint="eastAsia"/>
          <w:sz w:val="52"/>
          <w:szCs w:val="52"/>
        </w:rPr>
        <w:t>单位概况</w:t>
      </w:r>
    </w:p>
    <w:p>
      <w:pPr>
        <w:pStyle w:val="12"/>
        <w:ind w:left="720" w:firstLine="0" w:firstLineChars="0"/>
        <w:jc w:val="left"/>
        <w:rPr>
          <w:rFonts w:ascii="黑体" w:hAnsi="黑体" w:eastAsia="黑体"/>
          <w:sz w:val="32"/>
          <w:szCs w:val="32"/>
        </w:rPr>
      </w:pPr>
    </w:p>
    <w:p>
      <w:pPr>
        <w:pStyle w:val="12"/>
        <w:numPr>
          <w:ilvl w:val="0"/>
          <w:numId w:val="1"/>
        </w:numPr>
        <w:ind w:firstLineChars="0"/>
        <w:jc w:val="left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部门职责</w:t>
      </w:r>
    </w:p>
    <w:p>
      <w:pPr>
        <w:pStyle w:val="12"/>
        <w:jc w:val="left"/>
        <w:rPr>
          <w:rFonts w:ascii="宋体"/>
          <w:sz w:val="32"/>
          <w:szCs w:val="32"/>
        </w:rPr>
      </w:pPr>
      <w:r>
        <w:rPr>
          <w:rFonts w:hint="eastAsia" w:ascii="宋体" w:hAnsi="宋体"/>
          <w:color w:val="000000"/>
          <w:sz w:val="32"/>
          <w:szCs w:val="32"/>
          <w:shd w:val="clear" w:color="auto" w:fill="FFFFFF"/>
        </w:rPr>
        <w:t>①、依法收治强制隔离戒毒人员，准确执行强制戒毒决定；依规办理强制隔离戒毒的考核、奖惩、探视、变更戒毒措施、所外就医、综合诊断评估、解除强制隔离戒毒审批手续。②、依法、严格、科学、文明管理强制隔离戒毒人员，防止强制隔离戒毒人员擅自离所、犯罪、非正常死亡等重大事故的发生，维护场所稳定。③、利用各种教育矫治手段，对强制隔离戒毒人员进行针对性教育，提高强制隔离戒毒人员戒断率。④、依法开展戒毒康复各种工作。⑤、依法对社区戒毒和社区康复工作提供指导和支持。⑥、承办市人民政府和市司法局交办的其他工作。</w:t>
      </w:r>
    </w:p>
    <w:p>
      <w:pPr>
        <w:widowControl/>
        <w:spacing w:line="600" w:lineRule="exact"/>
        <w:rPr>
          <w:rFonts w:ascii="黑体" w:hAnsi="黑体" w:eastAsia="黑体"/>
          <w:bCs/>
          <w:kern w:val="0"/>
          <w:sz w:val="32"/>
          <w:szCs w:val="32"/>
        </w:rPr>
      </w:pPr>
      <w:r>
        <w:rPr>
          <w:rFonts w:hint="eastAsia" w:ascii="黑体" w:hAnsi="黑体" w:eastAsia="黑体"/>
          <w:bCs/>
          <w:kern w:val="0"/>
          <w:sz w:val="32"/>
          <w:szCs w:val="32"/>
        </w:rPr>
        <w:t>二、机构设置及决算单位构成</w:t>
      </w:r>
    </w:p>
    <w:p>
      <w:pPr>
        <w:widowControl/>
        <w:spacing w:line="600" w:lineRule="exact"/>
        <w:rPr>
          <w:rFonts w:hint="eastAsia" w:ascii="宋体" w:hAnsi="宋体"/>
          <w:color w:val="000000"/>
          <w:sz w:val="32"/>
          <w:szCs w:val="32"/>
          <w:shd w:val="clear" w:color="auto" w:fill="FFFFFF"/>
        </w:rPr>
      </w:pPr>
      <w:r>
        <w:rPr>
          <w:rFonts w:hint="eastAsia" w:asciiTheme="minorEastAsia" w:hAnsiTheme="minorEastAsia"/>
          <w:bCs/>
          <w:kern w:val="0"/>
          <w:sz w:val="32"/>
          <w:szCs w:val="32"/>
        </w:rPr>
        <w:t>（一）内设机构设置。</w:t>
      </w:r>
      <w:r>
        <w:rPr>
          <w:rFonts w:hint="eastAsia" w:ascii="宋体" w:hAnsi="宋体"/>
          <w:color w:val="000000"/>
          <w:sz w:val="32"/>
          <w:szCs w:val="32"/>
          <w:shd w:val="clear" w:color="auto" w:fill="FFFFFF"/>
        </w:rPr>
        <w:t>我所</w:t>
      </w:r>
      <w:r>
        <w:rPr>
          <w:rFonts w:hint="eastAsia" w:ascii="宋体" w:hAnsi="宋体"/>
          <w:color w:val="000000"/>
          <w:sz w:val="32"/>
          <w:szCs w:val="32"/>
          <w:shd w:val="clear" w:color="auto" w:fill="FFFFFF"/>
          <w:lang w:eastAsia="zh-CN"/>
        </w:rPr>
        <w:t>为</w:t>
      </w:r>
      <w:r>
        <w:rPr>
          <w:rFonts w:hint="eastAsia" w:ascii="宋体" w:hAnsi="宋体"/>
          <w:color w:val="000000"/>
          <w:sz w:val="32"/>
          <w:szCs w:val="32"/>
          <w:shd w:val="clear" w:color="auto" w:fill="FFFFFF"/>
        </w:rPr>
        <w:t>一级部门预算单位，执行行政单位会计制度，下设强戒一、二、三大队，护卫大队，政治处，监察室，办公室、教育矫治科，管理科、医疗生卫科，生产财务科，警戒科等</w:t>
      </w:r>
      <w:r>
        <w:rPr>
          <w:rFonts w:ascii="宋体" w:hAnsi="宋体"/>
          <w:color w:val="000000"/>
          <w:sz w:val="32"/>
          <w:szCs w:val="32"/>
          <w:shd w:val="clear" w:color="auto" w:fill="FFFFFF"/>
        </w:rPr>
        <w:t>13</w:t>
      </w:r>
      <w:r>
        <w:rPr>
          <w:rFonts w:hint="eastAsia" w:ascii="宋体" w:hAnsi="宋体"/>
          <w:color w:val="000000"/>
          <w:sz w:val="32"/>
          <w:szCs w:val="32"/>
          <w:shd w:val="clear" w:color="auto" w:fill="FFFFFF"/>
        </w:rPr>
        <w:t>个科室大队。</w:t>
      </w:r>
    </w:p>
    <w:p>
      <w:pPr>
        <w:widowControl/>
        <w:spacing w:line="600" w:lineRule="exact"/>
        <w:rPr>
          <w:sz w:val="72"/>
          <w:szCs w:val="72"/>
        </w:rPr>
      </w:pPr>
      <w:r>
        <w:rPr>
          <w:rFonts w:hint="eastAsia" w:asciiTheme="minorEastAsia" w:hAnsiTheme="minorEastAsia"/>
          <w:bCs/>
          <w:kern w:val="0"/>
          <w:sz w:val="32"/>
          <w:szCs w:val="32"/>
        </w:rPr>
        <w:t>（二）决算单位构成。</w:t>
      </w:r>
      <w:r>
        <w:rPr>
          <w:rFonts w:hint="eastAsia" w:ascii="宋体"/>
          <w:bCs/>
          <w:kern w:val="0"/>
          <w:sz w:val="32"/>
          <w:szCs w:val="32"/>
        </w:rPr>
        <w:t>怀化市强制隔离戒毒所</w:t>
      </w:r>
      <w:r>
        <w:rPr>
          <w:rFonts w:ascii="宋体" w:hAnsi="宋体"/>
          <w:bCs/>
          <w:kern w:val="0"/>
          <w:sz w:val="32"/>
          <w:szCs w:val="32"/>
        </w:rPr>
        <w:t>20</w:t>
      </w:r>
      <w:r>
        <w:rPr>
          <w:rFonts w:hint="eastAsia" w:ascii="宋体" w:hAnsi="宋体"/>
          <w:bCs/>
          <w:kern w:val="0"/>
          <w:sz w:val="32"/>
          <w:szCs w:val="32"/>
        </w:rPr>
        <w:t>2</w:t>
      </w:r>
      <w:r>
        <w:rPr>
          <w:rFonts w:hint="eastAsia" w:ascii="宋体" w:hAnsi="宋体"/>
          <w:bCs/>
          <w:kern w:val="0"/>
          <w:sz w:val="32"/>
          <w:szCs w:val="32"/>
          <w:lang w:val="en-US" w:eastAsia="zh-CN"/>
        </w:rPr>
        <w:t>1</w:t>
      </w:r>
      <w:r>
        <w:rPr>
          <w:rFonts w:hint="eastAsia" w:ascii="宋体" w:hAnsi="宋体"/>
          <w:bCs/>
          <w:kern w:val="0"/>
          <w:sz w:val="32"/>
          <w:szCs w:val="32"/>
        </w:rPr>
        <w:t>年部门决算汇总公开单位构成包括：</w:t>
      </w:r>
      <w:r>
        <w:rPr>
          <w:rFonts w:hint="eastAsia" w:ascii="宋体"/>
          <w:bCs/>
          <w:kern w:val="0"/>
          <w:sz w:val="32"/>
          <w:szCs w:val="32"/>
        </w:rPr>
        <w:t>怀化市强制隔离戒毒所本级。</w:t>
      </w:r>
    </w:p>
    <w:p>
      <w:pPr>
        <w:jc w:val="both"/>
        <w:rPr>
          <w:sz w:val="72"/>
          <w:szCs w:val="72"/>
        </w:rPr>
      </w:pPr>
    </w:p>
    <w:p>
      <w:pPr>
        <w:pStyle w:val="11"/>
        <w:jc w:val="center"/>
        <w:rPr>
          <w:rFonts w:hint="eastAsia"/>
          <w:sz w:val="52"/>
          <w:szCs w:val="52"/>
        </w:rPr>
      </w:pPr>
      <w:r>
        <w:rPr>
          <w:rFonts w:hint="eastAsia"/>
          <w:sz w:val="52"/>
          <w:szCs w:val="52"/>
        </w:rPr>
        <w:t>第二部分</w:t>
      </w:r>
    </w:p>
    <w:p>
      <w:pPr>
        <w:pStyle w:val="11"/>
        <w:jc w:val="center"/>
        <w:rPr>
          <w:rFonts w:hint="eastAsia"/>
          <w:sz w:val="52"/>
          <w:szCs w:val="52"/>
        </w:rPr>
      </w:pPr>
      <w:r>
        <w:rPr>
          <w:rFonts w:hint="eastAsia"/>
          <w:sz w:val="52"/>
          <w:szCs w:val="52"/>
        </w:rPr>
        <w:t>部门决算表</w:t>
      </w:r>
    </w:p>
    <w:p>
      <w:pPr>
        <w:pStyle w:val="11"/>
        <w:jc w:val="center"/>
        <w:rPr>
          <w:rFonts w:hint="eastAsia"/>
          <w:sz w:val="52"/>
          <w:szCs w:val="52"/>
        </w:rPr>
      </w:pPr>
      <w:r>
        <w:rPr>
          <w:rFonts w:hint="eastAsia"/>
          <w:sz w:val="52"/>
          <w:szCs w:val="52"/>
        </w:rPr>
        <w:t>见附件</w:t>
      </w:r>
    </w:p>
    <w:p>
      <w:pPr>
        <w:jc w:val="center"/>
        <w:rPr>
          <w:sz w:val="72"/>
          <w:szCs w:val="72"/>
        </w:rPr>
      </w:pPr>
    </w:p>
    <w:p>
      <w:pPr>
        <w:widowControl/>
        <w:jc w:val="left"/>
        <w:rPr>
          <w:sz w:val="72"/>
          <w:szCs w:val="72"/>
        </w:rPr>
      </w:pPr>
      <w:bookmarkStart w:id="0" w:name="RANGE!A1:I22"/>
      <w:bookmarkEnd w:id="0"/>
    </w:p>
    <w:p>
      <w:pPr>
        <w:pStyle w:val="11"/>
        <w:jc w:val="center"/>
        <w:rPr>
          <w:rFonts w:hint="eastAsia"/>
          <w:sz w:val="52"/>
          <w:szCs w:val="52"/>
        </w:rPr>
      </w:pPr>
      <w:r>
        <w:rPr>
          <w:rFonts w:hint="eastAsia"/>
          <w:sz w:val="52"/>
          <w:szCs w:val="52"/>
        </w:rPr>
        <w:t>第三部分</w:t>
      </w:r>
    </w:p>
    <w:p>
      <w:pPr>
        <w:pStyle w:val="11"/>
        <w:jc w:val="center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/>
          <w:sz w:val="52"/>
          <w:szCs w:val="52"/>
        </w:rPr>
        <w:t>2021年度部门决算情况说明</w:t>
      </w:r>
    </w:p>
    <w:p>
      <w:pPr>
        <w:pStyle w:val="11"/>
        <w:rPr>
          <w:rFonts w:hAnsi="黑体"/>
          <w:b/>
          <w:sz w:val="32"/>
          <w:szCs w:val="32"/>
        </w:rPr>
      </w:pPr>
      <w:r>
        <w:rPr>
          <w:rFonts w:hint="eastAsia" w:hAnsi="黑体"/>
          <w:b/>
          <w:sz w:val="32"/>
          <w:szCs w:val="32"/>
        </w:rPr>
        <w:t>一、收入支出决算总体情况说明</w:t>
      </w:r>
    </w:p>
    <w:p>
      <w:pPr>
        <w:pStyle w:val="11"/>
        <w:ind w:firstLine="640" w:firstLineChars="200"/>
        <w:rPr>
          <w:rFonts w:hint="eastAsia" w:asciiTheme="minorEastAsia" w:hAnsiTheme="minorEastAsia" w:eastAsiaTheme="minorEastAsia"/>
          <w:sz w:val="32"/>
          <w:szCs w:val="32"/>
          <w:lang w:eastAsia="zh-CN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2021年度收、支总计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各10825.65</w:t>
      </w:r>
      <w:r>
        <w:rPr>
          <w:rFonts w:hint="eastAsia" w:asciiTheme="minorEastAsia" w:hAnsiTheme="minorEastAsia" w:eastAsiaTheme="minorEastAsia"/>
          <w:sz w:val="32"/>
          <w:szCs w:val="32"/>
        </w:rPr>
        <w:t>万元。与上年相比，减少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2282.6</w:t>
      </w:r>
      <w:r>
        <w:rPr>
          <w:rFonts w:hint="eastAsia" w:asciiTheme="minorEastAsia" w:hAnsiTheme="minorEastAsia" w:eastAsiaTheme="minorEastAsia"/>
          <w:sz w:val="32"/>
          <w:szCs w:val="32"/>
        </w:rPr>
        <w:t>万元，减少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17.41</w:t>
      </w:r>
      <w:r>
        <w:rPr>
          <w:rFonts w:hint="eastAsia" w:asciiTheme="minorEastAsia" w:hAnsiTheme="minorEastAsia" w:eastAsiaTheme="minorEastAsia"/>
          <w:sz w:val="32"/>
          <w:szCs w:val="32"/>
        </w:rPr>
        <w:t>%，主要是因为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2020年</w:t>
      </w:r>
      <w:r>
        <w:rPr>
          <w:rFonts w:hint="eastAsia" w:asciiTheme="minorEastAsia" w:hAnsiTheme="minorEastAsia" w:eastAsiaTheme="minorEastAsia"/>
          <w:sz w:val="32"/>
          <w:szCs w:val="32"/>
        </w:rPr>
        <w:t>有迁建项目专项拨款抗疫特别国债5000万元</w:t>
      </w:r>
      <w:r>
        <w:rPr>
          <w:rFonts w:hint="eastAsia" w:asciiTheme="minorEastAsia" w:hAnsiTheme="minorEastAsia" w:eastAsiaTheme="minorEastAsia"/>
          <w:sz w:val="32"/>
          <w:szCs w:val="32"/>
          <w:lang w:eastAsia="zh-CN"/>
        </w:rPr>
        <w:t>，且去年基建项目处于关键建设期，支出较大。</w:t>
      </w:r>
    </w:p>
    <w:p>
      <w:pPr>
        <w:pStyle w:val="11"/>
        <w:rPr>
          <w:rFonts w:hAnsi="黑体"/>
          <w:b/>
          <w:sz w:val="32"/>
          <w:szCs w:val="32"/>
        </w:rPr>
      </w:pPr>
      <w:r>
        <w:rPr>
          <w:rFonts w:hint="eastAsia" w:hAnsi="黑体"/>
          <w:b/>
          <w:sz w:val="32"/>
          <w:szCs w:val="32"/>
        </w:rPr>
        <w:t>二、收入决算情况说明</w:t>
      </w:r>
    </w:p>
    <w:p>
      <w:pPr>
        <w:pStyle w:val="11"/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2021年度收入合计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5560.48</w:t>
      </w:r>
      <w:r>
        <w:rPr>
          <w:rFonts w:hint="eastAsia" w:asciiTheme="minorEastAsia" w:hAnsiTheme="minorEastAsia" w:eastAsiaTheme="minorEastAsia"/>
          <w:sz w:val="32"/>
          <w:szCs w:val="32"/>
        </w:rPr>
        <w:t>万元，其中：财政拨款收入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5436.87</w:t>
      </w:r>
      <w:r>
        <w:rPr>
          <w:rFonts w:hint="eastAsia" w:asciiTheme="minorEastAsia" w:hAnsiTheme="minorEastAsia" w:eastAsiaTheme="minorEastAsia"/>
          <w:sz w:val="32"/>
          <w:szCs w:val="32"/>
        </w:rPr>
        <w:t>万元，占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97.78</w:t>
      </w:r>
      <w:r>
        <w:rPr>
          <w:rFonts w:hint="eastAsia" w:asciiTheme="minorEastAsia" w:hAnsiTheme="minorEastAsia" w:eastAsiaTheme="minorEastAsia"/>
          <w:sz w:val="32"/>
          <w:szCs w:val="32"/>
        </w:rPr>
        <w:t>%；上级补助收入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0</w:t>
      </w:r>
      <w:r>
        <w:rPr>
          <w:rFonts w:hint="eastAsia" w:asciiTheme="minorEastAsia" w:hAnsiTheme="minorEastAsia" w:eastAsiaTheme="minorEastAsia"/>
          <w:sz w:val="32"/>
          <w:szCs w:val="32"/>
        </w:rPr>
        <w:t>万元，占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0</w:t>
      </w:r>
      <w:r>
        <w:rPr>
          <w:rFonts w:hint="eastAsia" w:asciiTheme="minorEastAsia" w:hAnsiTheme="minorEastAsia" w:eastAsiaTheme="minorEastAsia"/>
          <w:sz w:val="32"/>
          <w:szCs w:val="32"/>
        </w:rPr>
        <w:t>%；事业收入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0</w:t>
      </w:r>
      <w:r>
        <w:rPr>
          <w:rFonts w:hint="eastAsia" w:asciiTheme="minorEastAsia" w:hAnsiTheme="minorEastAsia" w:eastAsiaTheme="minorEastAsia"/>
          <w:sz w:val="32"/>
          <w:szCs w:val="32"/>
        </w:rPr>
        <w:t>万元，占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0</w:t>
      </w:r>
      <w:r>
        <w:rPr>
          <w:rFonts w:hint="eastAsia" w:asciiTheme="minorEastAsia" w:hAnsiTheme="minorEastAsia" w:eastAsiaTheme="minorEastAsia"/>
          <w:sz w:val="32"/>
          <w:szCs w:val="32"/>
        </w:rPr>
        <w:t>%；经营收入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0</w:t>
      </w:r>
      <w:r>
        <w:rPr>
          <w:rFonts w:hint="eastAsia" w:asciiTheme="minorEastAsia" w:hAnsiTheme="minorEastAsia" w:eastAsiaTheme="minorEastAsia"/>
          <w:sz w:val="32"/>
          <w:szCs w:val="32"/>
        </w:rPr>
        <w:t>万元，占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0</w:t>
      </w:r>
      <w:r>
        <w:rPr>
          <w:rFonts w:hint="eastAsia" w:asciiTheme="minorEastAsia" w:hAnsiTheme="minorEastAsia" w:eastAsiaTheme="minorEastAsia"/>
          <w:sz w:val="32"/>
          <w:szCs w:val="32"/>
        </w:rPr>
        <w:t>%；附属单位上缴收入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0</w:t>
      </w:r>
      <w:r>
        <w:rPr>
          <w:rFonts w:hint="eastAsia" w:asciiTheme="minorEastAsia" w:hAnsiTheme="minorEastAsia" w:eastAsiaTheme="minorEastAsia"/>
          <w:sz w:val="32"/>
          <w:szCs w:val="32"/>
        </w:rPr>
        <w:t>万元，占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0</w:t>
      </w:r>
      <w:r>
        <w:rPr>
          <w:rFonts w:hint="eastAsia" w:asciiTheme="minorEastAsia" w:hAnsiTheme="minorEastAsia" w:eastAsiaTheme="minorEastAsia"/>
          <w:sz w:val="32"/>
          <w:szCs w:val="32"/>
        </w:rPr>
        <w:t>%；其他收入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123.61</w:t>
      </w:r>
      <w:r>
        <w:rPr>
          <w:rFonts w:hint="eastAsia" w:asciiTheme="minorEastAsia" w:hAnsiTheme="minorEastAsia" w:eastAsiaTheme="minorEastAsia"/>
          <w:sz w:val="32"/>
          <w:szCs w:val="32"/>
        </w:rPr>
        <w:t>万元，占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2.22</w:t>
      </w:r>
      <w:r>
        <w:rPr>
          <w:rFonts w:hint="eastAsia" w:asciiTheme="minorEastAsia" w:hAnsiTheme="minorEastAsia" w:eastAsiaTheme="minorEastAsia"/>
          <w:sz w:val="32"/>
          <w:szCs w:val="32"/>
        </w:rPr>
        <w:t>%。</w:t>
      </w:r>
    </w:p>
    <w:p>
      <w:pPr>
        <w:pStyle w:val="11"/>
        <w:rPr>
          <w:rFonts w:hAnsi="黑体"/>
          <w:b/>
          <w:sz w:val="32"/>
          <w:szCs w:val="32"/>
        </w:rPr>
      </w:pPr>
      <w:r>
        <w:rPr>
          <w:rFonts w:hint="eastAsia" w:hAnsi="黑体"/>
          <w:b/>
          <w:sz w:val="32"/>
          <w:szCs w:val="32"/>
        </w:rPr>
        <w:t>三、支出决算情况说明</w:t>
      </w:r>
    </w:p>
    <w:p>
      <w:pPr>
        <w:pStyle w:val="11"/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2021年度支出合计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8276.07</w:t>
      </w:r>
      <w:r>
        <w:rPr>
          <w:rFonts w:hint="eastAsia" w:asciiTheme="minorEastAsia" w:hAnsiTheme="minorEastAsia" w:eastAsiaTheme="minorEastAsia"/>
          <w:sz w:val="32"/>
          <w:szCs w:val="32"/>
        </w:rPr>
        <w:t>万元，其中：基本支出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2247.56</w:t>
      </w:r>
      <w:r>
        <w:rPr>
          <w:rFonts w:hint="eastAsia" w:asciiTheme="minorEastAsia" w:hAnsiTheme="minorEastAsia" w:eastAsiaTheme="minorEastAsia"/>
          <w:sz w:val="32"/>
          <w:szCs w:val="32"/>
        </w:rPr>
        <w:t>万元，占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27.16</w:t>
      </w:r>
      <w:r>
        <w:rPr>
          <w:rFonts w:hint="eastAsia" w:asciiTheme="minorEastAsia" w:hAnsiTheme="minorEastAsia" w:eastAsiaTheme="minorEastAsia"/>
          <w:sz w:val="32"/>
          <w:szCs w:val="32"/>
        </w:rPr>
        <w:t>%；项目支出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6028.51</w:t>
      </w:r>
      <w:r>
        <w:rPr>
          <w:rFonts w:hint="eastAsia" w:asciiTheme="minorEastAsia" w:hAnsiTheme="minorEastAsia" w:eastAsiaTheme="minorEastAsia"/>
          <w:sz w:val="32"/>
          <w:szCs w:val="32"/>
        </w:rPr>
        <w:t>万元，占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72.84</w:t>
      </w:r>
      <w:r>
        <w:rPr>
          <w:rFonts w:hint="eastAsia" w:asciiTheme="minorEastAsia" w:hAnsiTheme="minorEastAsia" w:eastAsiaTheme="minorEastAsia"/>
          <w:sz w:val="32"/>
          <w:szCs w:val="32"/>
        </w:rPr>
        <w:t>%；上缴上级支出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0</w:t>
      </w:r>
      <w:r>
        <w:rPr>
          <w:rFonts w:hint="eastAsia" w:asciiTheme="minorEastAsia" w:hAnsiTheme="minorEastAsia" w:eastAsiaTheme="minorEastAsia"/>
          <w:sz w:val="32"/>
          <w:szCs w:val="32"/>
        </w:rPr>
        <w:t>万元，占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0</w:t>
      </w:r>
      <w:r>
        <w:rPr>
          <w:rFonts w:hint="eastAsia" w:asciiTheme="minorEastAsia" w:hAnsiTheme="minorEastAsia" w:eastAsiaTheme="minorEastAsia"/>
          <w:sz w:val="32"/>
          <w:szCs w:val="32"/>
        </w:rPr>
        <w:t>%；经营支出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0</w:t>
      </w:r>
      <w:r>
        <w:rPr>
          <w:rFonts w:hint="eastAsia" w:asciiTheme="minorEastAsia" w:hAnsiTheme="minorEastAsia" w:eastAsiaTheme="minorEastAsia"/>
          <w:sz w:val="32"/>
          <w:szCs w:val="32"/>
        </w:rPr>
        <w:t>万元，占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0</w:t>
      </w:r>
      <w:r>
        <w:rPr>
          <w:rFonts w:hint="eastAsia" w:asciiTheme="minorEastAsia" w:hAnsiTheme="minorEastAsia" w:eastAsiaTheme="minorEastAsia"/>
          <w:sz w:val="32"/>
          <w:szCs w:val="32"/>
        </w:rPr>
        <w:t>%；对附属单位补助支出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0</w:t>
      </w:r>
      <w:r>
        <w:rPr>
          <w:rFonts w:hint="eastAsia" w:asciiTheme="minorEastAsia" w:hAnsiTheme="minorEastAsia" w:eastAsiaTheme="minorEastAsia"/>
          <w:sz w:val="32"/>
          <w:szCs w:val="32"/>
        </w:rPr>
        <w:t>万元，占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0</w:t>
      </w:r>
      <w:r>
        <w:rPr>
          <w:rFonts w:hint="eastAsia" w:asciiTheme="minorEastAsia" w:hAnsiTheme="minorEastAsia" w:eastAsiaTheme="minorEastAsia"/>
          <w:sz w:val="32"/>
          <w:szCs w:val="32"/>
        </w:rPr>
        <w:t>%。</w:t>
      </w:r>
    </w:p>
    <w:p>
      <w:pPr>
        <w:pStyle w:val="11"/>
        <w:rPr>
          <w:rFonts w:hAnsi="黑体"/>
          <w:b/>
          <w:sz w:val="32"/>
          <w:szCs w:val="32"/>
        </w:rPr>
      </w:pPr>
      <w:r>
        <w:rPr>
          <w:rFonts w:hint="eastAsia" w:hAnsi="黑体"/>
          <w:b/>
          <w:sz w:val="32"/>
          <w:szCs w:val="32"/>
        </w:rPr>
        <w:t>四、财政拨款收入支出决算总体情况说明</w:t>
      </w:r>
    </w:p>
    <w:p>
      <w:pPr>
        <w:pStyle w:val="11"/>
        <w:ind w:firstLine="640"/>
        <w:rPr>
          <w:rFonts w:hint="eastAsia" w:asciiTheme="minorEastAsia" w:hAnsiTheme="minorEastAsia" w:eastAsiaTheme="minorEastAsia"/>
          <w:sz w:val="32"/>
          <w:szCs w:val="32"/>
          <w:lang w:eastAsia="zh-CN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2021年度财政拨款收、支总计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各</w:t>
      </w:r>
      <w:bookmarkStart w:id="1" w:name="_GoBack"/>
      <w:bookmarkEnd w:id="1"/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10702.03</w:t>
      </w:r>
      <w:r>
        <w:rPr>
          <w:rFonts w:hint="eastAsia" w:asciiTheme="minorEastAsia" w:hAnsiTheme="minorEastAsia" w:eastAsiaTheme="minorEastAsia"/>
          <w:sz w:val="32"/>
          <w:szCs w:val="32"/>
        </w:rPr>
        <w:t>万元，与上年相比，减少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2251.24</w:t>
      </w:r>
      <w:r>
        <w:rPr>
          <w:rFonts w:hint="eastAsia" w:asciiTheme="minorEastAsia" w:hAnsiTheme="minorEastAsia" w:eastAsiaTheme="minorEastAsia"/>
          <w:sz w:val="32"/>
          <w:szCs w:val="32"/>
        </w:rPr>
        <w:t>万元,减少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17.38</w:t>
      </w:r>
      <w:r>
        <w:rPr>
          <w:rFonts w:hint="eastAsia" w:asciiTheme="minorEastAsia" w:hAnsiTheme="minorEastAsia" w:eastAsiaTheme="minorEastAsia"/>
          <w:sz w:val="32"/>
          <w:szCs w:val="32"/>
        </w:rPr>
        <w:t>%，主要是因为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2020年</w:t>
      </w:r>
      <w:r>
        <w:rPr>
          <w:rFonts w:hint="eastAsia" w:asciiTheme="minorEastAsia" w:hAnsiTheme="minorEastAsia" w:eastAsiaTheme="minorEastAsia"/>
          <w:sz w:val="32"/>
          <w:szCs w:val="32"/>
        </w:rPr>
        <w:t>有迁建项目专项拨款抗疫特别国债5000万元</w:t>
      </w:r>
      <w:r>
        <w:rPr>
          <w:rFonts w:hint="eastAsia" w:asciiTheme="minorEastAsia" w:hAnsiTheme="minorEastAsia" w:eastAsiaTheme="minorEastAsia"/>
          <w:sz w:val="32"/>
          <w:szCs w:val="32"/>
          <w:lang w:eastAsia="zh-CN"/>
        </w:rPr>
        <w:t>，且去年基建项目处于关键建设期，支出较大。</w:t>
      </w:r>
    </w:p>
    <w:p>
      <w:pPr>
        <w:pStyle w:val="11"/>
        <w:rPr>
          <w:rFonts w:hAnsi="黑体"/>
          <w:b/>
          <w:sz w:val="32"/>
          <w:szCs w:val="32"/>
        </w:rPr>
      </w:pPr>
      <w:r>
        <w:rPr>
          <w:rFonts w:hint="eastAsia" w:hAnsi="黑体"/>
          <w:b/>
          <w:sz w:val="32"/>
          <w:szCs w:val="32"/>
        </w:rPr>
        <w:t>五、一般公共预算财政拨款支出决算情况说明</w:t>
      </w:r>
    </w:p>
    <w:p>
      <w:pPr>
        <w:pStyle w:val="11"/>
        <w:ind w:firstLine="640" w:firstLineChars="200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（一）财政拨款支出决算总体情况</w:t>
      </w:r>
    </w:p>
    <w:p>
      <w:pPr>
        <w:pStyle w:val="11"/>
        <w:ind w:firstLine="800" w:firstLineChars="250"/>
        <w:rPr>
          <w:rFonts w:hint="default" w:asciiTheme="minorEastAsia" w:hAnsiTheme="minorEastAsia" w:eastAsia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2021年度财政拨款支出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8152.46</w:t>
      </w:r>
      <w:r>
        <w:rPr>
          <w:rFonts w:hint="eastAsia" w:asciiTheme="minorEastAsia" w:hAnsiTheme="minorEastAsia" w:eastAsiaTheme="minorEastAsia"/>
          <w:sz w:val="32"/>
          <w:szCs w:val="32"/>
        </w:rPr>
        <w:t>万元，占本年支出合计的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98.51</w:t>
      </w:r>
      <w:r>
        <w:rPr>
          <w:rFonts w:hint="eastAsia" w:asciiTheme="minorEastAsia" w:hAnsiTheme="minorEastAsia" w:eastAsiaTheme="minorEastAsia"/>
          <w:sz w:val="32"/>
          <w:szCs w:val="32"/>
        </w:rPr>
        <w:t>%，与上年相比，财政拨款支出增加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5464.36</w:t>
      </w:r>
      <w:r>
        <w:rPr>
          <w:rFonts w:hint="eastAsia" w:asciiTheme="minorEastAsia" w:hAnsiTheme="minorEastAsia" w:eastAsiaTheme="minorEastAsia"/>
          <w:sz w:val="32"/>
          <w:szCs w:val="32"/>
        </w:rPr>
        <w:t>万元，增长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203.28</w:t>
      </w:r>
      <w:r>
        <w:rPr>
          <w:rFonts w:hint="eastAsia" w:asciiTheme="minorEastAsia" w:hAnsiTheme="minorEastAsia" w:eastAsiaTheme="minorEastAsia"/>
          <w:sz w:val="32"/>
          <w:szCs w:val="32"/>
        </w:rPr>
        <w:t>%，主要是因为</w:t>
      </w:r>
      <w:r>
        <w:rPr>
          <w:rFonts w:hint="eastAsia" w:asciiTheme="minorEastAsia" w:hAnsiTheme="minorEastAsia" w:eastAsiaTheme="minorEastAsia"/>
          <w:sz w:val="32"/>
          <w:szCs w:val="32"/>
          <w:lang w:eastAsia="zh-CN"/>
        </w:rPr>
        <w:t>基建项目去年</w:t>
      </w:r>
      <w:r>
        <w:rPr>
          <w:rFonts w:hint="eastAsia" w:asciiTheme="minorEastAsia" w:hAnsiTheme="minorEastAsia" w:eastAsiaTheme="minorEastAsia"/>
          <w:sz w:val="32"/>
          <w:szCs w:val="32"/>
        </w:rPr>
        <w:t>优先使用的抗疫特别国债（政府性基金）</w:t>
      </w:r>
      <w:r>
        <w:rPr>
          <w:rFonts w:hint="eastAsia" w:asciiTheme="minorEastAsia" w:hAnsiTheme="minorEastAsia" w:eastAsiaTheme="minorEastAsia"/>
          <w:sz w:val="32"/>
          <w:szCs w:val="32"/>
          <w:lang w:eastAsia="zh-CN"/>
        </w:rPr>
        <w:t>，本年使用的项目资金为一般政府债券及中央预算内基建资金，资金性质为为一般公共预算财政拨款。</w:t>
      </w:r>
    </w:p>
    <w:p>
      <w:pPr>
        <w:pStyle w:val="11"/>
        <w:ind w:firstLine="480" w:firstLineChars="150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（二）财政拨款支出决算结构情况</w:t>
      </w:r>
    </w:p>
    <w:p>
      <w:pPr>
        <w:pStyle w:val="11"/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2021年度财政拨款支出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8152.46</w:t>
      </w:r>
      <w:r>
        <w:rPr>
          <w:rFonts w:hint="eastAsia" w:asciiTheme="minorEastAsia" w:hAnsiTheme="minorEastAsia" w:eastAsiaTheme="minorEastAsia"/>
          <w:sz w:val="32"/>
          <w:szCs w:val="32"/>
        </w:rPr>
        <w:t>万元，主要用于以下方面：</w:t>
      </w:r>
      <w:r>
        <w:rPr>
          <w:rFonts w:hint="eastAsia" w:ascii="宋体" w:hAnsi="宋体" w:eastAsia="宋体"/>
          <w:color w:val="auto"/>
          <w:sz w:val="32"/>
          <w:szCs w:val="32"/>
        </w:rPr>
        <w:t>一般公共服务（类）支出</w:t>
      </w:r>
      <w:r>
        <w:rPr>
          <w:rFonts w:hint="eastAsia" w:ascii="宋体" w:hAnsi="宋体" w:eastAsia="宋体"/>
          <w:color w:val="auto"/>
          <w:sz w:val="32"/>
          <w:szCs w:val="32"/>
          <w:lang w:val="en-US" w:eastAsia="zh-CN"/>
        </w:rPr>
        <w:t>55.36</w:t>
      </w:r>
      <w:r>
        <w:rPr>
          <w:rFonts w:hint="eastAsia" w:ascii="宋体" w:hAnsi="宋体" w:eastAsia="宋体"/>
          <w:color w:val="auto"/>
          <w:sz w:val="32"/>
          <w:szCs w:val="32"/>
        </w:rPr>
        <w:t>万元，占</w:t>
      </w:r>
      <w:r>
        <w:rPr>
          <w:rFonts w:hint="eastAsia" w:ascii="宋体" w:hAnsi="宋体" w:eastAsia="宋体"/>
          <w:color w:val="auto"/>
          <w:sz w:val="32"/>
          <w:szCs w:val="32"/>
          <w:lang w:val="en-US" w:eastAsia="zh-CN"/>
        </w:rPr>
        <w:t>0.68</w:t>
      </w:r>
      <w:r>
        <w:rPr>
          <w:rFonts w:ascii="宋体" w:hAnsi="宋体" w:eastAsia="宋体"/>
          <w:color w:val="auto"/>
          <w:sz w:val="32"/>
          <w:szCs w:val="32"/>
        </w:rPr>
        <w:t>%</w:t>
      </w:r>
      <w:r>
        <w:rPr>
          <w:rFonts w:hint="eastAsia" w:ascii="宋体" w:hAnsi="宋体" w:eastAsia="宋体"/>
          <w:color w:val="auto"/>
          <w:sz w:val="32"/>
          <w:szCs w:val="32"/>
        </w:rPr>
        <w:t>；公共安全支出</w:t>
      </w:r>
      <w:r>
        <w:rPr>
          <w:rFonts w:hint="eastAsia" w:ascii="宋体" w:hAnsi="宋体" w:eastAsia="宋体"/>
          <w:color w:val="auto"/>
          <w:sz w:val="32"/>
          <w:szCs w:val="32"/>
          <w:lang w:val="en-US" w:eastAsia="zh-CN"/>
        </w:rPr>
        <w:t>7794.17</w:t>
      </w:r>
      <w:r>
        <w:rPr>
          <w:rFonts w:hint="eastAsia" w:ascii="宋体" w:hAnsi="宋体" w:eastAsia="宋体"/>
          <w:color w:val="auto"/>
          <w:sz w:val="32"/>
          <w:szCs w:val="32"/>
        </w:rPr>
        <w:t>万元，占</w:t>
      </w:r>
      <w:r>
        <w:rPr>
          <w:rFonts w:hint="eastAsia" w:ascii="宋体" w:hAnsi="宋体" w:eastAsia="宋体"/>
          <w:color w:val="auto"/>
          <w:sz w:val="32"/>
          <w:szCs w:val="32"/>
          <w:lang w:val="en-US" w:eastAsia="zh-CN"/>
        </w:rPr>
        <w:t>95.60</w:t>
      </w:r>
      <w:r>
        <w:rPr>
          <w:rFonts w:ascii="宋体" w:hAnsi="宋体" w:eastAsia="宋体"/>
          <w:color w:val="auto"/>
          <w:sz w:val="32"/>
          <w:szCs w:val="32"/>
        </w:rPr>
        <w:t>%;</w:t>
      </w:r>
      <w:r>
        <w:rPr>
          <w:rFonts w:hint="eastAsia" w:ascii="宋体" w:hAnsi="宋体" w:eastAsia="宋体"/>
          <w:color w:val="auto"/>
          <w:sz w:val="32"/>
          <w:szCs w:val="32"/>
        </w:rPr>
        <w:t>社会保障及就业支出</w:t>
      </w:r>
      <w:r>
        <w:rPr>
          <w:rFonts w:hint="eastAsia" w:ascii="宋体" w:hAnsi="宋体" w:eastAsia="宋体"/>
          <w:color w:val="auto"/>
          <w:sz w:val="32"/>
          <w:szCs w:val="32"/>
          <w:lang w:val="en-US" w:eastAsia="zh-CN"/>
        </w:rPr>
        <w:t>242.59</w:t>
      </w:r>
      <w:r>
        <w:rPr>
          <w:rFonts w:hint="eastAsia" w:ascii="宋体" w:hAnsi="宋体" w:eastAsia="宋体"/>
          <w:color w:val="auto"/>
          <w:sz w:val="32"/>
          <w:szCs w:val="32"/>
        </w:rPr>
        <w:t>万元，占</w:t>
      </w:r>
      <w:r>
        <w:rPr>
          <w:rFonts w:hint="eastAsia" w:ascii="宋体" w:hAnsi="宋体" w:eastAsia="宋体"/>
          <w:color w:val="auto"/>
          <w:sz w:val="32"/>
          <w:szCs w:val="32"/>
          <w:lang w:val="en-US" w:eastAsia="zh-CN"/>
        </w:rPr>
        <w:t>2.98</w:t>
      </w:r>
      <w:r>
        <w:rPr>
          <w:rFonts w:ascii="宋体" w:hAnsi="宋体" w:eastAsia="宋体"/>
          <w:color w:val="auto"/>
          <w:sz w:val="32"/>
          <w:szCs w:val="32"/>
        </w:rPr>
        <w:t>%;</w:t>
      </w:r>
      <w:r>
        <w:rPr>
          <w:rFonts w:hint="eastAsia" w:ascii="宋体" w:hAnsi="宋体" w:eastAsia="宋体"/>
          <w:color w:val="auto"/>
          <w:sz w:val="32"/>
          <w:szCs w:val="32"/>
        </w:rPr>
        <w:t>卫生健康支出</w:t>
      </w:r>
      <w:r>
        <w:rPr>
          <w:rFonts w:hint="eastAsia" w:ascii="宋体" w:hAnsi="宋体" w:eastAsia="宋体"/>
          <w:color w:val="auto"/>
          <w:sz w:val="32"/>
          <w:szCs w:val="32"/>
          <w:lang w:val="en-US" w:eastAsia="zh-CN"/>
        </w:rPr>
        <w:t>60.34</w:t>
      </w:r>
      <w:r>
        <w:rPr>
          <w:rFonts w:hint="eastAsia" w:ascii="宋体" w:hAnsi="宋体" w:eastAsia="宋体"/>
          <w:color w:val="auto"/>
          <w:sz w:val="32"/>
          <w:szCs w:val="32"/>
        </w:rPr>
        <w:t>万元，占</w:t>
      </w:r>
      <w:r>
        <w:rPr>
          <w:rFonts w:hint="eastAsia" w:ascii="宋体" w:hAnsi="宋体" w:eastAsia="宋体"/>
          <w:color w:val="auto"/>
          <w:sz w:val="32"/>
          <w:szCs w:val="32"/>
          <w:lang w:val="en-US" w:eastAsia="zh-CN"/>
        </w:rPr>
        <w:t>0.74</w:t>
      </w:r>
      <w:r>
        <w:rPr>
          <w:rFonts w:ascii="宋体" w:hAnsi="宋体" w:eastAsia="宋体"/>
          <w:color w:val="auto"/>
          <w:sz w:val="32"/>
          <w:szCs w:val="32"/>
        </w:rPr>
        <w:t>%</w:t>
      </w:r>
      <w:r>
        <w:rPr>
          <w:rFonts w:hint="eastAsia" w:ascii="宋体" w:hAnsi="宋体" w:eastAsia="宋体"/>
          <w:color w:val="auto"/>
          <w:sz w:val="32"/>
          <w:szCs w:val="32"/>
        </w:rPr>
        <w:t>。</w:t>
      </w:r>
    </w:p>
    <w:p>
      <w:pPr>
        <w:pStyle w:val="11"/>
        <w:ind w:firstLine="800" w:firstLineChars="250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（三）财政拨款支出决算具体情况</w:t>
      </w:r>
    </w:p>
    <w:p>
      <w:pPr>
        <w:pStyle w:val="11"/>
        <w:ind w:firstLine="800" w:firstLineChars="25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2021年度财政拨款支出年初预算数为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2017.26</w:t>
      </w:r>
      <w:r>
        <w:rPr>
          <w:rFonts w:hint="eastAsia" w:asciiTheme="minorEastAsia" w:hAnsiTheme="minorEastAsia" w:eastAsiaTheme="minorEastAsia"/>
          <w:sz w:val="32"/>
          <w:szCs w:val="32"/>
        </w:rPr>
        <w:t>万元，支出决算数为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8152.46</w:t>
      </w:r>
      <w:r>
        <w:rPr>
          <w:rFonts w:hint="eastAsia" w:asciiTheme="minorEastAsia" w:hAnsiTheme="minorEastAsia" w:eastAsiaTheme="minorEastAsia"/>
          <w:sz w:val="32"/>
          <w:szCs w:val="32"/>
        </w:rPr>
        <w:t>万元，完成年初预算的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404.14</w:t>
      </w:r>
      <w:r>
        <w:rPr>
          <w:rFonts w:hint="eastAsia" w:asciiTheme="minorEastAsia" w:hAnsiTheme="minorEastAsia" w:eastAsiaTheme="minorEastAsia"/>
          <w:sz w:val="32"/>
          <w:szCs w:val="32"/>
        </w:rPr>
        <w:t>%，其中：</w:t>
      </w:r>
    </w:p>
    <w:p>
      <w:pPr>
        <w:pStyle w:val="11"/>
        <w:numPr>
          <w:ilvl w:val="0"/>
          <w:numId w:val="2"/>
        </w:numPr>
        <w:spacing w:line="600" w:lineRule="exact"/>
        <w:ind w:firstLine="800" w:firstLineChars="25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一般公共服务支出（类）其他一般公共服务支出（款）其他一般公共服务支出（项）</w:t>
      </w:r>
    </w:p>
    <w:p>
      <w:pPr>
        <w:pStyle w:val="11"/>
        <w:spacing w:line="600" w:lineRule="exact"/>
        <w:ind w:firstLine="960" w:firstLineChars="3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年初预算为0，支出决算为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55.36</w:t>
      </w:r>
      <w:r>
        <w:rPr>
          <w:rFonts w:hint="eastAsia" w:asciiTheme="minorEastAsia" w:hAnsiTheme="minorEastAsia" w:eastAsiaTheme="minorEastAsia"/>
          <w:sz w:val="32"/>
          <w:szCs w:val="32"/>
        </w:rPr>
        <w:t>万元，决算数大于年初预算数的主要原因是：</w:t>
      </w:r>
      <w:r>
        <w:rPr>
          <w:rFonts w:hint="eastAsia" w:asciiTheme="minorEastAsia" w:hAnsiTheme="minorEastAsia" w:eastAsiaTheme="minorEastAsia"/>
          <w:sz w:val="32"/>
          <w:szCs w:val="32"/>
          <w:lang w:eastAsia="zh-CN"/>
        </w:rPr>
        <w:t>人民</w:t>
      </w:r>
      <w:r>
        <w:rPr>
          <w:rFonts w:hint="eastAsia" w:asciiTheme="minorEastAsia" w:hAnsiTheme="minorEastAsia" w:eastAsiaTheme="minorEastAsia"/>
          <w:sz w:val="32"/>
          <w:szCs w:val="32"/>
        </w:rPr>
        <w:t>警察</w:t>
      </w:r>
      <w:r>
        <w:rPr>
          <w:rFonts w:hint="eastAsia" w:asciiTheme="minorEastAsia" w:hAnsiTheme="minorEastAsia" w:eastAsiaTheme="minorEastAsia"/>
          <w:sz w:val="32"/>
          <w:szCs w:val="32"/>
          <w:lang w:eastAsia="zh-CN"/>
        </w:rPr>
        <w:t>岗位</w:t>
      </w:r>
      <w:r>
        <w:rPr>
          <w:rFonts w:hint="eastAsia" w:asciiTheme="minorEastAsia" w:hAnsiTheme="minorEastAsia" w:eastAsiaTheme="minorEastAsia"/>
          <w:sz w:val="32"/>
          <w:szCs w:val="32"/>
        </w:rPr>
        <w:t>执勤津贴为追加，未纳入年初预算。</w:t>
      </w:r>
    </w:p>
    <w:p>
      <w:pPr>
        <w:pStyle w:val="11"/>
        <w:spacing w:line="600" w:lineRule="exact"/>
        <w:ind w:firstLine="800" w:firstLineChars="25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2、公共安全支出（类）强制隔离戒毒（款）行政运行（项）</w:t>
      </w:r>
    </w:p>
    <w:p>
      <w:pPr>
        <w:pStyle w:val="11"/>
        <w:spacing w:line="600" w:lineRule="exact"/>
        <w:ind w:firstLine="960" w:firstLineChars="3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年初预算为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1389.85</w:t>
      </w:r>
      <w:r>
        <w:rPr>
          <w:rFonts w:hint="eastAsia" w:asciiTheme="minorEastAsia" w:hAnsiTheme="minorEastAsia" w:eastAsiaTheme="minorEastAsia"/>
          <w:sz w:val="32"/>
          <w:szCs w:val="32"/>
        </w:rPr>
        <w:t>万元，支出决算为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1735.66</w:t>
      </w:r>
      <w:r>
        <w:rPr>
          <w:rFonts w:hint="eastAsia" w:asciiTheme="minorEastAsia" w:hAnsiTheme="minorEastAsia" w:eastAsiaTheme="minorEastAsia"/>
          <w:sz w:val="32"/>
          <w:szCs w:val="32"/>
        </w:rPr>
        <w:t>万元，完成年初预算的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124.88</w:t>
      </w:r>
      <w:r>
        <w:rPr>
          <w:rFonts w:hint="eastAsia" w:asciiTheme="minorEastAsia" w:hAnsiTheme="minorEastAsia" w:eastAsiaTheme="minorEastAsia"/>
          <w:sz w:val="32"/>
          <w:szCs w:val="32"/>
        </w:rPr>
        <w:t>%，决算数大于年初预算数的主要原因是：在职及提退人员绩效奖未纳入预算。</w:t>
      </w:r>
    </w:p>
    <w:p>
      <w:pPr>
        <w:pStyle w:val="11"/>
        <w:spacing w:line="600" w:lineRule="exact"/>
        <w:ind w:firstLine="800" w:firstLineChars="25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3、公共安全支出（类）强制隔离戒毒（款）强制隔离戒毒人员生活（项）</w:t>
      </w:r>
    </w:p>
    <w:p>
      <w:pPr>
        <w:pStyle w:val="11"/>
        <w:spacing w:line="600" w:lineRule="exact"/>
        <w:ind w:firstLine="960" w:firstLineChars="3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年初预算为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340.2</w:t>
      </w:r>
      <w:r>
        <w:rPr>
          <w:rFonts w:hint="eastAsia" w:asciiTheme="minorEastAsia" w:hAnsiTheme="minorEastAsia" w:eastAsiaTheme="minorEastAsia"/>
          <w:sz w:val="32"/>
          <w:szCs w:val="32"/>
        </w:rPr>
        <w:t>万元，支出决算为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249.93</w:t>
      </w:r>
      <w:r>
        <w:rPr>
          <w:rFonts w:hint="eastAsia" w:asciiTheme="minorEastAsia" w:hAnsiTheme="minorEastAsia" w:eastAsiaTheme="minorEastAsia"/>
          <w:sz w:val="32"/>
          <w:szCs w:val="32"/>
        </w:rPr>
        <w:t>万元，完成年初预算的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73.47</w:t>
      </w:r>
      <w:r>
        <w:rPr>
          <w:rFonts w:hint="eastAsia" w:asciiTheme="minorEastAsia" w:hAnsiTheme="minorEastAsia" w:eastAsiaTheme="minorEastAsia"/>
          <w:sz w:val="32"/>
          <w:szCs w:val="32"/>
        </w:rPr>
        <w:t>%,决算数</w:t>
      </w:r>
      <w:r>
        <w:rPr>
          <w:rFonts w:hint="eastAsia" w:asciiTheme="minorEastAsia" w:hAnsiTheme="minorEastAsia" w:eastAsiaTheme="minorEastAsia"/>
          <w:sz w:val="32"/>
          <w:szCs w:val="32"/>
          <w:lang w:eastAsia="zh-CN"/>
        </w:rPr>
        <w:t>小</w:t>
      </w:r>
      <w:r>
        <w:rPr>
          <w:rFonts w:hint="eastAsia" w:asciiTheme="minorEastAsia" w:hAnsiTheme="minorEastAsia" w:eastAsiaTheme="minorEastAsia"/>
          <w:sz w:val="32"/>
          <w:szCs w:val="32"/>
        </w:rPr>
        <w:t>于年初预算数</w:t>
      </w:r>
      <w:r>
        <w:rPr>
          <w:rFonts w:hint="eastAsia" w:asciiTheme="minorEastAsia" w:hAnsiTheme="minorEastAsia" w:eastAsiaTheme="minorEastAsia"/>
          <w:sz w:val="32"/>
          <w:szCs w:val="32"/>
          <w:lang w:eastAsia="zh-CN"/>
        </w:rPr>
        <w:t>的主要原因是未完成整体搬迁，戒毒人员收治数量未达到预期</w:t>
      </w:r>
      <w:r>
        <w:rPr>
          <w:rFonts w:hint="eastAsia" w:asciiTheme="minorEastAsia" w:hAnsiTheme="minorEastAsia" w:eastAsiaTheme="minorEastAsia"/>
          <w:sz w:val="32"/>
          <w:szCs w:val="32"/>
        </w:rPr>
        <w:t>。</w:t>
      </w:r>
    </w:p>
    <w:p>
      <w:pPr>
        <w:pStyle w:val="11"/>
        <w:numPr>
          <w:ilvl w:val="0"/>
          <w:numId w:val="3"/>
        </w:numPr>
        <w:spacing w:line="600" w:lineRule="exact"/>
        <w:ind w:firstLine="800" w:firstLineChars="250"/>
        <w:rPr>
          <w:rFonts w:hint="eastAsia"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公共安全支出（类）强制隔离戒毒（款）强制隔离戒毒人员</w:t>
      </w:r>
      <w:r>
        <w:rPr>
          <w:rFonts w:hint="eastAsia" w:asciiTheme="minorEastAsia" w:hAnsiTheme="minorEastAsia" w:eastAsiaTheme="minorEastAsia"/>
          <w:sz w:val="32"/>
          <w:szCs w:val="32"/>
          <w:lang w:eastAsia="zh-CN"/>
        </w:rPr>
        <w:t>教育</w:t>
      </w:r>
      <w:r>
        <w:rPr>
          <w:rFonts w:hint="eastAsia" w:asciiTheme="minorEastAsia" w:hAnsiTheme="minorEastAsia" w:eastAsiaTheme="minorEastAsia"/>
          <w:sz w:val="32"/>
          <w:szCs w:val="32"/>
        </w:rPr>
        <w:t>（项）</w:t>
      </w:r>
    </w:p>
    <w:p>
      <w:pPr>
        <w:pStyle w:val="11"/>
        <w:widowControl w:val="0"/>
        <w:numPr>
          <w:ilvl w:val="0"/>
          <w:numId w:val="0"/>
        </w:numPr>
        <w:autoSpaceDE w:val="0"/>
        <w:autoSpaceDN w:val="0"/>
        <w:adjustRightInd w:val="0"/>
        <w:spacing w:line="600" w:lineRule="exact"/>
        <w:rPr>
          <w:rFonts w:hint="default" w:asciiTheme="minorEastAsia" w:hAnsiTheme="minorEastAsia" w:eastAsia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/>
          <w:sz w:val="32"/>
          <w:szCs w:val="32"/>
        </w:rPr>
        <w:t>年初预算为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59.22</w:t>
      </w:r>
      <w:r>
        <w:rPr>
          <w:rFonts w:hint="eastAsia" w:asciiTheme="minorEastAsia" w:hAnsiTheme="minorEastAsia" w:eastAsiaTheme="minorEastAsia"/>
          <w:sz w:val="32"/>
          <w:szCs w:val="32"/>
        </w:rPr>
        <w:t>万元，支出决算为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35.96</w:t>
      </w:r>
      <w:r>
        <w:rPr>
          <w:rFonts w:hint="eastAsia" w:asciiTheme="minorEastAsia" w:hAnsiTheme="minorEastAsia" w:eastAsiaTheme="minorEastAsia"/>
          <w:sz w:val="32"/>
          <w:szCs w:val="32"/>
        </w:rPr>
        <w:t>万元，完成年初预算的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60.72</w:t>
      </w:r>
      <w:r>
        <w:rPr>
          <w:rFonts w:hint="eastAsia" w:asciiTheme="minorEastAsia" w:hAnsiTheme="minorEastAsia" w:eastAsiaTheme="minorEastAsia"/>
          <w:sz w:val="32"/>
          <w:szCs w:val="32"/>
        </w:rPr>
        <w:t>%,决算数</w:t>
      </w:r>
      <w:r>
        <w:rPr>
          <w:rFonts w:hint="eastAsia" w:asciiTheme="minorEastAsia" w:hAnsiTheme="minorEastAsia" w:eastAsiaTheme="minorEastAsia"/>
          <w:sz w:val="32"/>
          <w:szCs w:val="32"/>
          <w:lang w:eastAsia="zh-CN"/>
        </w:rPr>
        <w:t>小</w:t>
      </w:r>
      <w:r>
        <w:rPr>
          <w:rFonts w:hint="eastAsia" w:asciiTheme="minorEastAsia" w:hAnsiTheme="minorEastAsia" w:eastAsiaTheme="minorEastAsia"/>
          <w:sz w:val="32"/>
          <w:szCs w:val="32"/>
        </w:rPr>
        <w:t>于年初预算数</w:t>
      </w:r>
      <w:r>
        <w:rPr>
          <w:rFonts w:hint="eastAsia" w:asciiTheme="minorEastAsia" w:hAnsiTheme="minorEastAsia" w:eastAsiaTheme="minorEastAsia"/>
          <w:sz w:val="32"/>
          <w:szCs w:val="32"/>
          <w:lang w:eastAsia="zh-CN"/>
        </w:rPr>
        <w:t>的主要原因是未完成整体搬迁，戒毒人员收治数量未达到预期</w:t>
      </w:r>
      <w:r>
        <w:rPr>
          <w:rFonts w:hint="eastAsia" w:asciiTheme="minorEastAsia" w:hAnsiTheme="minorEastAsia" w:eastAsiaTheme="minorEastAsia"/>
          <w:sz w:val="32"/>
          <w:szCs w:val="32"/>
        </w:rPr>
        <w:t>。</w:t>
      </w:r>
    </w:p>
    <w:p>
      <w:pPr>
        <w:pStyle w:val="11"/>
        <w:spacing w:line="600" w:lineRule="exact"/>
        <w:ind w:firstLine="960" w:firstLineChars="3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5、公共安全支出（类）强制隔离戒毒（款）所政设施建设（项）</w:t>
      </w:r>
    </w:p>
    <w:p>
      <w:pPr>
        <w:pStyle w:val="11"/>
        <w:spacing w:line="600" w:lineRule="exact"/>
        <w:ind w:firstLine="960" w:firstLineChars="3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年初预算为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31.5</w:t>
      </w:r>
      <w:r>
        <w:rPr>
          <w:rFonts w:hint="eastAsia" w:asciiTheme="minorEastAsia" w:hAnsiTheme="minorEastAsia" w:eastAsiaTheme="minorEastAsia"/>
          <w:sz w:val="32"/>
          <w:szCs w:val="32"/>
        </w:rPr>
        <w:t>万元，支出决算为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2758.08</w:t>
      </w:r>
      <w:r>
        <w:rPr>
          <w:rFonts w:hint="eastAsia" w:asciiTheme="minorEastAsia" w:hAnsiTheme="minorEastAsia" w:eastAsiaTheme="minorEastAsia"/>
          <w:sz w:val="32"/>
          <w:szCs w:val="32"/>
        </w:rPr>
        <w:t>万元，决算数大于年初预算数的主要原因是：</w:t>
      </w:r>
      <w:r>
        <w:rPr>
          <w:rFonts w:hint="eastAsia" w:asciiTheme="minorEastAsia" w:hAnsiTheme="minorEastAsia" w:eastAsiaTheme="minorEastAsia"/>
          <w:sz w:val="32"/>
          <w:szCs w:val="32"/>
          <w:lang w:eastAsia="zh-CN"/>
        </w:rPr>
        <w:t>支出中大部分为结转以前年度的基建项目经费</w:t>
      </w:r>
      <w:r>
        <w:rPr>
          <w:rFonts w:hint="eastAsia" w:asciiTheme="minorEastAsia" w:hAnsiTheme="minorEastAsia" w:eastAsiaTheme="minorEastAsia"/>
          <w:sz w:val="32"/>
          <w:szCs w:val="32"/>
        </w:rPr>
        <w:t>。</w:t>
      </w:r>
    </w:p>
    <w:p>
      <w:pPr>
        <w:pStyle w:val="11"/>
        <w:spacing w:line="600" w:lineRule="exact"/>
        <w:ind w:firstLine="800" w:firstLineChars="25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6、公共安全支出（类）强制隔离戒毒（款）其他强制隔离戒毒支出（项）</w:t>
      </w:r>
    </w:p>
    <w:p>
      <w:pPr>
        <w:pStyle w:val="11"/>
        <w:spacing w:line="600" w:lineRule="exact"/>
        <w:ind w:firstLine="800" w:firstLineChars="25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年初预算为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57.33</w:t>
      </w:r>
      <w:r>
        <w:rPr>
          <w:rFonts w:hint="eastAsia" w:asciiTheme="minorEastAsia" w:hAnsiTheme="minorEastAsia" w:eastAsiaTheme="minorEastAsia"/>
          <w:sz w:val="32"/>
          <w:szCs w:val="32"/>
        </w:rPr>
        <w:t>万元，支出决算为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3014.54</w:t>
      </w:r>
      <w:r>
        <w:rPr>
          <w:rFonts w:hint="eastAsia" w:asciiTheme="minorEastAsia" w:hAnsiTheme="minorEastAsia" w:eastAsiaTheme="minorEastAsia"/>
          <w:sz w:val="32"/>
          <w:szCs w:val="32"/>
        </w:rPr>
        <w:t>万元，决算数大于年初预算数的主要原因是：</w:t>
      </w:r>
      <w:r>
        <w:rPr>
          <w:rFonts w:hint="eastAsia" w:asciiTheme="minorEastAsia" w:hAnsiTheme="minorEastAsia" w:eastAsiaTheme="minorEastAsia"/>
          <w:sz w:val="32"/>
          <w:szCs w:val="32"/>
          <w:lang w:eastAsia="zh-CN"/>
        </w:rPr>
        <w:t>有政府性债券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3000万元为</w:t>
      </w:r>
      <w:r>
        <w:rPr>
          <w:rFonts w:hint="eastAsia" w:asciiTheme="minorEastAsia" w:hAnsiTheme="minorEastAsia" w:eastAsiaTheme="minorEastAsia"/>
          <w:sz w:val="32"/>
          <w:szCs w:val="32"/>
          <w:lang w:eastAsia="zh-CN"/>
        </w:rPr>
        <w:t>追加的基建项目经费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。</w:t>
      </w:r>
    </w:p>
    <w:p>
      <w:pPr>
        <w:pStyle w:val="11"/>
        <w:spacing w:line="600" w:lineRule="exact"/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7、社会保障和就业支出（类）行政事业单位离退休（款）行政单位离退休（项）</w:t>
      </w:r>
    </w:p>
    <w:p>
      <w:pPr>
        <w:pStyle w:val="11"/>
        <w:ind w:firstLine="800" w:firstLineChars="25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年初预算为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139.16</w:t>
      </w:r>
      <w:r>
        <w:rPr>
          <w:rFonts w:hint="eastAsia" w:asciiTheme="minorEastAsia" w:hAnsiTheme="minorEastAsia" w:eastAsiaTheme="minorEastAsia"/>
          <w:sz w:val="32"/>
          <w:szCs w:val="32"/>
        </w:rPr>
        <w:t>万元，支出决算为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13.99</w:t>
      </w:r>
      <w:r>
        <w:rPr>
          <w:rFonts w:hint="eastAsia" w:asciiTheme="minorEastAsia" w:hAnsiTheme="minorEastAsia" w:eastAsiaTheme="minorEastAsia"/>
          <w:sz w:val="32"/>
          <w:szCs w:val="32"/>
        </w:rPr>
        <w:t>万元，决算数小于年初预算数。主要原因是：</w:t>
      </w:r>
      <w:r>
        <w:rPr>
          <w:rFonts w:hint="eastAsia" w:asciiTheme="minorEastAsia" w:hAnsiTheme="minorEastAsia" w:eastAsiaTheme="minorEastAsia"/>
          <w:sz w:val="32"/>
          <w:szCs w:val="32"/>
          <w:lang w:eastAsia="zh-CN"/>
        </w:rPr>
        <w:t>提前</w:t>
      </w:r>
      <w:r>
        <w:rPr>
          <w:rFonts w:hint="eastAsia" w:asciiTheme="minorEastAsia" w:hAnsiTheme="minorEastAsia" w:eastAsiaTheme="minorEastAsia"/>
          <w:sz w:val="32"/>
          <w:szCs w:val="32"/>
        </w:rPr>
        <w:t>退休人员工资和在职人员工资一起下拨，不以此功能科目。</w:t>
      </w:r>
    </w:p>
    <w:p>
      <w:pPr>
        <w:pStyle w:val="11"/>
        <w:spacing w:line="600" w:lineRule="exact"/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8</w:t>
      </w:r>
      <w:r>
        <w:rPr>
          <w:rFonts w:hint="eastAsia" w:asciiTheme="minorEastAsia" w:hAnsiTheme="minorEastAsia" w:eastAsiaTheme="minorEastAsia"/>
          <w:sz w:val="32"/>
          <w:szCs w:val="32"/>
        </w:rPr>
        <w:t>、社会保障和就业支出（类）行政事业单位离退休（款）机关事业单位基本养老保险缴费支出（项）</w:t>
      </w:r>
    </w:p>
    <w:p>
      <w:pPr>
        <w:pStyle w:val="11"/>
        <w:ind w:firstLine="800" w:firstLineChars="250"/>
        <w:rPr>
          <w:rFonts w:ascii="宋体" w:hAnsi="宋体" w:eastAsia="宋体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年初预算为0万元，支出决算为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133.32</w:t>
      </w:r>
      <w:r>
        <w:rPr>
          <w:rFonts w:hint="eastAsia" w:asciiTheme="minorEastAsia" w:hAnsiTheme="minorEastAsia" w:eastAsiaTheme="minorEastAsia"/>
          <w:sz w:val="32"/>
          <w:szCs w:val="32"/>
        </w:rPr>
        <w:t>万元，决算数大于年初预算数，养老保险缴费未纳入年初预算。</w:t>
      </w:r>
    </w:p>
    <w:p>
      <w:pPr>
        <w:pStyle w:val="11"/>
        <w:spacing w:line="600" w:lineRule="exact"/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9、社会保障和就业支出（类）行政事业单位离退休（款）</w:t>
      </w:r>
      <w:r>
        <w:rPr>
          <w:rFonts w:hint="eastAsia" w:asciiTheme="minorEastAsia" w:hAnsiTheme="minorEastAsia" w:eastAsiaTheme="minorEastAsia"/>
          <w:sz w:val="32"/>
          <w:szCs w:val="32"/>
          <w:lang w:eastAsia="zh-CN"/>
        </w:rPr>
        <w:t>其他行政</w:t>
      </w:r>
      <w:r>
        <w:rPr>
          <w:rFonts w:hint="eastAsia" w:asciiTheme="minorEastAsia" w:hAnsiTheme="minorEastAsia" w:eastAsiaTheme="minorEastAsia"/>
          <w:sz w:val="32"/>
          <w:szCs w:val="32"/>
        </w:rPr>
        <w:t>事业单位基本养老支出（项）</w:t>
      </w:r>
    </w:p>
    <w:p>
      <w:pPr>
        <w:pStyle w:val="11"/>
        <w:spacing w:line="600" w:lineRule="exact"/>
        <w:ind w:firstLine="640" w:firstLineChars="200"/>
        <w:rPr>
          <w:rFonts w:hint="eastAsia"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年初预算为0万元，支出决算为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95.28</w:t>
      </w:r>
      <w:r>
        <w:rPr>
          <w:rFonts w:hint="eastAsia" w:asciiTheme="minorEastAsia" w:hAnsiTheme="minorEastAsia" w:eastAsiaTheme="minorEastAsia"/>
          <w:sz w:val="32"/>
          <w:szCs w:val="32"/>
        </w:rPr>
        <w:t>万元，决算数大于年初预算数，养老保险缴费</w:t>
      </w:r>
      <w:r>
        <w:rPr>
          <w:rFonts w:hint="eastAsia" w:asciiTheme="minorEastAsia" w:hAnsiTheme="minorEastAsia" w:eastAsiaTheme="minorEastAsia"/>
          <w:sz w:val="32"/>
          <w:szCs w:val="32"/>
          <w:lang w:eastAsia="zh-CN"/>
        </w:rPr>
        <w:t>补差</w:t>
      </w:r>
      <w:r>
        <w:rPr>
          <w:rFonts w:hint="eastAsia" w:asciiTheme="minorEastAsia" w:hAnsiTheme="minorEastAsia" w:eastAsiaTheme="minorEastAsia"/>
          <w:sz w:val="32"/>
          <w:szCs w:val="32"/>
        </w:rPr>
        <w:t>未纳入年初预算。</w:t>
      </w:r>
    </w:p>
    <w:p>
      <w:pPr>
        <w:pStyle w:val="11"/>
        <w:spacing w:line="600" w:lineRule="exact"/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10、</w:t>
      </w:r>
      <w:r>
        <w:rPr>
          <w:rFonts w:hint="eastAsia" w:asciiTheme="minorEastAsia" w:hAnsiTheme="minorEastAsia" w:eastAsiaTheme="minorEastAsia"/>
          <w:sz w:val="32"/>
          <w:szCs w:val="32"/>
        </w:rPr>
        <w:t>卫生健康支出（类）行政事业单位医疗（款）行政单位医疗（项）</w:t>
      </w:r>
    </w:p>
    <w:p>
      <w:pPr>
        <w:pStyle w:val="11"/>
        <w:ind w:firstLine="800" w:firstLineChars="250"/>
        <w:rPr>
          <w:rFonts w:hint="eastAsia"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年初预算为0万元，支出决算为6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0.34</w:t>
      </w:r>
      <w:r>
        <w:rPr>
          <w:rFonts w:hint="eastAsia" w:asciiTheme="minorEastAsia" w:hAnsiTheme="minorEastAsia" w:eastAsiaTheme="minorEastAsia"/>
          <w:sz w:val="32"/>
          <w:szCs w:val="32"/>
        </w:rPr>
        <w:t>万元，决算数大于年初预算数。主要原因是：医保缴费未纳入年初预算。</w:t>
      </w:r>
    </w:p>
    <w:p>
      <w:pPr>
        <w:pStyle w:val="11"/>
        <w:rPr>
          <w:rFonts w:hAnsi="黑体"/>
          <w:b/>
          <w:sz w:val="32"/>
          <w:szCs w:val="32"/>
        </w:rPr>
      </w:pPr>
      <w:r>
        <w:rPr>
          <w:rFonts w:hint="eastAsia" w:hAnsi="黑体"/>
          <w:b/>
          <w:sz w:val="32"/>
          <w:szCs w:val="32"/>
        </w:rPr>
        <w:t>六、一般公共预算财政拨款基本支出决算情况说明</w:t>
      </w:r>
    </w:p>
    <w:p>
      <w:pPr>
        <w:pStyle w:val="11"/>
        <w:ind w:firstLine="640" w:firstLineChars="200"/>
        <w:rPr>
          <w:rFonts w:hint="eastAsia" w:eastAsia="宋体" w:asciiTheme="minorEastAsia" w:hAnsiTheme="minorEastAsia"/>
          <w:i/>
          <w:color w:val="FF0000"/>
          <w:sz w:val="32"/>
          <w:szCs w:val="32"/>
          <w:lang w:eastAsia="zh-CN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2021年度财政拨款基本支出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2123.95</w:t>
      </w:r>
      <w:r>
        <w:rPr>
          <w:rFonts w:hint="eastAsia" w:asciiTheme="minorEastAsia" w:hAnsiTheme="minorEastAsia" w:eastAsiaTheme="minorEastAsia"/>
          <w:sz w:val="32"/>
          <w:szCs w:val="32"/>
        </w:rPr>
        <w:t>万元，其中：人员经费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1845.27</w:t>
      </w:r>
      <w:r>
        <w:rPr>
          <w:rFonts w:hint="eastAsia" w:asciiTheme="minorEastAsia" w:hAnsiTheme="minorEastAsia" w:eastAsiaTheme="minorEastAsia"/>
          <w:sz w:val="32"/>
          <w:szCs w:val="32"/>
        </w:rPr>
        <w:t>万元，占基本支出的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86.88</w:t>
      </w:r>
      <w:r>
        <w:rPr>
          <w:rFonts w:hint="eastAsia" w:asciiTheme="minorEastAsia" w:hAnsiTheme="minorEastAsia" w:eastAsiaTheme="minorEastAsia"/>
          <w:sz w:val="32"/>
          <w:szCs w:val="32"/>
        </w:rPr>
        <w:t>%,主要包括基本工资、津贴补贴、奖金、伙食补助费</w:t>
      </w:r>
      <w:r>
        <w:rPr>
          <w:rFonts w:hint="eastAsia" w:asciiTheme="minorEastAsia" w:hAnsiTheme="minorEastAsia" w:eastAsiaTheme="minorEastAsia"/>
          <w:sz w:val="32"/>
          <w:szCs w:val="32"/>
          <w:lang w:eastAsia="zh-CN"/>
        </w:rPr>
        <w:t>、</w:t>
      </w:r>
      <w:r>
        <w:rPr>
          <w:rFonts w:hint="eastAsia" w:ascii="宋体" w:hAnsi="宋体" w:eastAsia="宋体"/>
          <w:sz w:val="32"/>
          <w:szCs w:val="32"/>
        </w:rPr>
        <w:t>社会保障缴费、其他工资福利支出等</w:t>
      </w:r>
      <w:r>
        <w:rPr>
          <w:rFonts w:hint="eastAsia" w:asciiTheme="minorEastAsia" w:hAnsiTheme="minorEastAsia" w:eastAsiaTheme="minorEastAsia"/>
          <w:sz w:val="32"/>
          <w:szCs w:val="32"/>
        </w:rPr>
        <w:t>；公用经费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278.68</w:t>
      </w:r>
      <w:r>
        <w:rPr>
          <w:rFonts w:hint="eastAsia" w:asciiTheme="minorEastAsia" w:hAnsiTheme="minorEastAsia" w:eastAsiaTheme="minorEastAsia"/>
          <w:sz w:val="32"/>
          <w:szCs w:val="32"/>
        </w:rPr>
        <w:t>万元，占基本支出的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13.12</w:t>
      </w:r>
      <w:r>
        <w:rPr>
          <w:rFonts w:hint="eastAsia" w:asciiTheme="minorEastAsia" w:hAnsiTheme="minorEastAsia" w:eastAsiaTheme="minorEastAsia"/>
          <w:sz w:val="32"/>
          <w:szCs w:val="32"/>
        </w:rPr>
        <w:t>%，</w:t>
      </w:r>
      <w:r>
        <w:rPr>
          <w:rFonts w:hint="eastAsia" w:ascii="宋体" w:hAnsi="宋体" w:eastAsia="宋体"/>
          <w:sz w:val="32"/>
          <w:szCs w:val="32"/>
        </w:rPr>
        <w:t>主要包括办公费、印刷费、邮电费、差旅费、被装购置费、维修费、其他商品和服务支出等</w:t>
      </w:r>
      <w:r>
        <w:rPr>
          <w:rFonts w:hint="eastAsia" w:ascii="宋体" w:hAnsi="宋体" w:eastAsia="宋体"/>
          <w:sz w:val="32"/>
          <w:szCs w:val="32"/>
          <w:lang w:eastAsia="zh-CN"/>
        </w:rPr>
        <w:t>。</w:t>
      </w:r>
    </w:p>
    <w:p>
      <w:pPr>
        <w:pStyle w:val="11"/>
        <w:rPr>
          <w:rFonts w:hAnsi="黑体"/>
          <w:b/>
          <w:sz w:val="32"/>
          <w:szCs w:val="32"/>
        </w:rPr>
      </w:pPr>
      <w:r>
        <w:rPr>
          <w:rFonts w:hint="eastAsia" w:hAnsi="黑体"/>
          <w:b/>
          <w:sz w:val="32"/>
          <w:szCs w:val="32"/>
        </w:rPr>
        <w:t>七、一般公共预算财政拨款“三公”经费支出决算情况说明</w:t>
      </w:r>
    </w:p>
    <w:p>
      <w:pPr>
        <w:pStyle w:val="11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（一）“三公”经费财政拨款支出决算总体情况说明</w:t>
      </w:r>
    </w:p>
    <w:p>
      <w:pPr>
        <w:pStyle w:val="11"/>
        <w:ind w:firstLine="800" w:firstLineChars="25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2021年度“三公”经费财政拨款支出预算为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49.14</w:t>
      </w:r>
      <w:r>
        <w:rPr>
          <w:rFonts w:hint="eastAsia" w:asciiTheme="minorEastAsia" w:hAnsiTheme="minorEastAsia" w:eastAsiaTheme="minorEastAsia"/>
          <w:sz w:val="32"/>
          <w:szCs w:val="32"/>
        </w:rPr>
        <w:t>万元，支出决算为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17.12</w:t>
      </w:r>
      <w:r>
        <w:rPr>
          <w:rFonts w:hint="eastAsia" w:asciiTheme="minorEastAsia" w:hAnsiTheme="minorEastAsia" w:eastAsiaTheme="minorEastAsia"/>
          <w:sz w:val="32"/>
          <w:szCs w:val="32"/>
        </w:rPr>
        <w:t>万元，完成预算的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34.84</w:t>
      </w:r>
      <w:r>
        <w:rPr>
          <w:rFonts w:hint="eastAsia" w:asciiTheme="minorEastAsia" w:hAnsiTheme="minorEastAsia" w:eastAsiaTheme="minorEastAsia"/>
          <w:sz w:val="32"/>
          <w:szCs w:val="32"/>
        </w:rPr>
        <w:t>%，其中：</w:t>
      </w:r>
    </w:p>
    <w:p>
      <w:pPr>
        <w:pStyle w:val="11"/>
        <w:ind w:firstLine="800" w:firstLineChars="250"/>
        <w:rPr>
          <w:rFonts w:hint="default" w:asciiTheme="minorEastAsia" w:hAnsiTheme="minorEastAsia" w:eastAsia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因公出国（境）费支出预算为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0</w:t>
      </w:r>
      <w:r>
        <w:rPr>
          <w:rFonts w:hint="eastAsia" w:asciiTheme="minorEastAsia" w:hAnsiTheme="minorEastAsia" w:eastAsiaTheme="minorEastAsia"/>
          <w:sz w:val="32"/>
          <w:szCs w:val="32"/>
        </w:rPr>
        <w:t>万元，支出决算为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0</w:t>
      </w:r>
      <w:r>
        <w:rPr>
          <w:rFonts w:hint="eastAsia" w:asciiTheme="minorEastAsia" w:hAnsiTheme="minorEastAsia" w:eastAsiaTheme="minorEastAsia"/>
          <w:sz w:val="32"/>
          <w:szCs w:val="32"/>
        </w:rPr>
        <w:t>万元，完成预算的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0</w:t>
      </w:r>
      <w:r>
        <w:rPr>
          <w:rFonts w:hint="eastAsia" w:asciiTheme="minorEastAsia" w:hAnsiTheme="minorEastAsia" w:eastAsiaTheme="minorEastAsia"/>
          <w:sz w:val="32"/>
          <w:szCs w:val="32"/>
        </w:rPr>
        <w:t>%，决算数等于预算数，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无发生额，因此</w:t>
      </w:r>
      <w:r>
        <w:rPr>
          <w:rFonts w:hint="eastAsia" w:asciiTheme="minorEastAsia" w:hAnsiTheme="minorEastAsia" w:eastAsiaTheme="minorEastAsia"/>
          <w:sz w:val="32"/>
          <w:szCs w:val="32"/>
        </w:rPr>
        <w:t>与上年持平。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主要原因无因公出国安排。</w:t>
      </w:r>
    </w:p>
    <w:p>
      <w:pPr>
        <w:pStyle w:val="11"/>
        <w:ind w:firstLine="800" w:firstLineChars="25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公务接待费支出预算为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30.24</w:t>
      </w:r>
      <w:r>
        <w:rPr>
          <w:rFonts w:hint="eastAsia" w:asciiTheme="minorEastAsia" w:hAnsiTheme="minorEastAsia" w:eastAsiaTheme="minorEastAsia"/>
          <w:sz w:val="32"/>
          <w:szCs w:val="32"/>
        </w:rPr>
        <w:t>万元，支出决算为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0.6</w:t>
      </w:r>
      <w:r>
        <w:rPr>
          <w:rFonts w:hint="eastAsia" w:asciiTheme="minorEastAsia" w:hAnsiTheme="minorEastAsia" w:eastAsiaTheme="minorEastAsia"/>
          <w:sz w:val="32"/>
          <w:szCs w:val="32"/>
        </w:rPr>
        <w:t>万元，完成预算的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1.98</w:t>
      </w:r>
      <w:r>
        <w:rPr>
          <w:rFonts w:hint="eastAsia" w:asciiTheme="minorEastAsia" w:hAnsiTheme="minorEastAsia" w:eastAsiaTheme="minorEastAsia"/>
          <w:sz w:val="32"/>
          <w:szCs w:val="32"/>
        </w:rPr>
        <w:t>%，决算数小于预算数的</w:t>
      </w:r>
      <w:r>
        <w:rPr>
          <w:rFonts w:hint="eastAsia" w:ascii="宋体" w:hAnsi="宋体" w:eastAsia="宋体"/>
          <w:sz w:val="32"/>
          <w:szCs w:val="32"/>
        </w:rPr>
        <w:t>主要原因是厉行节约</w:t>
      </w:r>
      <w:r>
        <w:rPr>
          <w:rFonts w:hint="eastAsia" w:asciiTheme="minorEastAsia" w:hAnsiTheme="minorEastAsia" w:eastAsiaTheme="minorEastAsia"/>
          <w:sz w:val="32"/>
          <w:szCs w:val="32"/>
        </w:rPr>
        <w:t>，与上年相比减少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0.09</w:t>
      </w:r>
      <w:r>
        <w:rPr>
          <w:rFonts w:hint="eastAsia" w:asciiTheme="minorEastAsia" w:hAnsiTheme="minorEastAsia" w:eastAsiaTheme="minorEastAsia"/>
          <w:sz w:val="32"/>
          <w:szCs w:val="32"/>
        </w:rPr>
        <w:t>万元，减少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13.04</w:t>
      </w:r>
      <w:r>
        <w:rPr>
          <w:rFonts w:hint="eastAsia" w:asciiTheme="minorEastAsia" w:hAnsiTheme="minorEastAsia" w:eastAsiaTheme="minorEastAsia"/>
          <w:sz w:val="32"/>
          <w:szCs w:val="32"/>
        </w:rPr>
        <w:t>%,减少的</w:t>
      </w:r>
      <w:r>
        <w:rPr>
          <w:rFonts w:hint="eastAsia" w:asciiTheme="minorEastAsia" w:hAnsiTheme="minorEastAsia" w:eastAsiaTheme="minorEastAsia"/>
          <w:sz w:val="32"/>
          <w:szCs w:val="32"/>
          <w:lang w:eastAsia="zh-CN"/>
        </w:rPr>
        <w:t>主要原因</w:t>
      </w:r>
      <w:r>
        <w:rPr>
          <w:rFonts w:hint="eastAsia" w:ascii="宋体" w:hAnsi="宋体" w:eastAsia="宋体"/>
          <w:sz w:val="32"/>
          <w:szCs w:val="32"/>
        </w:rPr>
        <w:t>是坚持发扬厉行节约风格</w:t>
      </w:r>
      <w:r>
        <w:rPr>
          <w:rFonts w:hint="eastAsia" w:asciiTheme="minorEastAsia" w:hAnsiTheme="minorEastAsia" w:eastAsiaTheme="minorEastAsia"/>
          <w:sz w:val="32"/>
          <w:szCs w:val="32"/>
        </w:rPr>
        <w:t>。</w:t>
      </w:r>
    </w:p>
    <w:p>
      <w:pPr>
        <w:pStyle w:val="11"/>
        <w:ind w:firstLine="960" w:firstLineChars="3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公务用车购置费支出预算为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0</w:t>
      </w:r>
      <w:r>
        <w:rPr>
          <w:rFonts w:hint="eastAsia" w:asciiTheme="minorEastAsia" w:hAnsiTheme="minorEastAsia" w:eastAsiaTheme="minorEastAsia"/>
          <w:sz w:val="32"/>
          <w:szCs w:val="32"/>
        </w:rPr>
        <w:t>万元，支出决算为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0</w:t>
      </w:r>
      <w:r>
        <w:rPr>
          <w:rFonts w:hint="eastAsia" w:asciiTheme="minorEastAsia" w:hAnsiTheme="minorEastAsia" w:eastAsiaTheme="minorEastAsia"/>
          <w:sz w:val="32"/>
          <w:szCs w:val="32"/>
        </w:rPr>
        <w:t>万元，完成预算的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0</w:t>
      </w:r>
      <w:r>
        <w:rPr>
          <w:rFonts w:hint="eastAsia" w:asciiTheme="minorEastAsia" w:hAnsiTheme="minorEastAsia" w:eastAsiaTheme="minorEastAsia"/>
          <w:sz w:val="32"/>
          <w:szCs w:val="32"/>
        </w:rPr>
        <w:t>%，决算数等于预算数，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无发生额，因此</w:t>
      </w:r>
      <w:r>
        <w:rPr>
          <w:rFonts w:hint="eastAsia" w:asciiTheme="minorEastAsia" w:hAnsiTheme="minorEastAsia" w:eastAsiaTheme="minorEastAsia"/>
          <w:sz w:val="32"/>
          <w:szCs w:val="32"/>
        </w:rPr>
        <w:t>与上年持平。</w:t>
      </w:r>
    </w:p>
    <w:p>
      <w:pPr>
        <w:pStyle w:val="11"/>
        <w:ind w:firstLine="960" w:firstLineChars="3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公务用车运行维护费支出预算为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18.9</w:t>
      </w:r>
      <w:r>
        <w:rPr>
          <w:rFonts w:hint="eastAsia" w:asciiTheme="minorEastAsia" w:hAnsiTheme="minorEastAsia" w:eastAsiaTheme="minorEastAsia"/>
          <w:sz w:val="32"/>
          <w:szCs w:val="32"/>
        </w:rPr>
        <w:t>万元，支出决算为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16.52</w:t>
      </w:r>
      <w:r>
        <w:rPr>
          <w:rFonts w:hint="eastAsia" w:asciiTheme="minorEastAsia" w:hAnsiTheme="minorEastAsia" w:eastAsiaTheme="minorEastAsia"/>
          <w:sz w:val="32"/>
          <w:szCs w:val="32"/>
        </w:rPr>
        <w:t>万元，完成预算的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87.41</w:t>
      </w:r>
      <w:r>
        <w:rPr>
          <w:rFonts w:hint="eastAsia" w:asciiTheme="minorEastAsia" w:hAnsiTheme="minorEastAsia" w:eastAsiaTheme="minorEastAsia"/>
          <w:sz w:val="32"/>
          <w:szCs w:val="32"/>
        </w:rPr>
        <w:t>%，决算数小于预算数的主要原因是厉行节约，与上年相比减少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0.04</w:t>
      </w:r>
      <w:r>
        <w:rPr>
          <w:rFonts w:hint="eastAsia" w:asciiTheme="minorEastAsia" w:hAnsiTheme="minorEastAsia" w:eastAsiaTheme="minorEastAsia"/>
          <w:sz w:val="32"/>
          <w:szCs w:val="32"/>
        </w:rPr>
        <w:t>万元，减少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0.24</w:t>
      </w:r>
      <w:r>
        <w:rPr>
          <w:rFonts w:hint="eastAsia" w:asciiTheme="minorEastAsia" w:hAnsiTheme="minorEastAsia" w:eastAsiaTheme="minorEastAsia"/>
          <w:sz w:val="32"/>
          <w:szCs w:val="32"/>
        </w:rPr>
        <w:t>%,减少的主要原因是疫情</w:t>
      </w:r>
      <w:r>
        <w:rPr>
          <w:rFonts w:hint="eastAsia" w:asciiTheme="minorEastAsia" w:hAnsiTheme="minorEastAsia" w:eastAsiaTheme="minorEastAsia"/>
          <w:sz w:val="32"/>
          <w:szCs w:val="32"/>
          <w:lang w:eastAsia="zh-CN"/>
        </w:rPr>
        <w:t>原因，场所长时间封闭导致</w:t>
      </w:r>
      <w:r>
        <w:rPr>
          <w:rFonts w:hint="eastAsia" w:asciiTheme="minorEastAsia" w:hAnsiTheme="minorEastAsia" w:eastAsiaTheme="minorEastAsia"/>
          <w:sz w:val="32"/>
          <w:szCs w:val="32"/>
        </w:rPr>
        <w:t>车辆出动较少。</w:t>
      </w:r>
    </w:p>
    <w:p>
      <w:pPr>
        <w:pStyle w:val="11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（二）“三公”经费财政拨款支出决算具体情况说明</w:t>
      </w:r>
    </w:p>
    <w:p>
      <w:pPr>
        <w:pStyle w:val="11"/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2021年度“三公”经费财政拨款支出决算中，公务接待费支出决算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0.6</w:t>
      </w:r>
      <w:r>
        <w:rPr>
          <w:rFonts w:hint="eastAsia" w:asciiTheme="minorEastAsia" w:hAnsiTheme="minorEastAsia" w:eastAsiaTheme="minorEastAsia"/>
          <w:sz w:val="32"/>
          <w:szCs w:val="32"/>
        </w:rPr>
        <w:t>万元，占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3.5</w:t>
      </w:r>
      <w:r>
        <w:rPr>
          <w:rFonts w:hint="eastAsia" w:asciiTheme="minorEastAsia" w:hAnsiTheme="minorEastAsia" w:eastAsiaTheme="minorEastAsia"/>
          <w:sz w:val="32"/>
          <w:szCs w:val="32"/>
        </w:rPr>
        <w:t>%,因公出国（境）费支出决算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0</w:t>
      </w:r>
      <w:r>
        <w:rPr>
          <w:rFonts w:hint="eastAsia" w:asciiTheme="minorEastAsia" w:hAnsiTheme="minorEastAsia" w:eastAsiaTheme="minorEastAsia"/>
          <w:sz w:val="32"/>
          <w:szCs w:val="32"/>
        </w:rPr>
        <w:t>万元，占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0</w:t>
      </w:r>
      <w:r>
        <w:rPr>
          <w:rFonts w:hint="eastAsia" w:asciiTheme="minorEastAsia" w:hAnsiTheme="minorEastAsia" w:eastAsiaTheme="minorEastAsia"/>
          <w:sz w:val="32"/>
          <w:szCs w:val="32"/>
        </w:rPr>
        <w:t>%,公务用车购置费及运行维护费支出决算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16.52</w:t>
      </w:r>
      <w:r>
        <w:rPr>
          <w:rFonts w:hint="eastAsia" w:asciiTheme="minorEastAsia" w:hAnsiTheme="minorEastAsia" w:eastAsiaTheme="minorEastAsia"/>
          <w:sz w:val="32"/>
          <w:szCs w:val="32"/>
        </w:rPr>
        <w:t>万元，占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96.5</w:t>
      </w:r>
      <w:r>
        <w:rPr>
          <w:rFonts w:hint="eastAsia" w:asciiTheme="minorEastAsia" w:hAnsiTheme="minorEastAsia" w:eastAsiaTheme="minorEastAsia"/>
          <w:sz w:val="32"/>
          <w:szCs w:val="32"/>
        </w:rPr>
        <w:t>%。其中：</w:t>
      </w:r>
    </w:p>
    <w:p>
      <w:pPr>
        <w:pStyle w:val="11"/>
        <w:ind w:firstLine="640" w:firstLineChars="200"/>
        <w:rPr>
          <w:rFonts w:hint="eastAsia" w:asciiTheme="minorEastAsia" w:hAnsiTheme="minorEastAsia" w:eastAsiaTheme="minorEastAsia"/>
          <w:sz w:val="32"/>
          <w:szCs w:val="32"/>
          <w:lang w:eastAsia="zh-CN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1、因公出国（境）费支出决算为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0</w:t>
      </w:r>
      <w:r>
        <w:rPr>
          <w:rFonts w:hint="eastAsia" w:asciiTheme="minorEastAsia" w:hAnsiTheme="minorEastAsia" w:eastAsiaTheme="minorEastAsia"/>
          <w:sz w:val="32"/>
          <w:szCs w:val="32"/>
        </w:rPr>
        <w:t>万元，全年安排因公出国（境）团组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0</w:t>
      </w:r>
      <w:r>
        <w:rPr>
          <w:rFonts w:hint="eastAsia" w:asciiTheme="minorEastAsia" w:hAnsiTheme="minorEastAsia" w:eastAsiaTheme="minorEastAsia"/>
          <w:sz w:val="32"/>
          <w:szCs w:val="32"/>
        </w:rPr>
        <w:t>个，累计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0</w:t>
      </w:r>
      <w:r>
        <w:rPr>
          <w:rFonts w:hint="eastAsia" w:asciiTheme="minorEastAsia" w:hAnsiTheme="minorEastAsia" w:eastAsiaTheme="minorEastAsia"/>
          <w:sz w:val="32"/>
          <w:szCs w:val="32"/>
        </w:rPr>
        <w:t>人次</w:t>
      </w:r>
      <w:r>
        <w:rPr>
          <w:rFonts w:hint="eastAsia" w:asciiTheme="minorEastAsia" w:hAnsiTheme="minorEastAsia" w:eastAsiaTheme="minorEastAsia"/>
          <w:sz w:val="32"/>
          <w:szCs w:val="32"/>
          <w:lang w:eastAsia="zh-CN"/>
        </w:rPr>
        <w:t>。</w:t>
      </w:r>
    </w:p>
    <w:p>
      <w:pPr>
        <w:pStyle w:val="11"/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2、公务接待费支出决算为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0.6</w:t>
      </w:r>
      <w:r>
        <w:rPr>
          <w:rFonts w:hint="eastAsia" w:asciiTheme="minorEastAsia" w:hAnsiTheme="minorEastAsia" w:eastAsiaTheme="minorEastAsia"/>
          <w:sz w:val="32"/>
          <w:szCs w:val="32"/>
        </w:rPr>
        <w:t>万元，全年共接待来访团组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6</w:t>
      </w:r>
      <w:r>
        <w:rPr>
          <w:rFonts w:hint="eastAsia" w:asciiTheme="minorEastAsia" w:hAnsiTheme="minorEastAsia" w:eastAsiaTheme="minorEastAsia"/>
          <w:sz w:val="32"/>
          <w:szCs w:val="32"/>
        </w:rPr>
        <w:t>个、来宾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47</w:t>
      </w:r>
      <w:r>
        <w:rPr>
          <w:rFonts w:hint="eastAsia" w:asciiTheme="minorEastAsia" w:hAnsiTheme="minorEastAsia" w:eastAsiaTheme="minorEastAsia"/>
          <w:sz w:val="32"/>
          <w:szCs w:val="32"/>
        </w:rPr>
        <w:t>人次，主要是</w:t>
      </w:r>
      <w:r>
        <w:rPr>
          <w:rFonts w:hint="eastAsia" w:ascii="宋体" w:hAnsi="宋体" w:eastAsia="宋体"/>
          <w:sz w:val="32"/>
          <w:szCs w:val="32"/>
        </w:rPr>
        <w:t>省厅、省局领导下来检查、调研工作发生的接待支出</w:t>
      </w:r>
      <w:r>
        <w:rPr>
          <w:rFonts w:hint="eastAsia" w:asciiTheme="minorEastAsia" w:hAnsiTheme="minorEastAsia" w:eastAsiaTheme="minorEastAsia"/>
          <w:sz w:val="32"/>
          <w:szCs w:val="32"/>
        </w:rPr>
        <w:t>。</w:t>
      </w:r>
    </w:p>
    <w:p>
      <w:pPr>
        <w:ind w:firstLine="800" w:firstLineChars="250"/>
        <w:rPr>
          <w:rFonts w:cs="黑体" w:asciiTheme="minorEastAsia" w:hAnsiTheme="minorEastAsia"/>
          <w:color w:val="000000"/>
          <w:kern w:val="0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>3、公务用车购置费及运行维护费支出决算为</w:t>
      </w:r>
      <w:r>
        <w:rPr>
          <w:rFonts w:hint="eastAsia" w:asciiTheme="minorEastAsia" w:hAnsiTheme="minorEastAsia"/>
          <w:sz w:val="32"/>
          <w:szCs w:val="32"/>
          <w:lang w:val="en-US" w:eastAsia="zh-CN"/>
        </w:rPr>
        <w:t>16.52</w:t>
      </w:r>
      <w:r>
        <w:rPr>
          <w:rFonts w:hint="eastAsia" w:asciiTheme="minorEastAsia" w:hAnsiTheme="minorEastAsia"/>
          <w:sz w:val="32"/>
          <w:szCs w:val="32"/>
        </w:rPr>
        <w:t>万元，其中：公务用车购置费</w:t>
      </w:r>
      <w:r>
        <w:rPr>
          <w:rFonts w:hint="eastAsia" w:asciiTheme="minorEastAsia" w:hAnsiTheme="minorEastAsia"/>
          <w:sz w:val="32"/>
          <w:szCs w:val="32"/>
          <w:lang w:val="en-US" w:eastAsia="zh-CN"/>
        </w:rPr>
        <w:t>0</w:t>
      </w:r>
      <w:r>
        <w:rPr>
          <w:rFonts w:hint="eastAsia" w:asciiTheme="minorEastAsia" w:hAnsiTheme="minorEastAsia"/>
          <w:sz w:val="32"/>
          <w:szCs w:val="32"/>
        </w:rPr>
        <w:t>万元，公务用车运行维护费</w:t>
      </w:r>
      <w:r>
        <w:rPr>
          <w:rFonts w:hint="eastAsia" w:asciiTheme="minorEastAsia" w:hAnsiTheme="minorEastAsia"/>
          <w:sz w:val="32"/>
          <w:szCs w:val="32"/>
          <w:lang w:val="en-US" w:eastAsia="zh-CN"/>
        </w:rPr>
        <w:t>16.52</w:t>
      </w:r>
      <w:r>
        <w:rPr>
          <w:rFonts w:hint="eastAsia" w:asciiTheme="minorEastAsia" w:hAnsiTheme="minorEastAsia"/>
          <w:sz w:val="32"/>
          <w:szCs w:val="32"/>
        </w:rPr>
        <w:t>万元，</w:t>
      </w:r>
      <w:r>
        <w:rPr>
          <w:rFonts w:hint="eastAsia" w:ascii="宋体" w:hAnsi="宋体"/>
          <w:sz w:val="32"/>
          <w:szCs w:val="32"/>
        </w:rPr>
        <w:t>主要是</w:t>
      </w:r>
      <w:r>
        <w:rPr>
          <w:rFonts w:hint="eastAsia" w:ascii="宋体"/>
          <w:sz w:val="32"/>
          <w:szCs w:val="32"/>
        </w:rPr>
        <w:t>公车油料费、维修费、保险费等</w:t>
      </w:r>
      <w:r>
        <w:rPr>
          <w:rFonts w:hint="eastAsia" w:asciiTheme="minorEastAsia" w:hAnsiTheme="minorEastAsia"/>
          <w:sz w:val="32"/>
          <w:szCs w:val="32"/>
        </w:rPr>
        <w:t>支出，截止2021年12月31日，我单位开支财政拨款的公务用车保有量为</w:t>
      </w:r>
      <w:r>
        <w:rPr>
          <w:rFonts w:hint="eastAsia" w:asciiTheme="minorEastAsia" w:hAnsiTheme="minorEastAsia"/>
          <w:sz w:val="32"/>
          <w:szCs w:val="32"/>
          <w:lang w:val="en-US" w:eastAsia="zh-CN"/>
        </w:rPr>
        <w:t>5</w:t>
      </w:r>
      <w:r>
        <w:rPr>
          <w:rFonts w:hint="eastAsia" w:asciiTheme="minorEastAsia" w:hAnsiTheme="minorEastAsia"/>
          <w:sz w:val="32"/>
          <w:szCs w:val="32"/>
        </w:rPr>
        <w:t>辆。</w:t>
      </w:r>
    </w:p>
    <w:p>
      <w:pPr>
        <w:pStyle w:val="11"/>
        <w:rPr>
          <w:rFonts w:hAnsi="黑体"/>
          <w:b/>
          <w:sz w:val="32"/>
          <w:szCs w:val="32"/>
        </w:rPr>
      </w:pPr>
      <w:r>
        <w:rPr>
          <w:rFonts w:hint="eastAsia" w:hAnsi="黑体"/>
          <w:b/>
          <w:sz w:val="32"/>
          <w:szCs w:val="32"/>
        </w:rPr>
        <w:t>八、政府性基金预算收入支出决算情况</w:t>
      </w:r>
    </w:p>
    <w:p>
      <w:pPr>
        <w:pStyle w:val="11"/>
        <w:rPr>
          <w:rFonts w:hint="eastAsia" w:asciiTheme="minorEastAsia" w:hAnsiTheme="minorEastAsia" w:eastAsiaTheme="minorEastAsia"/>
          <w:i w:val="0"/>
          <w:iCs w:val="0"/>
          <w:color w:val="auto"/>
          <w:sz w:val="32"/>
          <w:szCs w:val="32"/>
          <w:lang w:eastAsia="zh-CN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 xml:space="preserve">     </w:t>
      </w:r>
      <w:r>
        <w:rPr>
          <w:rFonts w:hint="eastAsia" w:asciiTheme="minorEastAsia" w:hAnsiTheme="minorEastAsia" w:eastAsiaTheme="minorEastAsia"/>
          <w:i w:val="0"/>
          <w:iCs w:val="0"/>
          <w:color w:val="auto"/>
          <w:sz w:val="32"/>
          <w:szCs w:val="32"/>
        </w:rPr>
        <w:t>2021年度本单位无政府性基金收支</w:t>
      </w:r>
      <w:r>
        <w:rPr>
          <w:rFonts w:hint="eastAsia" w:asciiTheme="minorEastAsia" w:hAnsiTheme="minorEastAsia" w:eastAsiaTheme="minorEastAsia"/>
          <w:i w:val="0"/>
          <w:iCs w:val="0"/>
          <w:color w:val="auto"/>
          <w:sz w:val="32"/>
          <w:szCs w:val="32"/>
          <w:lang w:eastAsia="zh-CN"/>
        </w:rPr>
        <w:t>。</w:t>
      </w:r>
    </w:p>
    <w:p>
      <w:pPr>
        <w:pStyle w:val="11"/>
        <w:rPr>
          <w:rFonts w:hint="eastAsia" w:hAnsi="黑体"/>
          <w:b/>
          <w:sz w:val="32"/>
          <w:szCs w:val="32"/>
          <w:lang w:val="en-US" w:eastAsia="zh-CN"/>
        </w:rPr>
      </w:pPr>
      <w:r>
        <w:rPr>
          <w:rFonts w:hint="eastAsia" w:hAnsi="黑体"/>
          <w:b/>
          <w:sz w:val="32"/>
          <w:szCs w:val="32"/>
          <w:lang w:val="en-US" w:eastAsia="zh-CN"/>
        </w:rPr>
        <w:t>九、国有资本经营预算财政拨款支出</w:t>
      </w:r>
      <w:r>
        <w:rPr>
          <w:rFonts w:hint="eastAsia" w:hAnsi="黑体"/>
          <w:b/>
          <w:sz w:val="32"/>
          <w:szCs w:val="32"/>
        </w:rPr>
        <w:t>决算情况</w:t>
      </w:r>
      <w:r>
        <w:rPr>
          <w:rFonts w:hint="eastAsia" w:hAnsi="黑体"/>
          <w:b/>
          <w:sz w:val="32"/>
          <w:szCs w:val="32"/>
          <w:lang w:val="en-US" w:eastAsia="zh-CN"/>
        </w:rPr>
        <w:t>说明</w:t>
      </w:r>
    </w:p>
    <w:p>
      <w:pPr>
        <w:pStyle w:val="11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600" w:lineRule="exact"/>
        <w:ind w:firstLine="642"/>
        <w:textAlignment w:val="auto"/>
        <w:rPr>
          <w:rFonts w:hint="eastAsia" w:hAnsi="黑体"/>
          <w:b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2021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年度本单位无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国有资本经营预算财政拨款支出。</w:t>
      </w:r>
    </w:p>
    <w:p>
      <w:pPr>
        <w:pStyle w:val="11"/>
        <w:rPr>
          <w:rFonts w:hAnsi="黑体"/>
          <w:b/>
          <w:sz w:val="32"/>
          <w:szCs w:val="32"/>
        </w:rPr>
      </w:pPr>
      <w:r>
        <w:rPr>
          <w:rFonts w:hint="eastAsia" w:hAnsi="黑体"/>
          <w:b/>
          <w:sz w:val="32"/>
          <w:szCs w:val="32"/>
          <w:lang w:val="en-US" w:eastAsia="zh-CN"/>
        </w:rPr>
        <w:t>十、</w:t>
      </w:r>
      <w:r>
        <w:rPr>
          <w:rFonts w:hint="eastAsia" w:hAnsi="黑体"/>
          <w:b/>
          <w:sz w:val="32"/>
          <w:szCs w:val="32"/>
        </w:rPr>
        <w:t>机关运行经费支出说明</w:t>
      </w:r>
    </w:p>
    <w:p>
      <w:pPr>
        <w:pStyle w:val="11"/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本部门2021年度机关运行经费支出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266.94</w:t>
      </w:r>
      <w:r>
        <w:rPr>
          <w:rFonts w:hint="eastAsia" w:asciiTheme="minorEastAsia" w:hAnsiTheme="minorEastAsia" w:eastAsiaTheme="minorEastAsia"/>
          <w:sz w:val="32"/>
          <w:szCs w:val="32"/>
        </w:rPr>
        <w:t>万元</w:t>
      </w:r>
      <w:r>
        <w:rPr>
          <w:rFonts w:hint="eastAsia" w:asciiTheme="minorEastAsia" w:hAnsiTheme="minorEastAsia" w:eastAsiaTheme="minorEastAsia"/>
          <w:sz w:val="32"/>
          <w:szCs w:val="32"/>
          <w:lang w:eastAsia="zh-CN"/>
        </w:rPr>
        <w:t>，</w:t>
      </w:r>
      <w:r>
        <w:rPr>
          <w:rFonts w:hint="eastAsia" w:asciiTheme="minorEastAsia" w:hAnsiTheme="minorEastAsia" w:eastAsiaTheme="minorEastAsia"/>
          <w:sz w:val="32"/>
          <w:szCs w:val="32"/>
        </w:rPr>
        <w:t>比上年决算数减少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17.24</w:t>
      </w:r>
      <w:r>
        <w:rPr>
          <w:rFonts w:hint="eastAsia" w:asciiTheme="minorEastAsia" w:hAnsiTheme="minorEastAsia" w:eastAsiaTheme="minorEastAsia"/>
          <w:sz w:val="32"/>
          <w:szCs w:val="32"/>
        </w:rPr>
        <w:t xml:space="preserve"> 万元，降低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6.17</w:t>
      </w:r>
      <w:r>
        <w:rPr>
          <w:rFonts w:hint="eastAsia" w:asciiTheme="minorEastAsia" w:hAnsiTheme="minorEastAsia" w:eastAsiaTheme="minorEastAsia"/>
          <w:sz w:val="32"/>
          <w:szCs w:val="32"/>
        </w:rPr>
        <w:t>%。主要原因是：厉行节约控制支出。</w:t>
      </w:r>
    </w:p>
    <w:p>
      <w:pPr>
        <w:pStyle w:val="11"/>
        <w:rPr>
          <w:rFonts w:hAnsi="黑体"/>
          <w:b/>
          <w:sz w:val="32"/>
          <w:szCs w:val="32"/>
        </w:rPr>
      </w:pPr>
      <w:r>
        <w:rPr>
          <w:rFonts w:hint="eastAsia" w:hAnsi="黑体"/>
          <w:b/>
          <w:sz w:val="32"/>
          <w:szCs w:val="32"/>
        </w:rPr>
        <w:t>十</w:t>
      </w:r>
      <w:r>
        <w:rPr>
          <w:rFonts w:hint="eastAsia" w:hAnsi="黑体"/>
          <w:b/>
          <w:sz w:val="32"/>
          <w:szCs w:val="32"/>
          <w:lang w:val="en-US" w:eastAsia="zh-CN"/>
        </w:rPr>
        <w:t>一</w:t>
      </w:r>
      <w:r>
        <w:rPr>
          <w:rFonts w:hint="eastAsia" w:hAnsi="黑体"/>
          <w:b/>
          <w:sz w:val="32"/>
          <w:szCs w:val="32"/>
        </w:rPr>
        <w:t>、一般性支出情况说明</w:t>
      </w:r>
    </w:p>
    <w:p>
      <w:pPr>
        <w:pStyle w:val="11"/>
        <w:ind w:firstLine="640" w:firstLineChars="200"/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2021年本部门开支会议费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0</w:t>
      </w:r>
      <w:r>
        <w:rPr>
          <w:rFonts w:hint="eastAsia" w:asciiTheme="minorEastAsia" w:hAnsiTheme="minorEastAsia" w:eastAsiaTheme="minorEastAsia"/>
          <w:sz w:val="32"/>
          <w:szCs w:val="32"/>
        </w:rPr>
        <w:t>万元；开支培训费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2.95</w:t>
      </w:r>
      <w:r>
        <w:rPr>
          <w:rFonts w:hint="eastAsia" w:asciiTheme="minorEastAsia" w:hAnsiTheme="minorEastAsia" w:eastAsiaTheme="minorEastAsia"/>
          <w:sz w:val="32"/>
          <w:szCs w:val="32"/>
        </w:rPr>
        <w:t>万元，用于开展</w:t>
      </w:r>
      <w:r>
        <w:rPr>
          <w:rFonts w:hint="eastAsia" w:asciiTheme="minorEastAsia" w:hAnsiTheme="minorEastAsia" w:eastAsiaTheme="minorEastAsia"/>
          <w:sz w:val="32"/>
          <w:szCs w:val="32"/>
          <w:lang w:eastAsia="zh-CN"/>
        </w:rPr>
        <w:t>警衔晋升</w:t>
      </w:r>
      <w:r>
        <w:rPr>
          <w:rFonts w:hint="eastAsia" w:asciiTheme="minorEastAsia" w:hAnsiTheme="minorEastAsia" w:eastAsiaTheme="minorEastAsia"/>
          <w:sz w:val="32"/>
          <w:szCs w:val="32"/>
        </w:rPr>
        <w:t>培训，</w:t>
      </w:r>
      <w:r>
        <w:rPr>
          <w:rFonts w:hint="eastAsia" w:asciiTheme="minorEastAsia" w:hAnsiTheme="minorEastAsia" w:eastAsiaTheme="minorEastAsia"/>
          <w:sz w:val="32"/>
          <w:szCs w:val="32"/>
          <w:lang w:eastAsia="zh-CN"/>
        </w:rPr>
        <w:t>共计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11人次</w:t>
      </w:r>
      <w:r>
        <w:rPr>
          <w:rFonts w:hint="eastAsia" w:asciiTheme="minorEastAsia" w:hAnsiTheme="minorEastAsia" w:eastAsiaTheme="minorEastAsia"/>
          <w:sz w:val="32"/>
          <w:szCs w:val="32"/>
        </w:rPr>
        <w:t>，内容为</w:t>
      </w:r>
      <w:r>
        <w:rPr>
          <w:rFonts w:hint="eastAsia" w:asciiTheme="minorEastAsia" w:hAnsiTheme="minorEastAsia" w:eastAsiaTheme="minorEastAsia"/>
          <w:sz w:val="32"/>
          <w:szCs w:val="32"/>
          <w:lang w:eastAsia="zh-CN"/>
        </w:rPr>
        <w:t>参加司法厅组织的新警授衔培训，警督等警衔晋升培训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。</w:t>
      </w:r>
    </w:p>
    <w:p>
      <w:pPr>
        <w:pStyle w:val="11"/>
        <w:rPr>
          <w:rFonts w:hint="eastAsia" w:hAnsi="黑体" w:eastAsia="黑体"/>
          <w:b/>
          <w:sz w:val="32"/>
          <w:szCs w:val="32"/>
          <w:lang w:eastAsia="zh-CN"/>
        </w:rPr>
      </w:pPr>
      <w:r>
        <w:rPr>
          <w:rFonts w:hint="eastAsia" w:hAnsi="黑体"/>
          <w:b/>
          <w:sz w:val="32"/>
          <w:szCs w:val="32"/>
        </w:rPr>
        <w:t>十</w:t>
      </w:r>
      <w:r>
        <w:rPr>
          <w:rFonts w:hint="eastAsia" w:hAnsi="黑体"/>
          <w:b/>
          <w:sz w:val="32"/>
          <w:szCs w:val="32"/>
          <w:lang w:val="en-US" w:eastAsia="zh-CN"/>
        </w:rPr>
        <w:t>二</w:t>
      </w:r>
      <w:r>
        <w:rPr>
          <w:rFonts w:hint="eastAsia" w:hAnsi="黑体"/>
          <w:b/>
          <w:sz w:val="32"/>
          <w:szCs w:val="32"/>
        </w:rPr>
        <w:t>、政府采购支出</w:t>
      </w:r>
      <w:r>
        <w:rPr>
          <w:rFonts w:hint="eastAsia" w:hAnsi="黑体"/>
          <w:b/>
          <w:sz w:val="32"/>
          <w:szCs w:val="32"/>
          <w:lang w:val="en-US" w:eastAsia="zh-CN"/>
        </w:rPr>
        <w:t>情况</w:t>
      </w:r>
    </w:p>
    <w:p>
      <w:pPr>
        <w:pStyle w:val="11"/>
        <w:ind w:firstLine="800" w:firstLineChars="250"/>
        <w:rPr>
          <w:rFonts w:hint="eastAsia" w:asciiTheme="minorEastAsia" w:hAnsiTheme="minorEastAsia" w:eastAsiaTheme="minorEastAsia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本部门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2021</w:t>
      </w:r>
      <w:r>
        <w:rPr>
          <w:rFonts w:hint="eastAsia" w:asciiTheme="minorEastAsia" w:hAnsiTheme="minorEastAsia" w:eastAsiaTheme="minorEastAsia"/>
          <w:sz w:val="32"/>
          <w:szCs w:val="32"/>
        </w:rPr>
        <w:t>年度政府采购支出总额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934.34</w:t>
      </w:r>
      <w:r>
        <w:rPr>
          <w:rFonts w:hint="eastAsia" w:asciiTheme="minorEastAsia" w:hAnsiTheme="minorEastAsia" w:eastAsiaTheme="minorEastAsia"/>
          <w:sz w:val="32"/>
          <w:szCs w:val="32"/>
        </w:rPr>
        <w:t>万元，其中：政府采购货物支出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910.14</w:t>
      </w:r>
      <w:r>
        <w:rPr>
          <w:rFonts w:hint="eastAsia" w:asciiTheme="minorEastAsia" w:hAnsiTheme="minorEastAsia" w:eastAsiaTheme="minorEastAsia"/>
          <w:sz w:val="32"/>
          <w:szCs w:val="32"/>
        </w:rPr>
        <w:t>万元、政府采购工程支出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24.2</w:t>
      </w:r>
      <w:r>
        <w:rPr>
          <w:rFonts w:hint="eastAsia" w:asciiTheme="minorEastAsia" w:hAnsiTheme="minorEastAsia" w:eastAsiaTheme="minorEastAsia"/>
          <w:sz w:val="32"/>
          <w:szCs w:val="32"/>
        </w:rPr>
        <w:t>万元、政府采购服务支出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0</w:t>
      </w:r>
      <w:r>
        <w:rPr>
          <w:rFonts w:hint="eastAsia" w:asciiTheme="minorEastAsia" w:hAnsiTheme="minorEastAsia" w:eastAsiaTheme="minorEastAsia"/>
          <w:sz w:val="32"/>
          <w:szCs w:val="32"/>
        </w:rPr>
        <w:t>万元。授予中小企业合同金额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934.34</w:t>
      </w:r>
      <w:r>
        <w:rPr>
          <w:rFonts w:hint="eastAsia" w:asciiTheme="minorEastAsia" w:hAnsiTheme="minorEastAsia" w:eastAsiaTheme="minorEastAsia"/>
          <w:sz w:val="32"/>
          <w:szCs w:val="32"/>
        </w:rPr>
        <w:t>万元，占政府采购支出总额的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100</w:t>
      </w:r>
      <w:r>
        <w:rPr>
          <w:rFonts w:hint="eastAsia" w:asciiTheme="minorEastAsia" w:hAnsiTheme="minorEastAsia" w:eastAsiaTheme="minorEastAsia"/>
          <w:sz w:val="32"/>
          <w:szCs w:val="32"/>
        </w:rPr>
        <w:t>%，其中：授予小微企业合同金额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934.34</w:t>
      </w:r>
      <w:r>
        <w:rPr>
          <w:rFonts w:hint="eastAsia" w:asciiTheme="minorEastAsia" w:hAnsiTheme="minorEastAsia" w:eastAsiaTheme="minorEastAsia"/>
          <w:sz w:val="32"/>
          <w:szCs w:val="32"/>
        </w:rPr>
        <w:t>万元，占政府采购支出总额的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100</w:t>
      </w:r>
      <w:r>
        <w:rPr>
          <w:rFonts w:hint="eastAsia" w:asciiTheme="minorEastAsia" w:hAnsiTheme="minorEastAsia" w:eastAsiaTheme="minorEastAsia"/>
          <w:sz w:val="32"/>
          <w:szCs w:val="32"/>
        </w:rPr>
        <w:t>%。</w:t>
      </w:r>
    </w:p>
    <w:p>
      <w:pPr>
        <w:pStyle w:val="11"/>
        <w:rPr>
          <w:rFonts w:hAnsi="黑体"/>
          <w:b/>
          <w:sz w:val="32"/>
          <w:szCs w:val="32"/>
        </w:rPr>
      </w:pPr>
      <w:r>
        <w:rPr>
          <w:rFonts w:hint="eastAsia" w:hAnsi="黑体"/>
          <w:b/>
          <w:sz w:val="32"/>
          <w:szCs w:val="32"/>
        </w:rPr>
        <w:t>十</w:t>
      </w:r>
      <w:r>
        <w:rPr>
          <w:rFonts w:hint="eastAsia" w:hAnsi="黑体"/>
          <w:b/>
          <w:sz w:val="32"/>
          <w:szCs w:val="32"/>
          <w:lang w:val="en-US" w:eastAsia="zh-CN"/>
        </w:rPr>
        <w:t>三</w:t>
      </w:r>
      <w:r>
        <w:rPr>
          <w:rFonts w:hint="eastAsia" w:hAnsi="黑体"/>
          <w:b/>
          <w:sz w:val="32"/>
          <w:szCs w:val="32"/>
        </w:rPr>
        <w:t>、国有资产占用情况说明</w:t>
      </w:r>
    </w:p>
    <w:p>
      <w:pPr>
        <w:pStyle w:val="11"/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截至2021年12月31日，本单位共有车辆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5</w:t>
      </w:r>
      <w:r>
        <w:rPr>
          <w:rFonts w:hint="eastAsia" w:asciiTheme="minorEastAsia" w:hAnsiTheme="minorEastAsia" w:eastAsiaTheme="minorEastAsia"/>
          <w:sz w:val="32"/>
          <w:szCs w:val="32"/>
        </w:rPr>
        <w:t>辆，其中，主要领导干部用车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0</w:t>
      </w:r>
      <w:r>
        <w:rPr>
          <w:rFonts w:hint="eastAsia" w:asciiTheme="minorEastAsia" w:hAnsiTheme="minorEastAsia" w:eastAsiaTheme="minorEastAsia"/>
          <w:sz w:val="32"/>
          <w:szCs w:val="32"/>
        </w:rPr>
        <w:t>辆，机要通信用车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0</w:t>
      </w:r>
      <w:r>
        <w:rPr>
          <w:rFonts w:hint="eastAsia" w:asciiTheme="minorEastAsia" w:hAnsiTheme="minorEastAsia" w:eastAsiaTheme="minorEastAsia"/>
          <w:sz w:val="32"/>
          <w:szCs w:val="32"/>
        </w:rPr>
        <w:t>辆、应急保障用车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0</w:t>
      </w:r>
      <w:r>
        <w:rPr>
          <w:rFonts w:hint="eastAsia" w:asciiTheme="minorEastAsia" w:hAnsiTheme="minorEastAsia" w:eastAsiaTheme="minorEastAsia"/>
          <w:sz w:val="32"/>
          <w:szCs w:val="32"/>
        </w:rPr>
        <w:t>辆、执法执勤用车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4</w:t>
      </w:r>
      <w:r>
        <w:rPr>
          <w:rFonts w:hint="eastAsia" w:asciiTheme="minorEastAsia" w:hAnsiTheme="minorEastAsia" w:eastAsiaTheme="minorEastAsia"/>
          <w:sz w:val="32"/>
          <w:szCs w:val="32"/>
        </w:rPr>
        <w:t>辆、特种专业技术用车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0</w:t>
      </w:r>
      <w:r>
        <w:rPr>
          <w:rFonts w:hint="eastAsia" w:asciiTheme="minorEastAsia" w:hAnsiTheme="minorEastAsia" w:eastAsiaTheme="minorEastAsia"/>
          <w:sz w:val="32"/>
          <w:szCs w:val="32"/>
        </w:rPr>
        <w:t>辆、其他用车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32"/>
          <w:szCs w:val="32"/>
        </w:rPr>
        <w:t>辆，其他用车主要是一般公务用车；单位价值50万元以上通用设备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0</w:t>
      </w:r>
      <w:r>
        <w:rPr>
          <w:rFonts w:hint="eastAsia" w:asciiTheme="minorEastAsia" w:hAnsiTheme="minorEastAsia" w:eastAsiaTheme="minorEastAsia"/>
          <w:sz w:val="32"/>
          <w:szCs w:val="32"/>
        </w:rPr>
        <w:t>台（套）；单位价值100万元以上专用设备</w:t>
      </w:r>
      <w:r>
        <w:rPr>
          <w:rFonts w:hint="eastAsia" w:asciiTheme="minorEastAsia" w:hAnsiTheme="minorEastAsia" w:eastAsiaTheme="minorEastAsia"/>
          <w:sz w:val="32"/>
          <w:szCs w:val="32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32"/>
          <w:szCs w:val="32"/>
        </w:rPr>
        <w:t>套（安防监控系统）。</w:t>
      </w:r>
    </w:p>
    <w:p>
      <w:pPr>
        <w:pStyle w:val="11"/>
        <w:rPr>
          <w:rFonts w:hAnsi="黑体"/>
          <w:b/>
          <w:sz w:val="32"/>
          <w:szCs w:val="32"/>
        </w:rPr>
      </w:pPr>
      <w:r>
        <w:rPr>
          <w:rFonts w:hint="eastAsia" w:hAnsi="黑体"/>
          <w:b/>
          <w:sz w:val="32"/>
          <w:szCs w:val="32"/>
        </w:rPr>
        <w:t>十</w:t>
      </w:r>
      <w:r>
        <w:rPr>
          <w:rFonts w:hint="eastAsia" w:hAnsi="黑体"/>
          <w:b/>
          <w:sz w:val="32"/>
          <w:szCs w:val="32"/>
          <w:lang w:val="en-US" w:eastAsia="zh-CN"/>
        </w:rPr>
        <w:t>四</w:t>
      </w:r>
      <w:r>
        <w:rPr>
          <w:rFonts w:hint="eastAsia" w:hAnsi="黑体"/>
          <w:b/>
          <w:sz w:val="32"/>
          <w:szCs w:val="32"/>
        </w:rPr>
        <w:t>、2021年度预算绩效情况说明</w:t>
      </w:r>
    </w:p>
    <w:p>
      <w:pPr>
        <w:autoSpaceDE w:val="0"/>
        <w:autoSpaceDN w:val="0"/>
        <w:adjustRightInd w:val="0"/>
        <w:ind w:firstLine="640" w:firstLineChars="200"/>
        <w:jc w:val="left"/>
        <w:rPr>
          <w:rFonts w:cs="黑体" w:asciiTheme="minorEastAsia" w:hAnsiTheme="minorEastAsia"/>
          <w:color w:val="000000"/>
          <w:kern w:val="0"/>
          <w:sz w:val="32"/>
          <w:szCs w:val="32"/>
        </w:rPr>
      </w:pPr>
      <w:r>
        <w:rPr>
          <w:rFonts w:hint="eastAsia" w:cs="黑体" w:asciiTheme="minorEastAsia" w:hAnsiTheme="minorEastAsia"/>
          <w:b/>
          <w:color w:val="000000"/>
          <w:kern w:val="0"/>
          <w:sz w:val="32"/>
          <w:szCs w:val="32"/>
        </w:rPr>
        <w:t>（1）绩效管理评价工作开展情况</w:t>
      </w:r>
    </w:p>
    <w:p>
      <w:pPr>
        <w:pStyle w:val="14"/>
        <w:spacing w:line="360" w:lineRule="auto"/>
        <w:ind w:firstLine="640" w:firstLineChars="200"/>
        <w:rPr>
          <w:rFonts w:hint="eastAsia" w:cs="黑体" w:asciiTheme="minorEastAsia" w:hAnsiTheme="minorEastAsia" w:eastAsiaTheme="minorEastAsia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cs="黑体" w:asciiTheme="minorEastAsia" w:hAnsiTheme="minorEastAsia" w:eastAsiaTheme="minorEastAsia"/>
          <w:color w:val="000000"/>
          <w:kern w:val="0"/>
          <w:sz w:val="32"/>
          <w:szCs w:val="32"/>
          <w:lang w:val="en-US" w:eastAsia="zh-CN" w:bidi="ar-SA"/>
        </w:rPr>
        <w:t>根据预算绩效管理要求，我部门组织对2021 年度一般公共预算项目支出全面开展绩效自评，其中，一级项目1个，共涉及资金312.92万元，占一般公共预算项目支出总额的5.19%。组织对“戒毒人员经费”1个项目开展了部门评价，涉及一般公共预算支出312.92 万元，政府性基金预算支出0 万元，国有资本经营预算支出0万元。从评价情况来看，怀化市强制隔离戒毒所2021度戒毒人员给养经费基本拨付到位，经费的管理制度健全，支出手续符合规定，物资采购、保管、使用均符合相关程序，财务核算清晰，相关资料齐全，对经费的使用进行了有效的监督，无挪用、截留经费的情况发生。</w:t>
      </w:r>
    </w:p>
    <w:p>
      <w:pPr>
        <w:ind w:firstLine="640" w:firstLineChars="200"/>
        <w:rPr>
          <w:rFonts w:cs="黑体" w:asciiTheme="minorEastAsia" w:hAnsiTheme="minorEastAsia"/>
          <w:color w:val="000000"/>
          <w:kern w:val="0"/>
          <w:sz w:val="32"/>
          <w:szCs w:val="32"/>
        </w:rPr>
      </w:pPr>
      <w:r>
        <w:rPr>
          <w:rFonts w:hint="eastAsia" w:cs="黑体" w:asciiTheme="minorEastAsia" w:hAnsiTheme="minorEastAsia" w:eastAsiaTheme="minorEastAsia"/>
          <w:color w:val="000000"/>
          <w:kern w:val="0"/>
          <w:sz w:val="32"/>
          <w:szCs w:val="32"/>
          <w:lang w:val="en-US" w:eastAsia="zh-CN" w:bidi="ar-SA"/>
        </w:rPr>
        <w:t>组织对本单位开展整体支出绩效评价，涉及一般公共预算支出8152.46 万元，政府性基金预算支出0万元。从评价情况来看：2021年，我所围绕年度重点工作，积极履职，强化管理，</w:t>
      </w:r>
      <w:r>
        <w:rPr>
          <w:rFonts w:hint="eastAsia" w:cs="黑体" w:asciiTheme="minorEastAsia" w:hAnsiTheme="minorEastAsia"/>
          <w:color w:val="000000"/>
          <w:kern w:val="0"/>
          <w:sz w:val="32"/>
          <w:szCs w:val="32"/>
          <w:lang w:val="en-US" w:eastAsia="zh-CN" w:bidi="ar-SA"/>
        </w:rPr>
        <w:t>确保了场所安全稳定，</w:t>
      </w:r>
      <w:r>
        <w:rPr>
          <w:rFonts w:hint="eastAsia" w:cs="黑体" w:asciiTheme="minorEastAsia" w:hAnsiTheme="minorEastAsia" w:eastAsiaTheme="minorEastAsia"/>
          <w:color w:val="000000"/>
          <w:kern w:val="0"/>
          <w:sz w:val="32"/>
          <w:szCs w:val="32"/>
          <w:lang w:val="en-US" w:eastAsia="zh-CN" w:bidi="ar-SA"/>
        </w:rPr>
        <w:t>较好的完成了年度工作目标。各项经费预算拨付到位，财政供养人员控制率小于100%，控制在预算编制以内，“三公”经费总量及分项均在控制数以内，较上年均有一定幅度的降低。通过加强预算收支的管理，不断建立健全内部控制制度，理顺内部管理流程，在强化业务管理、财务管理方面开展了大量工作，行政效能显著。</w:t>
      </w:r>
    </w:p>
    <w:p>
      <w:pPr>
        <w:autoSpaceDE w:val="0"/>
        <w:autoSpaceDN w:val="0"/>
        <w:adjustRightInd w:val="0"/>
        <w:ind w:firstLine="640" w:firstLineChars="200"/>
        <w:jc w:val="left"/>
        <w:rPr>
          <w:rFonts w:cs="黑体" w:asciiTheme="minorEastAsia" w:hAnsiTheme="minorEastAsia"/>
          <w:b/>
          <w:color w:val="000000"/>
          <w:kern w:val="0"/>
          <w:sz w:val="32"/>
          <w:szCs w:val="32"/>
        </w:rPr>
      </w:pPr>
      <w:r>
        <w:rPr>
          <w:rFonts w:hint="eastAsia" w:cs="黑体" w:asciiTheme="minorEastAsia" w:hAnsiTheme="minorEastAsia"/>
          <w:b/>
          <w:color w:val="000000"/>
          <w:kern w:val="0"/>
          <w:sz w:val="32"/>
          <w:szCs w:val="32"/>
        </w:rPr>
        <w:t>（2）部门决算中项目绩效自评结果</w:t>
      </w:r>
    </w:p>
    <w:p>
      <w:pPr>
        <w:ind w:firstLine="640" w:firstLineChars="200"/>
        <w:rPr>
          <w:rFonts w:hint="eastAsia" w:cs="黑体" w:asciiTheme="minorEastAsia" w:hAnsiTheme="minorEastAsia" w:eastAsiaTheme="minorEastAsia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cs="黑体" w:asciiTheme="minorEastAsia" w:hAnsiTheme="minorEastAsia" w:eastAsiaTheme="minorEastAsia"/>
          <w:color w:val="000000"/>
          <w:kern w:val="0"/>
          <w:sz w:val="32"/>
          <w:szCs w:val="32"/>
          <w:lang w:val="en-US" w:eastAsia="zh-CN" w:bidi="ar-SA"/>
        </w:rPr>
        <w:t>戒毒人员经费项目绩效自评综述：根据年初设定的绩效目标，项目绩效自评得分为92分。项目全年预算数为488.25万元，执行数为312.92万元，完成预算的64.09%。项目绩效目标完成情况：一是持续维护场所安全稳定，二是推进统一戒毒模式建设，合理布置“四区五中心”，优化戒毒康复环境，扎实开展教育矫治工作。</w:t>
      </w:r>
    </w:p>
    <w:p>
      <w:pPr>
        <w:ind w:firstLine="640" w:firstLineChars="200"/>
        <w:rPr>
          <w:rFonts w:hint="eastAsia" w:cs="黑体" w:asciiTheme="minorEastAsia" w:hAnsiTheme="minorEastAsia" w:eastAsiaTheme="minorEastAsia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cs="黑体" w:asciiTheme="minorEastAsia" w:hAnsiTheme="minorEastAsia" w:eastAsiaTheme="minorEastAsia"/>
          <w:color w:val="000000"/>
          <w:kern w:val="0"/>
          <w:sz w:val="32"/>
          <w:szCs w:val="32"/>
          <w:lang w:val="en-US" w:eastAsia="zh-CN" w:bidi="ar-SA"/>
        </w:rPr>
        <w:t>戒毒人员经费项目绩效自评综述：怀化市强制隔离戒毒所2021度戒毒人员给养经费基本拨付到位，经费的管理制度健全，支出手续符合规定，物资采购、保管、使用均符合相关程序，财务核算清晰，相关资料齐全，对经费的使用进行了有效的监督，无挪用、截留经费的情况发生。</w:t>
      </w:r>
    </w:p>
    <w:p>
      <w:pPr>
        <w:autoSpaceDE w:val="0"/>
        <w:autoSpaceDN w:val="0"/>
        <w:adjustRightInd w:val="0"/>
        <w:ind w:firstLine="640" w:firstLineChars="200"/>
        <w:jc w:val="left"/>
        <w:rPr>
          <w:rFonts w:hint="eastAsia" w:cs="黑体" w:asciiTheme="minorEastAsia" w:hAnsiTheme="minorEastAsia"/>
          <w:b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cs="黑体" w:asciiTheme="minorEastAsia" w:hAnsiTheme="minorEastAsia"/>
          <w:b/>
          <w:color w:val="000000"/>
          <w:kern w:val="0"/>
          <w:sz w:val="32"/>
          <w:szCs w:val="32"/>
          <w:lang w:val="en-US" w:eastAsia="zh-CN"/>
        </w:rPr>
        <w:t>（3）部门评价项目绩效评价结果</w:t>
      </w:r>
    </w:p>
    <w:p>
      <w:pPr>
        <w:pStyle w:val="11"/>
        <w:ind w:firstLine="960" w:firstLineChars="3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本部门预算绩效管理开展情况、绩效目标和绩效评价报告等，按照财政绩效部门要求已公开。（绩效自评报告见附件）</w:t>
      </w:r>
    </w:p>
    <w:p>
      <w:pPr>
        <w:pStyle w:val="11"/>
        <w:jc w:val="both"/>
        <w:rPr>
          <w:sz w:val="72"/>
          <w:szCs w:val="72"/>
        </w:rPr>
      </w:pPr>
    </w:p>
    <w:p>
      <w:pPr>
        <w:pStyle w:val="11"/>
        <w:jc w:val="center"/>
        <w:rPr>
          <w:rFonts w:hint="eastAsia"/>
          <w:sz w:val="52"/>
          <w:szCs w:val="52"/>
        </w:rPr>
      </w:pPr>
      <w:r>
        <w:rPr>
          <w:rFonts w:hint="eastAsia"/>
          <w:sz w:val="52"/>
          <w:szCs w:val="52"/>
        </w:rPr>
        <w:t>第四部分</w:t>
      </w:r>
    </w:p>
    <w:p>
      <w:pPr>
        <w:pStyle w:val="11"/>
        <w:jc w:val="center"/>
        <w:rPr>
          <w:rFonts w:hint="eastAsia"/>
          <w:sz w:val="52"/>
          <w:szCs w:val="52"/>
        </w:rPr>
      </w:pPr>
      <w:r>
        <w:rPr>
          <w:rFonts w:hint="eastAsia"/>
          <w:sz w:val="52"/>
          <w:szCs w:val="52"/>
        </w:rPr>
        <w:t>名词解释</w:t>
      </w:r>
    </w:p>
    <w:p>
      <w:pPr>
        <w:widowControl/>
        <w:jc w:val="left"/>
        <w:rPr>
          <w:rFonts w:ascii="黑体" w:eastAsia="黑体" w:cs="黑体"/>
          <w:color w:val="000000"/>
          <w:kern w:val="0"/>
          <w:sz w:val="70"/>
          <w:szCs w:val="70"/>
        </w:rPr>
      </w:pPr>
      <w:r>
        <w:rPr>
          <w:rFonts w:ascii="黑体" w:eastAsia="黑体" w:cs="黑体"/>
          <w:color w:val="000000"/>
          <w:kern w:val="0"/>
          <w:sz w:val="70"/>
          <w:szCs w:val="70"/>
        </w:rPr>
        <w:br w:type="page"/>
      </w:r>
    </w:p>
    <w:p>
      <w:pPr>
        <w:widowControl/>
        <w:jc w:val="left"/>
        <w:rPr>
          <w:rFonts w:ascii="黑体" w:eastAsia="黑体" w:cs="黑体"/>
          <w:color w:val="000000"/>
          <w:kern w:val="0"/>
          <w:sz w:val="70"/>
          <w:szCs w:val="70"/>
        </w:rPr>
      </w:pPr>
    </w:p>
    <w:p>
      <w:pPr>
        <w:pStyle w:val="6"/>
        <w:shd w:val="clear" w:color="auto" w:fill="FFFFFF"/>
        <w:spacing w:before="0" w:beforeAutospacing="0" w:after="0" w:afterAutospacing="0" w:line="340" w:lineRule="atLeast"/>
        <w:ind w:firstLine="480"/>
        <w:jc w:val="both"/>
        <w:rPr>
          <w:color w:val="000000"/>
          <w:sz w:val="32"/>
          <w:szCs w:val="32"/>
        </w:rPr>
      </w:pPr>
      <w:r>
        <w:rPr>
          <w:rFonts w:hint="eastAsia" w:cs="黑体"/>
          <w:color w:val="000000"/>
          <w:sz w:val="32"/>
          <w:szCs w:val="32"/>
        </w:rPr>
        <w:t>一、</w:t>
      </w:r>
      <w:r>
        <w:rPr>
          <w:rFonts w:hint="eastAsia"/>
          <w:color w:val="000000"/>
          <w:sz w:val="32"/>
          <w:szCs w:val="32"/>
        </w:rPr>
        <w:t>机关运行经费：为保障行政单位（包括参照公务员法管理的事业单位）运行，用一般公共预算拨款基本支出中公用经费之和</w:t>
      </w:r>
      <w:r>
        <w:rPr>
          <w:rFonts w:hint="eastAsia"/>
          <w:color w:val="000000"/>
          <w:sz w:val="32"/>
          <w:szCs w:val="32"/>
          <w:lang w:eastAsia="zh-CN"/>
        </w:rPr>
        <w:t>。</w:t>
      </w:r>
      <w:r>
        <w:rPr>
          <w:rFonts w:hint="eastAsia"/>
          <w:color w:val="000000"/>
          <w:sz w:val="32"/>
          <w:szCs w:val="32"/>
        </w:rPr>
        <w:t>安排用于购买货物</w:t>
      </w:r>
      <w:r>
        <w:rPr>
          <w:rFonts w:hint="eastAsia"/>
          <w:color w:val="000000"/>
          <w:sz w:val="32"/>
          <w:szCs w:val="32"/>
          <w:lang w:eastAsia="zh-CN"/>
        </w:rPr>
        <w:t>、</w:t>
      </w:r>
      <w:r>
        <w:rPr>
          <w:rFonts w:hint="eastAsia"/>
          <w:color w:val="000000"/>
          <w:sz w:val="32"/>
          <w:szCs w:val="32"/>
        </w:rPr>
        <w:t>服务</w:t>
      </w:r>
      <w:r>
        <w:rPr>
          <w:rFonts w:hint="eastAsia"/>
          <w:color w:val="000000"/>
          <w:sz w:val="32"/>
          <w:szCs w:val="32"/>
          <w:lang w:eastAsia="zh-CN"/>
        </w:rPr>
        <w:t>以及设备等资本性支出</w:t>
      </w:r>
      <w:r>
        <w:rPr>
          <w:rFonts w:hint="eastAsia"/>
          <w:color w:val="000000"/>
          <w:sz w:val="32"/>
          <w:szCs w:val="32"/>
        </w:rPr>
        <w:t>的各项资金，包括办公及印刷费、邮电费、差旅费、会议费、福利费、日常维修费、办公用房水电费、办公用房取暖费、办公用房物业管理费、公务用车运行维护费以及</w:t>
      </w:r>
      <w:r>
        <w:rPr>
          <w:rFonts w:hint="eastAsia"/>
          <w:color w:val="000000"/>
          <w:sz w:val="32"/>
          <w:szCs w:val="32"/>
          <w:lang w:eastAsia="zh-CN"/>
        </w:rPr>
        <w:t>办公设备、专用设备的购置等</w:t>
      </w:r>
      <w:r>
        <w:rPr>
          <w:rFonts w:hint="eastAsia"/>
          <w:color w:val="000000"/>
          <w:sz w:val="32"/>
          <w:szCs w:val="32"/>
        </w:rPr>
        <w:t>。</w:t>
      </w:r>
    </w:p>
    <w:p>
      <w:pPr>
        <w:pStyle w:val="6"/>
        <w:shd w:val="clear" w:color="auto" w:fill="FFFFFF"/>
        <w:spacing w:before="0" w:beforeAutospacing="0" w:after="0" w:afterAutospacing="0" w:line="340" w:lineRule="atLeast"/>
        <w:jc w:val="both"/>
        <w:rPr>
          <w:color w:val="000000"/>
          <w:sz w:val="32"/>
          <w:szCs w:val="32"/>
        </w:rPr>
      </w:pPr>
    </w:p>
    <w:p>
      <w:pPr>
        <w:ind w:firstLine="640" w:firstLineChars="200"/>
        <w:jc w:val="left"/>
        <w:rPr>
          <w:rFonts w:ascii="宋体" w:cs="黑体"/>
          <w:color w:val="000000"/>
          <w:kern w:val="0"/>
          <w:sz w:val="32"/>
          <w:szCs w:val="32"/>
        </w:rPr>
      </w:pPr>
      <w:r>
        <w:rPr>
          <w:rFonts w:hint="eastAsia" w:ascii="宋体" w:hAnsi="宋体" w:cs="黑体"/>
          <w:color w:val="000000"/>
          <w:kern w:val="0"/>
          <w:sz w:val="32"/>
          <w:szCs w:val="32"/>
        </w:rPr>
        <w:t>二、</w:t>
      </w:r>
      <w:r>
        <w:rPr>
          <w:rFonts w:hint="eastAsia" w:ascii="宋体" w:hAnsi="宋体"/>
          <w:color w:val="000000"/>
          <w:sz w:val="32"/>
          <w:szCs w:val="32"/>
        </w:rPr>
        <w:t>“三公”经费：纳入财政预算管理的“三公“经费，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食宿费等支出。</w:t>
      </w:r>
    </w:p>
    <w:p>
      <w:pPr>
        <w:pStyle w:val="11"/>
        <w:jc w:val="center"/>
        <w:rPr>
          <w:sz w:val="72"/>
          <w:szCs w:val="72"/>
        </w:rPr>
      </w:pPr>
    </w:p>
    <w:p>
      <w:pPr>
        <w:pStyle w:val="11"/>
        <w:jc w:val="both"/>
        <w:rPr>
          <w:sz w:val="72"/>
          <w:szCs w:val="72"/>
        </w:rPr>
      </w:pPr>
    </w:p>
    <w:p>
      <w:pPr>
        <w:pStyle w:val="11"/>
        <w:jc w:val="both"/>
        <w:rPr>
          <w:sz w:val="72"/>
          <w:szCs w:val="72"/>
        </w:rPr>
      </w:pPr>
    </w:p>
    <w:p>
      <w:pPr>
        <w:pStyle w:val="11"/>
        <w:jc w:val="center"/>
        <w:rPr>
          <w:rFonts w:hint="eastAsia"/>
          <w:sz w:val="52"/>
          <w:szCs w:val="52"/>
        </w:rPr>
      </w:pPr>
      <w:r>
        <w:rPr>
          <w:rFonts w:hint="eastAsia"/>
          <w:sz w:val="52"/>
          <w:szCs w:val="52"/>
        </w:rPr>
        <w:t>第五部分</w:t>
      </w:r>
    </w:p>
    <w:p>
      <w:pPr>
        <w:pStyle w:val="11"/>
        <w:jc w:val="center"/>
        <w:rPr>
          <w:rFonts w:hint="eastAsia"/>
          <w:sz w:val="52"/>
          <w:szCs w:val="52"/>
        </w:rPr>
      </w:pPr>
    </w:p>
    <w:p>
      <w:pPr>
        <w:pStyle w:val="11"/>
        <w:jc w:val="center"/>
        <w:rPr>
          <w:rFonts w:hint="eastAsia"/>
          <w:sz w:val="52"/>
          <w:szCs w:val="52"/>
        </w:rPr>
      </w:pPr>
      <w:r>
        <w:rPr>
          <w:rFonts w:hint="eastAsia"/>
          <w:sz w:val="52"/>
          <w:szCs w:val="52"/>
        </w:rPr>
        <w:t>附件</w:t>
      </w:r>
    </w:p>
    <w:sectPr>
      <w:pgSz w:w="11906" w:h="16838"/>
      <w:pgMar w:top="720" w:right="833" w:bottom="720" w:left="77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6A3F62"/>
    <w:multiLevelType w:val="singleLevel"/>
    <w:tmpl w:val="E46A3F62"/>
    <w:lvl w:ilvl="0" w:tentative="0">
      <w:start w:val="4"/>
      <w:numFmt w:val="decimal"/>
      <w:suff w:val="nothing"/>
      <w:lvlText w:val="%1、"/>
      <w:lvlJc w:val="left"/>
    </w:lvl>
  </w:abstractNum>
  <w:abstractNum w:abstractNumId="1">
    <w:nsid w:val="373518C1"/>
    <w:multiLevelType w:val="multilevel"/>
    <w:tmpl w:val="373518C1"/>
    <w:lvl w:ilvl="0" w:tentative="0">
      <w:start w:val="1"/>
      <w:numFmt w:val="none"/>
      <w:lvlText w:val="一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BF67100"/>
    <w:multiLevelType w:val="singleLevel"/>
    <w:tmpl w:val="7BF6710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2YjljZGQ0MTVhMjkwZDViNDNlMzY2NTFjMWYyNTkifQ=="/>
  </w:docVars>
  <w:rsids>
    <w:rsidRoot w:val="004506F9"/>
    <w:rsid w:val="0002229B"/>
    <w:rsid w:val="000273BD"/>
    <w:rsid w:val="000415B7"/>
    <w:rsid w:val="00041E3F"/>
    <w:rsid w:val="00055DAA"/>
    <w:rsid w:val="00061F7B"/>
    <w:rsid w:val="000658A3"/>
    <w:rsid w:val="00074155"/>
    <w:rsid w:val="000873EF"/>
    <w:rsid w:val="000A3F69"/>
    <w:rsid w:val="00103957"/>
    <w:rsid w:val="00124A1F"/>
    <w:rsid w:val="00152C6D"/>
    <w:rsid w:val="00162D39"/>
    <w:rsid w:val="001678BD"/>
    <w:rsid w:val="00182373"/>
    <w:rsid w:val="001A67DB"/>
    <w:rsid w:val="001C3C29"/>
    <w:rsid w:val="001D51E5"/>
    <w:rsid w:val="001E080D"/>
    <w:rsid w:val="001E53D0"/>
    <w:rsid w:val="001F0C3B"/>
    <w:rsid w:val="00202C14"/>
    <w:rsid w:val="00202C82"/>
    <w:rsid w:val="00214427"/>
    <w:rsid w:val="00226CB7"/>
    <w:rsid w:val="00264552"/>
    <w:rsid w:val="00264EF9"/>
    <w:rsid w:val="00265724"/>
    <w:rsid w:val="0027426B"/>
    <w:rsid w:val="002E0A30"/>
    <w:rsid w:val="003130C4"/>
    <w:rsid w:val="00316C4B"/>
    <w:rsid w:val="0032192B"/>
    <w:rsid w:val="003479BD"/>
    <w:rsid w:val="0037197D"/>
    <w:rsid w:val="003768D5"/>
    <w:rsid w:val="003C4197"/>
    <w:rsid w:val="003C47E6"/>
    <w:rsid w:val="003C4FC2"/>
    <w:rsid w:val="003E2331"/>
    <w:rsid w:val="00416E61"/>
    <w:rsid w:val="0042790C"/>
    <w:rsid w:val="004506F9"/>
    <w:rsid w:val="004717A2"/>
    <w:rsid w:val="00473DF3"/>
    <w:rsid w:val="00487911"/>
    <w:rsid w:val="00491741"/>
    <w:rsid w:val="004B0CEE"/>
    <w:rsid w:val="00500E5F"/>
    <w:rsid w:val="005122EF"/>
    <w:rsid w:val="0051441A"/>
    <w:rsid w:val="00517C33"/>
    <w:rsid w:val="00517D5F"/>
    <w:rsid w:val="00521AF2"/>
    <w:rsid w:val="00523644"/>
    <w:rsid w:val="0054069E"/>
    <w:rsid w:val="00544866"/>
    <w:rsid w:val="005767CC"/>
    <w:rsid w:val="00590D9F"/>
    <w:rsid w:val="00595D26"/>
    <w:rsid w:val="005A74E6"/>
    <w:rsid w:val="005B404E"/>
    <w:rsid w:val="005D4D55"/>
    <w:rsid w:val="005E2CFB"/>
    <w:rsid w:val="005F2103"/>
    <w:rsid w:val="005F3D1C"/>
    <w:rsid w:val="0062378F"/>
    <w:rsid w:val="00641842"/>
    <w:rsid w:val="00651EEC"/>
    <w:rsid w:val="00686673"/>
    <w:rsid w:val="00691E8C"/>
    <w:rsid w:val="006A22C4"/>
    <w:rsid w:val="006A348B"/>
    <w:rsid w:val="006A351B"/>
    <w:rsid w:val="006B0422"/>
    <w:rsid w:val="006C1B53"/>
    <w:rsid w:val="006D7730"/>
    <w:rsid w:val="006E5284"/>
    <w:rsid w:val="006F3EB5"/>
    <w:rsid w:val="00702E34"/>
    <w:rsid w:val="00704395"/>
    <w:rsid w:val="00710FE7"/>
    <w:rsid w:val="00717621"/>
    <w:rsid w:val="00720FF1"/>
    <w:rsid w:val="00727A53"/>
    <w:rsid w:val="00787B42"/>
    <w:rsid w:val="007C4539"/>
    <w:rsid w:val="007F3657"/>
    <w:rsid w:val="00812ED5"/>
    <w:rsid w:val="008277D9"/>
    <w:rsid w:val="0084478C"/>
    <w:rsid w:val="0086638C"/>
    <w:rsid w:val="008A3E8D"/>
    <w:rsid w:val="009237C4"/>
    <w:rsid w:val="00944C48"/>
    <w:rsid w:val="00950252"/>
    <w:rsid w:val="00967F5D"/>
    <w:rsid w:val="009A0F95"/>
    <w:rsid w:val="009B3ADF"/>
    <w:rsid w:val="009C3B52"/>
    <w:rsid w:val="009E6817"/>
    <w:rsid w:val="009E6E9A"/>
    <w:rsid w:val="00A01D2B"/>
    <w:rsid w:val="00A42218"/>
    <w:rsid w:val="00A70249"/>
    <w:rsid w:val="00A70B02"/>
    <w:rsid w:val="00A71D9F"/>
    <w:rsid w:val="00A92E9F"/>
    <w:rsid w:val="00B33BEA"/>
    <w:rsid w:val="00B57C9F"/>
    <w:rsid w:val="00B63572"/>
    <w:rsid w:val="00B845B3"/>
    <w:rsid w:val="00B85D8B"/>
    <w:rsid w:val="00BB4A40"/>
    <w:rsid w:val="00BD6C3E"/>
    <w:rsid w:val="00BE3674"/>
    <w:rsid w:val="00C10681"/>
    <w:rsid w:val="00C3049A"/>
    <w:rsid w:val="00C31B1E"/>
    <w:rsid w:val="00C77645"/>
    <w:rsid w:val="00CE04C3"/>
    <w:rsid w:val="00CE76A0"/>
    <w:rsid w:val="00D148C6"/>
    <w:rsid w:val="00D17A8A"/>
    <w:rsid w:val="00D415BA"/>
    <w:rsid w:val="00D63780"/>
    <w:rsid w:val="00D644EE"/>
    <w:rsid w:val="00D75489"/>
    <w:rsid w:val="00DD06FF"/>
    <w:rsid w:val="00DD5FE9"/>
    <w:rsid w:val="00E00C7A"/>
    <w:rsid w:val="00E209CF"/>
    <w:rsid w:val="00E37D6C"/>
    <w:rsid w:val="00E55B68"/>
    <w:rsid w:val="00E67BE6"/>
    <w:rsid w:val="00E8683C"/>
    <w:rsid w:val="00EA2B72"/>
    <w:rsid w:val="00F74360"/>
    <w:rsid w:val="00FB462F"/>
    <w:rsid w:val="00FE16FA"/>
    <w:rsid w:val="00FE328A"/>
    <w:rsid w:val="00FE6269"/>
    <w:rsid w:val="00FF5CD6"/>
    <w:rsid w:val="02BD2BFD"/>
    <w:rsid w:val="04FD7317"/>
    <w:rsid w:val="05A14F91"/>
    <w:rsid w:val="0DAD0977"/>
    <w:rsid w:val="101257A7"/>
    <w:rsid w:val="10755B8B"/>
    <w:rsid w:val="108837E4"/>
    <w:rsid w:val="18613303"/>
    <w:rsid w:val="18924B66"/>
    <w:rsid w:val="18D14427"/>
    <w:rsid w:val="1C830671"/>
    <w:rsid w:val="2237485C"/>
    <w:rsid w:val="237171CB"/>
    <w:rsid w:val="29345DC7"/>
    <w:rsid w:val="296C6D5D"/>
    <w:rsid w:val="2C2217C9"/>
    <w:rsid w:val="2C2B534C"/>
    <w:rsid w:val="2C444745"/>
    <w:rsid w:val="306F074E"/>
    <w:rsid w:val="38F33E37"/>
    <w:rsid w:val="39CB3DB0"/>
    <w:rsid w:val="3A5244D1"/>
    <w:rsid w:val="409B4DF1"/>
    <w:rsid w:val="41AF2209"/>
    <w:rsid w:val="42350960"/>
    <w:rsid w:val="44823DB7"/>
    <w:rsid w:val="4ABD14F2"/>
    <w:rsid w:val="4BCC48EB"/>
    <w:rsid w:val="4C3D7F65"/>
    <w:rsid w:val="4E044AAE"/>
    <w:rsid w:val="4E69428F"/>
    <w:rsid w:val="4F4915A7"/>
    <w:rsid w:val="521A36CE"/>
    <w:rsid w:val="52B92C57"/>
    <w:rsid w:val="54493DF7"/>
    <w:rsid w:val="554F76DA"/>
    <w:rsid w:val="562F205B"/>
    <w:rsid w:val="597255B7"/>
    <w:rsid w:val="59EC4A1E"/>
    <w:rsid w:val="5C01084E"/>
    <w:rsid w:val="5D845EA0"/>
    <w:rsid w:val="5E0737C3"/>
    <w:rsid w:val="5F613011"/>
    <w:rsid w:val="67C9107F"/>
    <w:rsid w:val="6E9D193C"/>
    <w:rsid w:val="6F9636AF"/>
    <w:rsid w:val="72862E9A"/>
    <w:rsid w:val="7320390F"/>
    <w:rsid w:val="76613BF0"/>
    <w:rsid w:val="77313DE0"/>
    <w:rsid w:val="773926C1"/>
    <w:rsid w:val="77FE6B23"/>
    <w:rsid w:val="7A545120"/>
    <w:rsid w:val="7B0743BA"/>
    <w:rsid w:val="7BC97448"/>
    <w:rsid w:val="7CE94EC8"/>
    <w:rsid w:val="7D2D5C3E"/>
    <w:rsid w:val="7E945398"/>
    <w:rsid w:val="7F001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880" w:firstLineChars="200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eastAsia="黑体" w:cs="黑体" w:hAnsiTheme="minorHAnsi"/>
      <w:color w:val="000000"/>
      <w:kern w:val="0"/>
      <w:sz w:val="24"/>
      <w:szCs w:val="24"/>
      <w:lang w:val="en-US" w:eastAsia="zh-CN" w:bidi="ar-SA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8"/>
    <w:link w:val="3"/>
    <w:semiHidden/>
    <w:qFormat/>
    <w:uiPriority w:val="99"/>
    <w:rPr>
      <w:sz w:val="18"/>
      <w:szCs w:val="18"/>
    </w:rPr>
  </w:style>
  <w:style w:type="paragraph" w:customStyle="1" w:styleId="14">
    <w:name w:val="无间隔1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paragraph" w:customStyle="1" w:styleId="15">
    <w:name w:val="无间隔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80904-B2FB-4FE3-894F-42F14B17BC5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13</Pages>
  <Words>5014</Words>
  <Characters>5589</Characters>
  <Lines>69</Lines>
  <Paragraphs>19</Paragraphs>
  <TotalTime>18</TotalTime>
  <ScaleCrop>false</ScaleCrop>
  <LinksUpToDate>false</LinksUpToDate>
  <CharactersWithSpaces>5610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2020-07-02T02:32:00Z</dcterms:created>
  <dc:creator>李航 null</dc:creator>
  <cp:lastModifiedBy>王志怡</cp:lastModifiedBy>
  <cp:lastPrinted>2022-07-27T12:55:00Z</cp:lastPrinted>
  <dcterms:modified xsi:type="dcterms:W3CDTF">2023-09-23T09:01:19Z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47BB0B9C6EE8484681D6336853BEDAD5</vt:lpwstr>
  </property>
</Properties>
</file>