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07EB8">
      <w:pPr>
        <w:pStyle w:val="11"/>
        <w:jc w:val="center"/>
        <w:rPr>
          <w:rFonts w:hint="eastAsia" w:ascii="方正小标宋_GBK" w:hAnsi="方正小标宋_GBK" w:eastAsia="方正小标宋_GBK" w:cs="方正小标宋_GBK"/>
          <w:b/>
          <w:bCs/>
          <w:color w:val="auto"/>
          <w:kern w:val="0"/>
          <w:sz w:val="84"/>
          <w:szCs w:val="84"/>
          <w:highlight w:val="none"/>
        </w:rPr>
      </w:pPr>
    </w:p>
    <w:p w14:paraId="7815691B">
      <w:pPr>
        <w:pStyle w:val="11"/>
        <w:jc w:val="center"/>
        <w:rPr>
          <w:rFonts w:hint="eastAsia" w:ascii="方正小标宋_GBK" w:hAnsi="方正小标宋_GBK" w:eastAsia="方正小标宋_GBK" w:cs="方正小标宋_GBK"/>
          <w:b/>
          <w:bCs/>
          <w:color w:val="auto"/>
          <w:kern w:val="0"/>
          <w:sz w:val="84"/>
          <w:szCs w:val="84"/>
          <w:highlight w:val="none"/>
        </w:rPr>
      </w:pPr>
    </w:p>
    <w:p w14:paraId="5B57777A">
      <w:pPr>
        <w:pStyle w:val="11"/>
        <w:jc w:val="center"/>
        <w:rPr>
          <w:rFonts w:hint="eastAsia" w:ascii="方正小标宋_GBK" w:hAnsi="方正小标宋_GBK" w:eastAsia="方正小标宋_GBK" w:cs="方正小标宋_GBK"/>
          <w:b/>
          <w:bCs/>
          <w:color w:val="auto"/>
          <w:kern w:val="0"/>
          <w:sz w:val="84"/>
          <w:szCs w:val="84"/>
          <w:highlight w:val="none"/>
        </w:rPr>
      </w:pPr>
    </w:p>
    <w:p w14:paraId="48608CEC">
      <w:pPr>
        <w:pStyle w:val="11"/>
        <w:jc w:val="center"/>
        <w:rPr>
          <w:rFonts w:hint="eastAsia" w:ascii="方正小标宋_GBK" w:hAnsi="方正小标宋_GBK" w:eastAsia="方正小标宋_GBK" w:cs="方正小标宋_GBK"/>
          <w:b/>
          <w:bCs/>
          <w:color w:val="auto"/>
          <w:kern w:val="0"/>
          <w:sz w:val="84"/>
          <w:szCs w:val="84"/>
          <w:highlight w:val="none"/>
        </w:rPr>
      </w:pPr>
      <w:r>
        <w:rPr>
          <w:rFonts w:hint="eastAsia" w:ascii="方正小标宋_GBK" w:hAnsi="方正小标宋_GBK" w:eastAsia="方正小标宋_GBK" w:cs="方正小标宋_GBK"/>
          <w:b/>
          <w:bCs/>
          <w:color w:val="auto"/>
          <w:kern w:val="0"/>
          <w:sz w:val="84"/>
          <w:szCs w:val="84"/>
          <w:highlight w:val="none"/>
        </w:rPr>
        <w:t>202</w:t>
      </w:r>
      <w:r>
        <w:rPr>
          <w:rFonts w:hint="eastAsia" w:ascii="方正小标宋_GBK" w:hAnsi="方正小标宋_GBK" w:eastAsia="方正小标宋_GBK" w:cs="方正小标宋_GBK"/>
          <w:b/>
          <w:bCs/>
          <w:color w:val="auto"/>
          <w:kern w:val="0"/>
          <w:sz w:val="84"/>
          <w:szCs w:val="84"/>
          <w:highlight w:val="none"/>
          <w:lang w:val="en-US" w:eastAsia="zh-CN"/>
        </w:rPr>
        <w:t>2</w:t>
      </w:r>
      <w:r>
        <w:rPr>
          <w:rFonts w:hint="eastAsia" w:ascii="方正小标宋_GBK" w:hAnsi="方正小标宋_GBK" w:eastAsia="方正小标宋_GBK" w:cs="方正小标宋_GBK"/>
          <w:b/>
          <w:bCs/>
          <w:color w:val="auto"/>
          <w:kern w:val="0"/>
          <w:sz w:val="84"/>
          <w:szCs w:val="84"/>
          <w:highlight w:val="none"/>
        </w:rPr>
        <w:t>年度</w:t>
      </w:r>
    </w:p>
    <w:p w14:paraId="4CF872EF">
      <w:pPr>
        <w:pStyle w:val="11"/>
        <w:jc w:val="center"/>
        <w:rPr>
          <w:rFonts w:hint="eastAsia" w:ascii="方正小标宋_GBK" w:hAnsi="方正小标宋_GBK" w:eastAsia="方正小标宋_GBK" w:cs="方正小标宋_GBK"/>
          <w:b/>
          <w:bCs/>
          <w:color w:val="auto"/>
          <w:kern w:val="0"/>
          <w:sz w:val="84"/>
          <w:szCs w:val="84"/>
          <w:highlight w:val="none"/>
          <w:lang w:eastAsia="zh-CN"/>
        </w:rPr>
      </w:pPr>
      <w:r>
        <w:rPr>
          <w:rFonts w:hint="eastAsia" w:ascii="方正小标宋_GBK" w:hAnsi="方正小标宋_GBK" w:eastAsia="方正小标宋_GBK" w:cs="方正小标宋_GBK"/>
          <w:b/>
          <w:bCs/>
          <w:color w:val="auto"/>
          <w:kern w:val="0"/>
          <w:sz w:val="84"/>
          <w:szCs w:val="84"/>
          <w:highlight w:val="none"/>
          <w:lang w:eastAsia="zh-CN"/>
        </w:rPr>
        <w:t>中共怀化市委党校</w:t>
      </w:r>
    </w:p>
    <w:p w14:paraId="6A13893A">
      <w:pPr>
        <w:pStyle w:val="11"/>
        <w:jc w:val="center"/>
        <w:rPr>
          <w:rFonts w:hint="eastAsia" w:ascii="方正小标宋_GBK" w:hAnsi="方正小标宋_GBK" w:eastAsia="方正小标宋_GBK" w:cs="方正小标宋_GBK"/>
          <w:b/>
          <w:bCs/>
          <w:color w:val="auto"/>
          <w:kern w:val="0"/>
          <w:sz w:val="84"/>
          <w:szCs w:val="84"/>
          <w:highlight w:val="none"/>
        </w:rPr>
      </w:pPr>
      <w:r>
        <w:rPr>
          <w:rFonts w:hint="eastAsia" w:ascii="方正小标宋_GBK" w:hAnsi="方正小标宋_GBK" w:eastAsia="方正小标宋_GBK" w:cs="方正小标宋_GBK"/>
          <w:b/>
          <w:bCs/>
          <w:color w:val="auto"/>
          <w:kern w:val="0"/>
          <w:sz w:val="84"/>
          <w:szCs w:val="84"/>
          <w:highlight w:val="none"/>
        </w:rPr>
        <w:t>部门决算</w:t>
      </w:r>
    </w:p>
    <w:p w14:paraId="5FCB482C">
      <w:pPr>
        <w:rPr>
          <w:rFonts w:hint="eastAsia" w:ascii="仿宋" w:hAnsi="仿宋" w:eastAsia="仿宋" w:cs="仿宋"/>
          <w:b/>
          <w:bCs w:val="0"/>
          <w:color w:val="auto"/>
          <w:kern w:val="21"/>
          <w:sz w:val="32"/>
          <w:szCs w:val="32"/>
          <w:highlight w:val="none"/>
          <w:lang w:val="en-US" w:eastAsia="zh-CN" w:bidi="ar-SA"/>
        </w:rPr>
      </w:pPr>
    </w:p>
    <w:p w14:paraId="687745B3">
      <w:pPr>
        <w:rPr>
          <w:rFonts w:hint="eastAsia" w:ascii="仿宋" w:hAnsi="仿宋" w:eastAsia="仿宋" w:cs="仿宋"/>
          <w:b/>
          <w:bCs w:val="0"/>
          <w:color w:val="auto"/>
          <w:kern w:val="21"/>
          <w:sz w:val="32"/>
          <w:szCs w:val="32"/>
          <w:highlight w:val="none"/>
          <w:lang w:val="en-US" w:eastAsia="zh-CN" w:bidi="ar-SA"/>
        </w:rPr>
      </w:pPr>
    </w:p>
    <w:p w14:paraId="7C852FF6">
      <w:pPr>
        <w:rPr>
          <w:rFonts w:hint="eastAsia" w:ascii="仿宋" w:hAnsi="仿宋" w:eastAsia="仿宋" w:cs="仿宋"/>
          <w:b/>
          <w:bCs w:val="0"/>
          <w:color w:val="auto"/>
          <w:kern w:val="21"/>
          <w:sz w:val="32"/>
          <w:szCs w:val="32"/>
          <w:highlight w:val="none"/>
          <w:lang w:val="en-US" w:eastAsia="zh-CN" w:bidi="ar-SA"/>
        </w:rPr>
      </w:pPr>
    </w:p>
    <w:p w14:paraId="29325DA1">
      <w:pPr>
        <w:rPr>
          <w:rFonts w:hint="eastAsia" w:ascii="仿宋" w:hAnsi="仿宋" w:eastAsia="仿宋" w:cs="仿宋"/>
          <w:b/>
          <w:bCs w:val="0"/>
          <w:color w:val="auto"/>
          <w:kern w:val="21"/>
          <w:sz w:val="32"/>
          <w:szCs w:val="32"/>
          <w:highlight w:val="none"/>
          <w:lang w:val="en-US" w:eastAsia="zh-CN" w:bidi="ar-SA"/>
        </w:rPr>
      </w:pPr>
    </w:p>
    <w:p w14:paraId="71F0B7AA">
      <w:pPr>
        <w:rPr>
          <w:rFonts w:hint="eastAsia" w:ascii="仿宋" w:hAnsi="仿宋" w:eastAsia="仿宋" w:cs="仿宋"/>
          <w:b/>
          <w:bCs w:val="0"/>
          <w:color w:val="auto"/>
          <w:kern w:val="21"/>
          <w:sz w:val="32"/>
          <w:szCs w:val="32"/>
          <w:highlight w:val="none"/>
          <w:lang w:val="en-US" w:eastAsia="zh-CN" w:bidi="ar-SA"/>
        </w:rPr>
      </w:pPr>
    </w:p>
    <w:p w14:paraId="314007BC">
      <w:pPr>
        <w:rPr>
          <w:rFonts w:hint="eastAsia" w:ascii="仿宋" w:hAnsi="仿宋" w:eastAsia="仿宋" w:cs="仿宋"/>
          <w:b/>
          <w:bCs w:val="0"/>
          <w:color w:val="auto"/>
          <w:kern w:val="21"/>
          <w:sz w:val="32"/>
          <w:szCs w:val="32"/>
          <w:highlight w:val="none"/>
          <w:lang w:val="en-US" w:eastAsia="zh-CN" w:bidi="ar-SA"/>
        </w:rPr>
      </w:pPr>
    </w:p>
    <w:p w14:paraId="77FF678E">
      <w:pPr>
        <w:rPr>
          <w:rFonts w:hint="eastAsia" w:ascii="仿宋" w:hAnsi="仿宋" w:eastAsia="仿宋" w:cs="仿宋"/>
          <w:b/>
          <w:bCs w:val="0"/>
          <w:color w:val="auto"/>
          <w:kern w:val="21"/>
          <w:sz w:val="32"/>
          <w:szCs w:val="32"/>
          <w:highlight w:val="none"/>
          <w:lang w:val="en-US" w:eastAsia="zh-CN" w:bidi="ar-SA"/>
        </w:rPr>
      </w:pPr>
    </w:p>
    <w:p w14:paraId="5BAF52F1">
      <w:pPr>
        <w:rPr>
          <w:rFonts w:hint="eastAsia" w:ascii="仿宋" w:hAnsi="仿宋" w:eastAsia="仿宋" w:cs="仿宋"/>
          <w:b/>
          <w:bCs w:val="0"/>
          <w:color w:val="auto"/>
          <w:kern w:val="21"/>
          <w:sz w:val="32"/>
          <w:szCs w:val="32"/>
          <w:highlight w:val="none"/>
          <w:lang w:val="en-US" w:eastAsia="zh-CN" w:bidi="ar-SA"/>
        </w:rPr>
      </w:pPr>
    </w:p>
    <w:p w14:paraId="6A2BCD76">
      <w:pPr>
        <w:jc w:val="center"/>
        <w:rPr>
          <w:rFonts w:hint="eastAsia" w:ascii="仿宋" w:hAnsi="仿宋" w:eastAsia="仿宋" w:cs="仿宋"/>
          <w:b/>
          <w:bCs w:val="0"/>
          <w:color w:val="auto"/>
          <w:kern w:val="21"/>
          <w:sz w:val="32"/>
          <w:szCs w:val="32"/>
          <w:highlight w:val="none"/>
          <w:lang w:val="en-US" w:eastAsia="zh-CN" w:bidi="ar-SA"/>
        </w:rPr>
      </w:pPr>
      <w:r>
        <w:rPr>
          <w:rFonts w:hint="eastAsia" w:ascii="仿宋" w:hAnsi="仿宋" w:eastAsia="仿宋" w:cs="仿宋"/>
          <w:b/>
          <w:bCs w:val="0"/>
          <w:color w:val="auto"/>
          <w:kern w:val="21"/>
          <w:sz w:val="32"/>
          <w:szCs w:val="32"/>
          <w:highlight w:val="none"/>
          <w:lang w:val="en-US" w:eastAsia="zh-CN" w:bidi="ar-SA"/>
        </w:rPr>
        <w:t>目  录</w:t>
      </w:r>
    </w:p>
    <w:p w14:paraId="415E4CD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val="0"/>
          <w:color w:val="auto"/>
          <w:kern w:val="21"/>
          <w:sz w:val="32"/>
          <w:szCs w:val="32"/>
          <w:highlight w:val="none"/>
          <w:lang w:val="en-US" w:eastAsia="zh-CN" w:bidi="ar-SA"/>
        </w:rPr>
      </w:pPr>
    </w:p>
    <w:p w14:paraId="7AF45295">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黑体" w:hAnsi="黑体" w:eastAsia="黑体" w:cs="黑体"/>
          <w:bCs/>
          <w:color w:val="auto"/>
          <w:kern w:val="0"/>
          <w:sz w:val="32"/>
          <w:szCs w:val="32"/>
          <w:highlight w:val="none"/>
        </w:rPr>
      </w:pPr>
      <w:r>
        <w:rPr>
          <w:rFonts w:hint="eastAsia" w:ascii="黑体" w:hAnsi="黑体" w:eastAsia="黑体" w:cs="黑体"/>
          <w:bCs/>
          <w:color w:val="auto"/>
          <w:kern w:val="0"/>
          <w:sz w:val="32"/>
          <w:szCs w:val="32"/>
          <w:highlight w:val="none"/>
        </w:rPr>
        <w:t>第一部分</w:t>
      </w:r>
      <w:r>
        <w:rPr>
          <w:rFonts w:hint="eastAsia" w:hAnsi="黑体" w:cs="黑体"/>
          <w:bCs/>
          <w:color w:val="auto"/>
          <w:kern w:val="0"/>
          <w:sz w:val="32"/>
          <w:szCs w:val="32"/>
          <w:highlight w:val="none"/>
          <w:lang w:val="en-US" w:eastAsia="zh-CN"/>
        </w:rPr>
        <w:t xml:space="preserve">  </w:t>
      </w:r>
      <w:r>
        <w:rPr>
          <w:rFonts w:hint="eastAsia" w:ascii="黑体" w:hAnsi="黑体" w:eastAsia="黑体" w:cs="黑体"/>
          <w:bCs/>
          <w:color w:val="auto"/>
          <w:kern w:val="0"/>
          <w:sz w:val="32"/>
          <w:szCs w:val="32"/>
          <w:highlight w:val="none"/>
          <w:lang w:eastAsia="zh-CN"/>
        </w:rPr>
        <w:t>中共怀化市委党校</w:t>
      </w:r>
      <w:r>
        <w:rPr>
          <w:rFonts w:hint="eastAsia" w:ascii="黑体" w:hAnsi="黑体" w:eastAsia="黑体" w:cs="黑体"/>
          <w:bCs/>
          <w:color w:val="auto"/>
          <w:kern w:val="0"/>
          <w:sz w:val="32"/>
          <w:szCs w:val="32"/>
          <w:highlight w:val="none"/>
        </w:rPr>
        <w:t>概况</w:t>
      </w:r>
    </w:p>
    <w:p w14:paraId="3F42FE56">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一、部门职责</w:t>
      </w:r>
    </w:p>
    <w:p w14:paraId="222CFCEC">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二、机构设置</w:t>
      </w:r>
    </w:p>
    <w:p w14:paraId="2D51031A">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黑体" w:hAnsi="黑体" w:eastAsia="黑体" w:cs="黑体"/>
          <w:bCs/>
          <w:color w:val="auto"/>
          <w:kern w:val="0"/>
          <w:sz w:val="32"/>
          <w:szCs w:val="32"/>
          <w:highlight w:val="none"/>
        </w:rPr>
      </w:pPr>
      <w:r>
        <w:rPr>
          <w:rFonts w:hint="eastAsia" w:ascii="黑体" w:hAnsi="黑体" w:eastAsia="黑体" w:cs="黑体"/>
          <w:bCs/>
          <w:color w:val="auto"/>
          <w:kern w:val="0"/>
          <w:sz w:val="32"/>
          <w:szCs w:val="32"/>
          <w:highlight w:val="none"/>
        </w:rPr>
        <w:t>第二部分</w:t>
      </w:r>
      <w:r>
        <w:rPr>
          <w:rFonts w:hint="eastAsia" w:hAnsi="黑体" w:cs="黑体"/>
          <w:bCs/>
          <w:color w:val="auto"/>
          <w:kern w:val="0"/>
          <w:sz w:val="32"/>
          <w:szCs w:val="32"/>
          <w:highlight w:val="none"/>
          <w:lang w:val="en-US" w:eastAsia="zh-CN"/>
        </w:rPr>
        <w:t xml:space="preserve">  </w:t>
      </w:r>
      <w:r>
        <w:rPr>
          <w:rFonts w:hint="eastAsia" w:ascii="黑体" w:hAnsi="黑体" w:eastAsia="黑体" w:cs="黑体"/>
          <w:bCs/>
          <w:color w:val="auto"/>
          <w:kern w:val="0"/>
          <w:sz w:val="32"/>
          <w:szCs w:val="32"/>
          <w:highlight w:val="none"/>
        </w:rPr>
        <w:t>部门决算表</w:t>
      </w:r>
    </w:p>
    <w:p w14:paraId="52A3D087">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p>
    <w:p w14:paraId="3A2205DB">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p>
    <w:p w14:paraId="738D1E7E">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p>
    <w:p w14:paraId="57BB1BD5">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p>
    <w:p w14:paraId="0323C5EF">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五、一般公共预算财政拨款支出决算表</w:t>
      </w:r>
    </w:p>
    <w:p w14:paraId="08C4EBEE">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六、一般公共预算财政拨款基本支出决算明细表</w:t>
      </w:r>
    </w:p>
    <w:p w14:paraId="663EC8A8">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七、政府性基金预算财政拨款收入支出决算表</w:t>
      </w:r>
    </w:p>
    <w:p w14:paraId="60E2AD2E">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八、国有资本经营预算财政拨款支出决算表</w:t>
      </w:r>
    </w:p>
    <w:p w14:paraId="2487A1C3">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九、财政拨款“三公”经费支出决算表</w:t>
      </w:r>
    </w:p>
    <w:p w14:paraId="6D4EA0CE">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黑体" w:hAnsi="黑体" w:eastAsia="黑体" w:cs="黑体"/>
          <w:bCs/>
          <w:color w:val="auto"/>
          <w:kern w:val="0"/>
          <w:sz w:val="32"/>
          <w:szCs w:val="32"/>
          <w:highlight w:val="none"/>
        </w:rPr>
      </w:pPr>
      <w:r>
        <w:rPr>
          <w:rFonts w:hint="eastAsia" w:ascii="黑体" w:hAnsi="黑体" w:eastAsia="黑体" w:cs="黑体"/>
          <w:bCs/>
          <w:color w:val="auto"/>
          <w:kern w:val="0"/>
          <w:sz w:val="32"/>
          <w:szCs w:val="32"/>
          <w:highlight w:val="none"/>
        </w:rPr>
        <w:t>第三部分</w:t>
      </w:r>
      <w:r>
        <w:rPr>
          <w:rFonts w:hint="eastAsia" w:hAnsi="黑体" w:cs="黑体"/>
          <w:bCs/>
          <w:color w:val="auto"/>
          <w:kern w:val="0"/>
          <w:sz w:val="32"/>
          <w:szCs w:val="32"/>
          <w:highlight w:val="none"/>
          <w:lang w:val="en-US" w:eastAsia="zh-CN"/>
        </w:rPr>
        <w:t xml:space="preserve">  </w:t>
      </w:r>
      <w:r>
        <w:rPr>
          <w:rFonts w:hint="eastAsia" w:ascii="黑体" w:hAnsi="黑体" w:eastAsia="黑体" w:cs="黑体"/>
          <w:bCs/>
          <w:color w:val="auto"/>
          <w:kern w:val="0"/>
          <w:sz w:val="32"/>
          <w:szCs w:val="32"/>
          <w:highlight w:val="none"/>
        </w:rPr>
        <w:t>部门决算情况说明</w:t>
      </w:r>
    </w:p>
    <w:p w14:paraId="566CD637">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一、收入支出决算总体情况说明</w:t>
      </w:r>
    </w:p>
    <w:p w14:paraId="5B9AF9C1">
      <w:pPr>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二、收入决算情况说明</w:t>
      </w:r>
    </w:p>
    <w:p w14:paraId="2F209264">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三、支出决算情况说明</w:t>
      </w:r>
    </w:p>
    <w:p w14:paraId="427DEE4C">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四、财政拨款收入支出决算总体情况说明</w:t>
      </w:r>
    </w:p>
    <w:p w14:paraId="5DC2FEF1">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五、一般公共预算财政拨款支出决算情况说明</w:t>
      </w:r>
    </w:p>
    <w:p w14:paraId="4E32CC6C">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六、一般公共预算财政拨款基本支出决算情况说明</w:t>
      </w:r>
    </w:p>
    <w:p w14:paraId="74A0FB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七、一般</w:t>
      </w:r>
      <w:r>
        <w:rPr>
          <w:rFonts w:hint="eastAsia" w:ascii="仿宋_GB2312" w:hAnsi="仿宋_GB2312" w:eastAsia="仿宋_GB2312" w:cs="仿宋_GB2312"/>
          <w:color w:val="auto"/>
          <w:spacing w:val="-6"/>
          <w:kern w:val="0"/>
          <w:sz w:val="32"/>
          <w:szCs w:val="32"/>
          <w:highlight w:val="none"/>
        </w:rPr>
        <w:t>公共预算财政拨款三公经费支出决算情况说明</w:t>
      </w:r>
    </w:p>
    <w:p w14:paraId="5F53EE61">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八、政府性基金预算收入支出决算情况</w:t>
      </w:r>
    </w:p>
    <w:p w14:paraId="31C143A6">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九、国有资本经营预算</w:t>
      </w:r>
      <w:r>
        <w:rPr>
          <w:rFonts w:hint="eastAsia" w:ascii="仿宋_GB2312" w:hAnsi="仿宋_GB2312" w:eastAsia="仿宋_GB2312" w:cs="仿宋_GB2312"/>
          <w:color w:val="auto"/>
          <w:sz w:val="32"/>
          <w:szCs w:val="32"/>
          <w:highlight w:val="none"/>
        </w:rPr>
        <w:t>财政拨款支出</w:t>
      </w:r>
      <w:r>
        <w:rPr>
          <w:rFonts w:hint="eastAsia" w:ascii="仿宋_GB2312" w:hAnsi="仿宋_GB2312" w:eastAsia="仿宋_GB2312" w:cs="仿宋_GB2312"/>
          <w:color w:val="auto"/>
          <w:kern w:val="0"/>
          <w:sz w:val="32"/>
          <w:szCs w:val="32"/>
          <w:highlight w:val="none"/>
        </w:rPr>
        <w:t>决算情况</w:t>
      </w:r>
    </w:p>
    <w:p w14:paraId="3A96C33D">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十、关于机关运行经费支出说明</w:t>
      </w:r>
    </w:p>
    <w:p w14:paraId="647C185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十一、一般性支出情况说明</w:t>
      </w:r>
    </w:p>
    <w:p w14:paraId="0DAE0EA9">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十二、关于政府采购支出说明</w:t>
      </w:r>
    </w:p>
    <w:p w14:paraId="33DE22EF">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十三、关于国有资产占用情况说明</w:t>
      </w:r>
    </w:p>
    <w:p w14:paraId="3BAC1405">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color w:val="auto"/>
          <w:sz w:val="32"/>
          <w:szCs w:val="32"/>
          <w:highlight w:val="none"/>
        </w:rPr>
        <w:t>十四、关于预算绩效情况的说明</w:t>
      </w:r>
    </w:p>
    <w:p w14:paraId="584AC731">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黑体" w:hAnsi="黑体" w:eastAsia="黑体" w:cs="黑体"/>
          <w:bCs/>
          <w:color w:val="auto"/>
          <w:kern w:val="0"/>
          <w:sz w:val="32"/>
          <w:szCs w:val="32"/>
          <w:highlight w:val="none"/>
        </w:rPr>
      </w:pPr>
      <w:r>
        <w:rPr>
          <w:rFonts w:hint="eastAsia" w:ascii="黑体" w:hAnsi="黑体" w:eastAsia="黑体" w:cs="黑体"/>
          <w:bCs/>
          <w:color w:val="auto"/>
          <w:kern w:val="0"/>
          <w:sz w:val="32"/>
          <w:szCs w:val="32"/>
          <w:highlight w:val="none"/>
        </w:rPr>
        <w:t>第四部分</w:t>
      </w:r>
      <w:r>
        <w:rPr>
          <w:rFonts w:hint="eastAsia" w:hAnsi="黑体" w:cs="黑体"/>
          <w:bCs/>
          <w:color w:val="auto"/>
          <w:kern w:val="0"/>
          <w:sz w:val="32"/>
          <w:szCs w:val="32"/>
          <w:highlight w:val="none"/>
          <w:lang w:val="en-US" w:eastAsia="zh-CN"/>
        </w:rPr>
        <w:t xml:space="preserve">  </w:t>
      </w:r>
      <w:r>
        <w:rPr>
          <w:rFonts w:hint="eastAsia" w:ascii="黑体" w:hAnsi="黑体" w:eastAsia="黑体" w:cs="黑体"/>
          <w:bCs/>
          <w:color w:val="auto"/>
          <w:kern w:val="0"/>
          <w:sz w:val="32"/>
          <w:szCs w:val="32"/>
          <w:highlight w:val="none"/>
        </w:rPr>
        <w:t>名词解释</w:t>
      </w:r>
    </w:p>
    <w:p w14:paraId="24FC2E12">
      <w:pPr>
        <w:pStyle w:val="11"/>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黑体" w:hAnsi="黑体" w:eastAsia="黑体" w:cs="黑体"/>
          <w:bCs/>
          <w:color w:val="auto"/>
          <w:kern w:val="0"/>
          <w:sz w:val="32"/>
          <w:szCs w:val="32"/>
          <w:highlight w:val="none"/>
        </w:rPr>
      </w:pPr>
      <w:r>
        <w:rPr>
          <w:rFonts w:hint="eastAsia" w:ascii="黑体" w:hAnsi="黑体" w:eastAsia="黑体" w:cs="黑体"/>
          <w:bCs/>
          <w:color w:val="auto"/>
          <w:kern w:val="0"/>
          <w:sz w:val="32"/>
          <w:szCs w:val="32"/>
          <w:highlight w:val="none"/>
        </w:rPr>
        <w:t>第五部分</w:t>
      </w:r>
      <w:r>
        <w:rPr>
          <w:rFonts w:hint="eastAsia" w:hAnsi="黑体" w:cs="黑体"/>
          <w:bCs/>
          <w:color w:val="auto"/>
          <w:kern w:val="0"/>
          <w:sz w:val="32"/>
          <w:szCs w:val="32"/>
          <w:highlight w:val="none"/>
          <w:lang w:val="en-US" w:eastAsia="zh-CN"/>
        </w:rPr>
        <w:t xml:space="preserve">  </w:t>
      </w:r>
      <w:r>
        <w:rPr>
          <w:rFonts w:hint="eastAsia" w:ascii="黑体" w:hAnsi="黑体" w:eastAsia="黑体" w:cs="黑体"/>
          <w:bCs/>
          <w:color w:val="auto"/>
          <w:kern w:val="0"/>
          <w:sz w:val="32"/>
          <w:szCs w:val="32"/>
          <w:highlight w:val="none"/>
        </w:rPr>
        <w:t>附件</w:t>
      </w:r>
    </w:p>
    <w:p w14:paraId="52F021A6">
      <w:pPr>
        <w:pStyle w:val="11"/>
        <w:keepNext w:val="0"/>
        <w:keepLines w:val="0"/>
        <w:pageBreakBefore w:val="0"/>
        <w:widowControl w:val="0"/>
        <w:kinsoku/>
        <w:wordWrap/>
        <w:overflowPunct/>
        <w:topLinePunct w:val="0"/>
        <w:bidi w:val="0"/>
        <w:adjustRightInd/>
        <w:snapToGrid/>
        <w:spacing w:line="600" w:lineRule="exact"/>
        <w:textAlignment w:val="auto"/>
        <w:rPr>
          <w:rFonts w:hint="eastAsia" w:ascii="仿宋_GB2312" w:hAnsi="仿宋_GB2312" w:eastAsia="仿宋_GB2312" w:cs="仿宋_GB2312"/>
          <w:bCs/>
          <w:color w:val="auto"/>
          <w:kern w:val="0"/>
          <w:sz w:val="32"/>
          <w:szCs w:val="32"/>
          <w:highlight w:val="none"/>
        </w:rPr>
      </w:pPr>
    </w:p>
    <w:p w14:paraId="6A20710D">
      <w:pPr>
        <w:pStyle w:val="11"/>
        <w:jc w:val="center"/>
        <w:rPr>
          <w:rFonts w:hint="eastAsia" w:ascii="方正小标宋_GBK" w:hAnsi="方正小标宋_GBK" w:eastAsia="方正小标宋_GBK" w:cs="方正小标宋_GBK"/>
          <w:color w:val="auto"/>
          <w:kern w:val="0"/>
          <w:sz w:val="84"/>
          <w:szCs w:val="84"/>
          <w:highlight w:val="none"/>
        </w:rPr>
      </w:pPr>
    </w:p>
    <w:p w14:paraId="27BDC9A6">
      <w:pPr>
        <w:pStyle w:val="11"/>
        <w:jc w:val="center"/>
        <w:rPr>
          <w:rFonts w:hint="eastAsia" w:ascii="方正小标宋_GBK" w:hAnsi="方正小标宋_GBK" w:eastAsia="方正小标宋_GBK" w:cs="方正小标宋_GBK"/>
          <w:color w:val="auto"/>
          <w:kern w:val="0"/>
          <w:sz w:val="84"/>
          <w:szCs w:val="84"/>
          <w:highlight w:val="none"/>
        </w:rPr>
      </w:pPr>
    </w:p>
    <w:p w14:paraId="1EEC8E5D">
      <w:pPr>
        <w:jc w:val="center"/>
        <w:rPr>
          <w:rFonts w:hint="eastAsia" w:ascii="黑体" w:hAnsi="黑体" w:eastAsia="黑体" w:cs="黑体"/>
          <w:b w:val="0"/>
          <w:bCs/>
          <w:color w:val="auto"/>
          <w:kern w:val="21"/>
          <w:sz w:val="44"/>
          <w:szCs w:val="44"/>
          <w:highlight w:val="none"/>
        </w:rPr>
      </w:pPr>
    </w:p>
    <w:p w14:paraId="344CB8DE">
      <w:pPr>
        <w:jc w:val="center"/>
        <w:rPr>
          <w:rFonts w:hint="eastAsia" w:ascii="黑体" w:hAnsi="黑体" w:eastAsia="黑体" w:cs="黑体"/>
          <w:b w:val="0"/>
          <w:bCs/>
          <w:color w:val="auto"/>
          <w:kern w:val="21"/>
          <w:sz w:val="44"/>
          <w:szCs w:val="44"/>
          <w:highlight w:val="none"/>
        </w:rPr>
      </w:pPr>
    </w:p>
    <w:p w14:paraId="22FD1FCC">
      <w:pPr>
        <w:jc w:val="center"/>
        <w:rPr>
          <w:rFonts w:hint="eastAsia" w:ascii="黑体" w:hAnsi="黑体" w:eastAsia="黑体" w:cs="黑体"/>
          <w:b w:val="0"/>
          <w:bCs/>
          <w:color w:val="auto"/>
          <w:kern w:val="21"/>
          <w:sz w:val="44"/>
          <w:szCs w:val="44"/>
          <w:highlight w:val="none"/>
        </w:rPr>
      </w:pPr>
    </w:p>
    <w:p w14:paraId="7E72A882">
      <w:pPr>
        <w:jc w:val="center"/>
        <w:rPr>
          <w:rFonts w:hint="eastAsia" w:ascii="黑体" w:hAnsi="黑体" w:eastAsia="黑体" w:cs="黑体"/>
          <w:b w:val="0"/>
          <w:bCs/>
          <w:color w:val="auto"/>
          <w:kern w:val="21"/>
          <w:sz w:val="44"/>
          <w:szCs w:val="44"/>
          <w:highlight w:val="none"/>
        </w:rPr>
      </w:pPr>
    </w:p>
    <w:p w14:paraId="202157CF">
      <w:pPr>
        <w:jc w:val="center"/>
        <w:rPr>
          <w:rFonts w:hint="eastAsia" w:ascii="黑体" w:hAnsi="黑体" w:eastAsia="黑体" w:cs="黑体"/>
          <w:b w:val="0"/>
          <w:bCs/>
          <w:color w:val="auto"/>
          <w:kern w:val="21"/>
          <w:sz w:val="44"/>
          <w:szCs w:val="44"/>
          <w:highlight w:val="none"/>
        </w:rPr>
      </w:pPr>
    </w:p>
    <w:p w14:paraId="6CB8F664">
      <w:pPr>
        <w:jc w:val="center"/>
        <w:rPr>
          <w:rFonts w:hint="eastAsia" w:ascii="黑体" w:hAnsi="黑体" w:eastAsia="黑体" w:cs="黑体"/>
          <w:b w:val="0"/>
          <w:bCs/>
          <w:color w:val="auto"/>
          <w:kern w:val="21"/>
          <w:sz w:val="44"/>
          <w:szCs w:val="44"/>
          <w:highlight w:val="none"/>
        </w:rPr>
      </w:pPr>
    </w:p>
    <w:p w14:paraId="7BFA8DFF">
      <w:pPr>
        <w:jc w:val="center"/>
        <w:rPr>
          <w:rFonts w:hint="eastAsia" w:ascii="黑体" w:hAnsi="黑体" w:eastAsia="黑体" w:cs="黑体"/>
          <w:b w:val="0"/>
          <w:bCs/>
          <w:color w:val="auto"/>
          <w:kern w:val="21"/>
          <w:sz w:val="44"/>
          <w:szCs w:val="44"/>
          <w:highlight w:val="none"/>
        </w:rPr>
      </w:pPr>
    </w:p>
    <w:p w14:paraId="217EFE4F">
      <w:pPr>
        <w:jc w:val="center"/>
        <w:rPr>
          <w:rFonts w:hint="eastAsia" w:ascii="黑体" w:hAnsi="黑体" w:eastAsia="黑体" w:cs="黑体"/>
          <w:b w:val="0"/>
          <w:bCs/>
          <w:color w:val="auto"/>
          <w:kern w:val="21"/>
          <w:sz w:val="44"/>
          <w:szCs w:val="44"/>
          <w:highlight w:val="none"/>
        </w:rPr>
      </w:pPr>
    </w:p>
    <w:p w14:paraId="61012718">
      <w:pPr>
        <w:jc w:val="center"/>
        <w:rPr>
          <w:rFonts w:hint="eastAsia" w:ascii="黑体" w:hAnsi="黑体" w:eastAsia="黑体" w:cs="黑体"/>
          <w:b w:val="0"/>
          <w:bCs/>
          <w:color w:val="auto"/>
          <w:kern w:val="21"/>
          <w:sz w:val="44"/>
          <w:szCs w:val="44"/>
          <w:highlight w:val="none"/>
        </w:rPr>
      </w:pPr>
    </w:p>
    <w:p w14:paraId="793BB958">
      <w:pPr>
        <w:jc w:val="center"/>
        <w:rPr>
          <w:rFonts w:hint="eastAsia" w:ascii="黑体" w:hAnsi="黑体" w:eastAsia="黑体" w:cs="黑体"/>
          <w:b w:val="0"/>
          <w:bCs/>
          <w:color w:val="auto"/>
          <w:kern w:val="21"/>
          <w:sz w:val="44"/>
          <w:szCs w:val="44"/>
          <w:highlight w:val="none"/>
        </w:rPr>
      </w:pPr>
    </w:p>
    <w:p w14:paraId="4C28F746">
      <w:pPr>
        <w:jc w:val="center"/>
        <w:rPr>
          <w:rFonts w:hint="eastAsia" w:ascii="黑体" w:hAnsi="黑体" w:eastAsia="黑体" w:cs="黑体"/>
          <w:b w:val="0"/>
          <w:bCs/>
          <w:color w:val="auto"/>
          <w:kern w:val="21"/>
          <w:sz w:val="44"/>
          <w:szCs w:val="44"/>
          <w:highlight w:val="none"/>
        </w:rPr>
      </w:pPr>
    </w:p>
    <w:p w14:paraId="13B51FE6">
      <w:pPr>
        <w:jc w:val="center"/>
        <w:rPr>
          <w:rFonts w:hint="eastAsia" w:ascii="黑体" w:hAnsi="黑体" w:eastAsia="黑体" w:cs="黑体"/>
          <w:b w:val="0"/>
          <w:bCs/>
          <w:color w:val="auto"/>
          <w:kern w:val="21"/>
          <w:sz w:val="44"/>
          <w:szCs w:val="44"/>
          <w:highlight w:val="none"/>
        </w:rPr>
      </w:pPr>
    </w:p>
    <w:p w14:paraId="5A7652DE">
      <w:pPr>
        <w:jc w:val="center"/>
        <w:rPr>
          <w:rFonts w:hint="eastAsia" w:ascii="黑体" w:hAnsi="黑体" w:eastAsia="黑体" w:cs="黑体"/>
          <w:b w:val="0"/>
          <w:bCs/>
          <w:color w:val="auto"/>
          <w:kern w:val="21"/>
          <w:sz w:val="44"/>
          <w:szCs w:val="44"/>
          <w:highlight w:val="none"/>
        </w:rPr>
      </w:pPr>
    </w:p>
    <w:p w14:paraId="223B4C8C">
      <w:pPr>
        <w:jc w:val="center"/>
        <w:rPr>
          <w:rFonts w:hint="eastAsia" w:ascii="黑体" w:hAnsi="黑体" w:eastAsia="黑体" w:cs="黑体"/>
          <w:b w:val="0"/>
          <w:bCs/>
          <w:color w:val="auto"/>
          <w:kern w:val="21"/>
          <w:sz w:val="44"/>
          <w:szCs w:val="44"/>
          <w:highlight w:val="none"/>
        </w:rPr>
      </w:pPr>
    </w:p>
    <w:p w14:paraId="233DB773">
      <w:pPr>
        <w:jc w:val="center"/>
        <w:rPr>
          <w:rFonts w:hint="eastAsia" w:ascii="黑体" w:hAnsi="黑体" w:eastAsia="黑体" w:cs="黑体"/>
          <w:b w:val="0"/>
          <w:bCs/>
          <w:color w:val="auto"/>
          <w:kern w:val="21"/>
          <w:sz w:val="44"/>
          <w:szCs w:val="44"/>
          <w:highlight w:val="none"/>
        </w:rPr>
      </w:pPr>
    </w:p>
    <w:p w14:paraId="32301ECA">
      <w:pPr>
        <w:jc w:val="center"/>
        <w:rPr>
          <w:rFonts w:hint="eastAsia" w:ascii="仿宋" w:hAnsi="仿宋" w:eastAsia="仿宋" w:cs="黑体"/>
          <w:color w:val="auto"/>
          <w:sz w:val="32"/>
          <w:szCs w:val="32"/>
          <w:highlight w:val="none"/>
        </w:rPr>
      </w:pPr>
      <w:r>
        <w:rPr>
          <w:rFonts w:hint="eastAsia" w:ascii="黑体" w:hAnsi="黑体" w:eastAsia="黑体" w:cs="黑体"/>
          <w:b w:val="0"/>
          <w:bCs/>
          <w:color w:val="auto"/>
          <w:kern w:val="21"/>
          <w:sz w:val="44"/>
          <w:szCs w:val="44"/>
          <w:highlight w:val="none"/>
        </w:rPr>
        <w:t>第一部分</w:t>
      </w:r>
      <w:r>
        <w:rPr>
          <w:rFonts w:hint="eastAsia" w:ascii="黑体" w:hAnsi="黑体" w:eastAsia="黑体" w:cs="黑体"/>
          <w:b w:val="0"/>
          <w:bCs/>
          <w:color w:val="auto"/>
          <w:kern w:val="21"/>
          <w:sz w:val="44"/>
          <w:szCs w:val="44"/>
          <w:highlight w:val="none"/>
          <w:lang w:val="en-US" w:eastAsia="zh-CN"/>
        </w:rPr>
        <w:t xml:space="preserve">  </w:t>
      </w:r>
      <w:r>
        <w:rPr>
          <w:rFonts w:hint="eastAsia" w:ascii="黑体" w:hAnsi="黑体" w:eastAsia="黑体" w:cs="黑体"/>
          <w:b w:val="0"/>
          <w:bCs/>
          <w:color w:val="auto"/>
          <w:kern w:val="21"/>
          <w:sz w:val="44"/>
          <w:szCs w:val="44"/>
          <w:highlight w:val="none"/>
          <w:lang w:eastAsia="zh-CN"/>
        </w:rPr>
        <w:t>中共怀化市委党校</w:t>
      </w:r>
      <w:r>
        <w:rPr>
          <w:rFonts w:hint="eastAsia" w:ascii="黑体" w:hAnsi="黑体" w:eastAsia="黑体" w:cs="黑体"/>
          <w:b w:val="0"/>
          <w:bCs/>
          <w:color w:val="auto"/>
          <w:kern w:val="21"/>
          <w:sz w:val="44"/>
          <w:szCs w:val="44"/>
          <w:highlight w:val="none"/>
        </w:rPr>
        <w:t>概况</w:t>
      </w:r>
    </w:p>
    <w:p w14:paraId="7BF1BE9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018BD6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51E32A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51504C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7D1F394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7A189E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25B2C1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48EE783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0A592C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1718D20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7EA9BF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0237548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1B79656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p>
    <w:p w14:paraId="2667157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一、部门职责</w:t>
      </w:r>
    </w:p>
    <w:p w14:paraId="79717CD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中共怀化市委党校（怀化市行政学院、怀化市社会主义学院）是市委直属的正处级公益一类事业单位。</w:t>
      </w:r>
    </w:p>
    <w:p w14:paraId="3FA976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（一）宣传研究马克思列宁主义、毛泽东思想、邓小平理论、“三个代表”重要思想、科学发展观、习近平新时代中国特色社会主义思想和党的路线、方针、政策；</w:t>
      </w:r>
    </w:p>
    <w:p w14:paraId="495C5A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按照中央、省委、市委对干部队伍建设的要求和怀化市干部教育培训规划，发挥干部培训轮训的主渠道作用，有计划地培训县（处）、乡（科）级党员领导干部及其后备干部和理论骨干；培训轮训公务员；培训轮训全市各民主党派、工商联成员、无党派人士和统一战线其他方面代表人士以及统战工作干部和理论研究人才；开展党校（行政学院）系统师资培训；对学员在校期间的学习培训情况进行考核评价，作为干部使用的重要依据之一；</w:t>
      </w:r>
    </w:p>
    <w:p w14:paraId="21D11A8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（三）围绕市委市政府的重大战略部署和中心工作，对怀化经济社会发展的重大理论和现实问题开展研究，承担市委、市政府决策咨询服务，为推动党的建设和怀化经济社会发展服务；</w:t>
      </w:r>
    </w:p>
    <w:p w14:paraId="53BAF4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（四）在市委、市政府的领导下，对全市各县（市、区）委党校行政学校进行业务指导，充分发挥全市党校行政学院（校）系统的整体功能；</w:t>
      </w:r>
    </w:p>
    <w:p w14:paraId="3391B9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（五）充分利用校（院）教育培训资源，为全市党政机关、企事业单位提供社会培训服务；</w:t>
      </w:r>
    </w:p>
    <w:p w14:paraId="682BFB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（六）开展同国（境）内外有关机构和组织的合作与交流；</w:t>
      </w:r>
    </w:p>
    <w:p w14:paraId="6197989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（七）参与党委关于党校（行政学院）工作政策以及干部培训计划的制定工作；</w:t>
      </w:r>
    </w:p>
    <w:p w14:paraId="6ADB387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（八）完成市委、市政府和上级党校（行政学院、社会主义学院）交办的其他工作。</w:t>
      </w:r>
    </w:p>
    <w:p w14:paraId="3090328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机构设置及决算单位构成</w:t>
      </w:r>
    </w:p>
    <w:p w14:paraId="4F744D55">
      <w:pPr>
        <w:pStyle w:val="1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rPr>
        <w:t>（一）内设机构设置。</w:t>
      </w:r>
      <w:r>
        <w:rPr>
          <w:rFonts w:hint="eastAsia" w:ascii="仿宋_GB2312" w:hAnsi="仿宋_GB2312" w:eastAsia="仿宋_GB2312" w:cs="仿宋_GB2312"/>
          <w:bCs/>
          <w:color w:val="auto"/>
          <w:kern w:val="0"/>
          <w:sz w:val="32"/>
          <w:szCs w:val="32"/>
          <w:highlight w:val="none"/>
          <w:lang w:val="en-US" w:eastAsia="zh-CN"/>
        </w:rPr>
        <w:t>中共怀化市委党校（怀化市行政学院、怀化市社会主义学院）作为一级部门预算单位，内设机构18个（正科级）及其他1个。</w:t>
      </w:r>
    </w:p>
    <w:p w14:paraId="62284668">
      <w:pPr>
        <w:pStyle w:val="1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lang w:val="en-US" w:eastAsia="zh-CN"/>
        </w:rPr>
        <w:t>内设机构18个（正科级）：办公室、人事部、教务部、学员管理部、科研管理部、行政财务部、后勤管理部、业务指导部、社会培训部、信息技术管理部、哲学教研部、党史党建教研部、科社教研部（中国特色社会主义理论研究中心）、统战理论教研部、经济学教研部、法学教研部、公共管理教研部、图书文化馆。</w:t>
      </w:r>
    </w:p>
    <w:p w14:paraId="3DA0FA2A">
      <w:pPr>
        <w:pStyle w:val="1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lang w:val="en-US" w:eastAsia="zh-CN"/>
        </w:rPr>
        <w:t>其他1个：机关党委（机关纪委、工会）</w:t>
      </w:r>
    </w:p>
    <w:p w14:paraId="4EAAD7CC">
      <w:pPr>
        <w:pStyle w:val="1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rPr>
        <w:t>（</w:t>
      </w:r>
      <w:r>
        <w:rPr>
          <w:rFonts w:hint="eastAsia" w:ascii="仿宋_GB2312" w:hAnsi="仿宋_GB2312" w:eastAsia="仿宋_GB2312" w:cs="仿宋_GB2312"/>
          <w:bCs/>
          <w:color w:val="auto"/>
          <w:kern w:val="0"/>
          <w:sz w:val="32"/>
          <w:szCs w:val="32"/>
          <w:highlight w:val="none"/>
          <w:lang w:eastAsia="zh-CN"/>
        </w:rPr>
        <w:t>二</w:t>
      </w:r>
      <w:r>
        <w:rPr>
          <w:rFonts w:hint="eastAsia" w:ascii="仿宋_GB2312" w:hAnsi="仿宋_GB2312" w:eastAsia="仿宋_GB2312" w:cs="仿宋_GB2312"/>
          <w:bCs/>
          <w:color w:val="auto"/>
          <w:kern w:val="0"/>
          <w:sz w:val="32"/>
          <w:szCs w:val="32"/>
          <w:highlight w:val="none"/>
        </w:rPr>
        <w:t>）</w:t>
      </w:r>
      <w:r>
        <w:rPr>
          <w:rFonts w:hint="eastAsia" w:ascii="仿宋_GB2312" w:hAnsi="仿宋_GB2312" w:eastAsia="仿宋_GB2312" w:cs="仿宋_GB2312"/>
          <w:bCs/>
          <w:color w:val="auto"/>
          <w:kern w:val="0"/>
          <w:sz w:val="32"/>
          <w:szCs w:val="32"/>
          <w:highlight w:val="none"/>
          <w:lang w:val="en-US" w:eastAsia="zh-CN"/>
        </w:rPr>
        <w:t>决算单位构成。中共怀化市委党校2022年部门决算汇总公开单位构成包括：中共怀化市委党校本级。</w:t>
      </w:r>
    </w:p>
    <w:p w14:paraId="56F36C7D">
      <w:pPr>
        <w:pStyle w:val="1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highlight w:val="none"/>
          <w:lang w:val="en-US" w:eastAsia="zh-CN" w:bidi="ar-SA"/>
        </w:rPr>
      </w:pPr>
    </w:p>
    <w:p w14:paraId="5625CCA2">
      <w:pPr>
        <w:rPr>
          <w:rFonts w:hint="eastAsia" w:ascii="方正小标宋_GBK" w:hAnsi="方正小标宋_GBK" w:eastAsia="方正小标宋_GBK" w:cs="方正小标宋_GBK"/>
          <w:color w:val="auto"/>
          <w:kern w:val="0"/>
          <w:sz w:val="84"/>
          <w:szCs w:val="84"/>
          <w:highlight w:val="none"/>
        </w:rPr>
      </w:pPr>
      <w:r>
        <w:rPr>
          <w:rFonts w:hint="eastAsia" w:ascii="方正小标宋_GBK" w:hAnsi="方正小标宋_GBK" w:eastAsia="方正小标宋_GBK" w:cs="方正小标宋_GBK"/>
          <w:color w:val="auto"/>
          <w:kern w:val="0"/>
          <w:sz w:val="84"/>
          <w:szCs w:val="84"/>
          <w:highlight w:val="none"/>
        </w:rPr>
        <w:br w:type="page"/>
      </w:r>
    </w:p>
    <w:p w14:paraId="775B3C5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r>
        <w:rPr>
          <w:rFonts w:hint="eastAsia" w:ascii="黑体" w:hAnsi="黑体" w:eastAsia="黑体" w:cs="黑体"/>
          <w:b w:val="0"/>
          <w:bCs/>
          <w:color w:val="auto"/>
          <w:kern w:val="21"/>
          <w:sz w:val="44"/>
          <w:szCs w:val="44"/>
          <w:highlight w:val="none"/>
          <w:lang w:eastAsia="zh-CN"/>
        </w:rPr>
        <w:t>第二部分</w:t>
      </w:r>
      <w:r>
        <w:rPr>
          <w:rFonts w:hint="eastAsia" w:ascii="黑体" w:hAnsi="黑体" w:eastAsia="黑体" w:cs="黑体"/>
          <w:b w:val="0"/>
          <w:bCs/>
          <w:color w:val="auto"/>
          <w:kern w:val="21"/>
          <w:sz w:val="44"/>
          <w:szCs w:val="44"/>
          <w:highlight w:val="none"/>
          <w:lang w:val="en-US" w:eastAsia="zh-CN"/>
        </w:rPr>
        <w:t xml:space="preserve">  </w:t>
      </w:r>
      <w:r>
        <w:rPr>
          <w:rFonts w:hint="eastAsia" w:ascii="黑体" w:hAnsi="黑体" w:eastAsia="黑体" w:cs="黑体"/>
          <w:b w:val="0"/>
          <w:bCs/>
          <w:color w:val="auto"/>
          <w:kern w:val="21"/>
          <w:sz w:val="44"/>
          <w:szCs w:val="44"/>
          <w:highlight w:val="none"/>
          <w:lang w:eastAsia="zh-CN"/>
        </w:rPr>
        <w:t>部门决算表</w:t>
      </w:r>
    </w:p>
    <w:p w14:paraId="639D96B4">
      <w:pPr>
        <w:pStyle w:val="12"/>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bCs/>
          <w:color w:val="auto"/>
          <w:kern w:val="0"/>
          <w:sz w:val="32"/>
          <w:szCs w:val="32"/>
          <w:highlight w:val="none"/>
          <w:lang w:val="en-US" w:eastAsia="zh-CN" w:bidi="ar-SA"/>
        </w:rPr>
      </w:pPr>
    </w:p>
    <w:p w14:paraId="37D489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见附件1：中共怀化市委党校2022年决算公开表</w:t>
      </w:r>
    </w:p>
    <w:p w14:paraId="36FE177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3B0F001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3728ED4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4A04BEC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11C9731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0856467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09E0219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32BB00BE">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53EEA1D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63D26158">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018A9F5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4976CA1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552D430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37817A4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287DA83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47755B6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5D9595D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3E03286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241F610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5FD0911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p>
    <w:p w14:paraId="4F9B179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eastAsia="zh-CN"/>
        </w:rPr>
      </w:pPr>
      <w:r>
        <w:rPr>
          <w:rFonts w:hint="eastAsia" w:ascii="黑体" w:hAnsi="黑体" w:eastAsia="黑体" w:cs="黑体"/>
          <w:b w:val="0"/>
          <w:bCs/>
          <w:color w:val="auto"/>
          <w:kern w:val="21"/>
          <w:sz w:val="44"/>
          <w:szCs w:val="44"/>
          <w:highlight w:val="none"/>
          <w:lang w:eastAsia="zh-CN"/>
        </w:rPr>
        <w:t>第三部分</w:t>
      </w:r>
      <w:r>
        <w:rPr>
          <w:rFonts w:hint="eastAsia" w:ascii="黑体" w:hAnsi="黑体" w:eastAsia="黑体" w:cs="黑体"/>
          <w:b w:val="0"/>
          <w:bCs/>
          <w:color w:val="auto"/>
          <w:kern w:val="21"/>
          <w:sz w:val="44"/>
          <w:szCs w:val="44"/>
          <w:highlight w:val="none"/>
          <w:lang w:val="en-US" w:eastAsia="zh-CN"/>
        </w:rPr>
        <w:t xml:space="preserve">  </w:t>
      </w:r>
      <w:r>
        <w:rPr>
          <w:rFonts w:hint="eastAsia" w:ascii="黑体" w:hAnsi="黑体" w:eastAsia="黑体" w:cs="黑体"/>
          <w:b w:val="0"/>
          <w:bCs/>
          <w:color w:val="auto"/>
          <w:kern w:val="21"/>
          <w:sz w:val="44"/>
          <w:szCs w:val="44"/>
          <w:highlight w:val="none"/>
          <w:lang w:eastAsia="zh-CN"/>
        </w:rPr>
        <w:t>202</w:t>
      </w:r>
      <w:r>
        <w:rPr>
          <w:rFonts w:hint="eastAsia" w:ascii="黑体" w:hAnsi="黑体" w:eastAsia="黑体" w:cs="黑体"/>
          <w:b w:val="0"/>
          <w:bCs/>
          <w:color w:val="auto"/>
          <w:kern w:val="21"/>
          <w:sz w:val="44"/>
          <w:szCs w:val="44"/>
          <w:highlight w:val="none"/>
          <w:lang w:val="en-US" w:eastAsia="zh-CN"/>
        </w:rPr>
        <w:t>2</w:t>
      </w:r>
      <w:r>
        <w:rPr>
          <w:rFonts w:hint="eastAsia" w:ascii="黑体" w:hAnsi="黑体" w:eastAsia="黑体" w:cs="黑体"/>
          <w:b w:val="0"/>
          <w:bCs/>
          <w:color w:val="auto"/>
          <w:kern w:val="21"/>
          <w:sz w:val="44"/>
          <w:szCs w:val="44"/>
          <w:highlight w:val="none"/>
          <w:lang w:eastAsia="zh-CN"/>
        </w:rPr>
        <w:t>年度部门决算情况说明</w:t>
      </w:r>
    </w:p>
    <w:p w14:paraId="277A177B">
      <w:pPr>
        <w:rPr>
          <w:rFonts w:hint="eastAsia" w:ascii="仿宋_GB2312" w:hAnsi="仿宋_GB2312" w:eastAsia="仿宋_GB2312" w:cs="仿宋_GB2312"/>
          <w:b/>
          <w:bCs/>
          <w:color w:val="auto"/>
          <w:kern w:val="0"/>
          <w:sz w:val="32"/>
          <w:szCs w:val="32"/>
          <w:highlight w:val="none"/>
        </w:rPr>
      </w:pPr>
    </w:p>
    <w:p w14:paraId="43FEF683">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一、收入支出决算总体情况说明</w:t>
      </w:r>
    </w:p>
    <w:p w14:paraId="431F5A73">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2022年度收、支总计</w:t>
      </w:r>
      <w:r>
        <w:rPr>
          <w:rFonts w:hint="eastAsia" w:ascii="仿宋_GB2312" w:hAnsi="仿宋_GB2312" w:eastAsia="仿宋_GB2312" w:cs="仿宋_GB2312"/>
          <w:b w:val="0"/>
          <w:bCs w:val="0"/>
          <w:color w:val="auto"/>
          <w:sz w:val="32"/>
          <w:szCs w:val="32"/>
          <w:highlight w:val="none"/>
          <w:lang w:val="en-US" w:eastAsia="zh-CN"/>
        </w:rPr>
        <w:t>均为</w:t>
      </w:r>
      <w:r>
        <w:rPr>
          <w:rFonts w:hint="eastAsia" w:ascii="仿宋_GB2312" w:hAnsi="仿宋_GB2312" w:eastAsia="仿宋_GB2312" w:cs="仿宋_GB2312"/>
          <w:b w:val="0"/>
          <w:bCs w:val="0"/>
          <w:color w:val="auto"/>
          <w:sz w:val="32"/>
          <w:szCs w:val="32"/>
          <w:highlight w:val="none"/>
        </w:rPr>
        <w:t>2893.83万元。与上年相比，增加258.24万元，增长9.8</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%，主要是因为本年增加了市委党校多功能大教室（礼堂）维修经费及物业管理费较上年增加，故本年收支较上年增加</w:t>
      </w:r>
      <w:r>
        <w:rPr>
          <w:rFonts w:hint="eastAsia" w:ascii="仿宋_GB2312" w:hAnsi="仿宋_GB2312" w:eastAsia="仿宋_GB2312" w:cs="仿宋_GB2312"/>
          <w:b w:val="0"/>
          <w:bCs w:val="0"/>
          <w:color w:val="auto"/>
          <w:sz w:val="32"/>
          <w:szCs w:val="32"/>
          <w:highlight w:val="none"/>
          <w:lang w:eastAsia="zh-CN"/>
        </w:rPr>
        <w:t>。</w:t>
      </w:r>
    </w:p>
    <w:p w14:paraId="63975C7E">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二、收入决算情况说明</w:t>
      </w:r>
      <w:bookmarkStart w:id="3" w:name="_GoBack"/>
      <w:bookmarkEnd w:id="3"/>
    </w:p>
    <w:p w14:paraId="4C418783">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2022年度收入合计2893.83万元，</w:t>
      </w:r>
      <w:r>
        <w:rPr>
          <w:rFonts w:hint="eastAsia" w:ascii="仿宋" w:hAnsi="仿宋" w:eastAsia="仿宋"/>
          <w:color w:val="auto"/>
          <w:sz w:val="32"/>
          <w:szCs w:val="32"/>
          <w:highlight w:val="none"/>
        </w:rPr>
        <w:t>其中：财政拨款收入</w:t>
      </w:r>
      <w:r>
        <w:rPr>
          <w:rFonts w:hint="eastAsia" w:ascii="仿宋" w:hAnsi="仿宋" w:eastAsia="仿宋"/>
          <w:color w:val="auto"/>
          <w:sz w:val="32"/>
          <w:szCs w:val="32"/>
          <w:highlight w:val="none"/>
          <w:lang w:val="en-US" w:eastAsia="zh-CN"/>
        </w:rPr>
        <w:t>2596.17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89.71</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事业收入227.33万元，占比7.86%；</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70.33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2.43</w:t>
      </w:r>
      <w:r>
        <w:rPr>
          <w:rFonts w:hint="eastAsia" w:ascii="仿宋" w:hAnsi="仿宋" w:eastAsia="仿宋"/>
          <w:color w:val="auto"/>
          <w:sz w:val="32"/>
          <w:szCs w:val="32"/>
          <w:highlight w:val="none"/>
        </w:rPr>
        <w:t>%。</w:t>
      </w:r>
    </w:p>
    <w:p w14:paraId="243ECEE6">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三、支出决算情况说明</w:t>
      </w:r>
    </w:p>
    <w:p w14:paraId="3CC09919">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2022年度支出合计2893.83万元，其中：基本支出2259.33万元，占78.07%；项目支出634.50万元，占21.93%。</w:t>
      </w:r>
    </w:p>
    <w:p w14:paraId="1641C9D9">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四、财政拨款收入支出决算总体情况说明</w:t>
      </w:r>
    </w:p>
    <w:p w14:paraId="5721723D">
      <w:pPr>
        <w:pStyle w:val="12"/>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2022年度财政拨款收、支总计均为2596.17万元，与上年相比，增加379.03万元,增长17.10%，主要是增加了多功能大教室（礼堂）维修费用、物业管理费、学习贯彻党的十九届六中全会精神专题读书班经费。</w:t>
      </w:r>
    </w:p>
    <w:p w14:paraId="19D0F585">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五、一般公共预算财政拨款支出决算情况说明</w:t>
      </w:r>
    </w:p>
    <w:p w14:paraId="3A921656">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（一）财政拨款支出决算总体情况</w:t>
      </w:r>
    </w:p>
    <w:p w14:paraId="6EC9F3B2">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2022年度财政拨款支出2596.17万元，占本年支出合计的89.71%，与上年相比，财政拨款支出增加379.03万元，增长17.10%，主要是因为增加了多功能大教室（礼堂）维修费用、物业管理费、学习贯彻党的十九届六中全会精神专题读书班经费等支出。</w:t>
      </w:r>
    </w:p>
    <w:p w14:paraId="13C1CA60">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（二）财政拨款支出决算结构情况</w:t>
      </w:r>
    </w:p>
    <w:p w14:paraId="315CB1DC">
      <w:pPr>
        <w:pStyle w:val="12"/>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2022年度财政拨款支出2596.17万元，主要用于以下方面：一般公共服务（类）支出145.91万元，占5.62%；教育（类）支出2047.26万元，占78.86%；科学技术支出2.67万元，占0.10%；文化旅游体育与传媒（类）支出11.49万元，占0.44%；社会保障和就业支出317.42万元，占12.23%；卫生健康支出71.42万元，占2.75%。</w:t>
      </w:r>
    </w:p>
    <w:p w14:paraId="7E26FBEC">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（三）财政拨款支出决算具体情况</w:t>
      </w:r>
    </w:p>
    <w:p w14:paraId="0D2E3905">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2022年度财政拨款支出年初预算数为1794.93万元，支出决算数为2596.17万元，完成年初预算的144.64%，其中：</w:t>
      </w:r>
    </w:p>
    <w:p w14:paraId="177A7ACA">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1.一般公共服务（类）组织事务（款）其他组织事务支出（项）。</w:t>
      </w:r>
    </w:p>
    <w:p w14:paraId="19D6E190">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年初预算为0万元，支出决算为22万元，决算数大于年初预算数的主要原因是：此支出为增加的人才资源开发专项资金。</w:t>
      </w:r>
    </w:p>
    <w:p w14:paraId="50BAC90F">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2.一般公共服务（类）政协事务（款）其他政界事务支出（项）。</w:t>
      </w:r>
    </w:p>
    <w:p w14:paraId="20820BAA">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年初预算为0万元，支出决算为3万元，决算数大于年初预算数的主要原因是：此支出为增加的委员学习联络委员会委员工作室建设经费。</w:t>
      </w:r>
    </w:p>
    <w:p w14:paraId="29C0DBC5">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3.一般公共服务（类）其他公务服务支出（款）其他公务服务支出（项）。</w:t>
      </w:r>
    </w:p>
    <w:p w14:paraId="4E9C221E">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年初预算为0万元，支出决算为120.91万元，决算数大于年初预算数的主要原因是：此支出为非税拨款用于学校运转支出。</w:t>
      </w:r>
    </w:p>
    <w:p w14:paraId="0ADE63DD">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4.教育支出（类）进修及培训（款）干部教育（项）。</w:t>
      </w:r>
    </w:p>
    <w:p w14:paraId="4DC9B993">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年初预算为1703.86万元，支出决算为2032.61万元，完成年初预算的119.29%，决算数大于年初预算数的主要原因是：增加了在职人员绩效奖及物业管理费。</w:t>
      </w:r>
    </w:p>
    <w:p w14:paraId="60DB52E6">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5.教育支出（类）其他教育支出（款）其他教育支出（项）。</w:t>
      </w:r>
    </w:p>
    <w:p w14:paraId="7ADD3D54">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年初预算为0万元，支出决算为14.65万元，决算数大于年初预算数的主要原因是：此项支出为学习贯彻党的十九届六中全会精神专题读书班经费。</w:t>
      </w:r>
    </w:p>
    <w:p w14:paraId="6ECE774F">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6.科学技术支出（类）社会科学（款）其他社会科学支出（项）</w:t>
      </w:r>
    </w:p>
    <w:p w14:paraId="2C4C0B52">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年初预算为0万元，支出决算为2.67万元，决算数大于年初预算数的主要原因是：此项支出为重大重点课题经费支出，从上年结转中支出。</w:t>
      </w:r>
    </w:p>
    <w:p w14:paraId="7F13755A">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7.文化旅游体育与传媒（类）其他文化旅游体育与传媒（款）其他文化旅游体育与传媒（项）</w:t>
      </w:r>
    </w:p>
    <w:p w14:paraId="244251C4">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年初预算为0万元，支出决算为11.49万元，决算数大于年初预算数的主要原因是：此项支出为全市宣传思想文化系统新时代基层干部主题培训暨意识形态工作培训班经费。</w:t>
      </w:r>
    </w:p>
    <w:p w14:paraId="4C46A2A6">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8.社会保障和就业支出（类）行政事业单位养老支出（款）行政单位离退休（项）</w:t>
      </w:r>
    </w:p>
    <w:p w14:paraId="0C94741E">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年初预算为0万元，支出决算为76.91万元，决算数大于年初预算数的主要原因是：离退休人员工资年初预算列入社会保障和就业支出（类）行政事业单位养老支出（款）事业单位离退休（项）。</w:t>
      </w:r>
    </w:p>
    <w:p w14:paraId="6A8B6134">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9.社会保障和就业支出（类）行政事业单位养老支出（款）事业单位离退休（项）</w:t>
      </w:r>
    </w:p>
    <w:p w14:paraId="6A8CB8B5">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w:t>
      </w:r>
      <w:r>
        <w:rPr>
          <w:rFonts w:hint="eastAsia" w:ascii="仿宋_GB2312" w:hAnsi="仿宋_GB2312" w:eastAsia="仿宋_GB2312" w:cs="仿宋_GB2312"/>
          <w:b w:val="0"/>
          <w:bCs w:val="0"/>
          <w:color w:val="auto"/>
          <w:sz w:val="32"/>
          <w:szCs w:val="32"/>
          <w:highlight w:val="none"/>
          <w:lang w:val="en-US" w:eastAsia="zh-CN"/>
        </w:rPr>
        <w:t>91.07</w:t>
      </w:r>
      <w:r>
        <w:rPr>
          <w:rFonts w:hint="eastAsia" w:ascii="仿宋_GB2312" w:hAnsi="仿宋_GB2312" w:eastAsia="仿宋_GB2312" w:cs="仿宋_GB2312"/>
          <w:b w:val="0"/>
          <w:bCs w:val="0"/>
          <w:color w:val="auto"/>
          <w:sz w:val="32"/>
          <w:szCs w:val="32"/>
          <w:highlight w:val="none"/>
          <w:lang w:val="en-US" w:eastAsia="zh-CN"/>
        </w:rPr>
        <w:t>万元，支出决算为12.22万元，</w:t>
      </w:r>
      <w:r>
        <w:rPr>
          <w:rFonts w:hint="eastAsia" w:ascii="仿宋_GB2312" w:hAnsi="仿宋_GB2312" w:eastAsia="仿宋_GB2312" w:cs="仿宋_GB2312"/>
          <w:b w:val="0"/>
          <w:bCs w:val="0"/>
          <w:color w:val="auto"/>
          <w:sz w:val="32"/>
          <w:szCs w:val="32"/>
          <w:highlight w:val="none"/>
        </w:rPr>
        <w:t>完成年初预算的</w:t>
      </w:r>
      <w:r>
        <w:rPr>
          <w:rFonts w:hint="eastAsia" w:ascii="仿宋_GB2312" w:hAnsi="仿宋_GB2312" w:eastAsia="仿宋_GB2312" w:cs="仿宋_GB2312"/>
          <w:b w:val="0"/>
          <w:bCs w:val="0"/>
          <w:color w:val="auto"/>
          <w:sz w:val="32"/>
          <w:szCs w:val="32"/>
          <w:highlight w:val="none"/>
          <w:lang w:val="en-US" w:eastAsia="zh-CN"/>
        </w:rPr>
        <w:t>13.42</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决算数小于年初预算数的主要原因是：离退休人员工资支出时列入社会保障和就业支出（类）行政事业单位养老支出（款）行政单位离退休（项）。</w:t>
      </w:r>
    </w:p>
    <w:p w14:paraId="4A7B3181">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10.社会保障和就业支出（类）行政事业单位养老支出（款）机关事业单位基本养老保险缴费支出（项）</w:t>
      </w:r>
    </w:p>
    <w:p w14:paraId="3C742217">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年初预算为0万元，支出决算为126.39万元，决算数大于年初预算数的主要原因是：由于机关事业单位基本养老保险缴费列入财政预算未纳入部门。</w:t>
      </w:r>
    </w:p>
    <w:p w14:paraId="245EB787">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11.社会保障和就业支出（类）行政事业单位养老支出（款）其他行政事业单位基本养老支出（项）</w:t>
      </w:r>
    </w:p>
    <w:p w14:paraId="48589054">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年初预算为0万元，支出决算为100.4万元，决算数大于年初预算数的主要原因是：此项支出为离退休人员春节一次性生活补助，列入财政预算未纳入部门。</w:t>
      </w:r>
    </w:p>
    <w:p w14:paraId="60B9B785">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12.社会保障和就业支出（类）社会福利（款）殡葬（项）</w:t>
      </w:r>
    </w:p>
    <w:p w14:paraId="058D5BA8">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年初预算为0万元，支出决算为1.5万元，决算数大于年初预算数的主要原因是：此项支出为新增遗属人员生活补助。</w:t>
      </w:r>
    </w:p>
    <w:p w14:paraId="65E5471A">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13.卫生健康支出（类）公共卫生（款）突发公共卫生事件应急处理（项）</w:t>
      </w:r>
    </w:p>
    <w:p w14:paraId="657CB677">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年初预算为0万元，支出决算为5.5万元，决算数大于年初预算数的主要原因是：此项支出抗疫补助资金。</w:t>
      </w:r>
    </w:p>
    <w:p w14:paraId="71ED48A9">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14.卫生健康支出（类）行政事业单位医疗（款）行政单位医疗（项）</w:t>
      </w:r>
    </w:p>
    <w:p w14:paraId="2748118B">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年初预算为万0元，支出决算为63.52万元，决算数大于年初预算数的主要原因是：此项支出预算时列入财政预算未纳入部门预算。</w:t>
      </w:r>
    </w:p>
    <w:p w14:paraId="72D52CD1">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15、卫生健康支出（类）行政事业单位医疗（款）其他行政单位医疗（项）</w:t>
      </w:r>
    </w:p>
    <w:p w14:paraId="398A28EC">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年初预算为万0元，支出决算为2.4万元，决算数大于年初预算数的主要原因是：此项支出为建国初期参加革命工作的部分退休干部医疗补贴。</w:t>
      </w:r>
    </w:p>
    <w:p w14:paraId="79834A94">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六、一般公共预算财政拨款基本支出决算情况说明</w:t>
      </w:r>
    </w:p>
    <w:p w14:paraId="4D7BB221">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年度财政拨款基本支出</w:t>
      </w:r>
      <w:r>
        <w:rPr>
          <w:rFonts w:hint="eastAsia" w:ascii="仿宋_GB2312" w:hAnsi="仿宋_GB2312" w:eastAsia="仿宋_GB2312" w:cs="仿宋_GB2312"/>
          <w:b w:val="0"/>
          <w:bCs w:val="0"/>
          <w:color w:val="auto"/>
          <w:sz w:val="32"/>
          <w:szCs w:val="32"/>
          <w:highlight w:val="none"/>
          <w:lang w:val="en-US" w:eastAsia="zh-CN"/>
        </w:rPr>
        <w:t>1961.67</w:t>
      </w:r>
      <w:r>
        <w:rPr>
          <w:rFonts w:hint="eastAsia" w:ascii="仿宋_GB2312" w:hAnsi="仿宋_GB2312" w:eastAsia="仿宋_GB2312" w:cs="仿宋_GB2312"/>
          <w:b w:val="0"/>
          <w:bCs w:val="0"/>
          <w:color w:val="auto"/>
          <w:sz w:val="32"/>
          <w:szCs w:val="32"/>
          <w:highlight w:val="none"/>
        </w:rPr>
        <w:t>万元，其中：</w:t>
      </w:r>
    </w:p>
    <w:p w14:paraId="02F1273D">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人员经费</w:t>
      </w:r>
      <w:r>
        <w:rPr>
          <w:rFonts w:hint="eastAsia" w:ascii="仿宋_GB2312" w:hAnsi="仿宋_GB2312" w:eastAsia="仿宋_GB2312" w:cs="仿宋_GB2312"/>
          <w:b w:val="0"/>
          <w:bCs w:val="0"/>
          <w:color w:val="auto"/>
          <w:sz w:val="32"/>
          <w:szCs w:val="32"/>
          <w:highlight w:val="none"/>
          <w:lang w:val="en-US" w:eastAsia="zh-CN"/>
        </w:rPr>
        <w:t>1655.07</w:t>
      </w:r>
      <w:r>
        <w:rPr>
          <w:rFonts w:hint="eastAsia" w:ascii="仿宋_GB2312" w:hAnsi="仿宋_GB2312" w:eastAsia="仿宋_GB2312" w:cs="仿宋_GB2312"/>
          <w:b w:val="0"/>
          <w:bCs w:val="0"/>
          <w:color w:val="auto"/>
          <w:sz w:val="32"/>
          <w:szCs w:val="32"/>
          <w:highlight w:val="none"/>
        </w:rPr>
        <w:t>万元，占基本支出的</w:t>
      </w:r>
      <w:r>
        <w:rPr>
          <w:rFonts w:hint="eastAsia" w:ascii="仿宋_GB2312" w:hAnsi="仿宋_GB2312" w:eastAsia="仿宋_GB2312" w:cs="仿宋_GB2312"/>
          <w:b w:val="0"/>
          <w:bCs w:val="0"/>
          <w:color w:val="auto"/>
          <w:sz w:val="32"/>
          <w:szCs w:val="32"/>
          <w:highlight w:val="none"/>
          <w:lang w:val="en-US" w:eastAsia="zh-CN"/>
        </w:rPr>
        <w:t>84.37</w:t>
      </w:r>
      <w:r>
        <w:rPr>
          <w:rFonts w:hint="eastAsia" w:ascii="仿宋_GB2312" w:hAnsi="仿宋_GB2312" w:eastAsia="仿宋_GB2312" w:cs="仿宋_GB2312"/>
          <w:b w:val="0"/>
          <w:bCs w:val="0"/>
          <w:color w:val="auto"/>
          <w:sz w:val="32"/>
          <w:szCs w:val="32"/>
          <w:highlight w:val="none"/>
        </w:rPr>
        <w:t>%,主要包括基本工资</w:t>
      </w:r>
      <w:r>
        <w:rPr>
          <w:rFonts w:hint="eastAsia" w:ascii="仿宋_GB2312" w:hAnsi="仿宋_GB2312" w:eastAsia="仿宋_GB2312" w:cs="仿宋_GB2312"/>
          <w:b w:val="0"/>
          <w:bCs w:val="0"/>
          <w:color w:val="auto"/>
          <w:sz w:val="32"/>
          <w:szCs w:val="32"/>
          <w:highlight w:val="none"/>
          <w:lang w:val="en-US" w:eastAsia="zh-CN"/>
        </w:rPr>
        <w:t>521.46万元</w:t>
      </w:r>
      <w:r>
        <w:rPr>
          <w:rFonts w:hint="eastAsia" w:ascii="仿宋_GB2312" w:hAnsi="仿宋_GB2312" w:eastAsia="仿宋_GB2312" w:cs="仿宋_GB2312"/>
          <w:b w:val="0"/>
          <w:bCs w:val="0"/>
          <w:color w:val="auto"/>
          <w:sz w:val="32"/>
          <w:szCs w:val="32"/>
          <w:highlight w:val="none"/>
        </w:rPr>
        <w:t>、津贴补贴</w:t>
      </w:r>
      <w:r>
        <w:rPr>
          <w:rFonts w:hint="eastAsia" w:ascii="仿宋_GB2312" w:hAnsi="仿宋_GB2312" w:eastAsia="仿宋_GB2312" w:cs="仿宋_GB2312"/>
          <w:b w:val="0"/>
          <w:bCs w:val="0"/>
          <w:color w:val="auto"/>
          <w:sz w:val="32"/>
          <w:szCs w:val="32"/>
          <w:highlight w:val="none"/>
          <w:lang w:val="en-US" w:eastAsia="zh-CN"/>
        </w:rPr>
        <w:t>96.30万元</w:t>
      </w:r>
      <w:r>
        <w:rPr>
          <w:rFonts w:hint="eastAsia" w:ascii="仿宋_GB2312" w:hAnsi="仿宋_GB2312" w:eastAsia="仿宋_GB2312" w:cs="仿宋_GB2312"/>
          <w:b w:val="0"/>
          <w:bCs w:val="0"/>
          <w:color w:val="auto"/>
          <w:sz w:val="32"/>
          <w:szCs w:val="32"/>
          <w:highlight w:val="none"/>
        </w:rPr>
        <w:t>、奖金</w:t>
      </w:r>
      <w:r>
        <w:rPr>
          <w:rFonts w:hint="eastAsia" w:ascii="仿宋_GB2312" w:hAnsi="仿宋_GB2312" w:eastAsia="仿宋_GB2312" w:cs="仿宋_GB2312"/>
          <w:b w:val="0"/>
          <w:bCs w:val="0"/>
          <w:color w:val="auto"/>
          <w:sz w:val="32"/>
          <w:szCs w:val="32"/>
          <w:highlight w:val="none"/>
          <w:lang w:val="en-US" w:eastAsia="zh-CN"/>
        </w:rPr>
        <w:t>249.82万元</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伙食补助费</w:t>
      </w:r>
      <w:r>
        <w:rPr>
          <w:rFonts w:hint="eastAsia" w:ascii="仿宋_GB2312" w:hAnsi="仿宋_GB2312" w:eastAsia="仿宋_GB2312" w:cs="仿宋_GB2312"/>
          <w:b w:val="0"/>
          <w:bCs w:val="0"/>
          <w:color w:val="auto"/>
          <w:sz w:val="32"/>
          <w:szCs w:val="32"/>
          <w:highlight w:val="none"/>
          <w:lang w:val="en-US" w:eastAsia="zh-CN"/>
        </w:rPr>
        <w:t>23.35万元、</w:t>
      </w:r>
      <w:r>
        <w:rPr>
          <w:rFonts w:hint="eastAsia" w:ascii="仿宋_GB2312" w:hAnsi="仿宋_GB2312" w:eastAsia="仿宋_GB2312" w:cs="仿宋_GB2312"/>
          <w:b w:val="0"/>
          <w:bCs w:val="0"/>
          <w:color w:val="auto"/>
          <w:sz w:val="32"/>
          <w:szCs w:val="32"/>
          <w:highlight w:val="none"/>
        </w:rPr>
        <w:t>绩效工资</w:t>
      </w:r>
      <w:r>
        <w:rPr>
          <w:rFonts w:hint="eastAsia" w:ascii="仿宋_GB2312" w:hAnsi="仿宋_GB2312" w:eastAsia="仿宋_GB2312" w:cs="仿宋_GB2312"/>
          <w:b w:val="0"/>
          <w:bCs w:val="0"/>
          <w:color w:val="auto"/>
          <w:sz w:val="32"/>
          <w:szCs w:val="32"/>
          <w:highlight w:val="none"/>
          <w:lang w:val="en-US" w:eastAsia="zh-CN"/>
        </w:rPr>
        <w:t>354.27万元</w:t>
      </w:r>
      <w:r>
        <w:rPr>
          <w:rFonts w:hint="eastAsia" w:ascii="仿宋_GB2312" w:hAnsi="仿宋_GB2312" w:eastAsia="仿宋_GB2312" w:cs="仿宋_GB2312"/>
          <w:b w:val="0"/>
          <w:bCs w:val="0"/>
          <w:color w:val="auto"/>
          <w:sz w:val="32"/>
          <w:szCs w:val="32"/>
          <w:highlight w:val="none"/>
        </w:rPr>
        <w:t>、机关事业单位基本养老保险缴费</w:t>
      </w:r>
      <w:r>
        <w:rPr>
          <w:rFonts w:hint="eastAsia" w:ascii="仿宋_GB2312" w:hAnsi="仿宋_GB2312" w:eastAsia="仿宋_GB2312" w:cs="仿宋_GB2312"/>
          <w:b w:val="0"/>
          <w:bCs w:val="0"/>
          <w:color w:val="auto"/>
          <w:sz w:val="32"/>
          <w:szCs w:val="32"/>
          <w:highlight w:val="none"/>
          <w:lang w:val="en-US" w:eastAsia="zh-CN"/>
        </w:rPr>
        <w:t>126.39万元</w:t>
      </w:r>
      <w:r>
        <w:rPr>
          <w:rFonts w:hint="eastAsia" w:ascii="仿宋_GB2312" w:hAnsi="仿宋_GB2312" w:eastAsia="仿宋_GB2312" w:cs="仿宋_GB2312"/>
          <w:b w:val="0"/>
          <w:bCs w:val="0"/>
          <w:color w:val="auto"/>
          <w:sz w:val="32"/>
          <w:szCs w:val="32"/>
          <w:highlight w:val="none"/>
        </w:rPr>
        <w:t>、职工基本医疗保险缴费</w:t>
      </w:r>
      <w:r>
        <w:rPr>
          <w:rFonts w:hint="eastAsia" w:ascii="仿宋_GB2312" w:hAnsi="仿宋_GB2312" w:eastAsia="仿宋_GB2312" w:cs="仿宋_GB2312"/>
          <w:b w:val="0"/>
          <w:bCs w:val="0"/>
          <w:color w:val="auto"/>
          <w:sz w:val="32"/>
          <w:szCs w:val="32"/>
          <w:highlight w:val="none"/>
          <w:lang w:val="en-US" w:eastAsia="zh-CN"/>
        </w:rPr>
        <w:t>61.74万元</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其他社会保障缴费</w:t>
      </w:r>
      <w:r>
        <w:rPr>
          <w:rFonts w:hint="eastAsia" w:ascii="仿宋_GB2312" w:hAnsi="仿宋_GB2312" w:eastAsia="仿宋_GB2312" w:cs="仿宋_GB2312"/>
          <w:b w:val="0"/>
          <w:bCs w:val="0"/>
          <w:color w:val="auto"/>
          <w:sz w:val="32"/>
          <w:szCs w:val="32"/>
          <w:highlight w:val="none"/>
          <w:lang w:val="en-US" w:eastAsia="zh-CN"/>
        </w:rPr>
        <w:t>1.78万元</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其他工资福利支出</w:t>
      </w:r>
      <w:r>
        <w:rPr>
          <w:rFonts w:hint="eastAsia" w:ascii="仿宋_GB2312" w:hAnsi="仿宋_GB2312" w:eastAsia="仿宋_GB2312" w:cs="仿宋_GB2312"/>
          <w:b w:val="0"/>
          <w:bCs w:val="0"/>
          <w:color w:val="auto"/>
          <w:sz w:val="32"/>
          <w:szCs w:val="32"/>
          <w:highlight w:val="none"/>
          <w:lang w:val="en-US" w:eastAsia="zh-CN"/>
        </w:rPr>
        <w:t>22万元、</w:t>
      </w:r>
      <w:r>
        <w:rPr>
          <w:rFonts w:hint="eastAsia" w:ascii="仿宋_GB2312" w:hAnsi="仿宋_GB2312" w:eastAsia="仿宋_GB2312" w:cs="仿宋_GB2312"/>
          <w:b w:val="0"/>
          <w:bCs w:val="0"/>
          <w:color w:val="auto"/>
          <w:sz w:val="32"/>
          <w:szCs w:val="32"/>
          <w:highlight w:val="none"/>
        </w:rPr>
        <w:t>离休费</w:t>
      </w:r>
      <w:r>
        <w:rPr>
          <w:rFonts w:hint="eastAsia" w:ascii="仿宋_GB2312" w:hAnsi="仿宋_GB2312" w:eastAsia="仿宋_GB2312" w:cs="仿宋_GB2312"/>
          <w:b w:val="0"/>
          <w:bCs w:val="0"/>
          <w:color w:val="auto"/>
          <w:sz w:val="32"/>
          <w:szCs w:val="32"/>
          <w:highlight w:val="none"/>
          <w:lang w:val="en-US" w:eastAsia="zh-CN"/>
        </w:rPr>
        <w:t>28.12万元、</w:t>
      </w:r>
      <w:r>
        <w:rPr>
          <w:rFonts w:hint="eastAsia" w:ascii="仿宋_GB2312" w:hAnsi="仿宋_GB2312" w:eastAsia="仿宋_GB2312" w:cs="仿宋_GB2312"/>
          <w:b w:val="0"/>
          <w:bCs w:val="0"/>
          <w:color w:val="auto"/>
          <w:sz w:val="32"/>
          <w:szCs w:val="32"/>
          <w:highlight w:val="none"/>
        </w:rPr>
        <w:t>退休费</w:t>
      </w:r>
      <w:r>
        <w:rPr>
          <w:rFonts w:hint="eastAsia" w:ascii="仿宋_GB2312" w:hAnsi="仿宋_GB2312" w:eastAsia="仿宋_GB2312" w:cs="仿宋_GB2312"/>
          <w:b w:val="0"/>
          <w:bCs w:val="0"/>
          <w:color w:val="auto"/>
          <w:sz w:val="32"/>
          <w:szCs w:val="32"/>
          <w:highlight w:val="none"/>
          <w:lang w:val="en-US" w:eastAsia="zh-CN"/>
        </w:rPr>
        <w:t>49.45万元</w:t>
      </w:r>
      <w:r>
        <w:rPr>
          <w:rFonts w:hint="eastAsia" w:ascii="仿宋_GB2312" w:hAnsi="仿宋_GB2312" w:eastAsia="仿宋_GB2312" w:cs="仿宋_GB2312"/>
          <w:b w:val="0"/>
          <w:bCs w:val="0"/>
          <w:color w:val="auto"/>
          <w:sz w:val="32"/>
          <w:szCs w:val="32"/>
          <w:highlight w:val="none"/>
        </w:rPr>
        <w:t>、生活补助</w:t>
      </w:r>
      <w:r>
        <w:rPr>
          <w:rFonts w:hint="eastAsia" w:ascii="仿宋_GB2312" w:hAnsi="仿宋_GB2312" w:eastAsia="仿宋_GB2312" w:cs="仿宋_GB2312"/>
          <w:b w:val="0"/>
          <w:bCs w:val="0"/>
          <w:color w:val="auto"/>
          <w:sz w:val="32"/>
          <w:szCs w:val="32"/>
          <w:highlight w:val="none"/>
          <w:lang w:val="en-US" w:eastAsia="zh-CN"/>
        </w:rPr>
        <w:t>2.12万元</w:t>
      </w:r>
      <w:r>
        <w:rPr>
          <w:rFonts w:hint="eastAsia" w:ascii="仿宋_GB2312" w:hAnsi="仿宋_GB2312" w:eastAsia="仿宋_GB2312" w:cs="仿宋_GB2312"/>
          <w:b w:val="0"/>
          <w:bCs w:val="0"/>
          <w:color w:val="auto"/>
          <w:sz w:val="32"/>
          <w:szCs w:val="32"/>
          <w:highlight w:val="none"/>
        </w:rPr>
        <w:t>、奖励金</w:t>
      </w:r>
      <w:r>
        <w:rPr>
          <w:rFonts w:hint="eastAsia" w:ascii="仿宋_GB2312" w:hAnsi="仿宋_GB2312" w:eastAsia="仿宋_GB2312" w:cs="仿宋_GB2312"/>
          <w:b w:val="0"/>
          <w:bCs w:val="0"/>
          <w:color w:val="auto"/>
          <w:sz w:val="32"/>
          <w:szCs w:val="32"/>
          <w:highlight w:val="none"/>
          <w:lang w:val="en-US" w:eastAsia="zh-CN"/>
        </w:rPr>
        <w:t>3.78万元</w:t>
      </w:r>
      <w:r>
        <w:rPr>
          <w:rFonts w:hint="eastAsia" w:ascii="仿宋_GB2312" w:hAnsi="仿宋_GB2312" w:eastAsia="仿宋_GB2312" w:cs="仿宋_GB2312"/>
          <w:b w:val="0"/>
          <w:bCs w:val="0"/>
          <w:color w:val="auto"/>
          <w:sz w:val="32"/>
          <w:szCs w:val="32"/>
          <w:highlight w:val="none"/>
        </w:rPr>
        <w:t>、其他对个人和家庭的补助</w:t>
      </w:r>
      <w:r>
        <w:rPr>
          <w:rFonts w:hint="eastAsia" w:ascii="仿宋_GB2312" w:hAnsi="仿宋_GB2312" w:eastAsia="仿宋_GB2312" w:cs="仿宋_GB2312"/>
          <w:b w:val="0"/>
          <w:bCs w:val="0"/>
          <w:color w:val="auto"/>
          <w:sz w:val="32"/>
          <w:szCs w:val="32"/>
          <w:highlight w:val="none"/>
          <w:lang w:val="en-US" w:eastAsia="zh-CN"/>
        </w:rPr>
        <w:t>114.50万元</w:t>
      </w:r>
      <w:r>
        <w:rPr>
          <w:rFonts w:hint="eastAsia" w:ascii="仿宋_GB2312" w:hAnsi="仿宋_GB2312" w:eastAsia="仿宋_GB2312" w:cs="仿宋_GB2312"/>
          <w:b w:val="0"/>
          <w:bCs w:val="0"/>
          <w:color w:val="auto"/>
          <w:sz w:val="32"/>
          <w:szCs w:val="32"/>
          <w:highlight w:val="none"/>
          <w:lang w:eastAsia="zh-CN"/>
        </w:rPr>
        <w:t>。</w:t>
      </w:r>
    </w:p>
    <w:p w14:paraId="3F2ADD0D">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公用经费</w:t>
      </w:r>
      <w:r>
        <w:rPr>
          <w:rFonts w:hint="eastAsia" w:ascii="仿宋_GB2312" w:hAnsi="仿宋_GB2312" w:eastAsia="仿宋_GB2312" w:cs="仿宋_GB2312"/>
          <w:b w:val="0"/>
          <w:bCs w:val="0"/>
          <w:color w:val="auto"/>
          <w:sz w:val="32"/>
          <w:szCs w:val="32"/>
          <w:highlight w:val="none"/>
          <w:lang w:val="en-US" w:eastAsia="zh-CN"/>
        </w:rPr>
        <w:t>306.6</w:t>
      </w:r>
      <w:r>
        <w:rPr>
          <w:rFonts w:hint="eastAsia" w:ascii="仿宋_GB2312" w:hAnsi="仿宋_GB2312" w:eastAsia="仿宋_GB2312" w:cs="仿宋_GB2312"/>
          <w:b w:val="0"/>
          <w:bCs w:val="0"/>
          <w:color w:val="auto"/>
          <w:sz w:val="32"/>
          <w:szCs w:val="32"/>
          <w:highlight w:val="none"/>
        </w:rPr>
        <w:t>万元，占基本支出的</w:t>
      </w:r>
      <w:r>
        <w:rPr>
          <w:rFonts w:hint="eastAsia" w:ascii="仿宋_GB2312" w:hAnsi="仿宋_GB2312" w:eastAsia="仿宋_GB2312" w:cs="仿宋_GB2312"/>
          <w:b w:val="0"/>
          <w:bCs w:val="0"/>
          <w:color w:val="auto"/>
          <w:sz w:val="32"/>
          <w:szCs w:val="32"/>
          <w:highlight w:val="none"/>
          <w:lang w:val="en-US" w:eastAsia="zh-CN"/>
        </w:rPr>
        <w:t>15.63</w:t>
      </w:r>
      <w:r>
        <w:rPr>
          <w:rFonts w:hint="eastAsia" w:ascii="仿宋_GB2312" w:hAnsi="仿宋_GB2312" w:eastAsia="仿宋_GB2312" w:cs="仿宋_GB2312"/>
          <w:b w:val="0"/>
          <w:bCs w:val="0"/>
          <w:color w:val="auto"/>
          <w:sz w:val="32"/>
          <w:szCs w:val="32"/>
          <w:highlight w:val="none"/>
        </w:rPr>
        <w:t>%，主要包括办公费</w:t>
      </w:r>
      <w:r>
        <w:rPr>
          <w:rFonts w:hint="eastAsia" w:ascii="仿宋_GB2312" w:hAnsi="仿宋_GB2312" w:eastAsia="仿宋_GB2312" w:cs="仿宋_GB2312"/>
          <w:b w:val="0"/>
          <w:bCs w:val="0"/>
          <w:color w:val="auto"/>
          <w:sz w:val="32"/>
          <w:szCs w:val="32"/>
          <w:highlight w:val="none"/>
          <w:lang w:val="en-US" w:eastAsia="zh-CN"/>
        </w:rPr>
        <w:t>6.71万元</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印刷费</w:t>
      </w:r>
      <w:r>
        <w:rPr>
          <w:rFonts w:hint="eastAsia" w:ascii="仿宋_GB2312" w:hAnsi="仿宋_GB2312" w:eastAsia="仿宋_GB2312" w:cs="仿宋_GB2312"/>
          <w:b w:val="0"/>
          <w:bCs w:val="0"/>
          <w:color w:val="auto"/>
          <w:sz w:val="32"/>
          <w:szCs w:val="32"/>
          <w:highlight w:val="none"/>
          <w:lang w:val="en-US" w:eastAsia="zh-CN"/>
        </w:rPr>
        <w:t>0.40万元、</w:t>
      </w:r>
      <w:r>
        <w:rPr>
          <w:rFonts w:hint="eastAsia" w:ascii="仿宋_GB2312" w:hAnsi="仿宋_GB2312" w:eastAsia="仿宋_GB2312" w:cs="仿宋_GB2312"/>
          <w:b w:val="0"/>
          <w:bCs w:val="0"/>
          <w:color w:val="auto"/>
          <w:sz w:val="32"/>
          <w:szCs w:val="32"/>
          <w:highlight w:val="none"/>
        </w:rPr>
        <w:t>咨询费</w:t>
      </w:r>
      <w:r>
        <w:rPr>
          <w:rFonts w:hint="eastAsia" w:ascii="仿宋_GB2312" w:hAnsi="仿宋_GB2312" w:eastAsia="仿宋_GB2312" w:cs="仿宋_GB2312"/>
          <w:b w:val="0"/>
          <w:bCs w:val="0"/>
          <w:color w:val="auto"/>
          <w:sz w:val="32"/>
          <w:szCs w:val="32"/>
          <w:highlight w:val="none"/>
          <w:lang w:val="en-US" w:eastAsia="zh-CN"/>
        </w:rPr>
        <w:t>0.40万元</w:t>
      </w:r>
      <w:r>
        <w:rPr>
          <w:rFonts w:hint="eastAsia" w:ascii="仿宋_GB2312" w:hAnsi="仿宋_GB2312" w:eastAsia="仿宋_GB2312" w:cs="仿宋_GB2312"/>
          <w:b w:val="0"/>
          <w:bCs w:val="0"/>
          <w:color w:val="auto"/>
          <w:sz w:val="32"/>
          <w:szCs w:val="32"/>
          <w:highlight w:val="none"/>
        </w:rPr>
        <w:t>、水费</w:t>
      </w:r>
      <w:r>
        <w:rPr>
          <w:rFonts w:hint="eastAsia" w:ascii="仿宋_GB2312" w:hAnsi="仿宋_GB2312" w:eastAsia="仿宋_GB2312" w:cs="仿宋_GB2312"/>
          <w:b w:val="0"/>
          <w:bCs w:val="0"/>
          <w:color w:val="auto"/>
          <w:sz w:val="32"/>
          <w:szCs w:val="32"/>
          <w:highlight w:val="none"/>
          <w:lang w:val="en-US" w:eastAsia="zh-CN"/>
        </w:rPr>
        <w:t>9.62万元</w:t>
      </w:r>
      <w:r>
        <w:rPr>
          <w:rFonts w:hint="eastAsia" w:ascii="仿宋_GB2312" w:hAnsi="仿宋_GB2312" w:eastAsia="仿宋_GB2312" w:cs="仿宋_GB2312"/>
          <w:b w:val="0"/>
          <w:bCs w:val="0"/>
          <w:color w:val="auto"/>
          <w:sz w:val="32"/>
          <w:szCs w:val="32"/>
          <w:highlight w:val="none"/>
        </w:rPr>
        <w:t>、电费</w:t>
      </w:r>
      <w:r>
        <w:rPr>
          <w:rFonts w:hint="eastAsia" w:ascii="仿宋_GB2312" w:hAnsi="仿宋_GB2312" w:eastAsia="仿宋_GB2312" w:cs="仿宋_GB2312"/>
          <w:b w:val="0"/>
          <w:bCs w:val="0"/>
          <w:color w:val="auto"/>
          <w:sz w:val="32"/>
          <w:szCs w:val="32"/>
          <w:highlight w:val="none"/>
          <w:lang w:val="en-US" w:eastAsia="zh-CN"/>
        </w:rPr>
        <w:t>4.05万元</w:t>
      </w:r>
      <w:r>
        <w:rPr>
          <w:rFonts w:hint="eastAsia" w:ascii="仿宋_GB2312" w:hAnsi="仿宋_GB2312" w:eastAsia="仿宋_GB2312" w:cs="仿宋_GB2312"/>
          <w:b w:val="0"/>
          <w:bCs w:val="0"/>
          <w:color w:val="auto"/>
          <w:sz w:val="32"/>
          <w:szCs w:val="32"/>
          <w:highlight w:val="none"/>
        </w:rPr>
        <w:t>、邮电费</w:t>
      </w:r>
      <w:r>
        <w:rPr>
          <w:rFonts w:hint="eastAsia" w:ascii="仿宋_GB2312" w:hAnsi="仿宋_GB2312" w:eastAsia="仿宋_GB2312" w:cs="仿宋_GB2312"/>
          <w:b w:val="0"/>
          <w:bCs w:val="0"/>
          <w:color w:val="auto"/>
          <w:sz w:val="32"/>
          <w:szCs w:val="32"/>
          <w:highlight w:val="none"/>
          <w:lang w:val="en-US" w:eastAsia="zh-CN"/>
        </w:rPr>
        <w:t>3.55万元</w:t>
      </w:r>
      <w:r>
        <w:rPr>
          <w:rFonts w:hint="eastAsia" w:ascii="仿宋_GB2312" w:hAnsi="仿宋_GB2312" w:eastAsia="仿宋_GB2312" w:cs="仿宋_GB2312"/>
          <w:b w:val="0"/>
          <w:bCs w:val="0"/>
          <w:color w:val="auto"/>
          <w:sz w:val="32"/>
          <w:szCs w:val="32"/>
          <w:highlight w:val="none"/>
        </w:rPr>
        <w:t>、差旅费</w:t>
      </w:r>
      <w:r>
        <w:rPr>
          <w:rFonts w:hint="eastAsia" w:ascii="仿宋_GB2312" w:hAnsi="仿宋_GB2312" w:eastAsia="仿宋_GB2312" w:cs="仿宋_GB2312"/>
          <w:b w:val="0"/>
          <w:bCs w:val="0"/>
          <w:color w:val="auto"/>
          <w:sz w:val="32"/>
          <w:szCs w:val="32"/>
          <w:highlight w:val="none"/>
          <w:lang w:val="en-US" w:eastAsia="zh-CN"/>
        </w:rPr>
        <w:t>5.85万元</w:t>
      </w:r>
      <w:r>
        <w:rPr>
          <w:rFonts w:hint="eastAsia" w:ascii="仿宋_GB2312" w:hAnsi="仿宋_GB2312" w:eastAsia="仿宋_GB2312" w:cs="仿宋_GB2312"/>
          <w:b w:val="0"/>
          <w:bCs w:val="0"/>
          <w:color w:val="auto"/>
          <w:sz w:val="32"/>
          <w:szCs w:val="32"/>
          <w:highlight w:val="none"/>
        </w:rPr>
        <w:t>、维修（护）费</w:t>
      </w:r>
      <w:r>
        <w:rPr>
          <w:rFonts w:hint="eastAsia" w:ascii="仿宋_GB2312" w:hAnsi="仿宋_GB2312" w:eastAsia="仿宋_GB2312" w:cs="仿宋_GB2312"/>
          <w:b w:val="0"/>
          <w:bCs w:val="0"/>
          <w:color w:val="auto"/>
          <w:sz w:val="32"/>
          <w:szCs w:val="32"/>
          <w:highlight w:val="none"/>
          <w:lang w:val="en-US" w:eastAsia="zh-CN"/>
        </w:rPr>
        <w:t>50.20万元</w:t>
      </w:r>
      <w:r>
        <w:rPr>
          <w:rFonts w:hint="eastAsia" w:ascii="仿宋_GB2312" w:hAnsi="仿宋_GB2312" w:eastAsia="仿宋_GB2312" w:cs="仿宋_GB2312"/>
          <w:b w:val="0"/>
          <w:bCs w:val="0"/>
          <w:color w:val="auto"/>
          <w:sz w:val="32"/>
          <w:szCs w:val="32"/>
          <w:highlight w:val="none"/>
        </w:rPr>
        <w:t>、会议费</w:t>
      </w:r>
      <w:r>
        <w:rPr>
          <w:rFonts w:hint="eastAsia" w:ascii="仿宋_GB2312" w:hAnsi="仿宋_GB2312" w:eastAsia="仿宋_GB2312" w:cs="仿宋_GB2312"/>
          <w:b w:val="0"/>
          <w:bCs w:val="0"/>
          <w:color w:val="auto"/>
          <w:sz w:val="32"/>
          <w:szCs w:val="32"/>
          <w:highlight w:val="none"/>
          <w:lang w:val="en-US" w:eastAsia="zh-CN"/>
        </w:rPr>
        <w:t>0.38万元</w:t>
      </w:r>
      <w:r>
        <w:rPr>
          <w:rFonts w:hint="eastAsia" w:ascii="仿宋_GB2312" w:hAnsi="仿宋_GB2312" w:eastAsia="仿宋_GB2312" w:cs="仿宋_GB2312"/>
          <w:b w:val="0"/>
          <w:bCs w:val="0"/>
          <w:color w:val="auto"/>
          <w:sz w:val="32"/>
          <w:szCs w:val="32"/>
          <w:highlight w:val="none"/>
        </w:rPr>
        <w:t>、培训费</w:t>
      </w:r>
      <w:r>
        <w:rPr>
          <w:rFonts w:hint="eastAsia" w:ascii="仿宋_GB2312" w:hAnsi="仿宋_GB2312" w:eastAsia="仿宋_GB2312" w:cs="仿宋_GB2312"/>
          <w:b w:val="0"/>
          <w:bCs w:val="0"/>
          <w:color w:val="auto"/>
          <w:sz w:val="32"/>
          <w:szCs w:val="32"/>
          <w:highlight w:val="none"/>
          <w:lang w:val="en-US" w:eastAsia="zh-CN"/>
        </w:rPr>
        <w:t>17.19万元</w:t>
      </w:r>
      <w:r>
        <w:rPr>
          <w:rFonts w:hint="eastAsia" w:ascii="仿宋_GB2312" w:hAnsi="仿宋_GB2312" w:eastAsia="仿宋_GB2312" w:cs="仿宋_GB2312"/>
          <w:b w:val="0"/>
          <w:bCs w:val="0"/>
          <w:color w:val="auto"/>
          <w:sz w:val="32"/>
          <w:szCs w:val="32"/>
          <w:highlight w:val="none"/>
        </w:rPr>
        <w:t>、公务接待费</w:t>
      </w:r>
      <w:r>
        <w:rPr>
          <w:rFonts w:hint="eastAsia" w:ascii="仿宋_GB2312" w:hAnsi="仿宋_GB2312" w:eastAsia="仿宋_GB2312" w:cs="仿宋_GB2312"/>
          <w:b w:val="0"/>
          <w:bCs w:val="0"/>
          <w:color w:val="auto"/>
          <w:sz w:val="32"/>
          <w:szCs w:val="32"/>
          <w:highlight w:val="none"/>
          <w:lang w:val="en-US" w:eastAsia="zh-CN"/>
        </w:rPr>
        <w:t>0.63万元</w:t>
      </w:r>
      <w:r>
        <w:rPr>
          <w:rFonts w:hint="eastAsia" w:ascii="仿宋_GB2312" w:hAnsi="仿宋_GB2312" w:eastAsia="仿宋_GB2312" w:cs="仿宋_GB2312"/>
          <w:b w:val="0"/>
          <w:bCs w:val="0"/>
          <w:color w:val="auto"/>
          <w:sz w:val="32"/>
          <w:szCs w:val="32"/>
          <w:highlight w:val="none"/>
        </w:rPr>
        <w:t>、劳务费</w:t>
      </w:r>
      <w:r>
        <w:rPr>
          <w:rFonts w:hint="eastAsia" w:ascii="仿宋_GB2312" w:hAnsi="仿宋_GB2312" w:eastAsia="仿宋_GB2312" w:cs="仿宋_GB2312"/>
          <w:b w:val="0"/>
          <w:bCs w:val="0"/>
          <w:color w:val="auto"/>
          <w:sz w:val="32"/>
          <w:szCs w:val="32"/>
          <w:highlight w:val="none"/>
          <w:lang w:val="en-US" w:eastAsia="zh-CN"/>
        </w:rPr>
        <w:t>1.37万元</w:t>
      </w:r>
      <w:r>
        <w:rPr>
          <w:rFonts w:hint="eastAsia" w:ascii="仿宋_GB2312" w:hAnsi="仿宋_GB2312" w:eastAsia="仿宋_GB2312" w:cs="仿宋_GB2312"/>
          <w:b w:val="0"/>
          <w:bCs w:val="0"/>
          <w:color w:val="auto"/>
          <w:sz w:val="32"/>
          <w:szCs w:val="32"/>
          <w:highlight w:val="none"/>
        </w:rPr>
        <w:t>、工会经费</w:t>
      </w:r>
      <w:r>
        <w:rPr>
          <w:rFonts w:hint="eastAsia" w:ascii="仿宋_GB2312" w:hAnsi="仿宋_GB2312" w:eastAsia="仿宋_GB2312" w:cs="仿宋_GB2312"/>
          <w:b w:val="0"/>
          <w:bCs w:val="0"/>
          <w:color w:val="auto"/>
          <w:sz w:val="32"/>
          <w:szCs w:val="32"/>
          <w:highlight w:val="none"/>
          <w:lang w:val="en-US" w:eastAsia="zh-CN"/>
        </w:rPr>
        <w:t>44万元</w:t>
      </w:r>
      <w:r>
        <w:rPr>
          <w:rFonts w:hint="eastAsia" w:ascii="仿宋_GB2312" w:hAnsi="仿宋_GB2312" w:eastAsia="仿宋_GB2312" w:cs="仿宋_GB2312"/>
          <w:b w:val="0"/>
          <w:bCs w:val="0"/>
          <w:color w:val="auto"/>
          <w:sz w:val="32"/>
          <w:szCs w:val="32"/>
          <w:highlight w:val="none"/>
        </w:rPr>
        <w:t>、福利费</w:t>
      </w:r>
      <w:r>
        <w:rPr>
          <w:rFonts w:hint="eastAsia" w:ascii="仿宋_GB2312" w:hAnsi="仿宋_GB2312" w:eastAsia="仿宋_GB2312" w:cs="仿宋_GB2312"/>
          <w:b w:val="0"/>
          <w:bCs w:val="0"/>
          <w:color w:val="auto"/>
          <w:sz w:val="32"/>
          <w:szCs w:val="32"/>
          <w:highlight w:val="none"/>
          <w:lang w:val="en-US" w:eastAsia="zh-CN"/>
        </w:rPr>
        <w:t>23.02万元</w:t>
      </w:r>
      <w:r>
        <w:rPr>
          <w:rFonts w:hint="eastAsia" w:ascii="仿宋_GB2312" w:hAnsi="仿宋_GB2312" w:eastAsia="仿宋_GB2312" w:cs="仿宋_GB2312"/>
          <w:b w:val="0"/>
          <w:bCs w:val="0"/>
          <w:color w:val="auto"/>
          <w:sz w:val="32"/>
          <w:szCs w:val="32"/>
          <w:highlight w:val="none"/>
        </w:rPr>
        <w:t>、公务用车运行维护费</w:t>
      </w:r>
      <w:r>
        <w:rPr>
          <w:rFonts w:hint="eastAsia" w:ascii="仿宋_GB2312" w:hAnsi="仿宋_GB2312" w:eastAsia="仿宋_GB2312" w:cs="仿宋_GB2312"/>
          <w:b w:val="0"/>
          <w:bCs w:val="0"/>
          <w:color w:val="auto"/>
          <w:sz w:val="32"/>
          <w:szCs w:val="32"/>
          <w:highlight w:val="none"/>
          <w:lang w:val="en-US" w:eastAsia="zh-CN"/>
        </w:rPr>
        <w:t>5.6万元</w:t>
      </w:r>
      <w:r>
        <w:rPr>
          <w:rFonts w:hint="eastAsia" w:ascii="仿宋_GB2312" w:hAnsi="仿宋_GB2312" w:eastAsia="仿宋_GB2312" w:cs="仿宋_GB2312"/>
          <w:b w:val="0"/>
          <w:bCs w:val="0"/>
          <w:color w:val="auto"/>
          <w:sz w:val="32"/>
          <w:szCs w:val="32"/>
          <w:highlight w:val="none"/>
        </w:rPr>
        <w:t>、其他交通费用</w:t>
      </w:r>
      <w:r>
        <w:rPr>
          <w:rFonts w:hint="eastAsia" w:ascii="仿宋_GB2312" w:hAnsi="仿宋_GB2312" w:eastAsia="仿宋_GB2312" w:cs="仿宋_GB2312"/>
          <w:b w:val="0"/>
          <w:bCs w:val="0"/>
          <w:color w:val="auto"/>
          <w:sz w:val="32"/>
          <w:szCs w:val="32"/>
          <w:highlight w:val="none"/>
          <w:lang w:val="en-US" w:eastAsia="zh-CN"/>
        </w:rPr>
        <w:t>43.25万元</w:t>
      </w:r>
      <w:r>
        <w:rPr>
          <w:rFonts w:hint="eastAsia" w:ascii="仿宋_GB2312" w:hAnsi="仿宋_GB2312" w:eastAsia="仿宋_GB2312" w:cs="仿宋_GB2312"/>
          <w:b w:val="0"/>
          <w:bCs w:val="0"/>
          <w:color w:val="auto"/>
          <w:sz w:val="32"/>
          <w:szCs w:val="32"/>
          <w:highlight w:val="none"/>
        </w:rPr>
        <w:t>、税金及附加费用</w:t>
      </w:r>
      <w:r>
        <w:rPr>
          <w:rFonts w:hint="eastAsia" w:ascii="仿宋_GB2312" w:hAnsi="仿宋_GB2312" w:eastAsia="仿宋_GB2312" w:cs="仿宋_GB2312"/>
          <w:b w:val="0"/>
          <w:bCs w:val="0"/>
          <w:color w:val="auto"/>
          <w:sz w:val="32"/>
          <w:szCs w:val="32"/>
          <w:highlight w:val="none"/>
          <w:lang w:val="en-US" w:eastAsia="zh-CN"/>
        </w:rPr>
        <w:t>2.17万元</w:t>
      </w:r>
      <w:r>
        <w:rPr>
          <w:rFonts w:hint="eastAsia" w:ascii="仿宋_GB2312" w:hAnsi="仿宋_GB2312" w:eastAsia="仿宋_GB2312" w:cs="仿宋_GB2312"/>
          <w:b w:val="0"/>
          <w:bCs w:val="0"/>
          <w:color w:val="auto"/>
          <w:sz w:val="32"/>
          <w:szCs w:val="32"/>
          <w:highlight w:val="none"/>
        </w:rPr>
        <w:t>、其他商品和服务支出</w:t>
      </w:r>
      <w:r>
        <w:rPr>
          <w:rFonts w:hint="eastAsia" w:ascii="仿宋_GB2312" w:hAnsi="仿宋_GB2312" w:eastAsia="仿宋_GB2312" w:cs="仿宋_GB2312"/>
          <w:b w:val="0"/>
          <w:bCs w:val="0"/>
          <w:color w:val="auto"/>
          <w:sz w:val="32"/>
          <w:szCs w:val="32"/>
          <w:highlight w:val="none"/>
          <w:lang w:val="en-US" w:eastAsia="zh-CN"/>
        </w:rPr>
        <w:t>32.50万元</w:t>
      </w:r>
      <w:r>
        <w:rPr>
          <w:rFonts w:hint="eastAsia" w:ascii="仿宋_GB2312" w:hAnsi="仿宋_GB2312" w:eastAsia="仿宋_GB2312" w:cs="仿宋_GB2312"/>
          <w:b w:val="0"/>
          <w:bCs w:val="0"/>
          <w:color w:val="auto"/>
          <w:sz w:val="32"/>
          <w:szCs w:val="32"/>
          <w:highlight w:val="none"/>
        </w:rPr>
        <w:t>、办公设备购置</w:t>
      </w:r>
      <w:r>
        <w:rPr>
          <w:rFonts w:hint="eastAsia" w:ascii="仿宋_GB2312" w:hAnsi="仿宋_GB2312" w:eastAsia="仿宋_GB2312" w:cs="仿宋_GB2312"/>
          <w:b w:val="0"/>
          <w:bCs w:val="0"/>
          <w:color w:val="auto"/>
          <w:sz w:val="32"/>
          <w:szCs w:val="32"/>
          <w:highlight w:val="none"/>
          <w:lang w:val="en-US" w:eastAsia="zh-CN"/>
        </w:rPr>
        <w:t>18.54万元</w:t>
      </w:r>
      <w:r>
        <w:rPr>
          <w:rFonts w:hint="eastAsia" w:ascii="仿宋_GB2312" w:hAnsi="仿宋_GB2312" w:eastAsia="仿宋_GB2312" w:cs="仿宋_GB2312"/>
          <w:b w:val="0"/>
          <w:bCs w:val="0"/>
          <w:color w:val="auto"/>
          <w:sz w:val="32"/>
          <w:szCs w:val="32"/>
          <w:highlight w:val="none"/>
        </w:rPr>
        <w:t>、其他资本性支出</w:t>
      </w:r>
      <w:r>
        <w:rPr>
          <w:rFonts w:hint="eastAsia" w:ascii="仿宋_GB2312" w:hAnsi="仿宋_GB2312" w:eastAsia="仿宋_GB2312" w:cs="仿宋_GB2312"/>
          <w:b w:val="0"/>
          <w:bCs w:val="0"/>
          <w:color w:val="auto"/>
          <w:sz w:val="32"/>
          <w:szCs w:val="32"/>
          <w:highlight w:val="none"/>
          <w:lang w:val="en-US" w:eastAsia="zh-CN"/>
        </w:rPr>
        <w:t>37.16万元</w:t>
      </w:r>
      <w:r>
        <w:rPr>
          <w:rFonts w:hint="eastAsia" w:ascii="仿宋_GB2312" w:hAnsi="仿宋_GB2312" w:eastAsia="仿宋_GB2312" w:cs="仿宋_GB2312"/>
          <w:b w:val="0"/>
          <w:bCs w:val="0"/>
          <w:color w:val="auto"/>
          <w:sz w:val="32"/>
          <w:szCs w:val="32"/>
          <w:highlight w:val="none"/>
        </w:rPr>
        <w:t>。</w:t>
      </w:r>
    </w:p>
    <w:p w14:paraId="2E923CD6">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七、一般公共预算财政拨款三公经费支出决算情况说明</w:t>
      </w:r>
    </w:p>
    <w:p w14:paraId="0FA3FE3A">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（一）“三公”经费财政拨款支出决算总体情况说明</w:t>
      </w:r>
    </w:p>
    <w:p w14:paraId="2FB57DB2">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2022年度“三公”经费财政拨款支出预算为10.00万元，支出决算为6.23万元，完成预算的62.30%，</w:t>
      </w:r>
      <w:r>
        <w:rPr>
          <w:rFonts w:hint="eastAsia" w:ascii="仿宋_GB2312" w:hAnsi="仿宋_GB2312" w:eastAsia="仿宋_GB2312" w:cs="仿宋_GB2312"/>
          <w:color w:val="auto"/>
          <w:sz w:val="32"/>
          <w:szCs w:val="32"/>
          <w:highlight w:val="none"/>
        </w:rPr>
        <w:t>决算数小于预算数的主要原因是落实过“紧日子”要求，严格执行开支标准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厉行节约；</w:t>
      </w:r>
      <w:r>
        <w:rPr>
          <w:rFonts w:hint="eastAsia" w:ascii="仿宋_GB2312" w:hAnsi="仿宋_GB2312" w:eastAsia="仿宋_GB2312" w:cs="仿宋_GB2312"/>
          <w:color w:val="auto"/>
          <w:sz w:val="32"/>
          <w:szCs w:val="32"/>
          <w:highlight w:val="none"/>
        </w:rPr>
        <w:t>与上年相比减少</w:t>
      </w:r>
      <w:r>
        <w:rPr>
          <w:rFonts w:hint="eastAsia" w:ascii="仿宋_GB2312" w:hAnsi="仿宋_GB2312" w:eastAsia="仿宋_GB2312" w:cs="仿宋_GB2312"/>
          <w:color w:val="auto"/>
          <w:sz w:val="32"/>
          <w:szCs w:val="32"/>
          <w:highlight w:val="none"/>
          <w:lang w:val="en-US" w:eastAsia="zh-CN"/>
        </w:rPr>
        <w:t>2.87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下降31.54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减少的主要原因是落实过“紧日子”要求，严格执行开支标准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厉行节约</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其中：</w:t>
      </w:r>
    </w:p>
    <w:p w14:paraId="5F73F142">
      <w:pPr>
        <w:pStyle w:val="11"/>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因公出国(境)费支出预算为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万元，支出决算为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万元，预算决算金额均</w:t>
      </w:r>
      <w:r>
        <w:rPr>
          <w:rFonts w:hint="eastAsia" w:ascii="仿宋_GB2312" w:hAnsi="仿宋_GB2312" w:eastAsia="仿宋_GB2312" w:cs="仿宋_GB2312"/>
          <w:b w:val="0"/>
          <w:bCs w:val="0"/>
          <w:color w:val="auto"/>
          <w:sz w:val="32"/>
          <w:szCs w:val="32"/>
          <w:highlight w:val="none"/>
          <w:lang w:val="en-US" w:eastAsia="zh-CN"/>
        </w:rPr>
        <w:t>为0万元</w:t>
      </w:r>
      <w:r>
        <w:rPr>
          <w:rFonts w:hint="eastAsia" w:ascii="仿宋_GB2312" w:hAnsi="仿宋_GB2312" w:eastAsia="仿宋_GB2312" w:cs="仿宋_GB2312"/>
          <w:b w:val="0"/>
          <w:bCs w:val="0"/>
          <w:color w:val="auto"/>
          <w:sz w:val="32"/>
          <w:szCs w:val="32"/>
          <w:highlight w:val="none"/>
        </w:rPr>
        <w:t>，无法计算完成百分比，主要原因</w:t>
      </w:r>
      <w:r>
        <w:rPr>
          <w:rFonts w:hint="eastAsia" w:ascii="仿宋_GB2312" w:hAnsi="仿宋_GB2312" w:eastAsia="仿宋_GB2312" w:cs="仿宋_GB2312"/>
          <w:b w:val="0"/>
          <w:bCs w:val="0"/>
          <w:color w:val="auto"/>
          <w:sz w:val="32"/>
          <w:szCs w:val="32"/>
          <w:highlight w:val="none"/>
          <w:lang w:val="en-US" w:eastAsia="zh-CN"/>
        </w:rPr>
        <w:t>是单位未</w:t>
      </w:r>
      <w:r>
        <w:rPr>
          <w:rFonts w:hint="eastAsia" w:ascii="仿宋_GB2312" w:hAnsi="仿宋_GB2312" w:eastAsia="仿宋_GB2312" w:cs="仿宋_GB2312"/>
          <w:b w:val="0"/>
          <w:bCs w:val="0"/>
          <w:color w:val="auto"/>
          <w:sz w:val="32"/>
          <w:szCs w:val="32"/>
          <w:highlight w:val="none"/>
        </w:rPr>
        <w:t>因公出国（境），</w:t>
      </w:r>
      <w:r>
        <w:rPr>
          <w:rFonts w:hint="eastAsia" w:ascii="仿宋_GB2312" w:hAnsi="仿宋_GB2312" w:eastAsia="仿宋_GB2312" w:cs="仿宋_GB2312"/>
          <w:b w:val="0"/>
          <w:bCs w:val="0"/>
          <w:color w:val="auto"/>
          <w:sz w:val="32"/>
          <w:szCs w:val="32"/>
          <w:highlight w:val="none"/>
          <w:lang w:val="en-US" w:eastAsia="zh-CN"/>
        </w:rPr>
        <w:t>与上年相比持平均为0万元，</w:t>
      </w:r>
      <w:r>
        <w:rPr>
          <w:rFonts w:hint="eastAsia" w:ascii="仿宋_GB2312" w:hAnsi="仿宋_GB2312" w:eastAsia="仿宋_GB2312" w:cs="仿宋_GB2312"/>
          <w:b w:val="0"/>
          <w:bCs w:val="0"/>
          <w:color w:val="auto"/>
          <w:sz w:val="32"/>
          <w:szCs w:val="32"/>
          <w:highlight w:val="none"/>
        </w:rPr>
        <w:t>无法计算完成百分比</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主要原因是单位未</w:t>
      </w:r>
      <w:r>
        <w:rPr>
          <w:rFonts w:hint="eastAsia" w:ascii="仿宋_GB2312" w:hAnsi="仿宋_GB2312" w:eastAsia="仿宋_GB2312" w:cs="仿宋_GB2312"/>
          <w:b w:val="0"/>
          <w:bCs w:val="0"/>
          <w:color w:val="auto"/>
          <w:sz w:val="32"/>
          <w:szCs w:val="32"/>
          <w:highlight w:val="none"/>
        </w:rPr>
        <w:t>因公出国（境）。</w:t>
      </w:r>
    </w:p>
    <w:p w14:paraId="1259FB92">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公务接待费支出预算为3.00万元，支出决算为0.63万元，完成预算的21.00%，决算数小于预算数的主要原因是厉行节约</w:t>
      </w:r>
      <w:r>
        <w:rPr>
          <w:rFonts w:hint="eastAsia" w:ascii="仿宋_GB2312" w:hAnsi="仿宋_GB2312" w:eastAsia="仿宋_GB2312" w:cs="仿宋_GB2312"/>
          <w:b w:val="0"/>
          <w:bCs w:val="0"/>
          <w:color w:val="auto"/>
          <w:sz w:val="32"/>
          <w:szCs w:val="32"/>
          <w:highlight w:val="none"/>
        </w:rPr>
        <w:t>落实过“紧日子”要求</w:t>
      </w:r>
      <w:r>
        <w:rPr>
          <w:rFonts w:hint="eastAsia" w:ascii="仿宋_GB2312" w:hAnsi="仿宋_GB2312" w:eastAsia="仿宋_GB2312" w:cs="仿宋_GB2312"/>
          <w:b w:val="0"/>
          <w:bCs w:val="0"/>
          <w:color w:val="auto"/>
          <w:sz w:val="32"/>
          <w:szCs w:val="32"/>
          <w:highlight w:val="none"/>
          <w:lang w:val="en-US" w:eastAsia="zh-CN"/>
        </w:rPr>
        <w:t>及疫情原因公务接待支出减少；与上年相比减少1.53万元，降低70.83%,降低的主要原因是厉行节约及疫情原因本年各市州、县（市区）党校业务交流学习较上年减少，故接待费用减少。</w:t>
      </w:r>
    </w:p>
    <w:p w14:paraId="77E2BBEC">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公务用车购置费支出预算为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万元，支出决算为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万元，预算决算金额均</w:t>
      </w:r>
      <w:r>
        <w:rPr>
          <w:rFonts w:hint="eastAsia" w:ascii="仿宋_GB2312" w:hAnsi="仿宋_GB2312" w:eastAsia="仿宋_GB2312" w:cs="仿宋_GB2312"/>
          <w:b w:val="0"/>
          <w:bCs w:val="0"/>
          <w:color w:val="auto"/>
          <w:sz w:val="32"/>
          <w:szCs w:val="32"/>
          <w:highlight w:val="none"/>
          <w:lang w:val="en-US" w:eastAsia="zh-CN"/>
        </w:rPr>
        <w:t>为0万元</w:t>
      </w:r>
      <w:r>
        <w:rPr>
          <w:rFonts w:hint="eastAsia" w:ascii="仿宋_GB2312" w:hAnsi="仿宋_GB2312" w:eastAsia="仿宋_GB2312" w:cs="仿宋_GB2312"/>
          <w:b w:val="0"/>
          <w:bCs w:val="0"/>
          <w:color w:val="auto"/>
          <w:sz w:val="32"/>
          <w:szCs w:val="32"/>
          <w:highlight w:val="none"/>
        </w:rPr>
        <w:t>，无法计算完成百分比，主要原因</w:t>
      </w:r>
      <w:r>
        <w:rPr>
          <w:rFonts w:hint="eastAsia" w:ascii="仿宋_GB2312" w:hAnsi="仿宋_GB2312" w:eastAsia="仿宋_GB2312" w:cs="仿宋_GB2312"/>
          <w:b w:val="0"/>
          <w:bCs w:val="0"/>
          <w:color w:val="auto"/>
          <w:sz w:val="32"/>
          <w:szCs w:val="32"/>
          <w:highlight w:val="none"/>
          <w:lang w:val="en-US" w:eastAsia="zh-CN"/>
        </w:rPr>
        <w:t>是未</w:t>
      </w:r>
      <w:r>
        <w:rPr>
          <w:rFonts w:hint="eastAsia" w:ascii="仿宋_GB2312" w:hAnsi="仿宋_GB2312" w:eastAsia="仿宋_GB2312" w:cs="仿宋_GB2312"/>
          <w:b w:val="0"/>
          <w:bCs w:val="0"/>
          <w:color w:val="auto"/>
          <w:sz w:val="32"/>
          <w:szCs w:val="32"/>
          <w:highlight w:val="none"/>
        </w:rPr>
        <w:t>购置公务用车</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与上年相比持平均为0万元，</w:t>
      </w:r>
      <w:r>
        <w:rPr>
          <w:rFonts w:hint="eastAsia" w:ascii="仿宋_GB2312" w:hAnsi="仿宋_GB2312" w:eastAsia="仿宋_GB2312" w:cs="仿宋_GB2312"/>
          <w:b w:val="0"/>
          <w:bCs w:val="0"/>
          <w:color w:val="auto"/>
          <w:sz w:val="32"/>
          <w:szCs w:val="32"/>
          <w:highlight w:val="none"/>
        </w:rPr>
        <w:t>无法计算完成百分比</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主要原因</w:t>
      </w:r>
      <w:r>
        <w:rPr>
          <w:rFonts w:hint="eastAsia" w:ascii="仿宋_GB2312" w:hAnsi="仿宋_GB2312" w:eastAsia="仿宋_GB2312" w:cs="仿宋_GB2312"/>
          <w:b w:val="0"/>
          <w:bCs w:val="0"/>
          <w:color w:val="auto"/>
          <w:sz w:val="32"/>
          <w:szCs w:val="32"/>
          <w:highlight w:val="none"/>
          <w:lang w:val="en-US" w:eastAsia="zh-CN"/>
        </w:rPr>
        <w:t>是未</w:t>
      </w:r>
      <w:r>
        <w:rPr>
          <w:rFonts w:hint="eastAsia" w:ascii="仿宋_GB2312" w:hAnsi="仿宋_GB2312" w:eastAsia="仿宋_GB2312" w:cs="仿宋_GB2312"/>
          <w:b w:val="0"/>
          <w:bCs w:val="0"/>
          <w:color w:val="auto"/>
          <w:sz w:val="32"/>
          <w:szCs w:val="32"/>
          <w:highlight w:val="none"/>
        </w:rPr>
        <w:t>购置公务用车</w:t>
      </w:r>
      <w:r>
        <w:rPr>
          <w:rFonts w:hint="eastAsia" w:ascii="仿宋_GB2312" w:hAnsi="仿宋_GB2312" w:eastAsia="仿宋_GB2312" w:cs="仿宋_GB2312"/>
          <w:b w:val="0"/>
          <w:bCs w:val="0"/>
          <w:color w:val="auto"/>
          <w:sz w:val="32"/>
          <w:szCs w:val="32"/>
          <w:highlight w:val="none"/>
          <w:lang w:eastAsia="zh-CN"/>
        </w:rPr>
        <w:t>。</w:t>
      </w:r>
    </w:p>
    <w:p w14:paraId="4720DD69">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公务用车运行维护费</w:t>
      </w:r>
      <w:r>
        <w:rPr>
          <w:rFonts w:hint="eastAsia" w:ascii="仿宋_GB2312" w:hAnsi="仿宋_GB2312" w:eastAsia="仿宋_GB2312" w:cs="仿宋_GB2312"/>
          <w:color w:val="auto"/>
          <w:sz w:val="32"/>
          <w:szCs w:val="32"/>
          <w:highlight w:val="none"/>
          <w:lang w:val="en-US" w:eastAsia="zh-CN"/>
        </w:rPr>
        <w:t>支出预算为7.00万元，支出决算为5.60万元，完成预算的80.00%，决算数小于预算数的主要原因是</w:t>
      </w:r>
      <w:r>
        <w:rPr>
          <w:rFonts w:hint="eastAsia" w:ascii="仿宋_GB2312" w:hAnsi="仿宋_GB2312" w:eastAsia="仿宋_GB2312" w:cs="仿宋_GB2312"/>
          <w:color w:val="auto"/>
          <w:sz w:val="32"/>
          <w:szCs w:val="32"/>
          <w:highlight w:val="none"/>
        </w:rPr>
        <w:t>严格预算约束，落实过“紧日子”要求，严格控制公务出行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与之相关的</w:t>
      </w:r>
      <w:r>
        <w:rPr>
          <w:rFonts w:hint="eastAsia" w:ascii="仿宋_GB2312" w:hAnsi="仿宋_GB2312" w:eastAsia="仿宋_GB2312" w:cs="仿宋_GB2312"/>
          <w:color w:val="auto"/>
          <w:sz w:val="32"/>
          <w:szCs w:val="32"/>
          <w:highlight w:val="none"/>
          <w:lang w:val="en-US" w:eastAsia="zh-CN"/>
        </w:rPr>
        <w:t>公务用车运行维护费用</w:t>
      </w:r>
      <w:r>
        <w:rPr>
          <w:rFonts w:hint="eastAsia" w:ascii="仿宋_GB2312" w:hAnsi="仿宋_GB2312" w:eastAsia="仿宋_GB2312" w:cs="仿宋_GB2312"/>
          <w:color w:val="auto"/>
          <w:sz w:val="32"/>
          <w:szCs w:val="32"/>
          <w:highlight w:val="none"/>
        </w:rPr>
        <w:t>相应减少</w:t>
      </w:r>
      <w:r>
        <w:rPr>
          <w:rFonts w:hint="eastAsia" w:ascii="仿宋_GB2312" w:hAnsi="仿宋_GB2312" w:eastAsia="仿宋_GB2312" w:cs="仿宋_GB2312"/>
          <w:color w:val="auto"/>
          <w:sz w:val="32"/>
          <w:szCs w:val="32"/>
          <w:highlight w:val="none"/>
          <w:lang w:val="en-US" w:eastAsia="zh-CN"/>
        </w:rPr>
        <w:t>；与上年相比减少1.34万元，降低19.31%,降低的主要原因是疫情影响教学科研调研及业务指导业务公务用车减少，故公务用车运行维护费减少。</w:t>
      </w:r>
    </w:p>
    <w:p w14:paraId="01E396DB">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（二）“三公”经费财政拨款支出决算具体情况说明</w:t>
      </w:r>
    </w:p>
    <w:p w14:paraId="3E93844C">
      <w:pPr>
        <w:pStyle w:val="12"/>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2022年度“三公”经费财政拨款支出决算中，公务接待费支出决算0.63万元，占10.11%；因公出国（境）费支出决算0万元；公务用车购置费及运行维护费支出决算5.6万元，占89.89%。其中：</w:t>
      </w:r>
    </w:p>
    <w:p w14:paraId="3B40CF83">
      <w:pPr>
        <w:pStyle w:val="2"/>
        <w:keepNext w:val="0"/>
        <w:keepLines w:val="0"/>
        <w:pageBreakBefore w:val="0"/>
        <w:widowControl w:val="0"/>
        <w:tabs>
          <w:tab w:val="left" w:pos="3864"/>
          <w:tab w:val="left" w:pos="6248"/>
          <w:tab w:val="left" w:pos="7386"/>
        </w:tabs>
        <w:kinsoku/>
        <w:wordWrap/>
        <w:overflowPunct w:val="0"/>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i/>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因公出国（境）费支出决算为0万元，全年安排因公出国（境）团组0个，累计</w:t>
      </w:r>
      <w:bookmarkStart w:id="0" w:name="THERR_YGCGJFY_TZRS"/>
      <w:r>
        <w:rPr>
          <w:rFonts w:hint="eastAsia" w:ascii="仿宋_GB2312" w:hAnsi="仿宋_GB2312" w:eastAsia="仿宋_GB2312" w:cs="仿宋_GB2312"/>
          <w:color w:val="auto"/>
          <w:sz w:val="32"/>
          <w:szCs w:val="32"/>
          <w:highlight w:val="none"/>
        </w:rPr>
        <w:t>0</w:t>
      </w:r>
      <w:bookmarkEnd w:id="0"/>
      <w:r>
        <w:rPr>
          <w:rFonts w:hint="eastAsia" w:ascii="仿宋_GB2312" w:hAnsi="仿宋_GB2312" w:eastAsia="仿宋_GB2312" w:cs="仿宋_GB2312"/>
          <w:color w:val="auto"/>
          <w:sz w:val="32"/>
          <w:szCs w:val="32"/>
          <w:highlight w:val="none"/>
        </w:rPr>
        <w:t>人次，主要是</w:t>
      </w:r>
      <w:bookmarkStart w:id="1" w:name="THERR_YGCGJFY_ZYYY"/>
      <w:r>
        <w:rPr>
          <w:rFonts w:hint="eastAsia" w:ascii="仿宋_GB2312" w:hAnsi="仿宋_GB2312" w:eastAsia="仿宋_GB2312" w:cs="仿宋_GB2312"/>
          <w:color w:val="auto"/>
          <w:sz w:val="32"/>
          <w:szCs w:val="32"/>
          <w:highlight w:val="none"/>
        </w:rPr>
        <w:t>2022年我单位没有因公出国（境）费支出</w:t>
      </w:r>
      <w:bookmarkEnd w:id="1"/>
      <w:bookmarkStart w:id="2" w:name="END_THERR_YGCGJFY_AMT"/>
      <w:bookmarkEnd w:id="2"/>
      <w:r>
        <w:rPr>
          <w:rFonts w:hint="eastAsia" w:ascii="仿宋_GB2312" w:hAnsi="仿宋_GB2312" w:eastAsia="仿宋_GB2312" w:cs="仿宋_GB2312"/>
          <w:color w:val="auto"/>
          <w:sz w:val="32"/>
          <w:szCs w:val="32"/>
          <w:highlight w:val="none"/>
        </w:rPr>
        <w:t>。</w:t>
      </w:r>
    </w:p>
    <w:p w14:paraId="5035B730">
      <w:pPr>
        <w:pStyle w:val="12"/>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2.公务接待费支出决算为0.63万元，全年共接待来访团组7个、来宾36人次，主要是各县（市州）党校业务交流学习发生的接待支出。</w:t>
      </w:r>
    </w:p>
    <w:p w14:paraId="47D6642A">
      <w:pPr>
        <w:pStyle w:val="12"/>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3.公务用车购置费及运行维护费支出决算为5.6万元，其中：公务用车购置费0万元，单位本级更新公务用车0辆。公务用车运行维护费5.6万元，主要是车辆油料费2.98万元、车辆维修费1.09万元、车辆保险费0.7万元、安全奖励费用0.14万元、其他(过路费、停车费）支出0.69万元，截止2022年12月31日，我单位开支财政拨款的公务用车保有量为3辆。</w:t>
      </w:r>
    </w:p>
    <w:p w14:paraId="17B6DBB9">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八、政府性基金预算收入支出决算情况</w:t>
      </w:r>
    </w:p>
    <w:p w14:paraId="428B6AA0">
      <w:pPr>
        <w:pStyle w:val="12"/>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rPr>
        <w:t>2022年度</w:t>
      </w:r>
      <w:r>
        <w:rPr>
          <w:rFonts w:hint="eastAsia" w:ascii="仿宋_GB2312" w:hAnsi="仿宋_GB2312" w:eastAsia="仿宋_GB2312" w:cs="仿宋_GB2312"/>
          <w:color w:val="auto"/>
          <w:kern w:val="0"/>
          <w:sz w:val="32"/>
          <w:szCs w:val="32"/>
          <w:highlight w:val="none"/>
          <w:lang w:val="en-US" w:eastAsia="zh-CN" w:bidi="ar-SA"/>
        </w:rPr>
        <w:t>本单位无政府性基金收支。</w:t>
      </w:r>
    </w:p>
    <w:p w14:paraId="00752E49">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九、国有资本经营预算财政拨款支出决算情况</w:t>
      </w:r>
    </w:p>
    <w:p w14:paraId="3DBAE5D0">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i/>
          <w:color w:val="auto"/>
          <w:sz w:val="32"/>
          <w:szCs w:val="32"/>
          <w:highlight w:val="none"/>
        </w:rPr>
      </w:pPr>
      <w:r>
        <w:rPr>
          <w:rFonts w:hint="eastAsia" w:ascii="仿宋_GB2312" w:hAnsi="仿宋_GB2312" w:eastAsia="仿宋_GB2312" w:cs="仿宋_GB2312"/>
          <w:color w:val="auto"/>
          <w:sz w:val="32"/>
          <w:szCs w:val="32"/>
          <w:highlight w:val="none"/>
        </w:rPr>
        <w:t>2022年度本单位无国有资本经营预算</w:t>
      </w:r>
      <w:r>
        <w:rPr>
          <w:rFonts w:hint="eastAsia" w:ascii="仿宋_GB2312" w:hAnsi="仿宋_GB2312" w:eastAsia="仿宋_GB2312" w:cs="仿宋_GB2312"/>
          <w:b w:val="0"/>
          <w:bCs w:val="0"/>
          <w:color w:val="auto"/>
          <w:sz w:val="32"/>
          <w:szCs w:val="32"/>
          <w:highlight w:val="none"/>
        </w:rPr>
        <w:t>财政拨款支出</w:t>
      </w:r>
      <w:r>
        <w:rPr>
          <w:rFonts w:hint="eastAsia" w:ascii="仿宋_GB2312" w:hAnsi="仿宋_GB2312" w:eastAsia="仿宋_GB2312" w:cs="仿宋_GB2312"/>
          <w:color w:val="auto"/>
          <w:sz w:val="32"/>
          <w:szCs w:val="32"/>
          <w:highlight w:val="none"/>
        </w:rPr>
        <w:t>。</w:t>
      </w:r>
    </w:p>
    <w:p w14:paraId="3ECE94E4">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十、关于机关运行经费支出说明</w:t>
      </w:r>
    </w:p>
    <w:p w14:paraId="1FF57AC6">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本部门202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年度机关运行经费支出</w:t>
      </w:r>
      <w:r>
        <w:rPr>
          <w:rFonts w:hint="eastAsia" w:ascii="仿宋_GB2312" w:hAnsi="仿宋_GB2312" w:eastAsia="仿宋_GB2312" w:cs="仿宋_GB2312"/>
          <w:color w:val="auto"/>
          <w:sz w:val="32"/>
          <w:szCs w:val="32"/>
          <w:highlight w:val="none"/>
          <w:lang w:val="en-US" w:eastAsia="zh-CN"/>
        </w:rPr>
        <w:t>306.6</w:t>
      </w:r>
      <w:r>
        <w:rPr>
          <w:rFonts w:hint="eastAsia" w:ascii="仿宋_GB2312" w:hAnsi="仿宋_GB2312" w:eastAsia="仿宋_GB2312" w:cs="仿宋_GB2312"/>
          <w:color w:val="auto"/>
          <w:sz w:val="32"/>
          <w:szCs w:val="32"/>
          <w:highlight w:val="none"/>
        </w:rPr>
        <w:t>万元，比上年决算数增加</w:t>
      </w:r>
      <w:r>
        <w:rPr>
          <w:rFonts w:hint="eastAsia" w:ascii="仿宋_GB2312" w:hAnsi="仿宋_GB2312" w:eastAsia="仿宋_GB2312" w:cs="仿宋_GB2312"/>
          <w:color w:val="auto"/>
          <w:sz w:val="32"/>
          <w:szCs w:val="32"/>
          <w:highlight w:val="none"/>
          <w:lang w:val="en-US" w:eastAsia="zh-CN"/>
        </w:rPr>
        <w:t>8.88</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2.98</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本年办公设备购置费用较上年略有增加</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(2022年5月中共怀化市委党校由公益一类事业单位改为参照公务员法管理事业单位）</w:t>
      </w:r>
    </w:p>
    <w:p w14:paraId="2D726BF0">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十一、关于一般性支出情况说明</w:t>
      </w:r>
    </w:p>
    <w:p w14:paraId="3467F914">
      <w:pPr>
        <w:pStyle w:val="11"/>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2022年本部门开支会议费0.38万元，用于召开各县市党校校长会议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人数</w:t>
      </w: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人，内容为</w:t>
      </w:r>
      <w:r>
        <w:rPr>
          <w:rFonts w:hint="eastAsia" w:ascii="仿宋_GB2312" w:hAnsi="仿宋_GB2312" w:eastAsia="仿宋_GB2312" w:cs="仿宋_GB2312"/>
          <w:color w:val="auto"/>
          <w:sz w:val="32"/>
          <w:szCs w:val="32"/>
          <w:highlight w:val="none"/>
          <w:lang w:eastAsia="zh-CN"/>
        </w:rPr>
        <w:t>行政学院系统“十四五”建设和发展规划实施工作布署</w:t>
      </w:r>
      <w:r>
        <w:rPr>
          <w:rFonts w:hint="eastAsia" w:ascii="仿宋_GB2312" w:hAnsi="仿宋_GB2312" w:eastAsia="仿宋_GB2312" w:cs="仿宋_GB2312"/>
          <w:color w:val="auto"/>
          <w:sz w:val="32"/>
          <w:szCs w:val="32"/>
          <w:highlight w:val="none"/>
        </w:rPr>
        <w:t>；开支培训费</w:t>
      </w:r>
      <w:r>
        <w:rPr>
          <w:rFonts w:hint="eastAsia" w:ascii="仿宋_GB2312" w:hAnsi="仿宋_GB2312" w:eastAsia="仿宋_GB2312" w:cs="仿宋_GB2312"/>
          <w:color w:val="auto"/>
          <w:sz w:val="32"/>
          <w:szCs w:val="32"/>
          <w:highlight w:val="none"/>
          <w:lang w:val="en-US" w:eastAsia="zh-CN"/>
        </w:rPr>
        <w:t>17.19</w:t>
      </w:r>
      <w:r>
        <w:rPr>
          <w:rFonts w:hint="eastAsia" w:ascii="仿宋_GB2312" w:hAnsi="仿宋_GB2312" w:eastAsia="仿宋_GB2312" w:cs="仿宋_GB2312"/>
          <w:color w:val="auto"/>
          <w:sz w:val="32"/>
          <w:szCs w:val="32"/>
          <w:highlight w:val="none"/>
        </w:rPr>
        <w:t>万元，用于开展事业单位工作人员及会计人员继续教育培训培训，人数5</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人，内容为单位事业人员</w:t>
      </w:r>
      <w:r>
        <w:rPr>
          <w:rFonts w:hint="eastAsia" w:ascii="仿宋_GB2312" w:hAnsi="仿宋_GB2312" w:eastAsia="仿宋_GB2312" w:cs="仿宋_GB2312"/>
          <w:color w:val="auto"/>
          <w:sz w:val="32"/>
          <w:szCs w:val="32"/>
          <w:highlight w:val="none"/>
          <w:lang w:val="en-US" w:eastAsia="zh-CN"/>
        </w:rPr>
        <w:t>及会计人员</w:t>
      </w:r>
      <w:r>
        <w:rPr>
          <w:rFonts w:hint="eastAsia" w:ascii="仿宋_GB2312" w:hAnsi="仿宋_GB2312" w:eastAsia="仿宋_GB2312" w:cs="仿宋_GB2312"/>
          <w:color w:val="auto"/>
          <w:sz w:val="32"/>
          <w:szCs w:val="32"/>
          <w:highlight w:val="none"/>
        </w:rPr>
        <w:t>继续教育培训费用。</w:t>
      </w:r>
    </w:p>
    <w:p w14:paraId="2CCAED1D">
      <w:pPr>
        <w:pStyle w:val="11"/>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2022年本部门没有举办节庆、晚会、论坛、赛事活动。</w:t>
      </w:r>
    </w:p>
    <w:p w14:paraId="4F099ED8">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十二、关于政府采购支出说明</w:t>
      </w:r>
    </w:p>
    <w:p w14:paraId="596BF186">
      <w:pPr>
        <w:pStyle w:val="11"/>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本部门2022年度政府采购支出总额425.96万元，其中：政府采购货物支出139.36万元、政府采购工程支出152.10万元、政府采购服务支出134.5万元。授予中小企业合同金额425.96万元，占政府采购支出总额的100%，其中：</w:t>
      </w:r>
      <w:r>
        <w:rPr>
          <w:rFonts w:hint="eastAsia" w:ascii="仿宋_GB2312" w:hAnsi="仿宋_GB2312" w:eastAsia="仿宋_GB2312"/>
          <w:color w:val="auto"/>
          <w:sz w:val="32"/>
          <w:szCs w:val="32"/>
          <w:highlight w:val="none"/>
        </w:rPr>
        <w:t>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s="仿宋_GB2312"/>
          <w:color w:val="auto"/>
          <w:sz w:val="32"/>
          <w:szCs w:val="32"/>
          <w:highlight w:val="none"/>
          <w:lang w:val="en-US" w:eastAsia="zh-CN"/>
        </w:rPr>
        <w:t>；货物采购授予中小企业合同金额占货物支出金额的100%，工程采购授予中小企业合同金额占工程支出金额的100%，服务采购授予中小企业合同金额占服务支出金额的100%。</w:t>
      </w:r>
    </w:p>
    <w:p w14:paraId="5E38CEE8">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十三、关于国有资产占用情况说明</w:t>
      </w:r>
    </w:p>
    <w:p w14:paraId="6DC648B8">
      <w:pPr>
        <w:pStyle w:val="11"/>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截至2022年12月31日，本单位共有车辆3辆，主要领导干部用车0辆，机要通信用车0辆、应急保障用车0辆、执法执勤用车0辆、特种专业技术用车0辆、其他用车3辆，其他用车主要是一般公务用车；单位价值50万元以上通用设备2台（套）；单位价值100万元以上专用设备2台（套）。</w:t>
      </w:r>
    </w:p>
    <w:p w14:paraId="7536CED7">
      <w:pPr>
        <w:pStyle w:val="11"/>
        <w:keepNext w:val="0"/>
        <w:keepLines w:val="0"/>
        <w:pageBreakBefore w:val="0"/>
        <w:widowControl w:val="0"/>
        <w:kinsoku/>
        <w:wordWrap/>
        <w:topLinePunct w:val="0"/>
        <w:bidi w:val="0"/>
        <w:adjustRightInd/>
        <w:snapToGrid/>
        <w:spacing w:line="600" w:lineRule="exact"/>
        <w:ind w:right="0" w:firstLine="640" w:firstLineChars="200"/>
        <w:jc w:val="both"/>
        <w:textAlignment w:val="auto"/>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十四、关于2022年度预算绩效情况的说明</w:t>
      </w:r>
    </w:p>
    <w:p w14:paraId="3BE84DC4">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（一）</w:t>
      </w:r>
      <w:r>
        <w:rPr>
          <w:rFonts w:hint="eastAsia" w:ascii="仿宋_GB2312" w:hAnsi="仿宋_GB2312" w:eastAsia="仿宋_GB2312" w:cs="仿宋_GB2312"/>
          <w:b/>
          <w:color w:val="auto"/>
          <w:kern w:val="0"/>
          <w:sz w:val="32"/>
          <w:szCs w:val="32"/>
          <w:highlight w:val="none"/>
        </w:rPr>
        <w:t>绩效管理评价工作开展情况</w:t>
      </w:r>
    </w:p>
    <w:p w14:paraId="3206C365">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0"/>
          <w:sz w:val="32"/>
          <w:szCs w:val="32"/>
          <w:highlight w:val="none"/>
        </w:rPr>
        <w:t>根据预算绩效管理要求，我部门组织对2022年度全面开展绩效自评</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2022年整体支出2893.83万元。其中基本支出2259.33万元，主要用于保障我校正常运转，完成日常工作任务的支出，主要包括在职人员的基本工资、津补贴和奖金，离退休人员的离退休费、奖金等人员经费，以及办公费、印刷（打印）费、水电费、维修费、差旅费、工会经费、福利费、公务接待费、公务用车运行维护费、离退休人员活动费、其他资本性支出等相关费用支出；项目支出共634.5万元，是为完成特定工作任务或事业发展目标的支出，主要用于主体班专项培训费、主体班学员伙食费、物业管理费（学员住宿楼）、多功能大教室（礼堂）修缮等。</w:t>
      </w:r>
    </w:p>
    <w:p w14:paraId="31405386">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市委、市政府的领导和省委党校的指导下，深入贯彻落实党的二十大精神和习近平总书记关于党校办学治校系列重要讲话指示精神和《条例》要求，以迎接省办学质量评估为抓手，克难奋进、守正创新，统筹抓好疫情防控和复工复学，教学提质、科研咨询、机构改革、校园建设等方面呈现出新发展、新气象。顺利通过全国文明单位复查，获2021年度全市乡村振兴驻村帮扶工作先进单位、全市网络安全工作责任制考核评估优秀单位、怀化城区创建全国文明城市国家卫生城市国家园林城市工作年终评估优秀单位、2022年全市平安建设工作考核优秀单位等荣誉称号。</w:t>
      </w:r>
    </w:p>
    <w:p w14:paraId="5B78F176">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1.经</w:t>
      </w:r>
      <w:r>
        <w:rPr>
          <w:rFonts w:hint="eastAsia" w:ascii="仿宋_GB2312" w:hAnsi="仿宋_GB2312" w:eastAsia="仿宋_GB2312" w:cs="仿宋_GB2312"/>
          <w:color w:val="auto"/>
          <w:spacing w:val="-11"/>
          <w:sz w:val="32"/>
          <w:szCs w:val="32"/>
          <w:highlight w:val="none"/>
          <w:lang w:val="en-US" w:eastAsia="zh-CN"/>
        </w:rPr>
        <w:t>济分析（对成本（预算）控制、节约等情况进行分析）</w:t>
      </w:r>
    </w:p>
    <w:p w14:paraId="08CB33BA">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（1）2022年12月31日止我校人员编制数106人，年末实际在职人数90人，在职人员控制率为84.90%。培训学员人数2057人，到训率为100％。</w:t>
      </w:r>
    </w:p>
    <w:p w14:paraId="30811814">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（2）2022年“三公经费”预算控制数为25.45万元，与上年一致，根据中央、省委、市委厉行节约等相关要求，市财政继续压减一般性支出。支出决算数为6.23万元，“三公经费”预算控制率保持良好，未超预算。</w:t>
      </w:r>
    </w:p>
    <w:p w14:paraId="4B8CC40B">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（3）2022年度总收入为2893.83万元，总收入为2893.83万元。</w:t>
      </w:r>
    </w:p>
    <w:p w14:paraId="5D48F6C6">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2.效率性分析（各项工作专项、专项完成的进度及质量进行分析）</w:t>
      </w:r>
    </w:p>
    <w:p w14:paraId="1C48BF87">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（1）实施进度</w:t>
      </w:r>
    </w:p>
    <w:p w14:paraId="75237F23">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主体班学员培训自2022年2月11日开始，12月9日培训结束，全年举办主体班24个，培训学员2057人，到训率达100%；举办社会培训班41期，培训学员3527人。</w:t>
      </w:r>
    </w:p>
    <w:p w14:paraId="1B7D367E">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(2)完成质量</w:t>
      </w:r>
    </w:p>
    <w:p w14:paraId="1A5C5460">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学员培训实行封闭式管理，学习、住宿、就餐均在校内进行。完善了学员管理量化考核机制，注重日常表现、期末成绩和民主评议三方评分。落实“四位一体”学员管理体制，严把学员考勤、请假关，严抓培训纪律，全年到训率100%、到课率98.19%、就餐率95.85%、就寝率97.63%，较去年有所提高。培训期间召开学员代表座谈会,组织开展秋季运动会、篮球赛等文体活动，让学员在严管与厚爱中锤炼党性修养。多功能报告厅（五溪讲堂）维修改造项目完工已投入使用。</w:t>
      </w:r>
    </w:p>
    <w:p w14:paraId="2E771333">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3.有效性分析（主要是对反映部门整体支出使用效果的个性指标进行分析）</w:t>
      </w:r>
    </w:p>
    <w:p w14:paraId="4D4113E4">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校2022年度部门整体支出绩效评价整体情况良好，预算编制及时、准确，预算执行情况良好，在管理支出绩效方面，认真执行各项财经纪律，财务管理制度健全，资金使用规范，培训效果社会反映良好，部门履职取得了不错的社会效益。</w:t>
      </w:r>
    </w:p>
    <w:p w14:paraId="6E5C7CDC">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在市委、市政府的坚强领导和省委党校的指导下，深入贯彻落实党的二十大精神和习近平总书记关于党校办学治校系列重要讲话指示精神和《条例》要求，以迎接省办学质量评估为抓手，克难奋进、守正创新，统筹抓好疫情防控和复工复学，教学提质、科研咨询、顺利通过全国文明单位复查，获2021年度全市乡村振兴驻村帮扶工作先进单位、全市网络安全工作责任制考核评估优秀单位、怀化城区创建全国文明城市国家卫生城市国家园林城市工作年终评估优秀单位、2022年全市平安建设工作考核优秀单位等荣誉称号。</w:t>
      </w:r>
    </w:p>
    <w:p w14:paraId="0072C806">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把学习宣传研究贯彻党的二十大精神作为当前和今后一个时期的重中之重，全力推进“进教材、进课堂、进头脑”，组织专兼职教师开展宣讲，并成立课题研究小组围绕党的二十大精神13个重点专题开展研究，在《怀化日报》理论专版共刊发13篇文章。组织新课试讲2次，开发新专题49个，更新率达36.03%，理论教育和党性教育占比达78.78%，其中党性教育占比达23.94%。择优向市委组织部推选3堂“学习宣传贯彻党的二十大精神”精品微党课。5名教师被评为湖南省干部教育培训“三百工程”优秀教师。始终注重推进开放办学，全年邀请专家、领导干部来校授课76人次，占总课时的48.49%。探索开展主体班市情调研项目，在中青班确立了6项社会调研课题。选派2名教师积极参加全省社会主义学院系统教学比赛，获二等奖1个。选派2名教师参加湘鄂黔渝四省边区党校（行政学院）系统第二届党性教育教学比赛，分别获二等奖、三等奖。全年完成研究成果43项，其中在省级以上公开刊物发表学术论文9篇、省级理论研讨会获奖12项，课题结项11个、立项17个、完成决策咨询4项。顺利结项全省党校系统合作课题《三高四新战略在怀化》。编辑出版《五溪源论坛》4期。坚持“党委政府出题目，党校团队做文章，研究成果能咨政”，在“高标建市、产业立市、创新兴市、开放活市、生态美市、富民强市”方面积极建言献策，《构建从通道转兵到遵义会议党性教育精品线路研究》《怀化新型农业经营主体培育对策研究》等4项研究成果获市领导的高度评价和肯定性批示。</w:t>
      </w:r>
    </w:p>
    <w:p w14:paraId="49F5E388">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（3）整体支出绩效自评综合得分为96分。（评分细则详见附件1部门整体支出绩效目标自评表）</w:t>
      </w:r>
    </w:p>
    <w:p w14:paraId="73EFA3DE">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4.可持续性分析（主要是对支出完成后，后续政策、资金、人员机构安排和管理措施等影响项目持续发展的因素进行分析）</w:t>
      </w:r>
    </w:p>
    <w:p w14:paraId="79A7EE90">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加强物业、食堂第三方机构的管理激励，进一步提高人性化、精细化管理工作水平。做好学校资产管理工作，提高资产管理信息化水平。严格“三公”经费管理，严控一般性支出。落实平安建设工作责任，维护校内安全稳定。</w:t>
      </w:r>
    </w:p>
    <w:p w14:paraId="19683B6E">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（2）常态化开展乡村振兴驻村帮扶、机要保密、公车管理、档案信息、禁毒教育、国家安全、依法治市、垃圾分类、节能减排等工作，确保普法、保密、消防、安全生产和平安建设等重点工作保先进位。</w:t>
      </w:r>
    </w:p>
    <w:p w14:paraId="6576EB3F">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继续全面从严治校，突出主业主责，为党育才为党献策，用活办班资源，深化教学改革，增强科研咨政实效。突出改革创新，释放强劲发展动能，夯实队伍建设，激励担当作为，夯实队伍建设，全面提升管理效能，全面提升基础设施。进一步加快基础设施建设步伐，完成3、4号学员宿舍楼装修、教工之家和“湘江大讲堂”视频系统建设，推进智慧校园建设，突出系统功能，推动办学质量整体提升。</w:t>
      </w:r>
    </w:p>
    <w:p w14:paraId="63292CB2">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（2）2022年度部门项目支出绩效评价报告</w:t>
      </w:r>
    </w:p>
    <w:p w14:paraId="78C7F4E4">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2022年专项资金财政预算安排634.5万元，其中：干部培训专项资金240万元、主体班培训伙食70万元、学员楼物业管理费134.5万元、多功能大教室（礼堂）修缮190万元。严格控制支出，2022年财政预算安排专项资金总支出634.5万元，其中：干部培训专项资金支出240万元、主体班培训伙食支出70万元、物业管理费——学员楼支出134.5万元，多功能大教室（礼堂）修缮支出190万元，项目均依规按时完成。</w:t>
      </w:r>
    </w:p>
    <w:p w14:paraId="696561AE">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绩效目标的完成情况：我单位严格按照相关规章制度进行项目管理，</w:t>
      </w:r>
      <w:r>
        <w:rPr>
          <w:rFonts w:hint="eastAsia" w:ascii="仿宋_GB2312" w:hAnsi="仿宋_GB2312" w:eastAsia="仿宋_GB2312" w:cs="仿宋_GB2312"/>
          <w:color w:val="auto"/>
          <w:sz w:val="32"/>
          <w:szCs w:val="32"/>
          <w:highlight w:val="none"/>
          <w:lang w:val="en-US" w:eastAsia="zh-CN"/>
        </w:rPr>
        <w:t>学员培训实行封闭式管理，学习、住宿、就餐均在校内进行。完善了学员管理量化考核机制，注重日常表现、期末成绩和民主评议三方评分。落实“四位一体”学员管理体制，严把学员考勤、请假关，严抓培训纪律，全年到训率100%、到课率98.19%、就餐率95.85%、就寝率97.63%，较去年有所提高。培训期间召开学员代表座谈会,组织开展秋季运动会、篮球赛等文体活动，让学员在严管与厚爱中锤炼党性修养。多功能报告厅（五溪讲堂）维修改造项目完工已投入使用。</w:t>
      </w:r>
      <w:r>
        <w:rPr>
          <w:rFonts w:hint="eastAsia" w:ascii="仿宋_GB2312" w:hAnsi="仿宋_GB2312" w:eastAsia="仿宋_GB2312" w:cs="仿宋_GB2312"/>
          <w:color w:val="auto"/>
          <w:kern w:val="0"/>
          <w:sz w:val="32"/>
          <w:szCs w:val="32"/>
          <w:highlight w:val="none"/>
        </w:rPr>
        <w:t>实现了预期的绩效目标，取得了较好的经济效益、生态效益及社会效益，有力保障了资金安全，综上所述自评得分为9</w:t>
      </w: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分，评价等次为优秀。</w:t>
      </w:r>
    </w:p>
    <w:p w14:paraId="4C7EFEEF">
      <w:pPr>
        <w:pStyle w:val="11"/>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（二）</w:t>
      </w:r>
      <w:r>
        <w:rPr>
          <w:rFonts w:hint="eastAsia" w:ascii="仿宋_GB2312" w:hAnsi="仿宋_GB2312" w:eastAsia="仿宋_GB2312" w:cs="仿宋_GB2312"/>
          <w:b/>
          <w:bCs/>
          <w:color w:val="auto"/>
          <w:sz w:val="32"/>
          <w:szCs w:val="32"/>
          <w:highlight w:val="none"/>
        </w:rPr>
        <w:t>存在的问题及原因分析</w:t>
      </w:r>
    </w:p>
    <w:p w14:paraId="1FB05C74">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1.预算绩效管理工作水平和业务能力不够强。</w:t>
      </w:r>
      <w:r>
        <w:rPr>
          <w:rFonts w:hint="eastAsia" w:ascii="仿宋_GB2312" w:hAnsi="仿宋_GB2312" w:eastAsia="仿宋_GB2312" w:cs="仿宋_GB2312"/>
          <w:b w:val="0"/>
          <w:bCs/>
          <w:color w:val="auto"/>
          <w:kern w:val="2"/>
          <w:sz w:val="32"/>
          <w:szCs w:val="32"/>
          <w:highlight w:val="none"/>
          <w:shd w:val="clear" w:color="auto" w:fill="FFFFFF"/>
          <w:lang w:val="en-US" w:eastAsia="zh-CN" w:bidi="ar-SA"/>
        </w:rPr>
        <w:t>开展绩效评价整体氛围还需继续提升，预算绩效评价指标体系有待进一步完善，个别项目绩效指标设置不够科学精确，未能全面、深入精准反映整体绩效水平；预算绩效评价结果应用不够充分，制度上还需持续完善。</w:t>
      </w:r>
    </w:p>
    <w:p w14:paraId="3D07D133">
      <w:pPr>
        <w:pStyle w:val="6"/>
        <w:keepNext w:val="0"/>
        <w:keepLines w:val="0"/>
        <w:pageBreakBefore w:val="0"/>
        <w:widowControl w:val="0"/>
        <w:kinsoku/>
        <w:wordWrap/>
        <w:overflowPunct/>
        <w:topLinePunct w:val="0"/>
        <w:bidi w:val="0"/>
        <w:adjustRightInd/>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w:t>
      </w:r>
      <w:r>
        <w:rPr>
          <w:rFonts w:hint="eastAsia" w:ascii="仿宋_GB2312" w:hAnsi="仿宋_GB2312" w:eastAsia="仿宋_GB2312" w:cs="仿宋_GB2312"/>
          <w:b w:val="0"/>
          <w:bCs/>
          <w:color w:val="auto"/>
          <w:sz w:val="32"/>
          <w:szCs w:val="32"/>
          <w:highlight w:val="none"/>
        </w:rPr>
        <w:t>部门整体支出的资金安排和使用上仍有不可预见性。</w:t>
      </w:r>
      <w:r>
        <w:rPr>
          <w:rFonts w:hint="eastAsia" w:ascii="仿宋_GB2312" w:hAnsi="仿宋_GB2312" w:eastAsia="仿宋_GB2312" w:cs="仿宋_GB2312"/>
          <w:color w:val="auto"/>
          <w:sz w:val="32"/>
          <w:szCs w:val="32"/>
          <w:highlight w:val="none"/>
          <w:shd w:val="clear" w:color="auto" w:fill="FFFFFF"/>
        </w:rPr>
        <w:t>比如说在预算执行中，有时难免会出现一些意料不到的状况</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或者</w:t>
      </w:r>
      <w:r>
        <w:rPr>
          <w:rFonts w:hint="eastAsia" w:ascii="仿宋_GB2312" w:hAnsi="仿宋_GB2312" w:eastAsia="仿宋_GB2312" w:cs="仿宋_GB2312"/>
          <w:color w:val="auto"/>
          <w:sz w:val="32"/>
          <w:szCs w:val="32"/>
          <w:highlight w:val="none"/>
          <w:shd w:val="clear" w:color="auto" w:fill="FFFFFF"/>
        </w:rPr>
        <w:t>因某几项开支</w:t>
      </w:r>
      <w:r>
        <w:rPr>
          <w:rFonts w:hint="eastAsia" w:ascii="仿宋_GB2312" w:hAnsi="仿宋_GB2312" w:eastAsia="仿宋_GB2312" w:cs="仿宋_GB2312"/>
          <w:color w:val="auto"/>
          <w:sz w:val="32"/>
          <w:szCs w:val="32"/>
          <w:highlight w:val="none"/>
          <w:shd w:val="clear" w:color="auto" w:fill="FFFFFF"/>
          <w:lang w:val="en-US" w:eastAsia="zh-CN"/>
        </w:rPr>
        <w:t>全市</w:t>
      </w:r>
      <w:r>
        <w:rPr>
          <w:rFonts w:hint="eastAsia" w:ascii="仿宋_GB2312" w:hAnsi="仿宋_GB2312" w:eastAsia="仿宋_GB2312" w:cs="仿宋_GB2312"/>
          <w:color w:val="auto"/>
          <w:sz w:val="32"/>
          <w:szCs w:val="32"/>
          <w:highlight w:val="none"/>
          <w:shd w:val="clear" w:color="auto" w:fill="FFFFFF"/>
        </w:rPr>
        <w:t>标准未确定，导致每年年初预算时都很难精确安排人员经费和相关支出，导致年底需要调剂或者追加经费。</w:t>
      </w:r>
    </w:p>
    <w:p w14:paraId="7B014223">
      <w:pPr>
        <w:pStyle w:val="11"/>
        <w:keepNext w:val="0"/>
        <w:keepLines w:val="0"/>
        <w:pageBreakBefore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 xml:space="preserve">   </w:t>
      </w:r>
    </w:p>
    <w:p w14:paraId="448402F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val="en-US" w:eastAsia="zh-CN"/>
        </w:rPr>
      </w:pPr>
      <w:r>
        <w:rPr>
          <w:rFonts w:hint="eastAsia" w:ascii="黑体" w:hAnsi="黑体" w:eastAsia="黑体" w:cs="黑体"/>
          <w:b w:val="0"/>
          <w:bCs/>
          <w:color w:val="auto"/>
          <w:kern w:val="21"/>
          <w:sz w:val="44"/>
          <w:szCs w:val="44"/>
          <w:highlight w:val="none"/>
          <w:lang w:val="en-US" w:eastAsia="zh-CN"/>
        </w:rPr>
        <w:t>第四部分  名词解释</w:t>
      </w:r>
    </w:p>
    <w:p w14:paraId="3F7866E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val="0"/>
          <w:bCs/>
          <w:color w:val="auto"/>
          <w:sz w:val="32"/>
          <w:szCs w:val="32"/>
          <w:highlight w:val="none"/>
        </w:rPr>
      </w:pPr>
    </w:p>
    <w:p w14:paraId="741D0613">
      <w:pPr>
        <w:pStyle w:val="12"/>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黑体" w:hAnsi="黑体" w:eastAsia="黑体" w:cs="黑体"/>
          <w:b w:val="0"/>
          <w:bCs w:val="0"/>
          <w:color w:val="auto"/>
          <w:sz w:val="32"/>
          <w:szCs w:val="32"/>
          <w:highlight w:val="none"/>
        </w:rPr>
        <w:t>一、机关运行经费：</w:t>
      </w:r>
      <w:r>
        <w:rPr>
          <w:rFonts w:hint="eastAsia" w:ascii="仿宋_GB2312" w:hAnsi="仿宋_GB2312" w:eastAsia="仿宋_GB2312" w:cs="仿宋_GB2312"/>
          <w:color w:val="auto"/>
          <w:kern w:val="0"/>
          <w:sz w:val="32"/>
          <w:szCs w:val="32"/>
          <w:highlight w:val="none"/>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8AEAE8B">
      <w:pPr>
        <w:pStyle w:val="12"/>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黑体" w:hAnsi="黑体" w:eastAsia="黑体" w:cs="黑体"/>
          <w:b w:val="0"/>
          <w:bCs w:val="0"/>
          <w:color w:val="auto"/>
          <w:sz w:val="32"/>
          <w:szCs w:val="32"/>
          <w:highlight w:val="none"/>
        </w:rPr>
        <w:t>二、“三公”经费：</w:t>
      </w:r>
      <w:r>
        <w:rPr>
          <w:rFonts w:hint="eastAsia" w:ascii="仿宋_GB2312" w:hAnsi="仿宋_GB2312" w:eastAsia="仿宋_GB2312" w:cs="仿宋_GB2312"/>
          <w:color w:val="auto"/>
          <w:kern w:val="0"/>
          <w:sz w:val="32"/>
          <w:szCs w:val="32"/>
          <w:highlight w:val="none"/>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D9F4DAA">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val="en-US" w:eastAsia="zh-CN"/>
        </w:rPr>
      </w:pPr>
    </w:p>
    <w:p w14:paraId="78EC988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val="en-US" w:eastAsia="zh-CN"/>
        </w:rPr>
      </w:pPr>
    </w:p>
    <w:p w14:paraId="44F4FD2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val="en-US" w:eastAsia="zh-CN"/>
        </w:rPr>
      </w:pPr>
    </w:p>
    <w:p w14:paraId="6529A52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color w:val="auto"/>
          <w:kern w:val="21"/>
          <w:sz w:val="44"/>
          <w:szCs w:val="44"/>
          <w:highlight w:val="none"/>
          <w:lang w:val="en-US" w:eastAsia="zh-CN"/>
        </w:rPr>
      </w:pPr>
    </w:p>
    <w:p w14:paraId="7DC428F2">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黑体" w:hAnsi="黑体" w:eastAsia="黑体" w:cs="黑体"/>
          <w:b w:val="0"/>
          <w:bCs/>
          <w:color w:val="auto"/>
          <w:kern w:val="21"/>
          <w:sz w:val="44"/>
          <w:szCs w:val="44"/>
          <w:highlight w:val="none"/>
          <w:lang w:val="en-US" w:eastAsia="zh-CN"/>
        </w:rPr>
      </w:pPr>
      <w:r>
        <w:rPr>
          <w:rFonts w:hint="eastAsia" w:ascii="黑体" w:hAnsi="黑体" w:eastAsia="黑体" w:cs="黑体"/>
          <w:b w:val="0"/>
          <w:bCs/>
          <w:color w:val="auto"/>
          <w:kern w:val="21"/>
          <w:sz w:val="44"/>
          <w:szCs w:val="44"/>
          <w:highlight w:val="none"/>
          <w:lang w:val="en-US" w:eastAsia="zh-CN"/>
        </w:rPr>
        <w:t>第五部分  附件</w:t>
      </w:r>
    </w:p>
    <w:p w14:paraId="67C34980">
      <w:pPr>
        <w:pStyle w:val="6"/>
        <w:keepNext w:val="0"/>
        <w:keepLines w:val="0"/>
        <w:pageBreakBefore w:val="0"/>
        <w:widowControl w:val="0"/>
        <w:kinsoku/>
        <w:wordWrap/>
        <w:overflowPunct/>
        <w:topLinePunct w:val="0"/>
        <w:autoSpaceDE/>
        <w:autoSpaceDN/>
        <w:bidi w:val="0"/>
        <w:adjustRightInd/>
        <w:snapToGrid w:val="0"/>
        <w:spacing w:line="600" w:lineRule="exact"/>
        <w:ind w:firstLine="1680" w:firstLineChars="600"/>
        <w:textAlignment w:val="auto"/>
        <w:rPr>
          <w:rFonts w:hint="eastAsia" w:ascii="仿宋_GB2312" w:hAnsi="仿宋_GB2312" w:eastAsia="仿宋_GB2312" w:cs="仿宋_GB2312"/>
          <w:color w:val="auto"/>
          <w:sz w:val="28"/>
          <w:szCs w:val="28"/>
          <w:highlight w:val="none"/>
          <w:lang w:val="en-US" w:eastAsia="zh-CN"/>
        </w:rPr>
      </w:pPr>
    </w:p>
    <w:p w14:paraId="60324C63">
      <w:pPr>
        <w:pStyle w:val="6"/>
        <w:keepNext w:val="0"/>
        <w:keepLines w:val="0"/>
        <w:pageBreakBefore w:val="0"/>
        <w:widowControl w:val="0"/>
        <w:kinsoku/>
        <w:wordWrap/>
        <w:overflowPunct/>
        <w:topLinePunct w:val="0"/>
        <w:autoSpaceDE/>
        <w:autoSpaceDN/>
        <w:bidi w:val="0"/>
        <w:adjustRightInd/>
        <w:snapToGrid w:val="0"/>
        <w:spacing w:line="600" w:lineRule="exact"/>
        <w:ind w:firstLine="1680" w:firstLineChars="600"/>
        <w:textAlignment w:val="auto"/>
        <w:rPr>
          <w:rFonts w:hint="eastAsia" w:ascii="仿宋_GB2312" w:hAnsi="仿宋_GB2312" w:eastAsia="仿宋_GB2312" w:cs="仿宋_GB2312"/>
          <w:color w:val="auto"/>
          <w:sz w:val="28"/>
          <w:szCs w:val="28"/>
          <w:highlight w:val="none"/>
          <w:lang w:val="en-US" w:eastAsia="zh-CN"/>
        </w:rPr>
      </w:pP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ODRlYjhhM2RkNGEyZjY1NTA1YWZhOWU0YjkxY2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A772E8"/>
    <w:rsid w:val="07A31495"/>
    <w:rsid w:val="08C129C1"/>
    <w:rsid w:val="08F17079"/>
    <w:rsid w:val="09A154B2"/>
    <w:rsid w:val="0A581336"/>
    <w:rsid w:val="0A5F58FE"/>
    <w:rsid w:val="0B66544E"/>
    <w:rsid w:val="0B9C23C4"/>
    <w:rsid w:val="0C472848"/>
    <w:rsid w:val="0D2D33CA"/>
    <w:rsid w:val="0D7B7000"/>
    <w:rsid w:val="0DE95727"/>
    <w:rsid w:val="10633F12"/>
    <w:rsid w:val="1063613D"/>
    <w:rsid w:val="10D56DB1"/>
    <w:rsid w:val="110E1F50"/>
    <w:rsid w:val="11701E3C"/>
    <w:rsid w:val="12FF38DD"/>
    <w:rsid w:val="13187DF5"/>
    <w:rsid w:val="13324830"/>
    <w:rsid w:val="13E536DB"/>
    <w:rsid w:val="143049E6"/>
    <w:rsid w:val="150572EB"/>
    <w:rsid w:val="1667601C"/>
    <w:rsid w:val="181A4AE0"/>
    <w:rsid w:val="18683FB4"/>
    <w:rsid w:val="190B7C27"/>
    <w:rsid w:val="19DA67CE"/>
    <w:rsid w:val="1A000553"/>
    <w:rsid w:val="1C6E144C"/>
    <w:rsid w:val="1D74421E"/>
    <w:rsid w:val="1E2A0762"/>
    <w:rsid w:val="1F811C64"/>
    <w:rsid w:val="206C46C2"/>
    <w:rsid w:val="215F5FD5"/>
    <w:rsid w:val="220A712F"/>
    <w:rsid w:val="23583534"/>
    <w:rsid w:val="24C51C44"/>
    <w:rsid w:val="24EA02AB"/>
    <w:rsid w:val="259F4C9D"/>
    <w:rsid w:val="25E140B7"/>
    <w:rsid w:val="2996201A"/>
    <w:rsid w:val="2A456AE3"/>
    <w:rsid w:val="2B8A1858"/>
    <w:rsid w:val="2BB46E35"/>
    <w:rsid w:val="2C0802EB"/>
    <w:rsid w:val="2E4F3411"/>
    <w:rsid w:val="2E593A13"/>
    <w:rsid w:val="2F76696A"/>
    <w:rsid w:val="2FBE1E5A"/>
    <w:rsid w:val="305111DE"/>
    <w:rsid w:val="306D73A3"/>
    <w:rsid w:val="326F23DF"/>
    <w:rsid w:val="330A128D"/>
    <w:rsid w:val="332143CC"/>
    <w:rsid w:val="34A04D8C"/>
    <w:rsid w:val="375F7C0F"/>
    <w:rsid w:val="382947EF"/>
    <w:rsid w:val="39861E0D"/>
    <w:rsid w:val="39C80E81"/>
    <w:rsid w:val="3A084A91"/>
    <w:rsid w:val="3A262820"/>
    <w:rsid w:val="3AA75652"/>
    <w:rsid w:val="3AE31DF6"/>
    <w:rsid w:val="3B7D6D98"/>
    <w:rsid w:val="3C2105FF"/>
    <w:rsid w:val="3C2362D9"/>
    <w:rsid w:val="3D025397"/>
    <w:rsid w:val="3D5A4D2E"/>
    <w:rsid w:val="3EEF5B19"/>
    <w:rsid w:val="3EF773F5"/>
    <w:rsid w:val="4135614B"/>
    <w:rsid w:val="45374FEB"/>
    <w:rsid w:val="46283B98"/>
    <w:rsid w:val="465E2791"/>
    <w:rsid w:val="46AD0CD5"/>
    <w:rsid w:val="47124D47"/>
    <w:rsid w:val="474223FA"/>
    <w:rsid w:val="49950D03"/>
    <w:rsid w:val="49BD69A9"/>
    <w:rsid w:val="513729E2"/>
    <w:rsid w:val="51C15DB3"/>
    <w:rsid w:val="5212206E"/>
    <w:rsid w:val="52DB3100"/>
    <w:rsid w:val="53AF7988"/>
    <w:rsid w:val="53CE3C59"/>
    <w:rsid w:val="5777D4F5"/>
    <w:rsid w:val="58B107CE"/>
    <w:rsid w:val="58EF7663"/>
    <w:rsid w:val="5ADB1DB8"/>
    <w:rsid w:val="5B141F49"/>
    <w:rsid w:val="5BB47AA6"/>
    <w:rsid w:val="5CF179E9"/>
    <w:rsid w:val="5D5E4110"/>
    <w:rsid w:val="5D953CEF"/>
    <w:rsid w:val="5F39021E"/>
    <w:rsid w:val="5FC6BB1E"/>
    <w:rsid w:val="5FF720F1"/>
    <w:rsid w:val="61C760BA"/>
    <w:rsid w:val="62D252E1"/>
    <w:rsid w:val="63321400"/>
    <w:rsid w:val="635A5378"/>
    <w:rsid w:val="65981FAB"/>
    <w:rsid w:val="672B098A"/>
    <w:rsid w:val="67BC2E06"/>
    <w:rsid w:val="68034170"/>
    <w:rsid w:val="69137534"/>
    <w:rsid w:val="69553CA8"/>
    <w:rsid w:val="698F190F"/>
    <w:rsid w:val="6C733C7B"/>
    <w:rsid w:val="6D6868F1"/>
    <w:rsid w:val="6D8C209F"/>
    <w:rsid w:val="6E800547"/>
    <w:rsid w:val="6EAA6F4D"/>
    <w:rsid w:val="6FE43808"/>
    <w:rsid w:val="70F84597"/>
    <w:rsid w:val="71994103"/>
    <w:rsid w:val="737D59BA"/>
    <w:rsid w:val="743948D5"/>
    <w:rsid w:val="77C37683"/>
    <w:rsid w:val="77EE6D52"/>
    <w:rsid w:val="780B739F"/>
    <w:rsid w:val="782C28DA"/>
    <w:rsid w:val="78FB4FFA"/>
    <w:rsid w:val="794837A4"/>
    <w:rsid w:val="79FF515B"/>
    <w:rsid w:val="7BDF1A75"/>
    <w:rsid w:val="7C2A47DB"/>
    <w:rsid w:val="7C460C77"/>
    <w:rsid w:val="7D256900"/>
    <w:rsid w:val="7D7827DA"/>
    <w:rsid w:val="7E9F11B4"/>
    <w:rsid w:val="7EC12B11"/>
    <w:rsid w:val="7F833DB1"/>
    <w:rsid w:val="7FC69637"/>
    <w:rsid w:val="7FFDB408"/>
    <w:rsid w:val="CBFF70E0"/>
    <w:rsid w:val="EEABED75"/>
    <w:rsid w:val="FB36E1A6"/>
    <w:rsid w:val="FFCA8F80"/>
    <w:rsid w:val="FFF6168F"/>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9101</Words>
  <Characters>9974</Characters>
  <Lines>63</Lines>
  <Paragraphs>18</Paragraphs>
  <TotalTime>11</TotalTime>
  <ScaleCrop>false</ScaleCrop>
  <LinksUpToDate>false</LinksUpToDate>
  <CharactersWithSpaces>9999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2020-07-05T10:32:00Z</dcterms:created>
  <dc:creator>李航 null</dc:creator>
  <cp:lastModifiedBy>C＇estbon</cp:lastModifiedBy>
  <cp:lastPrinted>2023-08-16T01:28:00Z</cp:lastPrinted>
  <dcterms:modified xsi:type="dcterms:W3CDTF">2024-10-17T11:01:15Z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418CFCB352BE466AB24B7B9D40B51871_13</vt:lpwstr>
  </property>
</Properties>
</file>