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80" w:lineRule="exact"/>
        <w:jc w:val="center"/>
        <w:rPr>
          <w:rFonts w:hint="eastAsia" w:ascii="黑体" w:hAnsi="黑体" w:eastAsia="黑体" w:cs="黑体"/>
          <w:b/>
          <w:sz w:val="36"/>
          <w:szCs w:val="36"/>
        </w:rPr>
      </w:pPr>
    </w:p>
    <w:p>
      <w:pPr>
        <w:spacing w:after="0" w:line="580" w:lineRule="exact"/>
        <w:jc w:val="center"/>
        <w:rPr>
          <w:rFonts w:ascii="黑体" w:hAnsi="黑体" w:eastAsia="黑体" w:cs="黑体"/>
          <w:b/>
          <w:sz w:val="36"/>
          <w:szCs w:val="36"/>
        </w:rPr>
      </w:pPr>
    </w:p>
    <w:p>
      <w:pPr>
        <w:spacing w:after="0" w:line="580" w:lineRule="exact"/>
        <w:jc w:val="center"/>
        <w:rPr>
          <w:rFonts w:ascii="黑体" w:hAnsi="黑体" w:eastAsia="黑体" w:cs="黑体"/>
          <w:b/>
          <w:sz w:val="36"/>
          <w:szCs w:val="36"/>
        </w:rPr>
      </w:pPr>
    </w:p>
    <w:p>
      <w:pPr>
        <w:spacing w:after="0" w:line="580" w:lineRule="exact"/>
        <w:jc w:val="center"/>
        <w:rPr>
          <w:rFonts w:ascii="黑体" w:hAnsi="黑体" w:eastAsia="黑体" w:cs="黑体"/>
          <w:b/>
          <w:sz w:val="36"/>
          <w:szCs w:val="36"/>
        </w:rPr>
      </w:pPr>
    </w:p>
    <w:p>
      <w:pPr>
        <w:spacing w:after="0" w:line="580" w:lineRule="exact"/>
        <w:jc w:val="center"/>
        <w:rPr>
          <w:rFonts w:ascii="黑体" w:hAnsi="黑体" w:eastAsia="黑体" w:cs="黑体"/>
          <w:b/>
          <w:sz w:val="36"/>
          <w:szCs w:val="36"/>
        </w:rPr>
      </w:pPr>
      <w:r>
        <w:rPr>
          <w:rFonts w:ascii="黑体" w:hAnsi="黑体" w:eastAsia="黑体" w:cs="黑体"/>
          <w:b/>
          <w:sz w:val="36"/>
          <w:szCs w:val="36"/>
        </w:rPr>
        <w:t xml:space="preserve"> </w:t>
      </w:r>
      <w:r>
        <w:rPr>
          <w:rFonts w:hint="eastAsia" w:ascii="黑体" w:hAnsi="黑体" w:eastAsia="黑体" w:cs="黑体"/>
          <w:b/>
          <w:sz w:val="36"/>
          <w:szCs w:val="36"/>
        </w:rPr>
        <w:t>怀化市民族宗教事务局</w:t>
      </w:r>
    </w:p>
    <w:p>
      <w:pPr>
        <w:spacing w:after="0" w:line="580" w:lineRule="exact"/>
        <w:jc w:val="center"/>
        <w:rPr>
          <w:rFonts w:ascii="黑体" w:hAnsi="黑体" w:eastAsia="黑体" w:cs="黑体"/>
          <w:b/>
          <w:sz w:val="36"/>
          <w:szCs w:val="36"/>
        </w:rPr>
      </w:pPr>
      <w:r>
        <w:rPr>
          <w:rFonts w:ascii="黑体" w:hAnsi="黑体" w:eastAsia="黑体" w:cs="黑体"/>
          <w:b/>
          <w:sz w:val="36"/>
          <w:szCs w:val="36"/>
        </w:rPr>
        <w:t>201</w:t>
      </w:r>
      <w:r>
        <w:rPr>
          <w:rFonts w:hint="eastAsia" w:ascii="黑体" w:hAnsi="黑体" w:eastAsia="黑体" w:cs="黑体"/>
          <w:b/>
          <w:sz w:val="36"/>
          <w:szCs w:val="36"/>
        </w:rPr>
        <w:t>9年整体支出绩效评价报告</w:t>
      </w:r>
    </w:p>
    <w:p>
      <w:pPr>
        <w:spacing w:after="0" w:line="580" w:lineRule="exact"/>
        <w:jc w:val="both"/>
        <w:rPr>
          <w:rFonts w:ascii="宋体" w:hAnsi="宋体" w:eastAsia="宋体"/>
          <w:sz w:val="36"/>
          <w:szCs w:val="36"/>
        </w:rPr>
      </w:pPr>
    </w:p>
    <w:p>
      <w:pPr>
        <w:spacing w:after="0" w:line="580" w:lineRule="exact"/>
        <w:jc w:val="both"/>
        <w:rPr>
          <w:rFonts w:ascii="黑体" w:hAnsi="黑体" w:eastAsia="黑体" w:cs="黑体"/>
          <w:b/>
          <w:bCs/>
          <w:sz w:val="30"/>
          <w:szCs w:val="30"/>
        </w:rPr>
      </w:pPr>
      <w:r>
        <w:rPr>
          <w:rFonts w:ascii="黑体" w:hAnsi="黑体" w:eastAsia="黑体" w:cs="黑体"/>
          <w:b/>
          <w:bCs/>
          <w:sz w:val="30"/>
          <w:szCs w:val="30"/>
        </w:rPr>
        <w:t xml:space="preserve">    </w:t>
      </w:r>
      <w:r>
        <w:rPr>
          <w:rFonts w:hint="eastAsia" w:ascii="黑体" w:hAnsi="黑体" w:eastAsia="黑体" w:cs="黑体"/>
          <w:b/>
          <w:bCs/>
          <w:sz w:val="30"/>
          <w:szCs w:val="30"/>
        </w:rPr>
        <w:t>一、部门概况</w:t>
      </w:r>
    </w:p>
    <w:p>
      <w:pPr>
        <w:spacing w:after="0" w:line="580" w:lineRule="exact"/>
        <w:ind w:firstLine="600"/>
        <w:jc w:val="both"/>
        <w:rPr>
          <w:rFonts w:ascii="黑体" w:hAnsi="黑体" w:eastAsia="黑体" w:cs="黑体"/>
          <w:sz w:val="30"/>
          <w:szCs w:val="30"/>
        </w:rPr>
      </w:pPr>
      <w:r>
        <w:rPr>
          <w:rFonts w:hint="eastAsia" w:ascii="黑体" w:hAnsi="黑体" w:eastAsia="黑体" w:cs="黑体"/>
          <w:sz w:val="30"/>
          <w:szCs w:val="30"/>
        </w:rPr>
        <w:t>（一）部门基本情况</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怀化市民宗局现有在职人员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2人，退休人员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0人。有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个内设机构（办公室、民族政策法规科、民族文化教育科、民族经济发展科、宗教科、）及一个非独立核算的二级机构民族研究所。</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主要职责：1、贯彻执行党和国家及省委、省政府关于民族宗教工作的方针、政策和法律、法规、规章，组织开展民族宗教重大问题和民族地区经济社会发展方面问题的调查研究工作，提出有关民族宗教工作的建议。2、开展民族宗教政策和法律法规的宣传教育工作。3、加强与各民族地区的联系和交往，组织开展周边地区民族联谊活动，参与协调维护民族地区社会稳定工作。4、研究分析少数民族和民族地区经济发展和社会事务方面的问题并提出建议，参与做好民族地区对口支援、经济技术合作、民族贸易、民族特需用品生产等工作。5、参与少数民族人才队伍、宗教工作队伍建设规划的制订和实施工作，协助有关部门做好少数民族干部的培养教育和推荐使用工作。6、负责全市宗教方面外事归口</w:t>
      </w:r>
      <w:bookmarkStart w:id="0" w:name="_GoBack"/>
      <w:bookmarkEnd w:id="0"/>
      <w:r>
        <w:rPr>
          <w:rFonts w:hint="eastAsia" w:ascii="仿宋_GB2312" w:hAnsi="仿宋_GB2312" w:eastAsia="仿宋_GB2312" w:cs="仿宋_GB2312"/>
          <w:sz w:val="32"/>
          <w:szCs w:val="32"/>
        </w:rPr>
        <w:t>管理工作，协同有关部门处理宗教方面涉外事宜，帮助和指导宗教界开展同境外宗教界友好交往活动。7、负责管理全市性爱国宗教团体，搞好民主协商和合作共事关系。8、承办市人民政府交办的其他事项。</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年度的重点工作计划如下：1、切实加强学习，全面深入学习贯彻习近平新时代中国特色社会主义思想，特别是习近平总书记关于民族宗教工作的系列重要论述。坚持政治引领，抓牢抓实党的建设各项工作，层层落实好基层党组织建设、党风廉政建设、意识形态和网络意识形态工作责任。</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认真贯彻落实中办发[2018]65号文件精神，全面深入持久开展民族团结进步创建工作，铸牢中华民族共同体意识。指导督促全市5个民族自治县全面创建“全国民族团结进步示范县”，争取通道侗族自治县在年内通过国家民委检查验收，其他4个县通过省民宗委初步检查验收。</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协助、指导沅陵、辰溪、洪江市、中方四县扎实做好7个民族乡（沅陵县火场土家族乡，辰溪县苏木溪瑶族乡、上蒲溪瑶族乡、后塘瑶族乡，洪江市深渡苗族乡、龙船塘瑶族乡，中方县蒿吉坪瑶族乡）逢十周年庆典筹备工作，精心组织举办好乡庆活动。</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4、创新推动城市民族工作，持续放大鹤城区外来少数民族服务管理工作经验，建立完善流动人口动态监测机制，切实加强来怀少数民族流动人口服务管理，服务“三城同创”，打造共建共治共享的良好格局。</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认真落实民族优惠政策，支持民族地区打赢打好脱贫攻坚战，全力做好驻村帮扶工作。放大民族文化资源优势，进一步抓好少数民族特色村寨建设，促进文旅融合，助力“乡村振兴”。指导“十三五”民贸民品企业做优做实，夯实民族地区精准脱贫的产业支撑。</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6、支持指导民族地区组织举办各类民族文化传统节会活动，丰富群众文化生活，坚定文化自信。</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7、全力做好宗教引导工作，继续以“教风”为主题开展和谐寺观教堂创建活动，充分发挥宗教团体的桥梁纽带作用。全面完成宗教场所赋码的换</w:t>
      </w:r>
      <w:r>
        <w:rPr>
          <w:rFonts w:ascii="仿宋_GB2312" w:hAnsi="仿宋_GB2312" w:eastAsia="仿宋_GB2312" w:cs="仿宋_GB2312"/>
          <w:sz w:val="32"/>
          <w:szCs w:val="32"/>
        </w:rPr>
        <w:t>发证</w:t>
      </w:r>
      <w:r>
        <w:rPr>
          <w:rFonts w:hint="eastAsia" w:ascii="仿宋_GB2312" w:hAnsi="仿宋_GB2312" w:eastAsia="仿宋_GB2312" w:cs="仿宋_GB2312"/>
          <w:sz w:val="32"/>
          <w:szCs w:val="32"/>
        </w:rPr>
        <w:t>工作和</w:t>
      </w:r>
      <w:r>
        <w:rPr>
          <w:rFonts w:ascii="仿宋_GB2312" w:hAnsi="仿宋_GB2312" w:eastAsia="仿宋_GB2312" w:cs="仿宋_GB2312"/>
          <w:sz w:val="32"/>
          <w:szCs w:val="32"/>
        </w:rPr>
        <w:t>全市性宗教团体的换届工作。</w:t>
      </w:r>
      <w:r>
        <w:rPr>
          <w:rFonts w:hint="eastAsia" w:ascii="仿宋_GB2312" w:hAnsi="仿宋_GB2312" w:eastAsia="仿宋_GB2312" w:cs="仿宋_GB2312"/>
          <w:sz w:val="32"/>
          <w:szCs w:val="32"/>
        </w:rPr>
        <w:t>指导监督宗教团体和宗教团体进一步规范财务管理。积极倡导宗教界开展社会公益慈善活动，指导宗教界进一步开展好“五进促五好”活动。</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8、深入开展“宗教政策法规学习月”宣传教育活动，持续推动宗教政策法规进机关、进基层、进高校、进团体，切实提高各级各界的宗教工作法治观念。</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9、持续推进全市宗教领域安全稳定隐患排查治理“一单四制”常态化管理，着力解决好宗教领域突出问题。积极做好防范和妥善处置涉及宗教因素突发事件，严密防控非法传教，坚决抵制宗教渗透工作。对排查发现的涉及宗教因素的安全稳定和矛盾纠纷隐患，坚持早发现、早处理、早化解。强化宗教意识形态工作，做好民间信仰活动的规范和管理，在重要时间节点,加强应急值守,压实落细责任,确保宗教领域和谐稳定。</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10、强化信息调研，以优秀信息调研成果服务决策、推动工作。进一步完善机关管理制度，狠抓作风建设，提振干部精气神，不断提升民宗工作能力水平。</w:t>
      </w:r>
    </w:p>
    <w:p>
      <w:pPr>
        <w:pStyle w:val="4"/>
        <w:spacing w:before="0" w:beforeAutospacing="0" w:after="0" w:afterAutospacing="0" w:line="580" w:lineRule="exact"/>
        <w:jc w:val="both"/>
        <w:rPr>
          <w:rFonts w:ascii="黑体" w:hAnsi="黑体" w:eastAsia="黑体" w:cs="黑体"/>
          <w:kern w:val="2"/>
          <w:sz w:val="30"/>
          <w:szCs w:val="30"/>
        </w:rPr>
      </w:pPr>
      <w:r>
        <w:rPr>
          <w:rFonts w:hint="eastAsia" w:ascii="黑体" w:hAnsi="黑体" w:eastAsia="黑体" w:cs="黑体"/>
          <w:kern w:val="2"/>
          <w:sz w:val="30"/>
          <w:szCs w:val="30"/>
        </w:rPr>
        <w:t>（二）部门整体支出规模，使用方向和主要内容、涉及范围等</w:t>
      </w:r>
    </w:p>
    <w:p>
      <w:pPr>
        <w:spacing w:after="0" w:line="580" w:lineRule="exact"/>
        <w:jc w:val="both"/>
        <w:rPr>
          <w:rFonts w:ascii="仿宋_GB2312" w:hAnsi="仿宋_GB2312" w:eastAsia="仿宋_GB2312" w:cs="仿宋_GB2312"/>
          <w:sz w:val="32"/>
          <w:szCs w:val="32"/>
        </w:rPr>
      </w:pPr>
      <w:r>
        <w:rPr>
          <w:rFonts w:hint="eastAsia" w:ascii="宋体" w:hAnsi="宋体" w:eastAsia="宋体"/>
          <w:kern w:val="2"/>
          <w:sz w:val="30"/>
          <w:szCs w:val="30"/>
        </w:rPr>
        <w:t xml:space="preserve">     </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9年度市民宗局整体收入898.99万元，整体支出为940.57万元。其中基本支出</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81.66万元，包括：人员经费（工资福利支出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79.03万元、对个人和家庭的补助支出33.94万元）日常公用经费68.68万元。项目支出458.92万元，包括：民族乡两项经费</w:t>
      </w:r>
      <w:r>
        <w:rPr>
          <w:rFonts w:ascii="仿宋_GB2312" w:hAnsi="仿宋_GB2312" w:eastAsia="仿宋_GB2312" w:cs="仿宋_GB2312"/>
          <w:sz w:val="32"/>
          <w:szCs w:val="32"/>
        </w:rPr>
        <w:t>190</w:t>
      </w:r>
      <w:r>
        <w:rPr>
          <w:rFonts w:hint="eastAsia" w:ascii="仿宋_GB2312" w:hAnsi="仿宋_GB2312" w:eastAsia="仿宋_GB2312" w:cs="仿宋_GB2312"/>
          <w:sz w:val="32"/>
          <w:szCs w:val="32"/>
        </w:rPr>
        <w:t>万元，宗教事务经费45万元，少数民族工作经费，培训调研经费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15.99万元，少数民族文化发展资金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4万元，宗教教职人员困难补助2.5万元。</w:t>
      </w:r>
    </w:p>
    <w:p>
      <w:pPr>
        <w:spacing w:after="0" w:line="580" w:lineRule="exact"/>
        <w:ind w:firstLine="600"/>
        <w:jc w:val="both"/>
        <w:rPr>
          <w:rFonts w:ascii="黑体" w:hAnsi="黑体" w:eastAsia="黑体" w:cs="黑体"/>
          <w:b/>
          <w:sz w:val="30"/>
          <w:szCs w:val="30"/>
        </w:rPr>
      </w:pPr>
      <w:r>
        <w:rPr>
          <w:rFonts w:hint="eastAsia" w:ascii="黑体" w:hAnsi="黑体" w:eastAsia="黑体" w:cs="黑体"/>
          <w:b/>
          <w:sz w:val="30"/>
          <w:szCs w:val="30"/>
        </w:rPr>
        <w:t>二、部门整体支出管理及使用情况</w:t>
      </w:r>
    </w:p>
    <w:p>
      <w:pPr>
        <w:spacing w:after="0" w:line="580" w:lineRule="exact"/>
        <w:ind w:firstLine="600"/>
        <w:jc w:val="both"/>
        <w:rPr>
          <w:rFonts w:ascii="黑体" w:hAnsi="黑体" w:eastAsia="黑体" w:cs="黑体"/>
          <w:sz w:val="30"/>
          <w:szCs w:val="30"/>
        </w:rPr>
      </w:pPr>
      <w:r>
        <w:rPr>
          <w:rFonts w:hint="eastAsia" w:ascii="黑体" w:hAnsi="黑体" w:eastAsia="黑体" w:cs="黑体"/>
          <w:sz w:val="30"/>
          <w:szCs w:val="30"/>
        </w:rPr>
        <w:t>（一）基本支出</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包括人员经费（包括在职职工的工资福利支出和对个人和家庭的补助支出）和日常公用经费两部分。基本支出都是严格按照财务管理制度及相关规定办理支付。对“三公”经费的管理和使用，我单位严格按照中央八项规定、省委九项规定的要求，出台了《关于加强市民宗局机关厉行节约的通知》。对出国（境）费、公务接待费、车辆运行费及会议费进行了详细的规范，从范围、标准等方面作了具体的明确规定，从严把关。</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9年我局的“三公”经费中接待费控制数为17万元，</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我局接待费实际开支4.73万元。在接待费管理中，我局严格按规矩办事，必须要求六单合一（接待审批单，接待清单，接待公函，发票，电脑小票，菜单）来人接待必须出具接待函，主要领导在接待审批单上签字同意后，才能用餐，严格控制陪餐人员及用餐标准。车辆运行费控制数为8万元，</w:t>
      </w:r>
      <w:r>
        <w:rPr>
          <w:rFonts w:ascii="仿宋_GB2312" w:hAnsi="仿宋_GB2312" w:eastAsia="仿宋_GB2312" w:cs="仿宋_GB2312"/>
          <w:sz w:val="32"/>
          <w:szCs w:val="32"/>
        </w:rPr>
        <w:t xml:space="preserve"> 201</w:t>
      </w:r>
      <w:r>
        <w:rPr>
          <w:rFonts w:hint="eastAsia" w:ascii="仿宋_GB2312" w:hAnsi="仿宋_GB2312" w:eastAsia="仿宋_GB2312" w:cs="仿宋_GB2312"/>
          <w:sz w:val="32"/>
          <w:szCs w:val="32"/>
        </w:rPr>
        <w:t>9年，实际开支3.39万元。对车辆的使用和管理也有严格的制度，出差用车需填写公务用车使用派车单，经主要领导签字同意，视事情的轻重缓急安排用车，降低了成本，节约了费用。</w:t>
      </w:r>
    </w:p>
    <w:p>
      <w:pPr>
        <w:spacing w:after="0" w:line="580" w:lineRule="exact"/>
        <w:ind w:firstLine="600"/>
        <w:jc w:val="both"/>
        <w:rPr>
          <w:rFonts w:ascii="黑体" w:hAnsi="黑体" w:eastAsia="黑体" w:cs="黑体"/>
          <w:sz w:val="32"/>
          <w:szCs w:val="32"/>
        </w:rPr>
      </w:pPr>
      <w:r>
        <w:rPr>
          <w:rFonts w:hint="eastAsia" w:ascii="黑体" w:hAnsi="黑体" w:eastAsia="黑体" w:cs="黑体"/>
          <w:sz w:val="32"/>
          <w:szCs w:val="32"/>
        </w:rPr>
        <w:t>（二）专项支出</w:t>
      </w:r>
    </w:p>
    <w:p>
      <w:pPr>
        <w:spacing w:after="0" w:line="580" w:lineRule="exact"/>
        <w:ind w:firstLine="600"/>
        <w:jc w:val="both"/>
        <w:rPr>
          <w:rFonts w:ascii="仿宋_GB2312" w:hAnsi="仿宋_GB2312" w:eastAsia="仿宋_GB2312" w:cs="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9年市财政预算安排和追加我局专项业务经费和专项经费共计406.3750万元，其中：少数民族工作经费，培训调研经费114.8750万元，民族乡两项经费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90万元，宗教事务经费45万元，以及少数民族文化发展资金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4万元，民族乡两项经费</w:t>
      </w:r>
      <w:r>
        <w:rPr>
          <w:rFonts w:ascii="仿宋_GB2312" w:hAnsi="仿宋_GB2312" w:eastAsia="仿宋_GB2312" w:cs="仿宋_GB2312"/>
          <w:sz w:val="32"/>
          <w:szCs w:val="32"/>
        </w:rPr>
        <w:t>190</w:t>
      </w:r>
      <w:r>
        <w:rPr>
          <w:rFonts w:hint="eastAsia" w:ascii="仿宋_GB2312" w:hAnsi="仿宋_GB2312" w:eastAsia="仿宋_GB2312" w:cs="仿宋_GB2312"/>
          <w:sz w:val="32"/>
          <w:szCs w:val="32"/>
        </w:rPr>
        <w:t>万元全部直接下拨到</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个民族乡，每个民族乡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万元。少数民族文化资金</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万元也是直接用于本市少数民族相关的文化活动及少数民族文化的收集整理，都是直接拨付到具体项目。</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宗教事务经费45万元开支如下：用于本市四大教派的工作补助，天主教，基督教、道教、佛教每年各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万元，共计</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万元。及宗教场所安全维修经费：怀化市天主教河西舞阳大道固定场所维修10万元，洪江区基督教教堂维修6万元。溆浦佛教协会换届选举费2万元。怀化市全市宗教团体部分主要负责人每人每月</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元补助共计</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万元，及逢年过节走访慰问神职人员等。以及本局宗教工作开展所需的各种开支，如差旅费，办公费，会议费等。宗教教职人员困难补助2.5万元，属于省级专款补助，全部下拨给四大教派的教职人员，用于他们的生活补助。</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少数民族工作经费，培训调研经费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14.8750万元，主要开支在以下几个方面：</w:t>
      </w:r>
    </w:p>
    <w:p>
      <w:pPr>
        <w:spacing w:after="0" w:line="58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（一）坚持政治引领抓实党建</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抓实主题教育。坚决贯彻落实中央和省委、市委部署安排，扎实开展了“不忘初心、牢记使命”主题教育。坚持“跟”字为纲，做到了传达精神到位、组织保障到位、政治引领到位。坚持“学”字为先，紧紧围绕“深入学习贯彻习近平新时代中国特色社会主义思想”这一主线，强化理论学习和思想教育；坚持“找”字为要，通过广泛征求意见、深入调查研究、严格对标对表查找差距；坚持“改”字为上，认真梳理制定问题整改落实清单，明确整改措施，建立工作台账，扎实推动问题整改往实里走。主动沉下去，认真改过来，妥善解决了一批民族地区群众和宗教界人士的操心事、烦心事、揪心事。</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是抓实机关党建。深入贯彻落实习近平总书记关于机关党建重要指示批示精神，坚持年初召开专题会议，研究制定年度党建工作计划，安排重点工作；明确“一岗双责”，将年度党建工作任务量化分解到每个班子成员，压实工作责任。认真学习贯彻《中国共产党支部工作条例》，切实履行基层党组织建设主体责任，着力推进局机关支部“五化”建设。全面实行党员积分制，加强党建阵地建设，抓实“三会一课”，精心设计“主题党日”。认真落实机关党员“双报到”，深入实施党员结对共建，引领党员干部进鹤洲社区、茶园社区开展卫生清扫、文明交通、政策宣传等志愿服务，到新晃水洞村、麻阳三角坳村开展结对帮扶，加快建设服务型机关党组织。结合民族宗教工作实际，落实落细省委全面加强基层建设“</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”文件和怀办发电〔</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53</w:t>
      </w:r>
      <w:r>
        <w:rPr>
          <w:rFonts w:hint="eastAsia" w:ascii="仿宋_GB2312" w:hAnsi="仿宋_GB2312" w:eastAsia="仿宋_GB2312" w:cs="仿宋_GB2312"/>
          <w:sz w:val="32"/>
          <w:szCs w:val="32"/>
        </w:rPr>
        <w:t>号通知精神，对照责任事项，制定具体措施，指导各地进一步落实乡村两级宗教工作责任制，督促依法登记宗教活动场所挂牌公示的三级责任人履行职责，加强和创新基层社会治理，助力平安乡村（社区）建设，夯实了基层党建工作基础。</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是抓实党风廉政建设。认真落实党风廉政建设责任制，及时传达贯彻市纪委五届四次全会精神，较好地完成了上级交办的各项工作任务。严格执行党风廉政建设和机关作风建设各项制度，坚持用制度管人，按规章办事。认真贯彻中央八项规定、省委九项规定以及市委关于作风建设的规定精神，修订完善了廉政风险防控等各项制度。加强了廉政风险点的排查，按照“三个必谈”的要求，坚持问题导向，采取咬耳扯袖、红脸出汗方式，抓实了谈心谈话。狠抓了专项整治，在持续整改落实中不断改进工作作风：一方面结合“不忘初心、牢记使命”主题教育开展，狠抓了“落实党中央决策部署阳奉阴违”等八个方面突出问题的专项整治，一方面狠抓了民族宗教领域扫黑除恶专项斗争和机关党建“灯下黑”问题的专项整治，以专项整治实效果保障民族宗教工作高质量。多形式开展警示教育，组织全体党员认真聆听廉政党课，进一步正风肃纪，提振精气神。</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是抓实意识形态工作。进一步完善了意识形态工作领导和运行机制，完善了民族宗教领域（网络）舆情应急预案，严防了负面舆情的发生，抓实了网络安全工作，严格落实上网内容“三审三签”制度，对涉及民族宗教领域的新闻报道严格把关，尤其是涉宗教领域的报道严格控制或不予报道。关注敏感节点，在国庆特护期、民族节庆、宗教活动等重要时段，提前进行舆情研判，做到防患于未然。主动出击，妥善处置化解了</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起涉及民族宗教因素事件，积极开展日常宣传教育活动，定期召开新疆籍在怀人员座谈会，组织宗教界人士开展政策法规培训，健全宗教“三级”工作网络，落实对民族、宗教界困难人员的帮扶措施，弘扬了正能量，有效防控了负面舆情和消极因素。省委宗教工作督查组和市委宣传部对我局落实意识形态责任制工作给予了高度肯定。</w:t>
      </w:r>
    </w:p>
    <w:p>
      <w:pPr>
        <w:spacing w:after="0" w:line="58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（二）不断巩固民族团结进步</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深入贯彻落实《关于全面深入持久开展民族团结进步创建铸牢中华民族共同体意识的意见》，以</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自治县为重点，认真指导督促全市持续深入开展民族团结进步创建，扎实做好创建示范点推荐上报工作，其中：会同县粟裕同志纪念馆、通道转兵纪念馆被命名为第二批“全省民族团结进步教育基地”，麻阳苗族自治县吕家坪镇吕家坪社区、芷江侗族自治县芷江镇三里坪小学、通道侗族自治县牙屯堡镇文坡村被命名为第七批“全省民族团结进步创建示范单位”，靖州苗族侗族自治县被命名为第七批“全国民族团结进步示范区（单位）”。根据湘民宗电〔</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41</w:t>
      </w:r>
      <w:r>
        <w:rPr>
          <w:rFonts w:hint="eastAsia" w:ascii="仿宋_GB2312" w:hAnsi="仿宋_GB2312" w:eastAsia="仿宋_GB2312" w:cs="仿宋_GB2312"/>
          <w:sz w:val="32"/>
          <w:szCs w:val="32"/>
        </w:rPr>
        <w:t>号文件要求，评选上报全国民族团结进步模范集体</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个、模范个人</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名，推荐梁永泉等</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名代表进京参加了全国民族团结进步表彰大会。</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把自治县和民族乡的逢十周年庆典作为重中之重来抓，坚持周密谋划，超前对接，强力调度，扎实督导，多次深入沅陵、辰溪、洪江市、中方四县的</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个民族乡，调研指导逢十周年庆典筹备工作，各地乡庆项目建设进展有序。积极汇报对接，争取省民宗委安排落实</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个民族乡乡庆项目资金</w:t>
      </w:r>
      <w:r>
        <w:rPr>
          <w:rFonts w:ascii="仿宋_GB2312" w:hAnsi="仿宋_GB2312" w:eastAsia="仿宋_GB2312" w:cs="仿宋_GB2312"/>
          <w:sz w:val="32"/>
          <w:szCs w:val="32"/>
        </w:rPr>
        <w:t>505</w:t>
      </w:r>
      <w:r>
        <w:rPr>
          <w:rFonts w:hint="eastAsia" w:ascii="仿宋_GB2312" w:hAnsi="仿宋_GB2312" w:eastAsia="仿宋_GB2312" w:cs="仿宋_GB2312"/>
          <w:sz w:val="32"/>
          <w:szCs w:val="32"/>
        </w:rPr>
        <w:t>万元。扎实做好了省祝贺团的接待服务和市祝贺团组团工作。</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个民族乡于</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日同时举行了乡庆活动，活动圆满成功，反响良好，收效明显。这项工作安排使用了资金15万元。</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一步加强了来怀少数民族服务管理，组织召开了来怀务工经商少数民族人员代表座谈会，多次深入清真食堂、拉面馆、烧烤摊开展走访排查，较好地宣传了民族政策法规，解决了来怀少数民族人员的实际问题和困难。主动介入，民宗领域“反恐”和国庆特护期安保维稳工作扎实有序，得到了市委的充分肯定，并被评为“</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年度全市综治工作先进单位”。这项工作安排使用了资金10万元。</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着眼支持民族地区打赢打好脱贫攻坚战，持续推进少数民族特色村寨建设，创建同心美丽乡村。认真做好中国少数民族特色村镇规范管理和命名工作，组织开展了民族客栈申报，洪江市龙船塘瑶族乡翁朗溪村、芷江侗族自治县碧涌镇哨田村被命名为第三批“中国少数民族特色村寨”。积极落实湘财金﹝</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号通知，结合实际制定下发了《怀化市本级民族贸易和民族特需商品生产贷款贴息资金管理办法》，争取落实省级贷款贴息资金</w:t>
      </w:r>
      <w:r>
        <w:rPr>
          <w:rFonts w:ascii="仿宋_GB2312" w:hAnsi="仿宋_GB2312" w:eastAsia="仿宋_GB2312" w:cs="仿宋_GB2312"/>
          <w:sz w:val="32"/>
          <w:szCs w:val="32"/>
        </w:rPr>
        <w:t>1066</w:t>
      </w:r>
      <w:r>
        <w:rPr>
          <w:rFonts w:hint="eastAsia" w:ascii="仿宋_GB2312" w:hAnsi="仿宋_GB2312" w:eastAsia="仿宋_GB2312" w:cs="仿宋_GB2312"/>
          <w:sz w:val="32"/>
          <w:szCs w:val="32"/>
        </w:rPr>
        <w:t>万元，为民族传统产业持续发展注入了新活力。争取落实省级少数民族发展资金</w:t>
      </w:r>
      <w:r>
        <w:rPr>
          <w:rFonts w:ascii="仿宋_GB2312" w:hAnsi="仿宋_GB2312" w:eastAsia="仿宋_GB2312" w:cs="仿宋_GB2312"/>
          <w:sz w:val="32"/>
          <w:szCs w:val="32"/>
        </w:rPr>
        <w:t>5227</w:t>
      </w:r>
      <w:r>
        <w:rPr>
          <w:rFonts w:hint="eastAsia" w:ascii="仿宋_GB2312" w:hAnsi="仿宋_GB2312" w:eastAsia="仿宋_GB2312" w:cs="仿宋_GB2312"/>
          <w:sz w:val="32"/>
          <w:szCs w:val="32"/>
        </w:rPr>
        <w:t>万元，省级少数民族专项资金</w:t>
      </w:r>
      <w:r>
        <w:rPr>
          <w:rFonts w:ascii="仿宋_GB2312" w:hAnsi="仿宋_GB2312" w:eastAsia="仿宋_GB2312" w:cs="仿宋_GB2312"/>
          <w:sz w:val="32"/>
          <w:szCs w:val="32"/>
        </w:rPr>
        <w:t>844</w:t>
      </w:r>
      <w:r>
        <w:rPr>
          <w:rFonts w:hint="eastAsia" w:ascii="仿宋_GB2312" w:hAnsi="仿宋_GB2312" w:eastAsia="仿宋_GB2312" w:cs="仿宋_GB2312"/>
          <w:sz w:val="32"/>
          <w:szCs w:val="32"/>
        </w:rPr>
        <w:t>万元，注重资金绩效和项目监管，有力助推了民族地区的精准扶贫和精准脱贫。这项工作安排使用了资金10万元。</w:t>
      </w:r>
    </w:p>
    <w:p>
      <w:pPr>
        <w:spacing w:after="0"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大力支持民族文化教育事业发展，完成了全市普通高校招生享受民族优惠加分考生资格审核工作，共审核通过</w:t>
      </w:r>
      <w:r>
        <w:rPr>
          <w:rFonts w:ascii="仿宋_GB2312" w:hAnsi="仿宋_GB2312" w:eastAsia="仿宋_GB2312" w:cs="仿宋_GB2312"/>
          <w:sz w:val="32"/>
          <w:szCs w:val="32"/>
        </w:rPr>
        <w:t>13875</w:t>
      </w:r>
      <w:r>
        <w:rPr>
          <w:rFonts w:hint="eastAsia" w:ascii="仿宋_GB2312" w:hAnsi="仿宋_GB2312" w:eastAsia="仿宋_GB2312" w:cs="仿宋_GB2312"/>
          <w:sz w:val="32"/>
          <w:szCs w:val="32"/>
        </w:rPr>
        <w:t>人，实现零失误、零上访。协助省民宗委在怀召开了“湖南省参加第十一届全国少数民族传统体育运动会集训工作现场调度会”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切实抓好了</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个在怀集训项目的督训服务工作，代表湖南队参赛取得了竞赛项目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枚金牌、</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枚银牌、</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枚铜牌，表演项目</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个二等奖、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个三等奖的优异成绩，为湖南和怀化争了光，被省人社厅、省民宗委评为“湖南省民族体育工作先进集体”（湘人社发﹝</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79</w:t>
      </w:r>
      <w:r>
        <w:rPr>
          <w:rFonts w:hint="eastAsia" w:ascii="仿宋_GB2312" w:hAnsi="仿宋_GB2312" w:eastAsia="仿宋_GB2312" w:cs="仿宋_GB2312"/>
          <w:sz w:val="32"/>
          <w:szCs w:val="32"/>
        </w:rPr>
        <w:t>号）。指导支持了“</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中国通道大戊梁歌会暨第八届湘桂原生态风情节”、“月地瓦”等传统民族节会活动，丰富了群众文化生活，坚定了文化自信。这项工作安排使用了资金20万元。</w:t>
      </w:r>
    </w:p>
    <w:p>
      <w:pPr>
        <w:spacing w:after="0" w:line="58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（三）着力强化部门自身建设</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重民主集中制建设，坚持集体领导与个人分工负责相结合，做到分工合理、责权一致、监督到位。对于人事、财务、项目等重大事项，坚持集体讨论，分工负责，努力推进民主化、科学化、规范化的决策机制，提高决策透明度，依靠集体力量推动工作开展。统筹抓好了安全生产、保密、工会、共青团、妇联、老干、文明创建、绩效管理等各项工作，营造了团结、文明、和谐的工作氛围，各项工作成效明显，多次在市委大会上得到彭国甫书记的表扬。</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进一步完善了脱贫攻坚工作组织机构、帮扶制度，强化了对脱贫攻坚工作的领导。从工作经费中为扶贫联系点解决资金</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万元，支持其他民族地区。下拨资金45万元。共计66万元，在认真组织干部职工扎实开展结对帮扶，切实巩固新晃晃州镇水洞村脱贫出列成果的同时，选派综合素质好的副处级干部入驻麻阳隆家堡乡三角坳村开展驻村帮扶。指导驻村工作队扎实做好基础工作、严格执行规章制度、认真落实扶贫政策，使三角坳村顺利通过了市、省、国家三级检查验收。</w:t>
      </w:r>
    </w:p>
    <w:p>
      <w:pPr>
        <w:spacing w:after="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注重依法行政，大力倡导法治建设、依法办事理念。认真落实“谁执法谁普法”的普法责任制，扎实开展学法用法和普法宣传。深入推进政务公开和“一件事一次办”，及时、准确公开解读回应，依法履行依申请公开职责，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月份办理高考享受民族优惠加分政策考生资格审核工作时，坚持集中到政务服务窗口办理，方便群众办事。按照“互联网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政务服务”工作要求，及时完成了</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项行政权力事项录入修正。及时受理和办结了市长</w:t>
      </w:r>
      <w:r>
        <w:rPr>
          <w:rFonts w:ascii="仿宋_GB2312" w:hAnsi="仿宋_GB2312" w:eastAsia="仿宋_GB2312" w:cs="仿宋_GB2312"/>
          <w:sz w:val="32"/>
          <w:szCs w:val="32"/>
        </w:rPr>
        <w:t>12345</w:t>
      </w:r>
      <w:r>
        <w:rPr>
          <w:rFonts w:hint="eastAsia" w:ascii="仿宋_GB2312" w:hAnsi="仿宋_GB2312" w:eastAsia="仿宋_GB2312" w:cs="仿宋_GB2312"/>
          <w:sz w:val="32"/>
          <w:szCs w:val="32"/>
        </w:rPr>
        <w:t>热线上的市民投诉事件。认真办理市人大表建议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件、政协委员提案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件，办结率和满意率均为</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。进一步强化信息调研，以优秀信息调研成果服务决策、推动工作。这项工作安排使用了资金10万元。</w:t>
      </w:r>
    </w:p>
    <w:p>
      <w:pPr>
        <w:spacing w:after="0" w:line="580" w:lineRule="exact"/>
        <w:jc w:val="both"/>
        <w:rPr>
          <w:rFonts w:ascii="黑体" w:hAnsi="黑体" w:eastAsia="黑体" w:cs="黑体"/>
          <w:b/>
          <w:sz w:val="32"/>
          <w:szCs w:val="32"/>
        </w:rPr>
      </w:pPr>
      <w:r>
        <w:rPr>
          <w:rFonts w:hint="eastAsia" w:ascii="黑体" w:hAnsi="黑体" w:eastAsia="黑体" w:cs="黑体"/>
          <w:b/>
          <w:sz w:val="32"/>
          <w:szCs w:val="32"/>
        </w:rPr>
        <w:t xml:space="preserve">    三、部门专项组织实施情况</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对于专项资金的拨付使用，我们都严格按照《湖南省省级少数民族专项资金管理办法》《怀化市民族宗教事务局市级少数民族专项资金管理办法》等有关规定，由使用方递交申请报告，不定期召开局党组会议研究讨论，按活动开展的先后顺序进行资金安排。</w:t>
      </w:r>
    </w:p>
    <w:p>
      <w:pPr>
        <w:spacing w:after="0" w:line="580" w:lineRule="exact"/>
        <w:jc w:val="both"/>
        <w:rPr>
          <w:rFonts w:ascii="黑体" w:hAnsi="黑体" w:eastAsia="黑体" w:cs="黑体"/>
          <w:b/>
          <w:sz w:val="32"/>
          <w:szCs w:val="32"/>
        </w:rPr>
      </w:pPr>
      <w:r>
        <w:rPr>
          <w:rFonts w:hint="eastAsia" w:ascii="黑体" w:hAnsi="黑体" w:eastAsia="黑体" w:cs="黑体"/>
          <w:b/>
          <w:sz w:val="32"/>
          <w:szCs w:val="32"/>
        </w:rPr>
        <w:t xml:space="preserve">    四、资产管理情况</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设立民族工作经费是党的民族政策的组成部分，是党和国家对少数民族的特殊关怀和特殊照顾，是为少数民族切身利益服务的重要手段。对少数民族工作经费，我局坚持精心预算、严格管理、合理安排。严格按照国家民委下发的《民族工作经费管理暂行规定》、省财政厅湘财行（</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号关于《湖南省省级少数民族专项资金管理办法》的规定以及《怀化市民宗局财务管理制度》等规章制度来办理。</w:t>
      </w:r>
    </w:p>
    <w:p>
      <w:pPr>
        <w:spacing w:after="0" w:line="580" w:lineRule="exact"/>
        <w:jc w:val="both"/>
        <w:rPr>
          <w:rFonts w:ascii="黑体" w:hAnsi="黑体" w:eastAsia="黑体" w:cs="黑体"/>
          <w:b/>
          <w:sz w:val="32"/>
          <w:szCs w:val="32"/>
        </w:rPr>
      </w:pPr>
      <w:r>
        <w:rPr>
          <w:rFonts w:hint="eastAsia" w:ascii="黑体" w:hAnsi="黑体" w:eastAsia="黑体" w:cs="黑体"/>
          <w:b/>
          <w:sz w:val="32"/>
          <w:szCs w:val="32"/>
        </w:rPr>
        <w:t xml:space="preserve">    五、部门整体支出绩效情况</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从市民宗局部门履职及履职效益情况来看，总体的效果是好的。协助做好了少数民族事业“十三五”规划编制工作。加强了民族发展专项资金和管理使用，大力保护与发展支持少数民族特色村寨。进一步抓好了武陵山片区对口联系工作。积极传承和弘扬民族优秀文化。着力推动民族教育事业发展，全力维护民宗领域和谐稳定。从有效性来看，各专项工作的分工负责部门均能按制度和各自的目标抓好落实，注重了专项资金的使用效果；从经济性来看，各部门能够按预算来抓好成本控制，强化勤俭办事的意识，注重节约开支，年度开支都控制在市财政规定的范围内；从可持续性来看，后续的相关政策、相关的配套资金，必要的人员机构也要继续保持，管理制度要做到与时俱进，相关内容要及时补充完善。</w:t>
      </w:r>
    </w:p>
    <w:p>
      <w:pPr>
        <w:spacing w:after="0" w:line="580" w:lineRule="exact"/>
        <w:jc w:val="both"/>
        <w:rPr>
          <w:rFonts w:ascii="黑体" w:hAnsi="黑体" w:eastAsia="黑体" w:cs="黑体"/>
          <w:sz w:val="32"/>
          <w:szCs w:val="32"/>
        </w:rPr>
      </w:pPr>
      <w:r>
        <w:rPr>
          <w:rFonts w:hint="eastAsia" w:ascii="黑体" w:hAnsi="黑体" w:eastAsia="黑体" w:cs="黑体"/>
          <w:b/>
          <w:sz w:val="32"/>
          <w:szCs w:val="32"/>
        </w:rPr>
        <w:t xml:space="preserve">    六</w:t>
      </w:r>
      <w:r>
        <w:rPr>
          <w:rFonts w:hint="eastAsia" w:ascii="黑体" w:hAnsi="黑体" w:eastAsia="黑体" w:cs="黑体"/>
          <w:sz w:val="32"/>
          <w:szCs w:val="32"/>
        </w:rPr>
        <w:t>、</w:t>
      </w:r>
      <w:r>
        <w:rPr>
          <w:rFonts w:hint="eastAsia" w:ascii="黑体" w:hAnsi="黑体" w:eastAsia="黑体" w:cs="黑体"/>
          <w:b/>
          <w:sz w:val="32"/>
          <w:szCs w:val="32"/>
        </w:rPr>
        <w:t>存在的主要问题及有关建议</w:t>
      </w:r>
    </w:p>
    <w:p>
      <w:pPr>
        <w:spacing w:after="0" w:line="580" w:lineRule="exact"/>
        <w:ind w:firstLine="6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存在的问题：我市的民族工作经费是根据中共怀化市委、怀化市人民政府《关于进一步加强民族工作加快少数民族和民族地区经济社会发展的意见》（怀发</w:t>
      </w:r>
      <w:r>
        <w:rPr>
          <w:rFonts w:ascii="仿宋_GB2312" w:hAnsi="仿宋_GB2312" w:eastAsia="仿宋_GB2312" w:cs="仿宋_GB2312"/>
          <w:sz w:val="32"/>
          <w:szCs w:val="32"/>
        </w:rPr>
        <w:t>[2006]11</w:t>
      </w:r>
      <w:r>
        <w:rPr>
          <w:rFonts w:hint="eastAsia" w:ascii="仿宋_GB2312" w:hAnsi="仿宋_GB2312" w:eastAsia="仿宋_GB2312" w:cs="仿宋_GB2312"/>
          <w:sz w:val="32"/>
          <w:szCs w:val="32"/>
        </w:rPr>
        <w:t>号）文件精神，“按照少数民族人口人数不低于每人一元的标准安排民族工作经费，并形成正常增长机制”的要求，由市财政预算安排。问题是在遇到重大民族活动时，由于市财政经费紧张，会出现从这笔专项经费中调剂部分资金到活动中，这样无形中减少了我们的民族工作经费，影响了部分民族工作的顺利完成。</w:t>
      </w:r>
    </w:p>
    <w:p>
      <w:pPr>
        <w:spacing w:after="0" w:line="580" w:lineRule="exact"/>
        <w:jc w:val="both"/>
        <w:rPr>
          <w:rFonts w:ascii="黑体" w:hAnsi="黑体" w:eastAsia="黑体" w:cs="黑体"/>
          <w:sz w:val="32"/>
          <w:szCs w:val="32"/>
        </w:rPr>
      </w:pPr>
      <w:r>
        <w:rPr>
          <w:rFonts w:hint="eastAsia" w:ascii="黑体" w:hAnsi="黑体" w:eastAsia="黑体" w:cs="黑体"/>
          <w:b/>
          <w:sz w:val="32"/>
          <w:szCs w:val="32"/>
        </w:rPr>
        <w:t xml:space="preserve">    七、建议</w:t>
      </w:r>
    </w:p>
    <w:p>
      <w:pPr>
        <w:spacing w:after="0" w:line="580" w:lineRule="exact"/>
        <w:ind w:firstLine="600"/>
        <w:jc w:val="both"/>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、重大民族活动应该单独安排资金，而不是占用民族工作经费；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、少数民族工作经费应按增长机制进行增加。</w:t>
      </w:r>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2"/>
                </w:pPr>
                <w:r>
                  <w:fldChar w:fldCharType="begin"/>
                </w:r>
                <w:r>
                  <w:instrText xml:space="preserve"> PAGE  \* MERGEFORMAT </w:instrText>
                </w:r>
                <w:r>
                  <w:fldChar w:fldCharType="separate"/>
                </w:r>
                <w:r>
                  <w:t>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2049"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2"/>
                </w:pPr>
                <w:r>
                  <w:fldChar w:fldCharType="begin"/>
                </w:r>
                <w:r>
                  <w:instrText xml:space="preserve"> PAGE  \* MERGEFORMAT </w:instrText>
                </w:r>
                <w:r>
                  <w:fldChar w:fldCharType="separate"/>
                </w:r>
                <w:r>
                  <w:t>6</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720"/>
  <w:evenAndOddHeaders w:val="1"/>
  <w:drawingGridHorizontalSpacing w:val="110"/>
  <w:displayHorizontalDrawingGridEvery w:val="2"/>
  <w:characterSpacingControl w:val="doNotCompress"/>
  <w:noLineBreaksAfter w:lang="zh-CN" w:val="$([{£¥·‘“〈《「『【〔〖〝﹙﹛﹝＄（．［｛￡￥"/>
  <w:noLineBreaksBefore w:lang="zh-CN" w:val="!%),.:;&gt;?]}¢¨°·ˇˉ―‖’”…‰′″›℃∶、。〃〉》」』】〕〗〞︶︺︾﹀﹄﹚﹜﹞！＂％＇），．：；？］｀｜｝～￠"/>
  <w:hdrShapeDefaults>
    <o:shapelayout v:ext="edit">
      <o:idmap v:ext="edit" data="2"/>
    </o:shapelayout>
  </w:hdrShapeDefaults>
  <w:footnotePr>
    <w:footnote w:id="0"/>
    <w:footnote w:id="1"/>
  </w:foot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1D50"/>
    <w:rsid w:val="000245F1"/>
    <w:rsid w:val="00053237"/>
    <w:rsid w:val="00054BDB"/>
    <w:rsid w:val="00077E07"/>
    <w:rsid w:val="000919E9"/>
    <w:rsid w:val="000A432D"/>
    <w:rsid w:val="000A53D8"/>
    <w:rsid w:val="000B41BE"/>
    <w:rsid w:val="000E2432"/>
    <w:rsid w:val="000E58E9"/>
    <w:rsid w:val="000F0B2A"/>
    <w:rsid w:val="00130F6B"/>
    <w:rsid w:val="00153008"/>
    <w:rsid w:val="00175ACB"/>
    <w:rsid w:val="001774FB"/>
    <w:rsid w:val="00180324"/>
    <w:rsid w:val="00181A25"/>
    <w:rsid w:val="00184739"/>
    <w:rsid w:val="00187941"/>
    <w:rsid w:val="001C4BCF"/>
    <w:rsid w:val="001D39D3"/>
    <w:rsid w:val="00205BBE"/>
    <w:rsid w:val="002218DA"/>
    <w:rsid w:val="00271AF0"/>
    <w:rsid w:val="00282A78"/>
    <w:rsid w:val="0029618E"/>
    <w:rsid w:val="002A47F5"/>
    <w:rsid w:val="002B28AC"/>
    <w:rsid w:val="002C6652"/>
    <w:rsid w:val="00323393"/>
    <w:rsid w:val="00323B43"/>
    <w:rsid w:val="0034742A"/>
    <w:rsid w:val="00354131"/>
    <w:rsid w:val="003A49BF"/>
    <w:rsid w:val="003D13B7"/>
    <w:rsid w:val="003D37D8"/>
    <w:rsid w:val="003E0B74"/>
    <w:rsid w:val="003E237C"/>
    <w:rsid w:val="003E3647"/>
    <w:rsid w:val="004212D6"/>
    <w:rsid w:val="00426133"/>
    <w:rsid w:val="004358AB"/>
    <w:rsid w:val="00435ED7"/>
    <w:rsid w:val="0045612F"/>
    <w:rsid w:val="00461E2C"/>
    <w:rsid w:val="004651D6"/>
    <w:rsid w:val="004824D6"/>
    <w:rsid w:val="00496E7F"/>
    <w:rsid w:val="004B63C1"/>
    <w:rsid w:val="004C0455"/>
    <w:rsid w:val="004D28C7"/>
    <w:rsid w:val="004D5589"/>
    <w:rsid w:val="004F2E1F"/>
    <w:rsid w:val="00500242"/>
    <w:rsid w:val="00521EC1"/>
    <w:rsid w:val="0052469F"/>
    <w:rsid w:val="0052730E"/>
    <w:rsid w:val="005311D1"/>
    <w:rsid w:val="00560BFB"/>
    <w:rsid w:val="0058474B"/>
    <w:rsid w:val="005E198D"/>
    <w:rsid w:val="00614084"/>
    <w:rsid w:val="00674E94"/>
    <w:rsid w:val="00675DDC"/>
    <w:rsid w:val="00680BD8"/>
    <w:rsid w:val="00692091"/>
    <w:rsid w:val="006923ED"/>
    <w:rsid w:val="006938E4"/>
    <w:rsid w:val="006C4F16"/>
    <w:rsid w:val="006C60EC"/>
    <w:rsid w:val="006D5D55"/>
    <w:rsid w:val="006E0A1A"/>
    <w:rsid w:val="00705E7A"/>
    <w:rsid w:val="00707B44"/>
    <w:rsid w:val="00730BD7"/>
    <w:rsid w:val="00733DAC"/>
    <w:rsid w:val="00735168"/>
    <w:rsid w:val="00740CB2"/>
    <w:rsid w:val="0074637D"/>
    <w:rsid w:val="00754FA3"/>
    <w:rsid w:val="00765CD1"/>
    <w:rsid w:val="007712DD"/>
    <w:rsid w:val="00771D21"/>
    <w:rsid w:val="007776A6"/>
    <w:rsid w:val="00777A2D"/>
    <w:rsid w:val="007964C9"/>
    <w:rsid w:val="007A2CE3"/>
    <w:rsid w:val="00822CE9"/>
    <w:rsid w:val="0082564C"/>
    <w:rsid w:val="00833B7B"/>
    <w:rsid w:val="0086144F"/>
    <w:rsid w:val="008800A3"/>
    <w:rsid w:val="0089083F"/>
    <w:rsid w:val="008B7726"/>
    <w:rsid w:val="008E49EB"/>
    <w:rsid w:val="008E4C0E"/>
    <w:rsid w:val="008F2A4C"/>
    <w:rsid w:val="008F5B22"/>
    <w:rsid w:val="00921E21"/>
    <w:rsid w:val="009672DB"/>
    <w:rsid w:val="00974F03"/>
    <w:rsid w:val="00997CC2"/>
    <w:rsid w:val="009A1433"/>
    <w:rsid w:val="009B0854"/>
    <w:rsid w:val="009D2FE4"/>
    <w:rsid w:val="009F0AA0"/>
    <w:rsid w:val="00A030B5"/>
    <w:rsid w:val="00A20A9F"/>
    <w:rsid w:val="00A46B27"/>
    <w:rsid w:val="00A7257C"/>
    <w:rsid w:val="00A73673"/>
    <w:rsid w:val="00A73F2B"/>
    <w:rsid w:val="00AC18F3"/>
    <w:rsid w:val="00AC4830"/>
    <w:rsid w:val="00AF2B14"/>
    <w:rsid w:val="00B04FF7"/>
    <w:rsid w:val="00B17F24"/>
    <w:rsid w:val="00B31121"/>
    <w:rsid w:val="00B52C6C"/>
    <w:rsid w:val="00B7226A"/>
    <w:rsid w:val="00B72E99"/>
    <w:rsid w:val="00BB7E4D"/>
    <w:rsid w:val="00BC5CE5"/>
    <w:rsid w:val="00BD4141"/>
    <w:rsid w:val="00BD6BB8"/>
    <w:rsid w:val="00BF11F6"/>
    <w:rsid w:val="00C0351D"/>
    <w:rsid w:val="00C45DD4"/>
    <w:rsid w:val="00C52C9D"/>
    <w:rsid w:val="00C65A47"/>
    <w:rsid w:val="00C76F7A"/>
    <w:rsid w:val="00C77384"/>
    <w:rsid w:val="00C90DFF"/>
    <w:rsid w:val="00C90FD6"/>
    <w:rsid w:val="00CB2748"/>
    <w:rsid w:val="00D31D50"/>
    <w:rsid w:val="00D32235"/>
    <w:rsid w:val="00D36E16"/>
    <w:rsid w:val="00DC042C"/>
    <w:rsid w:val="00DE0441"/>
    <w:rsid w:val="00DF360E"/>
    <w:rsid w:val="00E05CCC"/>
    <w:rsid w:val="00E05D99"/>
    <w:rsid w:val="00E47BCF"/>
    <w:rsid w:val="00E75051"/>
    <w:rsid w:val="00E86327"/>
    <w:rsid w:val="00E8795B"/>
    <w:rsid w:val="00E94E03"/>
    <w:rsid w:val="00EE3A8A"/>
    <w:rsid w:val="00EE569A"/>
    <w:rsid w:val="00EE6C3E"/>
    <w:rsid w:val="00F02B33"/>
    <w:rsid w:val="00F05259"/>
    <w:rsid w:val="00F06581"/>
    <w:rsid w:val="00F412C7"/>
    <w:rsid w:val="00F42070"/>
    <w:rsid w:val="00F47786"/>
    <w:rsid w:val="00F738A0"/>
    <w:rsid w:val="00F84DF9"/>
    <w:rsid w:val="00FB2773"/>
    <w:rsid w:val="00FC1C20"/>
    <w:rsid w:val="00FD34E5"/>
    <w:rsid w:val="00FE15D7"/>
    <w:rsid w:val="00FF74EC"/>
    <w:rsid w:val="137B6634"/>
    <w:rsid w:val="2D297F1C"/>
    <w:rsid w:val="4C4836B1"/>
    <w:rsid w:val="54D17B26"/>
    <w:rsid w:val="5A2768B9"/>
    <w:rsid w:val="66B22BE2"/>
    <w:rsid w:val="6B324A46"/>
    <w:rsid w:val="7A621C0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qFormat/>
    <w:uiPriority w:val="99"/>
    <w:pPr>
      <w:tabs>
        <w:tab w:val="center" w:pos="4153"/>
        <w:tab w:val="right" w:pos="8306"/>
      </w:tabs>
    </w:pPr>
    <w:rPr>
      <w:sz w:val="18"/>
      <w:szCs w:val="18"/>
    </w:rPr>
  </w:style>
  <w:style w:type="paragraph" w:styleId="3">
    <w:name w:val="header"/>
    <w:basedOn w:val="1"/>
    <w:link w:val="8"/>
    <w:semiHidden/>
    <w:uiPriority w:val="99"/>
    <w:pPr>
      <w:pBdr>
        <w:bottom w:val="single" w:color="auto" w:sz="6" w:space="1"/>
      </w:pBdr>
      <w:tabs>
        <w:tab w:val="center" w:pos="4153"/>
        <w:tab w:val="right" w:pos="8306"/>
      </w:tabs>
      <w:jc w:val="center"/>
    </w:pPr>
    <w:rPr>
      <w:sz w:val="18"/>
      <w:szCs w:val="18"/>
    </w:rPr>
  </w:style>
  <w:style w:type="paragraph" w:styleId="4">
    <w:name w:val="Normal (Web)"/>
    <w:basedOn w:val="1"/>
    <w:uiPriority w:val="99"/>
    <w:pPr>
      <w:adjustRightInd/>
      <w:snapToGrid/>
      <w:spacing w:before="100" w:beforeAutospacing="1" w:after="100" w:afterAutospacing="1"/>
    </w:pPr>
    <w:rPr>
      <w:rFonts w:ascii="宋体" w:hAnsi="宋体" w:eastAsia="宋体" w:cs="宋体"/>
      <w:sz w:val="24"/>
      <w:szCs w:val="24"/>
    </w:rPr>
  </w:style>
  <w:style w:type="character" w:customStyle="1" w:styleId="7">
    <w:name w:val="页脚 Char"/>
    <w:basedOn w:val="6"/>
    <w:link w:val="2"/>
    <w:semiHidden/>
    <w:qFormat/>
    <w:locked/>
    <w:uiPriority w:val="99"/>
    <w:rPr>
      <w:rFonts w:ascii="Tahoma" w:hAnsi="Tahoma" w:cs="Times New Roman"/>
      <w:sz w:val="18"/>
      <w:szCs w:val="18"/>
    </w:rPr>
  </w:style>
  <w:style w:type="character" w:customStyle="1" w:styleId="8">
    <w:name w:val="页眉 Char"/>
    <w:basedOn w:val="6"/>
    <w:link w:val="3"/>
    <w:semiHidden/>
    <w:locked/>
    <w:uiPriority w:val="99"/>
    <w:rPr>
      <w:rFonts w:ascii="Tahoma" w:hAnsi="Tahoma"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0A8DC2-3A71-4448-AFD8-1AE55AB6FBFB}">
  <ds:schemaRefs/>
</ds:datastoreItem>
</file>

<file path=docProps/app.xml><?xml version="1.0" encoding="utf-8"?>
<Properties xmlns="http://schemas.openxmlformats.org/officeDocument/2006/extended-properties" xmlns:vt="http://schemas.openxmlformats.org/officeDocument/2006/docPropsVTypes">
  <Template>Normal</Template>
  <Pages>8</Pages>
  <Words>1090</Words>
  <Characters>6218</Characters>
  <Lines>51</Lines>
  <Paragraphs>14</Paragraphs>
  <TotalTime>1310</TotalTime>
  <ScaleCrop>false</ScaleCrop>
  <LinksUpToDate>false</LinksUpToDate>
  <CharactersWithSpaces>7294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cp:lastPrinted>2020-07-03T00:44:00Z</cp:lastPrinted>
  <dcterms:modified xsi:type="dcterms:W3CDTF">2021-06-03T08:24:39Z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A3BEE5F3F2D243EAAB04EB85D6A8635A</vt:lpwstr>
  </property>
</Properties>
</file>