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center"/>
        <w:rPr>
          <w:sz w:val="56"/>
          <w:szCs w:val="56"/>
        </w:rPr>
      </w:pPr>
    </w:p>
    <w:p>
      <w:pPr>
        <w:pStyle w:val="15"/>
        <w:jc w:val="center"/>
        <w:rPr>
          <w:sz w:val="56"/>
          <w:szCs w:val="56"/>
        </w:rPr>
      </w:pPr>
    </w:p>
    <w:p>
      <w:pPr>
        <w:pStyle w:val="15"/>
        <w:jc w:val="center"/>
        <w:rPr>
          <w:sz w:val="84"/>
          <w:szCs w:val="84"/>
        </w:rPr>
      </w:pPr>
    </w:p>
    <w:p>
      <w:pPr>
        <w:pStyle w:val="15"/>
        <w:jc w:val="center"/>
        <w:rPr>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怀化市民族宗教事务局</w:t>
      </w: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5"/>
        <w:jc w:val="center"/>
        <w:rPr>
          <w:rFonts w:hint="eastAsia" w:ascii="方正小标宋_GBK" w:hAnsi="方正小标宋_GBK" w:eastAsia="方正小标宋_GBK" w:cs="方正小标宋_GBK"/>
          <w:sz w:val="56"/>
          <w:szCs w:val="56"/>
        </w:rPr>
      </w:pPr>
    </w:p>
    <w:p>
      <w:pPr>
        <w:pStyle w:val="15"/>
        <w:jc w:val="center"/>
        <w:rPr>
          <w:sz w:val="56"/>
          <w:szCs w:val="56"/>
        </w:rPr>
      </w:pPr>
    </w:p>
    <w:p>
      <w:pPr>
        <w:pStyle w:val="15"/>
        <w:jc w:val="center"/>
        <w:rPr>
          <w:sz w:val="56"/>
          <w:szCs w:val="56"/>
        </w:rPr>
      </w:pPr>
    </w:p>
    <w:p>
      <w:pPr>
        <w:pStyle w:val="15"/>
        <w:jc w:val="center"/>
        <w:rPr>
          <w:sz w:val="56"/>
          <w:szCs w:val="56"/>
        </w:rPr>
      </w:pPr>
    </w:p>
    <w:p>
      <w:pPr>
        <w:pStyle w:val="15"/>
        <w:jc w:val="center"/>
        <w:rPr>
          <w:sz w:val="32"/>
          <w:szCs w:val="32"/>
        </w:rPr>
      </w:pPr>
    </w:p>
    <w:p>
      <w:pPr>
        <w:pStyle w:val="15"/>
        <w:jc w:val="center"/>
        <w:rPr>
          <w:sz w:val="32"/>
          <w:szCs w:val="32"/>
        </w:rPr>
      </w:pPr>
    </w:p>
    <w:p>
      <w:pPr>
        <w:pStyle w:val="15"/>
        <w:keepNext w:val="0"/>
        <w:keepLines w:val="0"/>
        <w:pageBreakBefore w:val="0"/>
        <w:widowControl w:val="0"/>
        <w:kinsoku/>
        <w:wordWrap/>
        <w:overflowPunct/>
        <w:topLinePunct w:val="0"/>
        <w:bidi w:val="0"/>
        <w:snapToGrid/>
        <w:spacing w:line="600" w:lineRule="exact"/>
        <w:jc w:val="center"/>
        <w:textAlignment w:val="auto"/>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怀化市民族宗教事务局</w:t>
      </w:r>
      <w:r>
        <w:rPr>
          <w:rFonts w:hint="eastAsia" w:ascii="黑体" w:hAnsi="黑体" w:eastAsia="黑体" w:cs="黑体"/>
          <w:b w:val="0"/>
          <w:bCs/>
          <w:sz w:val="28"/>
          <w:szCs w:val="28"/>
        </w:rPr>
        <w:t>概况</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60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b w:val="0"/>
          <w:color w:val="000000"/>
          <w:kern w:val="0"/>
          <w:sz w:val="28"/>
          <w:szCs w:val="28"/>
          <w:lang w:val="en-US" w:eastAsia="zh-CN" w:bidi="ar-SA"/>
        </w:rPr>
      </w:pPr>
      <w:r>
        <w:rPr>
          <w:rFonts w:hint="eastAsia" w:ascii="仿宋_GB2312" w:hAnsi="仿宋_GB2312" w:eastAsia="仿宋_GB2312" w:cs="仿宋_GB2312"/>
          <w:b w:val="0"/>
          <w:color w:val="000000"/>
          <w:kern w:val="0"/>
          <w:sz w:val="28"/>
          <w:szCs w:val="28"/>
          <w:lang w:val="en-US" w:eastAsia="zh-CN" w:bidi="ar-SA"/>
        </w:rPr>
        <w:t>九、国有资本经营预算财政拨款收入支出决算情况说明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5"/>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5"/>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5"/>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怀化市民族宗教事务局</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pStyle w:val="16"/>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（一）</w:t>
      </w:r>
      <w:r>
        <w:rPr>
          <w:rFonts w:hint="eastAsia" w:ascii="仿宋_GB2312" w:hAnsi="仿宋_GB2312" w:eastAsia="仿宋_GB2312" w:cs="仿宋_GB2312"/>
          <w:color w:val="auto"/>
          <w:kern w:val="0"/>
          <w:sz w:val="32"/>
          <w:szCs w:val="32"/>
          <w:lang w:val="en-US" w:eastAsia="zh-CN"/>
        </w:rPr>
        <w:t>贯彻执行党和国家及省委、省政府关于民族宗教工作的方针、政策和法律、法规，组织开展民族宗教重大问题和民族地区经济社会发展方面问题的调查研究工作，提出有关民族宗教工作的建议。</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（二）开展民族宗教政策和法律法规的宣传教育工作。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（三）加强与各民族地区的联系和交往，组织开展周边地区民族联谊活动，参与协调维护民族地区社会稳定工作。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（四）研究分析少数民族和民族地区经济发展和社会事务方面的问题并提出建议，参与做好民族地区对口支援、经济技术合作、民族贸易、民族特需用品生产等工作。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（五）参与少数民族人才队伍、宗教工作队伍建设规划的制订和实施工作，协助有关部门做好少数民族干部的培养教育和推荐使用工作。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（六）负责全市宗教方面外事归口管理工作，协同有关部门处理宗教方面涉外事宜，帮助和指导宗教界开展同境外宗教界友好交往活动。负责管理全市性爱国宗教团体，搞好民主协商和合作共事关系。</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（七）承办市人民政府交办的其他事项。</w:t>
      </w:r>
    </w:p>
    <w:p>
      <w:pPr>
        <w:keepNext w:val="0"/>
        <w:keepLines w:val="0"/>
        <w:pageBreakBefore w:val="0"/>
        <w:widowControl/>
        <w:kinsoku/>
        <w:wordWrap/>
        <w:overflowPunct/>
        <w:topLinePunct w:val="0"/>
        <w:bidi w:val="0"/>
        <w:snapToGrid/>
        <w:spacing w:line="580" w:lineRule="exact"/>
        <w:ind w:firstLine="640" w:firstLineChars="200"/>
        <w:textAlignment w:val="auto"/>
        <w:rPr>
          <w:rFonts w:ascii="黑体" w:eastAsia="黑体"/>
          <w:bCs/>
          <w:color w:val="auto"/>
          <w:kern w:val="0"/>
          <w:sz w:val="32"/>
          <w:szCs w:val="32"/>
        </w:rPr>
      </w:pPr>
      <w:r>
        <w:rPr>
          <w:rFonts w:hint="eastAsia" w:ascii="黑体" w:eastAsia="黑体"/>
          <w:bCs/>
          <w:color w:val="auto"/>
          <w:kern w:val="0"/>
          <w:sz w:val="32"/>
          <w:szCs w:val="32"/>
        </w:rPr>
        <w:t>二、机构设置及决算单位构成</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（一）内设机构设置。怀化市民族宗教事务局为一级预算单位，内设机构包括：办公室、民族政策法规科（行政审批服务科）、民族文化教育科、民族经济发展科、宗教科、民族研究所。四科一室一所。</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（二）决算单位构成。怀化市民族宗教事务局2023</w:t>
      </w:r>
      <w:bookmarkStart w:id="3" w:name="_GoBack"/>
      <w:bookmarkEnd w:id="3"/>
      <w:r>
        <w:rPr>
          <w:rFonts w:hint="eastAsia" w:ascii="仿宋_GB2312" w:hAnsi="仿宋_GB2312" w:eastAsia="仿宋_GB2312" w:cs="仿宋_GB2312"/>
          <w:color w:val="auto"/>
          <w:kern w:val="0"/>
          <w:sz w:val="32"/>
          <w:szCs w:val="32"/>
          <w:lang w:val="en-US" w:eastAsia="zh-CN"/>
        </w:rPr>
        <w:t>年部门决算汇总公开单位构成包括：怀化市民族宗教事务局本级。没有二级单位。</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rPr>
      </w:pPr>
    </w:p>
    <w:p>
      <w:pPr>
        <w:jc w:val="center"/>
        <w:rPr>
          <w:rFonts w:ascii="黑体" w:hAnsi="黑体" w:eastAsia="黑体"/>
          <w:color w:val="auto"/>
          <w:sz w:val="32"/>
          <w:szCs w:val="32"/>
        </w:rPr>
      </w:pPr>
    </w:p>
    <w:p>
      <w:pPr>
        <w:jc w:val="center"/>
        <w:rPr>
          <w:rFonts w:ascii="黑体" w:hAnsi="黑体" w:eastAsia="黑体"/>
          <w:color w:val="auto"/>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1417" w:right="1417" w:bottom="1417" w:left="1417" w:header="851" w:footer="992" w:gutter="0"/>
          <w:cols w:space="0" w:num="1"/>
          <w:rtlGutter w:val="0"/>
          <w:docGrid w:type="lines" w:linePitch="312" w:charSpace="0"/>
        </w:sectPr>
      </w:pPr>
    </w:p>
    <w:tbl>
      <w:tblPr>
        <w:tblStyle w:val="11"/>
        <w:tblW w:w="14340" w:type="dxa"/>
        <w:tblInd w:w="79" w:type="dxa"/>
        <w:tblLayout w:type="fixed"/>
        <w:tblCellMar>
          <w:top w:w="0" w:type="dxa"/>
          <w:left w:w="0" w:type="dxa"/>
          <w:bottom w:w="0" w:type="dxa"/>
          <w:right w:w="0" w:type="dxa"/>
        </w:tblCellMar>
      </w:tblPr>
      <w:tblGrid>
        <w:gridCol w:w="386"/>
        <w:gridCol w:w="445"/>
        <w:gridCol w:w="2469"/>
        <w:gridCol w:w="2198"/>
        <w:gridCol w:w="1535"/>
        <w:gridCol w:w="1535"/>
        <w:gridCol w:w="1535"/>
        <w:gridCol w:w="1535"/>
        <w:gridCol w:w="1535"/>
        <w:gridCol w:w="1167"/>
      </w:tblGrid>
      <w:tr>
        <w:tblPrEx>
          <w:tblCellMar>
            <w:top w:w="0" w:type="dxa"/>
            <w:left w:w="0" w:type="dxa"/>
            <w:bottom w:w="0" w:type="dxa"/>
            <w:right w:w="0" w:type="dxa"/>
          </w:tblCellMar>
        </w:tblPrEx>
        <w:trPr>
          <w:trHeight w:val="1113" w:hRule="atLeast"/>
        </w:trPr>
        <w:tc>
          <w:tcPr>
            <w:tcW w:w="1434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1"/>
              <w:tblW w:w="143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4"/>
              <w:gridCol w:w="593"/>
              <w:gridCol w:w="1408"/>
              <w:gridCol w:w="5070"/>
              <w:gridCol w:w="1159"/>
              <w:gridCol w:w="16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14347" w:type="dxa"/>
                  <w:gridSpan w:val="6"/>
                  <w:tcBorders>
                    <w:top w:val="nil"/>
                    <w:left w:val="nil"/>
                    <w:bottom w:val="nil"/>
                    <w:right w:val="nil"/>
                  </w:tcBorders>
                  <w:shd w:val="clear" w:color="auto" w:fill="FFFFFF"/>
                  <w:noWrap/>
                  <w:vAlign w:val="center"/>
                </w:tcPr>
                <w:p>
                  <w:pPr>
                    <w:jc w:val="center"/>
                    <w:rPr>
                      <w:rFonts w:hint="eastAsia" w:ascii="宋体" w:hAnsi="宋体" w:eastAsia="宋体" w:cs="宋体"/>
                      <w:i w:val="0"/>
                      <w:color w:val="000000"/>
                      <w:sz w:val="24"/>
                      <w:szCs w:val="24"/>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jc w:val="center"/>
              </w:trPr>
              <w:tc>
                <w:tcPr>
                  <w:tcW w:w="447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9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802"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jc w:val="center"/>
              </w:trPr>
              <w:tc>
                <w:tcPr>
                  <w:tcW w:w="4474"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59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802"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647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872"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lang w:val="en-US" w:eastAsia="zh-CN"/>
                    </w:rPr>
                  </w:pPr>
                  <w:r>
                    <w:rPr>
                      <w:rFonts w:hint="eastAsia"/>
                      <w:lang w:val="en-US" w:eastAsia="zh-CN"/>
                    </w:rPr>
                    <w:t>995.79</w:t>
                  </w: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lang w:val="en-US" w:eastAsia="zh-CN"/>
                    </w:rPr>
                  </w:pPr>
                  <w:r>
                    <w:rPr>
                      <w:rFonts w:hint="eastAsia"/>
                      <w:lang w:val="en-US" w:eastAsia="zh-CN"/>
                    </w:rPr>
                    <w:t>909.84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七、文化旅游体育与传媒支出…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八、社会保障和就业支出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lang w:val="en-US" w:eastAsia="zh-CN"/>
                    </w:rPr>
                  </w:pPr>
                  <w:r>
                    <w:rPr>
                      <w:rFonts w:hint="eastAsia"/>
                      <w:lang w:val="en-US" w:eastAsia="zh-CN"/>
                    </w:rPr>
                    <w:t xml:space="preserve">      68.37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2"/>
                      <w:szCs w:val="22"/>
                      <w:u w:val="none"/>
                      <w:lang w:eastAsia="zh-CN"/>
                    </w:rPr>
                    <w:t>九</w:t>
                  </w:r>
                  <w:r>
                    <w:rPr>
                      <w:rFonts w:hint="eastAsia" w:ascii="宋体" w:hAnsi="宋体" w:eastAsia="宋体" w:cs="宋体"/>
                      <w:i w:val="0"/>
                      <w:color w:val="000000"/>
                      <w:sz w:val="22"/>
                      <w:szCs w:val="22"/>
                      <w:u w:val="none"/>
                      <w:lang w:val="en-US" w:eastAsia="zh-CN"/>
                    </w:rPr>
                    <w:t>、</w:t>
                  </w:r>
                  <w:r>
                    <w:rPr>
                      <w:rFonts w:hint="eastAsia" w:ascii="宋体" w:hAnsi="宋体" w:eastAsia="宋体" w:cs="宋体"/>
                      <w:i w:val="0"/>
                      <w:color w:val="000000"/>
                      <w:kern w:val="0"/>
                      <w:sz w:val="22"/>
                      <w:szCs w:val="22"/>
                      <w:u w:val="none"/>
                      <w:lang w:val="en-US" w:eastAsia="zh-CN" w:bidi="ar"/>
                    </w:rPr>
                    <w:t>卫生健康支出</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lang w:val="en-US" w:eastAsia="zh-CN"/>
                    </w:rPr>
                  </w:pPr>
                  <w:r>
                    <w:rPr>
                      <w:rFonts w:hint="eastAsia"/>
                      <w:lang w:val="en-US" w:eastAsia="zh-CN"/>
                    </w:rPr>
                    <w:t>17.58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lang w:val="en-US" w:eastAsia="zh-CN"/>
                    </w:rPr>
                  </w:pPr>
                  <w:r>
                    <w:rPr>
                      <w:rFonts w:hint="eastAsia"/>
                      <w:b/>
                      <w:bCs/>
                      <w:lang w:val="en-US" w:eastAsia="zh-CN"/>
                    </w:rPr>
                    <w:t>995.79</w:t>
                  </w: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lang w:val="en-US" w:eastAsia="zh-CN"/>
                    </w:rPr>
                  </w:pPr>
                  <w:r>
                    <w:rPr>
                      <w:rFonts w:hint="eastAsia"/>
                      <w:b/>
                      <w:bCs/>
                      <w:lang w:val="en-US" w:eastAsia="zh-CN"/>
                    </w:rPr>
                    <w:t>995.79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c>
                <w:tcPr>
                  <w:tcW w:w="5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lang w:val="en-US" w:eastAsia="zh-CN"/>
                    </w:rPr>
                  </w:pPr>
                  <w:r>
                    <w:rPr>
                      <w:rFonts w:hint="eastAsia"/>
                      <w:b/>
                      <w:bCs/>
                      <w:lang w:val="en-US" w:eastAsia="zh-CN"/>
                    </w:rPr>
                    <w:t>995.79</w:t>
                  </w:r>
                </w:p>
              </w:tc>
              <w:tc>
                <w:tcPr>
                  <w:tcW w:w="5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lang w:val="en-US" w:eastAsia="zh-CN"/>
                    </w:rPr>
                  </w:pPr>
                  <w:r>
                    <w:rPr>
                      <w:rFonts w:hint="eastAsia"/>
                      <w:b/>
                      <w:bCs/>
                      <w:lang w:val="en-US" w:eastAsia="zh-CN"/>
                    </w:rPr>
                    <w:t>995.79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14347"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numPr>
                      <w:ilvl w:val="0"/>
                      <w:numId w:val="1"/>
                    </w:numPr>
                    <w:ind w:left="662" w:leftChars="0" w:firstLine="0" w:firstLineChars="0"/>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本表反映部门本年度的总收支和年末结转结余情况。</w:t>
                  </w:r>
                </w:p>
                <w:p>
                  <w:pPr>
                    <w:pStyle w:val="2"/>
                    <w:numPr>
                      <w:ilvl w:val="0"/>
                      <w:numId w:val="1"/>
                    </w:numPr>
                    <w:ind w:left="662" w:leftChars="0" w:firstLine="0" w:firstLineChars="0"/>
                    <w:rPr>
                      <w:rFonts w:hint="eastAsia" w:ascii="宋体" w:hAnsi="宋体" w:eastAsia="宋体" w:cs="宋体"/>
                      <w:b w:val="0"/>
                      <w:i w:val="0"/>
                      <w:color w:val="000000"/>
                      <w:kern w:val="0"/>
                      <w:sz w:val="24"/>
                      <w:szCs w:val="24"/>
                      <w:u w:val="none"/>
                      <w:lang w:val="en-US" w:eastAsia="zh-CN" w:bidi="ar"/>
                    </w:rPr>
                  </w:pPr>
                  <w:r>
                    <w:rPr>
                      <w:rFonts w:hint="eastAsia" w:ascii="宋体" w:hAnsi="宋体" w:eastAsia="宋体" w:cs="宋体"/>
                      <w:b w:val="0"/>
                      <w:i w:val="0"/>
                      <w:color w:val="000000"/>
                      <w:kern w:val="0"/>
                      <w:sz w:val="24"/>
                      <w:szCs w:val="24"/>
                      <w:u w:val="none"/>
                      <w:lang w:val="en-US" w:eastAsia="zh-CN" w:bidi="ar"/>
                    </w:rPr>
                    <w:t>本套报表金额单位转换时可能存在尾数误差。</w:t>
                  </w:r>
                </w:p>
                <w:p>
                  <w:pPr>
                    <w:pStyle w:val="2"/>
                    <w:rPr>
                      <w:rFonts w:hint="default" w:ascii="宋体" w:hAnsi="宋体" w:eastAsia="宋体" w:cs="宋体"/>
                      <w:b/>
                      <w:i w:val="0"/>
                      <w:color w:val="000000"/>
                      <w:kern w:val="2"/>
                      <w:sz w:val="22"/>
                      <w:szCs w:val="22"/>
                      <w:u w:val="none"/>
                      <w:lang w:val="en-US" w:eastAsia="zh-CN" w:bidi="ar-SA"/>
                    </w:rPr>
                  </w:pPr>
                </w:p>
                <w:p>
                  <w:pP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kern w:val="0"/>
                      <w:sz w:val="24"/>
                      <w:szCs w:val="24"/>
                      <w:u w:val="none"/>
                      <w:lang w:val="en-US" w:eastAsia="zh-CN" w:bidi="ar"/>
                    </w:rPr>
                    <w:t xml:space="preserve">   </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38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4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6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6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31"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2469" w:type="dxa"/>
            <w:tcBorders>
              <w:top w:val="nil"/>
              <w:left w:val="nil"/>
              <w:bottom w:val="nil"/>
              <w:right w:val="nil"/>
            </w:tcBorders>
            <w:shd w:val="clear" w:color="000000" w:fill="FFFFFF"/>
            <w:noWrap/>
            <w:tcMar>
              <w:top w:w="15" w:type="dxa"/>
              <w:left w:w="15" w:type="dxa"/>
              <w:bottom w:w="0" w:type="dxa"/>
              <w:right w:w="15" w:type="dxa"/>
            </w:tcMar>
            <w:vAlign w:val="center"/>
          </w:tcPr>
          <w:p>
            <w:pPr>
              <w:tabs>
                <w:tab w:val="left" w:pos="354"/>
                <w:tab w:val="right" w:pos="2769"/>
              </w:tabs>
              <w:jc w:val="left"/>
              <w:rPr>
                <w:rFonts w:ascii="宋体" w:hAnsi="宋体" w:eastAsia="宋体" w:cs="宋体"/>
                <w:sz w:val="24"/>
                <w:szCs w:val="24"/>
              </w:rPr>
            </w:pPr>
            <w:r>
              <w:rPr>
                <w:rFonts w:hint="eastAsia"/>
                <w:lang w:eastAsia="zh-CN"/>
              </w:rPr>
              <w:t>怀化市民族宗教事务局</w:t>
            </w:r>
            <w:r>
              <w:rPr>
                <w:rFonts w:hint="eastAsia"/>
                <w:lang w:eastAsia="zh-CN"/>
              </w:rPr>
              <w:tab/>
            </w:r>
            <w:r>
              <w:rPr>
                <w:rFonts w:hint="eastAsia"/>
              </w:rPr>
              <w:t>　</w:t>
            </w:r>
          </w:p>
        </w:tc>
        <w:tc>
          <w:tcPr>
            <w:tcW w:w="21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6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21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16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83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46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219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6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831"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469"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19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6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21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1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b/>
                <w:bCs/>
                <w:sz w:val="24"/>
                <w:szCs w:val="24"/>
              </w:rPr>
            </w:pPr>
            <w:r>
              <w:rPr>
                <w:rFonts w:hint="eastAsia"/>
                <w:b/>
                <w:bCs/>
                <w:lang w:val="en-US" w:eastAsia="zh-CN"/>
              </w:rPr>
              <w:t>995.79</w:t>
            </w:r>
            <w:r>
              <w:rPr>
                <w:rFonts w:hint="eastAsia"/>
                <w:b/>
                <w:bCs/>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b/>
                <w:bCs/>
                <w:kern w:val="2"/>
                <w:sz w:val="24"/>
                <w:szCs w:val="24"/>
                <w:lang w:val="en-US" w:eastAsia="zh-CN" w:bidi="ar-SA"/>
              </w:rPr>
            </w:pPr>
            <w:r>
              <w:rPr>
                <w:rFonts w:hint="eastAsia"/>
                <w:b/>
                <w:bCs/>
                <w:lang w:val="en-US" w:eastAsia="zh-CN"/>
              </w:rPr>
              <w:t>995.79</w:t>
            </w:r>
            <w:r>
              <w:rPr>
                <w:rFonts w:hint="eastAsia"/>
                <w:b/>
                <w:bCs/>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9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宋体" w:eastAsiaTheme="minorEastAsia"/>
                <w:sz w:val="24"/>
                <w:szCs w:val="24"/>
                <w:lang w:eastAsia="zh-CN"/>
              </w:rPr>
            </w:pPr>
            <w:r>
              <w:rPr>
                <w:rFonts w:hint="eastAsia"/>
              </w:rPr>
              <w:t>　</w:t>
            </w:r>
            <w:r>
              <w:rPr>
                <w:rFonts w:hint="eastAsia"/>
                <w:lang w:eastAsia="zh-CN"/>
              </w:rPr>
              <w:t>一般公共服务支出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kern w:val="2"/>
                <w:sz w:val="24"/>
                <w:szCs w:val="24"/>
                <w:lang w:val="en-US" w:eastAsia="zh-CN" w:bidi="ar-SA"/>
              </w:rPr>
            </w:pPr>
            <w:r>
              <w:rPr>
                <w:rFonts w:hint="eastAsia"/>
                <w:lang w:val="en-US" w:eastAsia="zh-CN"/>
              </w:rPr>
              <w:t>909.84</w:t>
            </w: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kern w:val="2"/>
                <w:sz w:val="24"/>
                <w:szCs w:val="24"/>
                <w:lang w:val="en-US" w:eastAsia="zh-CN" w:bidi="ar-SA"/>
              </w:rPr>
            </w:pPr>
            <w:r>
              <w:rPr>
                <w:rFonts w:hint="eastAsia"/>
                <w:lang w:val="en-US" w:eastAsia="zh-CN"/>
              </w:rPr>
              <w:t>909.84</w:t>
            </w: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74"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20123</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宋体" w:eastAsiaTheme="minorEastAsia"/>
                <w:sz w:val="24"/>
                <w:szCs w:val="24"/>
                <w:lang w:eastAsia="zh-CN"/>
              </w:rPr>
            </w:pPr>
            <w:r>
              <w:rPr>
                <w:rFonts w:hint="eastAsia"/>
              </w:rPr>
              <w:t>　</w:t>
            </w:r>
            <w:r>
              <w:rPr>
                <w:rFonts w:hint="eastAsia"/>
                <w:lang w:eastAsia="zh-CN"/>
              </w:rPr>
              <w:t>民族事务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857.15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857.15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2012301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宋体" w:eastAsiaTheme="minorEastAsia"/>
                <w:sz w:val="24"/>
                <w:szCs w:val="24"/>
                <w:lang w:eastAsia="zh-CN"/>
              </w:rPr>
            </w:pPr>
            <w:r>
              <w:rPr>
                <w:rFonts w:hint="eastAsia"/>
              </w:rPr>
              <w:t>　</w:t>
            </w:r>
            <w:r>
              <w:rPr>
                <w:rFonts w:hint="eastAsia"/>
                <w:lang w:eastAsia="zh-CN"/>
              </w:rPr>
              <w:t>行政运行</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445.49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445.49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2012302</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ascii="宋体" w:hAnsi="宋体" w:cs="宋体"/>
                <w:sz w:val="24"/>
                <w:szCs w:val="24"/>
                <w:lang w:val="en-US" w:eastAsia="zh-CN"/>
              </w:rPr>
              <w:t xml:space="preserve"> 一般行政管理事务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59.73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59.73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2012304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宋体" w:eastAsiaTheme="minorEastAsia"/>
                <w:sz w:val="24"/>
                <w:szCs w:val="24"/>
                <w:lang w:eastAsia="zh-CN"/>
              </w:rPr>
            </w:pPr>
            <w:r>
              <w:rPr>
                <w:rFonts w:hint="eastAsia"/>
              </w:rPr>
              <w:t>　</w:t>
            </w:r>
            <w:r>
              <w:rPr>
                <w:rFonts w:hint="eastAsia"/>
                <w:lang w:eastAsia="zh-CN"/>
              </w:rPr>
              <w:t>民族工作专项</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118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118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lang w:val="en-US" w:eastAsia="zh-CN"/>
              </w:rPr>
            </w:pPr>
            <w:r>
              <w:rPr>
                <w:rFonts w:hint="eastAsia"/>
              </w:rPr>
              <w:t>　</w:t>
            </w:r>
            <w:r>
              <w:rPr>
                <w:rFonts w:hint="eastAsia"/>
                <w:lang w:val="en-US" w:eastAsia="zh-CN"/>
              </w:rPr>
              <w:t>2012399</w:t>
            </w:r>
          </w:p>
          <w:p>
            <w:pPr>
              <w:pStyle w:val="9"/>
              <w:rPr>
                <w:rFonts w:hint="default"/>
                <w:lang w:val="en-US" w:eastAsia="zh-CN"/>
              </w:rPr>
            </w:pP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eastAsia="zh-CN"/>
              </w:rPr>
            </w:pPr>
            <w:r>
              <w:rPr>
                <w:rFonts w:hint="eastAsia"/>
                <w:lang w:eastAsia="zh-CN"/>
              </w:rPr>
              <w:t>其他民族事务支出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233.93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233.93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20134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统战事务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2013404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宗教事务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20199</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其他一般公共服务支出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49.99</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49.99</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2019999</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其他一般公共服务支出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49.99</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49.99</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208</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社会保障和就业支出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68.37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68.37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20805</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行政事业单位养老支出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68.37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68.37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2080501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行政单位离退休</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2.01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2.01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2080505</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机关事业单位基本养老保险缴费支出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43.48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43.48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2080599</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其他行政事业单位养老支出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22.88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22.88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210</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卫生健康支出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21011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行政事业单位医疗</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9"/>
              <w:rPr>
                <w:rFonts w:hint="default"/>
                <w:lang w:val="en-US" w:eastAsia="zh-CN"/>
              </w:rPr>
            </w:pPr>
            <w:r>
              <w:rPr>
                <w:rFonts w:hint="eastAsia"/>
                <w:lang w:val="en-US" w:eastAsia="zh-CN"/>
              </w:rPr>
              <w:t>2101101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行政单位医疗</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17.58</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rPr>
            </w:pPr>
          </w:p>
        </w:tc>
      </w:tr>
      <w:tr>
        <w:tblPrEx>
          <w:tblCellMar>
            <w:top w:w="0" w:type="dxa"/>
            <w:left w:w="0" w:type="dxa"/>
            <w:bottom w:w="0" w:type="dxa"/>
            <w:right w:w="0" w:type="dxa"/>
          </w:tblCellMar>
        </w:tblPrEx>
        <w:trPr>
          <w:trHeight w:val="615" w:hRule="atLeast"/>
        </w:trPr>
        <w:tc>
          <w:tcPr>
            <w:tcW w:w="14340"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11"/>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38" w:hRule="atLeast"/>
        </w:trPr>
        <w:tc>
          <w:tcPr>
            <w:tcW w:w="4932" w:type="dxa"/>
            <w:gridSpan w:val="4"/>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 xml:space="preserve">   </w:t>
            </w:r>
            <w:r>
              <w:rPr>
                <w:rFonts w:hint="eastAsia"/>
                <w:lang w:eastAsia="zh-CN"/>
              </w:rPr>
              <w:t>怀化市民族宗教事务局</w:t>
            </w:r>
            <w:r>
              <w:rPr>
                <w:rFonts w:hint="eastAsia"/>
                <w:lang w:eastAsia="zh-CN"/>
              </w:rPr>
              <w:tab/>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b/>
                <w:bCs/>
                <w:lang w:val="en-US" w:eastAsia="zh-CN"/>
              </w:rPr>
            </w:pPr>
            <w:r>
              <w:rPr>
                <w:rFonts w:hint="eastAsia"/>
                <w:b/>
                <w:bCs/>
                <w:lang w:val="en-US" w:eastAsia="zh-CN"/>
              </w:rPr>
              <w:t>995.79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b/>
                <w:bCs/>
                <w:lang w:val="en-US" w:eastAsia="zh-CN"/>
              </w:rPr>
            </w:pPr>
            <w:r>
              <w:rPr>
                <w:rFonts w:hint="eastAsia"/>
                <w:b/>
                <w:bCs/>
                <w:lang w:val="en-US" w:eastAsia="zh-CN"/>
              </w:rPr>
              <w:t>475.24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b/>
                <w:bCs/>
                <w:lang w:val="en-US" w:eastAsia="zh-CN"/>
              </w:rPr>
            </w:pPr>
            <w:r>
              <w:rPr>
                <w:rFonts w:hint="eastAsia"/>
                <w:b/>
                <w:bCs/>
                <w:lang w:val="en-US" w:eastAsia="zh-CN"/>
              </w:rPr>
              <w:t>520.55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909.84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389.29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520.55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民族事务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857.15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389.29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467.86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行政运行</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445.49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360.36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85.13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2012302</w:t>
            </w:r>
          </w:p>
        </w:tc>
        <w:tc>
          <w:tcPr>
            <w:tcW w:w="1481" w:type="dxa"/>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ascii="宋体" w:hAnsi="宋体" w:cs="宋体"/>
                <w:sz w:val="24"/>
                <w:szCs w:val="24"/>
                <w:lang w:val="en-US" w:eastAsia="zh-CN"/>
              </w:rPr>
              <w:t xml:space="preserve"> 一般行政管理事务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59.73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59.73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2012304</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民族工作专项</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118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118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lang w:val="en-US" w:eastAsia="zh-CN"/>
              </w:rPr>
            </w:pPr>
            <w:r>
              <w:rPr>
                <w:rFonts w:hint="eastAsia"/>
              </w:rPr>
              <w:t>　</w:t>
            </w:r>
            <w:r>
              <w:rPr>
                <w:rFonts w:hint="eastAsia"/>
                <w:lang w:val="en-US" w:eastAsia="zh-CN"/>
              </w:rPr>
              <w:t>2012399</w:t>
            </w:r>
          </w:p>
          <w:p>
            <w:pPr>
              <w:pStyle w:val="9"/>
              <w:rPr>
                <w:rFonts w:hint="default" w:asciiTheme="minorHAnsi" w:hAnsiTheme="minorHAnsi" w:eastAsiaTheme="minorEastAsia" w:cstheme="minorBidi"/>
                <w:kern w:val="2"/>
                <w:sz w:val="18"/>
                <w:szCs w:val="18"/>
                <w:lang w:val="en-US" w:eastAsia="zh-CN" w:bidi="ar-SA"/>
              </w:rPr>
            </w:pP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eastAsia="zh-CN"/>
              </w:rPr>
              <w:t>其他民族事务支出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233.93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28.93　</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205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20134</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统战事务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2013404</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宗教事务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20199</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2019999</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68.37</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68.37</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68.37</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68.37</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行政单位离退休</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2.01</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2.01</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2080505</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43.48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43.48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2080599</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22.88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22.88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卫生健康支出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21011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2101101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行政单位医疗</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17.58</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hint="eastAsia" w:ascii="宋体" w:hAnsi="宋体" w:eastAsia="宋体" w:cs="宋体"/>
                <w:kern w:val="0"/>
                <w:sz w:val="24"/>
                <w:szCs w:val="24"/>
              </w:rPr>
            </w:pPr>
          </w:p>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pPr>
              <w:pStyle w:val="9"/>
              <w:rPr>
                <w:rFonts w:hint="eastAsia" w:ascii="宋体" w:hAnsi="宋体" w:eastAsia="宋体" w:cs="宋体"/>
                <w:kern w:val="0"/>
                <w:sz w:val="24"/>
                <w:szCs w:val="24"/>
              </w:rPr>
            </w:pPr>
          </w:p>
          <w:p>
            <w:pPr>
              <w:pStyle w:val="5"/>
              <w:rPr>
                <w:rFonts w:hint="eastAsia" w:ascii="宋体" w:hAnsi="宋体" w:eastAsia="宋体" w:cs="宋体"/>
                <w:kern w:val="0"/>
                <w:sz w:val="24"/>
                <w:szCs w:val="24"/>
              </w:rPr>
            </w:pPr>
          </w:p>
          <w:p>
            <w:pPr>
              <w:rPr>
                <w:rFonts w:hint="eastAsia" w:ascii="宋体" w:hAnsi="宋体" w:eastAsia="宋体" w:cs="宋体"/>
                <w:kern w:val="0"/>
                <w:sz w:val="24"/>
                <w:szCs w:val="24"/>
              </w:rPr>
            </w:pPr>
          </w:p>
          <w:p>
            <w:pPr>
              <w:pStyle w:val="9"/>
              <w:rPr>
                <w:rFonts w:hint="eastAsia" w:ascii="宋体" w:hAnsi="宋体" w:eastAsia="宋体" w:cs="宋体"/>
                <w:kern w:val="0"/>
                <w:sz w:val="24"/>
                <w:szCs w:val="24"/>
              </w:rPr>
            </w:pPr>
          </w:p>
          <w:p>
            <w:pPr>
              <w:pStyle w:val="5"/>
              <w:rPr>
                <w:rFonts w:hint="eastAsia" w:ascii="宋体" w:hAnsi="宋体" w:eastAsia="宋体" w:cs="宋体"/>
                <w:kern w:val="0"/>
                <w:sz w:val="24"/>
                <w:szCs w:val="24"/>
              </w:rPr>
            </w:pPr>
          </w:p>
          <w:p/>
        </w:tc>
      </w:tr>
    </w:tbl>
    <w:p>
      <w:pPr>
        <w:widowControl/>
        <w:jc w:val="both"/>
        <w:rPr>
          <w:rFonts w:ascii="Times New Roman" w:hAnsi="Times New Roman" w:eastAsia="方正小标宋_GBK" w:cs="Times New Roman"/>
          <w:color w:val="000000"/>
          <w:kern w:val="0"/>
          <w:sz w:val="36"/>
          <w:szCs w:val="21"/>
        </w:rPr>
      </w:pPr>
    </w:p>
    <w:tbl>
      <w:tblPr>
        <w:tblStyle w:val="11"/>
        <w:tblW w:w="15521" w:type="dxa"/>
        <w:tblInd w:w="93" w:type="dxa"/>
        <w:tblLayout w:type="fixed"/>
        <w:tblCellMar>
          <w:top w:w="0" w:type="dxa"/>
          <w:left w:w="108" w:type="dxa"/>
          <w:bottom w:w="0" w:type="dxa"/>
          <w:right w:w="108" w:type="dxa"/>
        </w:tblCellMar>
      </w:tblPr>
      <w:tblGrid>
        <w:gridCol w:w="3595"/>
        <w:gridCol w:w="436"/>
        <w:gridCol w:w="1078"/>
        <w:gridCol w:w="496"/>
        <w:gridCol w:w="3384"/>
        <w:gridCol w:w="163"/>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怀化市民族宗教事务局</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17"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995.79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909.84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　909.84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lang w:eastAsia="zh-CN"/>
              </w:rPr>
              <w:t>七、文化旅游体育与传媒支出</w:t>
            </w:r>
            <w:r>
              <w:rPr>
                <w:rFonts w:hint="eastAsia" w:ascii="宋体" w:hAnsi="宋体" w:eastAsia="宋体" w:cs="宋体"/>
                <w:kern w:val="0"/>
                <w:sz w:val="24"/>
                <w:szCs w:val="24"/>
              </w:rPr>
              <w:t>……</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八、社会保障和就业支出</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　68.37</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68.37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87"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九、卫生健康支出</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17.58</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default"/>
                <w:lang w:val="en-US" w:eastAsia="zh-CN"/>
              </w:rPr>
            </w:pPr>
            <w:r>
              <w:rPr>
                <w:rFonts w:hint="eastAsia"/>
                <w:lang w:val="en-US" w:eastAsia="zh-CN"/>
              </w:rPr>
              <w:t>17.58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995.79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995.57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995.57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top"/>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top"/>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59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b/>
                <w:bCs/>
                <w:lang w:val="en-US" w:eastAsia="zh-CN"/>
              </w:rPr>
              <w:t>995.79</w:t>
            </w:r>
            <w:r>
              <w:rPr>
                <w:rFonts w:hint="eastAsia" w:ascii="宋体" w:hAnsi="宋体" w:eastAsia="宋体" w:cs="宋体"/>
                <w:kern w:val="0"/>
                <w:sz w:val="22"/>
              </w:rPr>
              <w:t>　</w:t>
            </w:r>
          </w:p>
        </w:tc>
        <w:tc>
          <w:tcPr>
            <w:tcW w:w="388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598"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000000" w:fill="FFFFFF"/>
            <w:noWrap/>
            <w:vAlign w:val="center"/>
          </w:tcPr>
          <w:p>
            <w:pPr>
              <w:jc w:val="right"/>
              <w:rPr>
                <w:rFonts w:hint="default"/>
                <w:b/>
                <w:bCs/>
                <w:lang w:val="en-US" w:eastAsia="zh-CN"/>
              </w:rPr>
            </w:pPr>
            <w:r>
              <w:rPr>
                <w:rFonts w:hint="eastAsia"/>
                <w:b/>
                <w:bCs/>
                <w:lang w:val="en-US" w:eastAsia="zh-CN"/>
              </w:rPr>
              <w:t>　995.79</w:t>
            </w:r>
          </w:p>
        </w:tc>
        <w:tc>
          <w:tcPr>
            <w:tcW w:w="1394" w:type="dxa"/>
            <w:tcBorders>
              <w:top w:val="nil"/>
              <w:left w:val="nil"/>
              <w:bottom w:val="single" w:color="auto" w:sz="4" w:space="0"/>
              <w:right w:val="single" w:color="auto" w:sz="4" w:space="0"/>
            </w:tcBorders>
            <w:shd w:val="clear" w:color="000000" w:fill="FFFFFF"/>
            <w:noWrap/>
            <w:vAlign w:val="center"/>
          </w:tcPr>
          <w:p>
            <w:pPr>
              <w:jc w:val="right"/>
              <w:rPr>
                <w:rFonts w:hint="default"/>
                <w:b/>
                <w:bCs/>
                <w:lang w:val="en-US" w:eastAsia="zh-CN"/>
              </w:rPr>
            </w:pPr>
            <w:r>
              <w:rPr>
                <w:rFonts w:hint="eastAsia"/>
                <w:b/>
                <w:bCs/>
                <w:lang w:val="en-US" w:eastAsia="zh-CN"/>
              </w:rPr>
              <w:t>　995.79</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hint="eastAsia"/>
          <w:lang w:eastAsia="zh-CN"/>
        </w:rPr>
        <w:tab/>
      </w:r>
      <w:r>
        <w:rPr>
          <w:rFonts w:hint="eastAsia"/>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lang w:eastAsia="zh-CN"/>
        </w:rPr>
        <w:t>怀化市民族宗教事务局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jc w:val="right"/>
              <w:rPr>
                <w:rFonts w:hint="eastAsia"/>
                <w:b/>
                <w:bCs/>
                <w:lang w:val="en-US" w:eastAsia="zh-CN"/>
              </w:rPr>
            </w:pPr>
            <w:r>
              <w:rPr>
                <w:rFonts w:hint="eastAsia"/>
                <w:b/>
                <w:bCs/>
                <w:lang w:val="en-US" w:eastAsia="zh-CN"/>
              </w:rPr>
              <w:t>995.79　</w:t>
            </w:r>
          </w:p>
        </w:tc>
        <w:tc>
          <w:tcPr>
            <w:tcW w:w="3492" w:type="dxa"/>
            <w:tcBorders>
              <w:top w:val="nil"/>
              <w:left w:val="nil"/>
              <w:bottom w:val="single" w:color="auto" w:sz="4" w:space="0"/>
              <w:right w:val="single" w:color="auto" w:sz="4" w:space="0"/>
            </w:tcBorders>
            <w:shd w:val="clear" w:color="auto" w:fill="auto"/>
            <w:vAlign w:val="center"/>
          </w:tcPr>
          <w:p>
            <w:pPr>
              <w:jc w:val="right"/>
              <w:rPr>
                <w:rFonts w:hint="eastAsia"/>
                <w:b/>
                <w:bCs/>
                <w:lang w:val="en-US" w:eastAsia="zh-CN"/>
              </w:rPr>
            </w:pPr>
            <w:r>
              <w:rPr>
                <w:rFonts w:hint="eastAsia"/>
                <w:b/>
                <w:bCs/>
                <w:lang w:val="en-US" w:eastAsia="zh-CN"/>
              </w:rPr>
              <w:t>475.24　</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b/>
                <w:bCs/>
                <w:lang w:val="en-US" w:eastAsia="zh-CN"/>
              </w:rPr>
            </w:pPr>
            <w:r>
              <w:rPr>
                <w:rFonts w:hint="eastAsia"/>
                <w:b/>
                <w:bCs/>
                <w:lang w:val="en-US" w:eastAsia="zh-CN"/>
              </w:rPr>
              <w:t>520.55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3527" w:type="dxa"/>
            <w:tcBorders>
              <w:top w:val="nil"/>
              <w:left w:val="nil"/>
              <w:bottom w:val="single" w:color="auto" w:sz="4" w:space="0"/>
              <w:right w:val="single" w:color="auto" w:sz="4" w:space="0"/>
            </w:tcBorders>
            <w:shd w:val="clear" w:color="000000" w:fill="FFFFFF"/>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hint="default"/>
                <w:lang w:val="en-US" w:eastAsia="zh-CN"/>
              </w:rPr>
            </w:pPr>
            <w:r>
              <w:rPr>
                <w:rFonts w:hint="eastAsia"/>
                <w:lang w:val="en-US" w:eastAsia="zh-CN"/>
              </w:rPr>
              <w:t>　       909.84</w:t>
            </w:r>
          </w:p>
        </w:tc>
        <w:tc>
          <w:tcPr>
            <w:tcW w:w="3492" w:type="dxa"/>
            <w:tcBorders>
              <w:top w:val="nil"/>
              <w:left w:val="nil"/>
              <w:bottom w:val="single" w:color="auto" w:sz="4" w:space="0"/>
              <w:right w:val="single" w:color="auto" w:sz="4" w:space="0"/>
            </w:tcBorders>
            <w:shd w:val="clear" w:color="auto" w:fill="auto"/>
            <w:vAlign w:val="center"/>
          </w:tcPr>
          <w:p>
            <w:pPr>
              <w:jc w:val="right"/>
              <w:rPr>
                <w:rFonts w:hint="default"/>
                <w:lang w:val="en-US" w:eastAsia="zh-CN"/>
              </w:rPr>
            </w:pPr>
            <w:r>
              <w:rPr>
                <w:rFonts w:hint="eastAsia"/>
                <w:lang w:val="en-US" w:eastAsia="zh-CN"/>
              </w:rPr>
              <w:t>　389.29</w:t>
            </w:r>
          </w:p>
        </w:tc>
        <w:tc>
          <w:tcPr>
            <w:tcW w:w="3000" w:type="dxa"/>
            <w:tcBorders>
              <w:top w:val="nil"/>
              <w:left w:val="nil"/>
              <w:bottom w:val="single" w:color="auto" w:sz="4" w:space="0"/>
              <w:right w:val="single" w:color="auto" w:sz="8" w:space="0"/>
            </w:tcBorders>
            <w:shd w:val="clear" w:color="auto" w:fill="auto"/>
            <w:vAlign w:val="center"/>
          </w:tcPr>
          <w:p>
            <w:pPr>
              <w:jc w:val="right"/>
              <w:rPr>
                <w:rFonts w:hint="default"/>
                <w:lang w:val="en-US" w:eastAsia="zh-CN"/>
              </w:rPr>
            </w:pPr>
            <w:r>
              <w:rPr>
                <w:rFonts w:hint="eastAsia"/>
                <w:lang w:val="en-US" w:eastAsia="zh-CN"/>
              </w:rPr>
              <w:t>　520.55</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w:t>
            </w:r>
          </w:p>
        </w:tc>
        <w:tc>
          <w:tcPr>
            <w:tcW w:w="3527" w:type="dxa"/>
            <w:tcBorders>
              <w:top w:val="nil"/>
              <w:left w:val="nil"/>
              <w:bottom w:val="single" w:color="auto" w:sz="4" w:space="0"/>
              <w:right w:val="single" w:color="auto" w:sz="4" w:space="0"/>
            </w:tcBorders>
            <w:shd w:val="clear" w:color="000000" w:fill="FFFFFF"/>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民族事务</w:t>
            </w:r>
          </w:p>
        </w:tc>
        <w:tc>
          <w:tcPr>
            <w:tcW w:w="3000" w:type="dxa"/>
            <w:tcBorders>
              <w:top w:val="nil"/>
              <w:left w:val="nil"/>
              <w:bottom w:val="single" w:color="auto" w:sz="4" w:space="0"/>
              <w:right w:val="single" w:color="auto" w:sz="4" w:space="0"/>
            </w:tcBorders>
            <w:shd w:val="clear" w:color="auto" w:fill="auto"/>
            <w:vAlign w:val="center"/>
          </w:tcPr>
          <w:p>
            <w:pPr>
              <w:jc w:val="right"/>
              <w:rPr>
                <w:rFonts w:hint="default"/>
                <w:lang w:val="en-US" w:eastAsia="zh-CN"/>
              </w:rPr>
            </w:pPr>
            <w:r>
              <w:rPr>
                <w:rFonts w:hint="eastAsia"/>
                <w:lang w:val="en-US" w:eastAsia="zh-CN"/>
              </w:rPr>
              <w:t>　857.15</w:t>
            </w:r>
          </w:p>
        </w:tc>
        <w:tc>
          <w:tcPr>
            <w:tcW w:w="3492" w:type="dxa"/>
            <w:tcBorders>
              <w:top w:val="nil"/>
              <w:left w:val="nil"/>
              <w:bottom w:val="single" w:color="auto" w:sz="4" w:space="0"/>
              <w:right w:val="single" w:color="auto" w:sz="4" w:space="0"/>
            </w:tcBorders>
            <w:shd w:val="clear" w:color="auto" w:fill="auto"/>
            <w:vAlign w:val="center"/>
          </w:tcPr>
          <w:p>
            <w:pPr>
              <w:jc w:val="right"/>
              <w:rPr>
                <w:rFonts w:hint="default"/>
                <w:lang w:val="en-US" w:eastAsia="zh-CN"/>
              </w:rPr>
            </w:pPr>
            <w:r>
              <w:rPr>
                <w:rFonts w:hint="eastAsia"/>
                <w:lang w:val="en-US" w:eastAsia="zh-CN"/>
              </w:rPr>
              <w:t>　389.29</w:t>
            </w:r>
          </w:p>
        </w:tc>
        <w:tc>
          <w:tcPr>
            <w:tcW w:w="3000" w:type="dxa"/>
            <w:tcBorders>
              <w:top w:val="nil"/>
              <w:left w:val="nil"/>
              <w:bottom w:val="single" w:color="auto" w:sz="4" w:space="0"/>
              <w:right w:val="single" w:color="auto" w:sz="8" w:space="0"/>
            </w:tcBorders>
            <w:shd w:val="clear" w:color="auto" w:fill="auto"/>
            <w:vAlign w:val="center"/>
          </w:tcPr>
          <w:p>
            <w:pPr>
              <w:jc w:val="right"/>
              <w:rPr>
                <w:rFonts w:hint="default"/>
                <w:lang w:val="en-US" w:eastAsia="zh-CN"/>
              </w:rPr>
            </w:pPr>
            <w:r>
              <w:rPr>
                <w:rFonts w:hint="eastAsia"/>
                <w:lang w:val="en-US" w:eastAsia="zh-CN"/>
              </w:rPr>
              <w:t>　467.86</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2012301</w:t>
            </w:r>
          </w:p>
        </w:tc>
        <w:tc>
          <w:tcPr>
            <w:tcW w:w="3527" w:type="dxa"/>
            <w:tcBorders>
              <w:top w:val="nil"/>
              <w:left w:val="nil"/>
              <w:bottom w:val="single" w:color="auto" w:sz="4" w:space="0"/>
              <w:right w:val="single" w:color="auto" w:sz="4" w:space="0"/>
            </w:tcBorders>
            <w:shd w:val="clear" w:color="000000" w:fill="FFFFFF"/>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pPr>
              <w:jc w:val="right"/>
              <w:rPr>
                <w:rFonts w:hint="default"/>
                <w:lang w:val="en-US" w:eastAsia="zh-CN"/>
              </w:rPr>
            </w:pPr>
            <w:r>
              <w:rPr>
                <w:rFonts w:hint="eastAsia"/>
                <w:lang w:val="en-US" w:eastAsia="zh-CN"/>
              </w:rPr>
              <w:t>　445.49</w:t>
            </w:r>
          </w:p>
        </w:tc>
        <w:tc>
          <w:tcPr>
            <w:tcW w:w="3492" w:type="dxa"/>
            <w:tcBorders>
              <w:top w:val="nil"/>
              <w:left w:val="nil"/>
              <w:bottom w:val="single" w:color="auto" w:sz="4" w:space="0"/>
              <w:right w:val="single" w:color="auto" w:sz="4" w:space="0"/>
            </w:tcBorders>
            <w:shd w:val="clear" w:color="auto" w:fill="auto"/>
            <w:vAlign w:val="center"/>
          </w:tcPr>
          <w:p>
            <w:pPr>
              <w:jc w:val="right"/>
              <w:rPr>
                <w:rFonts w:hint="default"/>
                <w:lang w:val="en-US" w:eastAsia="zh-CN"/>
              </w:rPr>
            </w:pPr>
            <w:r>
              <w:rPr>
                <w:rFonts w:hint="eastAsia"/>
                <w:lang w:val="en-US" w:eastAsia="zh-CN"/>
              </w:rPr>
              <w:t>　360.36</w:t>
            </w:r>
          </w:p>
        </w:tc>
        <w:tc>
          <w:tcPr>
            <w:tcW w:w="3000" w:type="dxa"/>
            <w:tcBorders>
              <w:top w:val="nil"/>
              <w:left w:val="nil"/>
              <w:bottom w:val="single" w:color="auto" w:sz="4" w:space="0"/>
              <w:right w:val="single" w:color="auto" w:sz="8" w:space="0"/>
            </w:tcBorders>
            <w:shd w:val="clear" w:color="auto" w:fill="auto"/>
            <w:vAlign w:val="center"/>
          </w:tcPr>
          <w:p>
            <w:pPr>
              <w:jc w:val="right"/>
              <w:rPr>
                <w:rFonts w:hint="default"/>
                <w:lang w:val="en-US" w:eastAsia="zh-CN"/>
              </w:rPr>
            </w:pPr>
            <w:r>
              <w:rPr>
                <w:rFonts w:hint="eastAsia"/>
                <w:lang w:val="en-US" w:eastAsia="zh-CN"/>
              </w:rPr>
              <w:t>　85.13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2012302</w:t>
            </w:r>
          </w:p>
        </w:tc>
        <w:tc>
          <w:tcPr>
            <w:tcW w:w="3527" w:type="dxa"/>
            <w:tcBorders>
              <w:top w:val="nil"/>
              <w:left w:val="nil"/>
              <w:bottom w:val="single" w:color="auto" w:sz="4" w:space="0"/>
              <w:right w:val="single" w:color="auto" w:sz="4" w:space="0"/>
            </w:tcBorders>
            <w:shd w:val="clear" w:color="000000" w:fill="FFFFFF"/>
            <w:vAlign w:val="center"/>
          </w:tcPr>
          <w:p>
            <w:pPr>
              <w:rPr>
                <w:rFonts w:hint="default" w:ascii="宋体" w:hAnsi="宋体" w:cs="宋体" w:eastAsiaTheme="minorEastAsia"/>
                <w:kern w:val="2"/>
                <w:sz w:val="24"/>
                <w:szCs w:val="24"/>
                <w:lang w:val="en-US" w:eastAsia="zh-CN" w:bidi="ar-SA"/>
              </w:rPr>
            </w:pPr>
            <w:r>
              <w:rPr>
                <w:rFonts w:hint="eastAsia" w:ascii="宋体" w:hAnsi="宋体" w:cs="宋体"/>
                <w:sz w:val="24"/>
                <w:szCs w:val="24"/>
                <w:lang w:val="en-US" w:eastAsia="zh-CN"/>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pPr>
              <w:jc w:val="right"/>
              <w:rPr>
                <w:rFonts w:hint="default"/>
                <w:lang w:val="en-US" w:eastAsia="zh-CN"/>
              </w:rPr>
            </w:pPr>
            <w:r>
              <w:rPr>
                <w:rFonts w:hint="eastAsia"/>
                <w:lang w:val="en-US" w:eastAsia="zh-CN"/>
              </w:rPr>
              <w:t>59.73</w:t>
            </w:r>
          </w:p>
        </w:tc>
        <w:tc>
          <w:tcPr>
            <w:tcW w:w="3492" w:type="dxa"/>
            <w:tcBorders>
              <w:top w:val="nil"/>
              <w:left w:val="nil"/>
              <w:bottom w:val="single" w:color="auto" w:sz="4" w:space="0"/>
              <w:right w:val="single" w:color="auto" w:sz="4" w:space="0"/>
            </w:tcBorders>
            <w:shd w:val="clear" w:color="auto" w:fill="auto"/>
            <w:vAlign w:val="center"/>
          </w:tcPr>
          <w:p>
            <w:pPr>
              <w:jc w:val="right"/>
              <w:rPr>
                <w:rFonts w:hint="eastAsia"/>
                <w:lang w:val="en-US" w:eastAsia="zh-CN"/>
              </w:rPr>
            </w:pPr>
            <w:r>
              <w:rPr>
                <w:rFonts w:hint="eastAsia"/>
                <w:lang w:val="en-US" w:eastAsia="zh-CN"/>
              </w:rPr>
              <w:t>　</w:t>
            </w:r>
          </w:p>
        </w:tc>
        <w:tc>
          <w:tcPr>
            <w:tcW w:w="3000" w:type="dxa"/>
            <w:tcBorders>
              <w:top w:val="nil"/>
              <w:left w:val="nil"/>
              <w:bottom w:val="single" w:color="auto" w:sz="4" w:space="0"/>
              <w:right w:val="single" w:color="auto" w:sz="8" w:space="0"/>
            </w:tcBorders>
            <w:shd w:val="clear" w:color="auto" w:fill="auto"/>
            <w:vAlign w:val="center"/>
          </w:tcPr>
          <w:p>
            <w:pPr>
              <w:jc w:val="right"/>
              <w:rPr>
                <w:rFonts w:hint="default"/>
                <w:lang w:val="en-US" w:eastAsia="zh-CN"/>
              </w:rPr>
            </w:pPr>
            <w:r>
              <w:rPr>
                <w:rFonts w:hint="eastAsia"/>
                <w:lang w:val="en-US" w:eastAsia="zh-CN"/>
              </w:rPr>
              <w:t>　59.73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2012304</w:t>
            </w:r>
          </w:p>
        </w:tc>
        <w:tc>
          <w:tcPr>
            <w:tcW w:w="3527" w:type="dxa"/>
            <w:tcBorders>
              <w:top w:val="nil"/>
              <w:left w:val="nil"/>
              <w:bottom w:val="single" w:color="auto" w:sz="4" w:space="0"/>
              <w:right w:val="single" w:color="auto" w:sz="4" w:space="0"/>
            </w:tcBorders>
            <w:shd w:val="clear" w:color="000000" w:fill="FFFFFF"/>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民族工作专项</w:t>
            </w:r>
          </w:p>
        </w:tc>
        <w:tc>
          <w:tcPr>
            <w:tcW w:w="3000" w:type="dxa"/>
            <w:tcBorders>
              <w:top w:val="nil"/>
              <w:left w:val="nil"/>
              <w:bottom w:val="single" w:color="auto" w:sz="4" w:space="0"/>
              <w:right w:val="single" w:color="auto" w:sz="4" w:space="0"/>
            </w:tcBorders>
            <w:shd w:val="clear" w:color="auto" w:fill="auto"/>
            <w:vAlign w:val="center"/>
          </w:tcPr>
          <w:p>
            <w:pPr>
              <w:jc w:val="right"/>
              <w:rPr>
                <w:rFonts w:hint="default"/>
                <w:lang w:val="en-US" w:eastAsia="zh-CN"/>
              </w:rPr>
            </w:pPr>
            <w:r>
              <w:rPr>
                <w:rFonts w:hint="eastAsia"/>
                <w:lang w:val="en-US" w:eastAsia="zh-CN"/>
              </w:rPr>
              <w:t>　118</w:t>
            </w:r>
          </w:p>
        </w:tc>
        <w:tc>
          <w:tcPr>
            <w:tcW w:w="3492" w:type="dxa"/>
            <w:tcBorders>
              <w:top w:val="nil"/>
              <w:left w:val="nil"/>
              <w:bottom w:val="single" w:color="auto" w:sz="4" w:space="0"/>
              <w:right w:val="single" w:color="auto" w:sz="4" w:space="0"/>
            </w:tcBorders>
            <w:shd w:val="clear" w:color="auto" w:fill="auto"/>
            <w:vAlign w:val="center"/>
          </w:tcPr>
          <w:p>
            <w:pPr>
              <w:jc w:val="right"/>
              <w:rPr>
                <w:rFonts w:hint="eastAsia"/>
                <w:lang w:val="en-US" w:eastAsia="zh-CN"/>
              </w:rPr>
            </w:pPr>
            <w:r>
              <w:rPr>
                <w:rFonts w:hint="eastAsia"/>
                <w:lang w:val="en-US" w:eastAsia="zh-CN"/>
              </w:rPr>
              <w:t>　</w:t>
            </w:r>
          </w:p>
        </w:tc>
        <w:tc>
          <w:tcPr>
            <w:tcW w:w="3000" w:type="dxa"/>
            <w:tcBorders>
              <w:top w:val="nil"/>
              <w:left w:val="nil"/>
              <w:bottom w:val="single" w:color="auto" w:sz="4" w:space="0"/>
              <w:right w:val="single" w:color="auto" w:sz="8" w:space="0"/>
            </w:tcBorders>
            <w:shd w:val="clear" w:color="auto" w:fill="auto"/>
            <w:vAlign w:val="center"/>
          </w:tcPr>
          <w:p>
            <w:pPr>
              <w:jc w:val="right"/>
              <w:rPr>
                <w:rFonts w:hint="default"/>
                <w:lang w:val="en-US" w:eastAsia="zh-CN"/>
              </w:rPr>
            </w:pPr>
            <w:r>
              <w:rPr>
                <w:rFonts w:hint="eastAsia"/>
                <w:lang w:val="en-US" w:eastAsia="zh-CN"/>
              </w:rPr>
              <w:t>　118</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rPr>
                <w:rFonts w:hint="eastAsia"/>
                <w:lang w:val="en-US" w:eastAsia="zh-CN"/>
              </w:rPr>
            </w:pPr>
            <w:r>
              <w:rPr>
                <w:rFonts w:hint="eastAsia"/>
              </w:rPr>
              <w:t>　</w:t>
            </w:r>
            <w:r>
              <w:rPr>
                <w:rFonts w:hint="eastAsia"/>
                <w:lang w:val="en-US" w:eastAsia="zh-CN"/>
              </w:rPr>
              <w:t>2012399</w:t>
            </w:r>
          </w:p>
          <w:p>
            <w:pPr>
              <w:pStyle w:val="9"/>
              <w:rPr>
                <w:rFonts w:hint="default" w:asciiTheme="minorHAnsi" w:hAnsiTheme="minorHAnsi" w:eastAsiaTheme="minorEastAsia" w:cstheme="minorBidi"/>
                <w:kern w:val="2"/>
                <w:sz w:val="18"/>
                <w:szCs w:val="18"/>
                <w:lang w:val="en-US" w:eastAsia="zh-CN" w:bidi="ar-SA"/>
              </w:rPr>
            </w:pP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eastAsia="zh-CN"/>
              </w:rPr>
              <w:t>其他民族事务支出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　233.93</w:t>
            </w:r>
          </w:p>
        </w:tc>
        <w:tc>
          <w:tcPr>
            <w:tcW w:w="3492"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　28.93</w:t>
            </w:r>
          </w:p>
        </w:tc>
        <w:tc>
          <w:tcPr>
            <w:tcW w:w="3000" w:type="dxa"/>
            <w:tcBorders>
              <w:top w:val="nil"/>
              <w:left w:val="nil"/>
              <w:bottom w:val="single" w:color="auto" w:sz="8" w:space="0"/>
              <w:right w:val="single" w:color="auto" w:sz="8" w:space="0"/>
            </w:tcBorders>
            <w:shd w:val="clear" w:color="auto" w:fill="auto"/>
            <w:vAlign w:val="center"/>
          </w:tcPr>
          <w:p>
            <w:pPr>
              <w:jc w:val="right"/>
              <w:rPr>
                <w:rFonts w:hint="default"/>
                <w:lang w:val="en-US" w:eastAsia="zh-CN"/>
              </w:rPr>
            </w:pPr>
            <w:r>
              <w:rPr>
                <w:rFonts w:hint="eastAsia"/>
                <w:lang w:val="en-US" w:eastAsia="zh-CN"/>
              </w:rPr>
              <w:t>　205</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20134</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统战事务</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2.7</w:t>
            </w:r>
          </w:p>
        </w:tc>
        <w:tc>
          <w:tcPr>
            <w:tcW w:w="3492" w:type="dxa"/>
            <w:tcBorders>
              <w:top w:val="nil"/>
              <w:left w:val="nil"/>
              <w:bottom w:val="single" w:color="auto" w:sz="8" w:space="0"/>
              <w:right w:val="single" w:color="auto" w:sz="4" w:space="0"/>
            </w:tcBorders>
            <w:shd w:val="clear" w:color="auto" w:fill="auto"/>
            <w:vAlign w:val="center"/>
          </w:tcPr>
          <w:p>
            <w:pPr>
              <w:jc w:val="right"/>
              <w:rPr>
                <w:rFonts w:hint="eastAsia"/>
                <w:lang w:val="en-US" w:eastAsia="zh-CN"/>
              </w:rPr>
            </w:pPr>
          </w:p>
        </w:tc>
        <w:tc>
          <w:tcPr>
            <w:tcW w:w="3000" w:type="dxa"/>
            <w:tcBorders>
              <w:top w:val="nil"/>
              <w:left w:val="nil"/>
              <w:bottom w:val="single" w:color="auto" w:sz="8" w:space="0"/>
              <w:right w:val="single" w:color="auto" w:sz="8" w:space="0"/>
            </w:tcBorders>
            <w:shd w:val="clear" w:color="auto" w:fill="auto"/>
            <w:vAlign w:val="center"/>
          </w:tcPr>
          <w:p>
            <w:pPr>
              <w:jc w:val="right"/>
              <w:rPr>
                <w:rFonts w:hint="default"/>
                <w:lang w:val="en-US" w:eastAsia="zh-CN"/>
              </w:rPr>
            </w:pPr>
            <w:r>
              <w:rPr>
                <w:rFonts w:hint="eastAsia"/>
                <w:lang w:val="en-US" w:eastAsia="zh-CN"/>
              </w:rPr>
              <w:t>2.7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2013404</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宗教事务</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2.7</w:t>
            </w:r>
          </w:p>
        </w:tc>
        <w:tc>
          <w:tcPr>
            <w:tcW w:w="3492" w:type="dxa"/>
            <w:tcBorders>
              <w:top w:val="nil"/>
              <w:left w:val="nil"/>
              <w:bottom w:val="single" w:color="auto" w:sz="8" w:space="0"/>
              <w:right w:val="single" w:color="auto" w:sz="4" w:space="0"/>
            </w:tcBorders>
            <w:shd w:val="clear" w:color="auto" w:fill="auto"/>
            <w:vAlign w:val="center"/>
          </w:tcPr>
          <w:p>
            <w:pPr>
              <w:jc w:val="right"/>
              <w:rPr>
                <w:rFonts w:hint="eastAsia"/>
                <w:lang w:val="en-US" w:eastAsia="zh-CN"/>
              </w:rPr>
            </w:pPr>
          </w:p>
        </w:tc>
        <w:tc>
          <w:tcPr>
            <w:tcW w:w="3000" w:type="dxa"/>
            <w:tcBorders>
              <w:top w:val="nil"/>
              <w:left w:val="nil"/>
              <w:bottom w:val="single" w:color="auto" w:sz="8" w:space="0"/>
              <w:right w:val="single" w:color="auto" w:sz="8" w:space="0"/>
            </w:tcBorders>
            <w:shd w:val="clear" w:color="auto" w:fill="auto"/>
            <w:vAlign w:val="center"/>
          </w:tcPr>
          <w:p>
            <w:pPr>
              <w:jc w:val="right"/>
              <w:rPr>
                <w:rFonts w:hint="default"/>
                <w:lang w:val="en-US" w:eastAsia="zh-CN"/>
              </w:rPr>
            </w:pPr>
            <w:r>
              <w:rPr>
                <w:rFonts w:hint="eastAsia"/>
                <w:lang w:val="en-US" w:eastAsia="zh-CN"/>
              </w:rPr>
              <w:t>2.7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20199</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49.99</w:t>
            </w:r>
          </w:p>
        </w:tc>
        <w:tc>
          <w:tcPr>
            <w:tcW w:w="3492" w:type="dxa"/>
            <w:tcBorders>
              <w:top w:val="nil"/>
              <w:left w:val="nil"/>
              <w:bottom w:val="single" w:color="auto" w:sz="8" w:space="0"/>
              <w:right w:val="single" w:color="auto" w:sz="4" w:space="0"/>
            </w:tcBorders>
            <w:shd w:val="clear" w:color="auto" w:fill="auto"/>
            <w:vAlign w:val="center"/>
          </w:tcPr>
          <w:p>
            <w:pPr>
              <w:jc w:val="right"/>
              <w:rPr>
                <w:rFonts w:hint="eastAsia"/>
                <w:lang w:val="en-US" w:eastAsia="zh-CN"/>
              </w:rPr>
            </w:pPr>
          </w:p>
        </w:tc>
        <w:tc>
          <w:tcPr>
            <w:tcW w:w="3000" w:type="dxa"/>
            <w:tcBorders>
              <w:top w:val="nil"/>
              <w:left w:val="nil"/>
              <w:bottom w:val="single" w:color="auto" w:sz="8" w:space="0"/>
              <w:right w:val="single" w:color="auto" w:sz="8" w:space="0"/>
            </w:tcBorders>
            <w:shd w:val="clear" w:color="auto" w:fill="auto"/>
            <w:vAlign w:val="center"/>
          </w:tcPr>
          <w:p>
            <w:pPr>
              <w:jc w:val="right"/>
              <w:rPr>
                <w:rFonts w:hint="default"/>
                <w:lang w:val="en-US" w:eastAsia="zh-CN"/>
              </w:rPr>
            </w:pPr>
            <w:r>
              <w:rPr>
                <w:rFonts w:hint="eastAsia"/>
                <w:lang w:val="en-US" w:eastAsia="zh-CN"/>
              </w:rPr>
              <w:t>49.99</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2019999</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49.99</w:t>
            </w:r>
          </w:p>
        </w:tc>
        <w:tc>
          <w:tcPr>
            <w:tcW w:w="3492" w:type="dxa"/>
            <w:tcBorders>
              <w:top w:val="nil"/>
              <w:left w:val="nil"/>
              <w:bottom w:val="single" w:color="auto" w:sz="8" w:space="0"/>
              <w:right w:val="single" w:color="auto" w:sz="4" w:space="0"/>
            </w:tcBorders>
            <w:shd w:val="clear" w:color="auto" w:fill="auto"/>
            <w:vAlign w:val="center"/>
          </w:tcPr>
          <w:p>
            <w:pPr>
              <w:jc w:val="right"/>
              <w:rPr>
                <w:rFonts w:hint="eastAsia"/>
                <w:lang w:val="en-US" w:eastAsia="zh-CN"/>
              </w:rPr>
            </w:pPr>
          </w:p>
        </w:tc>
        <w:tc>
          <w:tcPr>
            <w:tcW w:w="3000" w:type="dxa"/>
            <w:tcBorders>
              <w:top w:val="nil"/>
              <w:left w:val="nil"/>
              <w:bottom w:val="single" w:color="auto" w:sz="8" w:space="0"/>
              <w:right w:val="single" w:color="auto" w:sz="8" w:space="0"/>
            </w:tcBorders>
            <w:shd w:val="clear" w:color="auto" w:fill="auto"/>
            <w:vAlign w:val="center"/>
          </w:tcPr>
          <w:p>
            <w:pPr>
              <w:jc w:val="right"/>
              <w:rPr>
                <w:rFonts w:hint="default"/>
                <w:lang w:val="en-US" w:eastAsia="zh-CN"/>
              </w:rPr>
            </w:pPr>
            <w:r>
              <w:rPr>
                <w:rFonts w:hint="eastAsia"/>
                <w:lang w:val="en-US" w:eastAsia="zh-CN"/>
              </w:rPr>
              <w:t>49.99</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社会保障和就业支出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68.37</w:t>
            </w:r>
          </w:p>
        </w:tc>
        <w:tc>
          <w:tcPr>
            <w:tcW w:w="3492"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68.37</w:t>
            </w:r>
          </w:p>
        </w:tc>
        <w:tc>
          <w:tcPr>
            <w:tcW w:w="3000" w:type="dxa"/>
            <w:tcBorders>
              <w:top w:val="nil"/>
              <w:left w:val="nil"/>
              <w:bottom w:val="single" w:color="auto" w:sz="8" w:space="0"/>
              <w:right w:val="single" w:color="auto" w:sz="8" w:space="0"/>
            </w:tcBorders>
            <w:shd w:val="clear" w:color="auto" w:fill="auto"/>
            <w:vAlign w:val="center"/>
          </w:tcPr>
          <w:p>
            <w:pPr>
              <w:jc w:val="right"/>
              <w:rPr>
                <w:rFonts w:hint="eastAsia"/>
                <w:lang w:val="en-US" w:eastAsia="zh-CN"/>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68.37</w:t>
            </w:r>
          </w:p>
        </w:tc>
        <w:tc>
          <w:tcPr>
            <w:tcW w:w="3492"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68.37</w:t>
            </w:r>
          </w:p>
        </w:tc>
        <w:tc>
          <w:tcPr>
            <w:tcW w:w="3000" w:type="dxa"/>
            <w:tcBorders>
              <w:top w:val="nil"/>
              <w:left w:val="nil"/>
              <w:bottom w:val="single" w:color="auto" w:sz="8" w:space="0"/>
              <w:right w:val="single" w:color="auto" w:sz="8" w:space="0"/>
            </w:tcBorders>
            <w:shd w:val="clear" w:color="auto" w:fill="auto"/>
            <w:vAlign w:val="center"/>
          </w:tcPr>
          <w:p>
            <w:pPr>
              <w:jc w:val="right"/>
              <w:rPr>
                <w:rFonts w:hint="eastAsia"/>
                <w:lang w:val="en-US" w:eastAsia="zh-CN"/>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2080501</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行政单位离退休</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2.01</w:t>
            </w:r>
          </w:p>
        </w:tc>
        <w:tc>
          <w:tcPr>
            <w:tcW w:w="3492"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2.01</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2080505</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43.48</w:t>
            </w:r>
          </w:p>
        </w:tc>
        <w:tc>
          <w:tcPr>
            <w:tcW w:w="3492"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43.48</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2080599</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其他行政事业单位养老支出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22.88</w:t>
            </w:r>
          </w:p>
        </w:tc>
        <w:tc>
          <w:tcPr>
            <w:tcW w:w="3492"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22.88</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卫生健康支出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17.58</w:t>
            </w:r>
          </w:p>
        </w:tc>
        <w:tc>
          <w:tcPr>
            <w:tcW w:w="3492"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17.58</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21011</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17.58</w:t>
            </w:r>
          </w:p>
        </w:tc>
        <w:tc>
          <w:tcPr>
            <w:tcW w:w="3492"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17.58</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pPr>
              <w:pStyle w:val="9"/>
              <w:rPr>
                <w:rFonts w:hint="eastAsia" w:asciiTheme="minorHAnsi" w:hAnsiTheme="minorHAnsi" w:eastAsiaTheme="minorEastAsia" w:cstheme="minorBidi"/>
                <w:kern w:val="2"/>
                <w:sz w:val="18"/>
                <w:szCs w:val="18"/>
                <w:lang w:val="en-US" w:eastAsia="zh-CN" w:bidi="ar-SA"/>
              </w:rPr>
            </w:pPr>
            <w:r>
              <w:rPr>
                <w:rFonts w:hint="eastAsia"/>
                <w:lang w:val="en-US" w:eastAsia="zh-CN"/>
              </w:rPr>
              <w:t>2101101</w:t>
            </w:r>
          </w:p>
        </w:tc>
        <w:tc>
          <w:tcPr>
            <w:tcW w:w="3527" w:type="dxa"/>
            <w:tcBorders>
              <w:top w:val="nil"/>
              <w:left w:val="nil"/>
              <w:bottom w:val="single" w:color="auto" w:sz="8" w:space="0"/>
              <w:right w:val="single" w:color="auto" w:sz="4" w:space="0"/>
            </w:tcBorders>
            <w:shd w:val="clear" w:color="000000" w:fill="FFFFFF"/>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行政单位医疗</w:t>
            </w:r>
          </w:p>
        </w:tc>
        <w:tc>
          <w:tcPr>
            <w:tcW w:w="3000"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17.58</w:t>
            </w:r>
          </w:p>
        </w:tc>
        <w:tc>
          <w:tcPr>
            <w:tcW w:w="3492" w:type="dxa"/>
            <w:tcBorders>
              <w:top w:val="nil"/>
              <w:left w:val="nil"/>
              <w:bottom w:val="single" w:color="auto" w:sz="8" w:space="0"/>
              <w:right w:val="single" w:color="auto" w:sz="4" w:space="0"/>
            </w:tcBorders>
            <w:shd w:val="clear" w:color="auto" w:fill="auto"/>
            <w:vAlign w:val="center"/>
          </w:tcPr>
          <w:p>
            <w:pPr>
              <w:jc w:val="right"/>
              <w:rPr>
                <w:rFonts w:hint="default"/>
                <w:lang w:val="en-US" w:eastAsia="zh-CN"/>
              </w:rPr>
            </w:pPr>
            <w:r>
              <w:rPr>
                <w:rFonts w:hint="eastAsia"/>
                <w:lang w:val="en-US" w:eastAsia="zh-CN"/>
              </w:rPr>
              <w:t>17.58</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1"/>
        <w:tblW w:w="15626" w:type="dxa"/>
        <w:tblInd w:w="0" w:type="dxa"/>
        <w:tblLayout w:type="fixed"/>
        <w:tblCellMar>
          <w:top w:w="0" w:type="dxa"/>
          <w:left w:w="108" w:type="dxa"/>
          <w:bottom w:w="0" w:type="dxa"/>
          <w:right w:w="108" w:type="dxa"/>
        </w:tblCellMar>
      </w:tblPr>
      <w:tblGrid>
        <w:gridCol w:w="907"/>
        <w:gridCol w:w="84"/>
        <w:gridCol w:w="240"/>
        <w:gridCol w:w="1385"/>
        <w:gridCol w:w="1613"/>
        <w:gridCol w:w="418"/>
        <w:gridCol w:w="77"/>
        <w:gridCol w:w="595"/>
        <w:gridCol w:w="418"/>
        <w:gridCol w:w="535"/>
        <w:gridCol w:w="724"/>
        <w:gridCol w:w="1561"/>
        <w:gridCol w:w="530"/>
        <w:gridCol w:w="537"/>
        <w:gridCol w:w="150"/>
        <w:gridCol w:w="1063"/>
        <w:gridCol w:w="344"/>
        <w:gridCol w:w="2091"/>
        <w:gridCol w:w="1240"/>
        <w:gridCol w:w="851"/>
        <w:gridCol w:w="251"/>
        <w:gridCol w:w="12"/>
      </w:tblGrid>
      <w:tr>
        <w:tblPrEx>
          <w:tblCellMar>
            <w:top w:w="0" w:type="dxa"/>
            <w:left w:w="108" w:type="dxa"/>
            <w:bottom w:w="0" w:type="dxa"/>
            <w:right w:w="108" w:type="dxa"/>
          </w:tblCellMar>
        </w:tblPrEx>
        <w:trPr>
          <w:gridAfter w:val="1"/>
          <w:wAfter w:w="12" w:type="dxa"/>
          <w:trHeight w:val="113" w:hRule="atLeast"/>
        </w:trPr>
        <w:tc>
          <w:tcPr>
            <w:tcW w:w="15614" w:type="dxa"/>
            <w:gridSpan w:val="2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公开06表</w:t>
            </w:r>
          </w:p>
          <w:p>
            <w:pPr>
              <w:widowControl/>
              <w:jc w:val="both"/>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lang w:eastAsia="zh-CN"/>
              </w:rPr>
              <w:t>怀化市民族宗教事务局</w:t>
            </w:r>
            <w:r>
              <w:rPr>
                <w:rFonts w:hint="eastAsia"/>
                <w:lang w:val="en-US" w:eastAsia="zh-CN"/>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816" w:hRule="atLeast"/>
        </w:trPr>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22"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9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5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1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6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1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401.31</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067"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47.16</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143.6</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3.91　3.3.913.91</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70.75</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92.6</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9.41</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43.48</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0.77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17.58</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17.93</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5.3</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0.16</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0.67</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0.41</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26.77</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0.15</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23.71</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0.11　100010.11</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10</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1.05</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4.86</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0.22</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22.93</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2.01</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2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90" w:type="dxa"/>
            <w:gridSpan w:val="3"/>
            <w:tcBorders>
              <w:top w:val="nil"/>
              <w:left w:val="nil"/>
              <w:bottom w:val="single" w:color="auto" w:sz="4" w:space="0"/>
              <w:right w:val="single" w:color="auto" w:sz="4" w:space="0"/>
            </w:tcBorders>
            <w:shd w:val="clear" w:color="auto" w:fill="auto"/>
            <w:noWrap/>
            <w:vAlign w:val="top"/>
          </w:tcPr>
          <w:p>
            <w:pPr>
              <w:jc w:val="right"/>
              <w:rPr>
                <w:rFonts w:hint="eastAsia"/>
                <w:lang w:val="en-US" w:eastAsia="zh-CN"/>
              </w:rPr>
            </w:pPr>
            <w:r>
              <w:rPr>
                <w:rFonts w:hint="eastAsia"/>
                <w:lang w:val="en-US" w:eastAsia="zh-CN"/>
              </w:rPr>
              <w:t>　</w:t>
            </w:r>
          </w:p>
        </w:tc>
        <w:tc>
          <w:tcPr>
            <w:tcW w:w="9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067" w:type="dxa"/>
            <w:gridSpan w:val="2"/>
            <w:tcBorders>
              <w:top w:val="nil"/>
              <w:left w:val="nil"/>
              <w:bottom w:val="single" w:color="auto" w:sz="4" w:space="0"/>
              <w:right w:val="single" w:color="auto" w:sz="4" w:space="0"/>
            </w:tcBorders>
            <w:shd w:val="clear" w:color="auto" w:fill="auto"/>
            <w:noWrap/>
            <w:vAlign w:val="top"/>
          </w:tcPr>
          <w:p>
            <w:pPr>
              <w:jc w:val="right"/>
              <w:rPr>
                <w:rFonts w:hint="default"/>
                <w:lang w:val="en-US" w:eastAsia="zh-CN"/>
              </w:rPr>
            </w:pPr>
            <w:r>
              <w:rPr>
                <w:rFonts w:hint="eastAsia"/>
                <w:lang w:val="en-US" w:eastAsia="zh-CN"/>
              </w:rPr>
              <w:t>　3.64</w:t>
            </w:r>
          </w:p>
        </w:tc>
        <w:tc>
          <w:tcPr>
            <w:tcW w:w="12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1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gridAfter w:val="1"/>
          <w:wAfter w:w="12" w:type="dxa"/>
          <w:trHeight w:val="284" w:hRule="exact"/>
        </w:trPr>
        <w:tc>
          <w:tcPr>
            <w:tcW w:w="4647"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90"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b/>
                <w:bCs/>
                <w:color w:val="000000"/>
                <w:kern w:val="0"/>
                <w:szCs w:val="20"/>
                <w:lang w:val="en-US" w:eastAsia="zh-CN"/>
              </w:rPr>
            </w:pPr>
            <w:r>
              <w:rPr>
                <w:rFonts w:hint="eastAsia" w:ascii="宋体" w:hAnsi="宋体" w:eastAsia="宋体" w:cs="宋体"/>
                <w:b/>
                <w:bCs/>
                <w:color w:val="000000"/>
                <w:kern w:val="0"/>
                <w:szCs w:val="20"/>
              </w:rPr>
              <w:t>　</w:t>
            </w:r>
            <w:r>
              <w:rPr>
                <w:rFonts w:hint="eastAsia" w:ascii="宋体" w:hAnsi="宋体" w:eastAsia="宋体" w:cs="宋体"/>
                <w:b/>
                <w:bCs/>
                <w:color w:val="000000"/>
                <w:kern w:val="0"/>
                <w:szCs w:val="20"/>
                <w:lang w:val="en-US" w:eastAsia="zh-CN"/>
              </w:rPr>
              <w:t>428.08</w:t>
            </w:r>
          </w:p>
        </w:tc>
        <w:tc>
          <w:tcPr>
            <w:tcW w:w="8775" w:type="dxa"/>
            <w:gridSpan w:val="10"/>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10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18"/>
                <w:lang w:val="en-US" w:eastAsia="zh-CN"/>
              </w:rPr>
            </w:pPr>
            <w:r>
              <w:rPr>
                <w:rFonts w:hint="eastAsia" w:ascii="宋体" w:hAnsi="宋体" w:eastAsia="宋体" w:cs="宋体"/>
                <w:b/>
                <w:bCs/>
                <w:color w:val="000000"/>
                <w:kern w:val="0"/>
                <w:szCs w:val="18"/>
              </w:rPr>
              <w:t>　</w:t>
            </w:r>
            <w:r>
              <w:rPr>
                <w:rFonts w:hint="eastAsia" w:ascii="宋体" w:hAnsi="宋体" w:eastAsia="宋体" w:cs="宋体"/>
                <w:b/>
                <w:bCs/>
                <w:color w:val="000000"/>
                <w:kern w:val="0"/>
                <w:szCs w:val="18"/>
                <w:lang w:val="en-US" w:eastAsia="zh-CN"/>
              </w:rPr>
              <w:t>47.16</w:t>
            </w:r>
          </w:p>
        </w:tc>
      </w:tr>
      <w:tr>
        <w:tblPrEx>
          <w:tblCellMar>
            <w:top w:w="0" w:type="dxa"/>
            <w:left w:w="108" w:type="dxa"/>
            <w:bottom w:w="0" w:type="dxa"/>
            <w:right w:w="108" w:type="dxa"/>
          </w:tblCellMar>
        </w:tblPrEx>
        <w:trPr>
          <w:gridAfter w:val="1"/>
          <w:wAfter w:w="12" w:type="dxa"/>
          <w:trHeight w:val="284" w:hRule="exact"/>
        </w:trPr>
        <w:tc>
          <w:tcPr>
            <w:tcW w:w="15614" w:type="dxa"/>
            <w:gridSpan w:val="21"/>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690" w:hRule="atLeast"/>
        </w:trPr>
        <w:tc>
          <w:tcPr>
            <w:tcW w:w="15363" w:type="dxa"/>
            <w:gridSpan w:val="20"/>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345" w:hRule="atLeast"/>
        </w:trPr>
        <w:tc>
          <w:tcPr>
            <w:tcW w:w="991"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85"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08"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72"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690" w:hRule="atLeast"/>
        </w:trPr>
        <w:tc>
          <w:tcPr>
            <w:tcW w:w="6996" w:type="dxa"/>
            <w:gridSpan w:val="11"/>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2091"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8"/>
                <w:lang w:val="en-US" w:eastAsia="zh-CN" w:bidi="ar"/>
              </w:rPr>
              <w:t xml:space="preserve">   </w:t>
            </w:r>
            <w:r>
              <w:rPr>
                <w:rStyle w:val="19"/>
                <w:lang w:val="en-US" w:eastAsia="zh-CN" w:bidi="ar"/>
              </w:rPr>
              <w:t>目</w:t>
            </w:r>
          </w:p>
        </w:tc>
        <w:tc>
          <w:tcPr>
            <w:tcW w:w="21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7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7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609" w:hRule="atLeast"/>
        </w:trPr>
        <w:tc>
          <w:tcPr>
            <w:tcW w:w="12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4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63" w:type="dxa"/>
          <w:trHeight w:val="725" w:hRule="atLeast"/>
        </w:trPr>
        <w:tc>
          <w:tcPr>
            <w:tcW w:w="15363" w:type="dxa"/>
            <w:gridSpan w:val="2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634" w:type="dxa"/>
            <w:gridSpan w:val="4"/>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0"/>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tbl>
      <w:tblPr>
        <w:tblStyle w:val="11"/>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304" w:type="dxa"/>
            <w:gridSpan w:val="5"/>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9.04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9.04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8.58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8.58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5.03</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5"/>
        <w:rPr>
          <w:sz w:val="72"/>
          <w:szCs w:val="72"/>
        </w:rPr>
      </w:pPr>
    </w:p>
    <w:p>
      <w:pPr>
        <w:pStyle w:val="15"/>
        <w:rPr>
          <w:sz w:val="72"/>
          <w:szCs w:val="72"/>
        </w:rPr>
      </w:pPr>
    </w:p>
    <w:p>
      <w:pPr>
        <w:pStyle w:val="15"/>
        <w:rPr>
          <w:sz w:val="72"/>
          <w:szCs w:val="72"/>
        </w:rPr>
      </w:pPr>
    </w:p>
    <w:p>
      <w:pPr>
        <w:pStyle w:val="15"/>
        <w:rPr>
          <w:sz w:val="72"/>
          <w:szCs w:val="72"/>
        </w:rPr>
      </w:pPr>
    </w:p>
    <w:p>
      <w:pPr>
        <w:pStyle w:val="15"/>
        <w:jc w:val="center"/>
        <w:rPr>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5"/>
        <w:jc w:val="center"/>
        <w:rPr>
          <w:rFonts w:hint="eastAsia" w:ascii="方正小标宋_GBK" w:hAnsi="方正小标宋_GBK" w:eastAsia="方正小标宋_GBK" w:cs="方正小标宋_GBK"/>
          <w:sz w:val="70"/>
          <w:szCs w:val="70"/>
        </w:rPr>
      </w:pPr>
    </w:p>
    <w:p>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108.03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本年度较上年度减少省市民族运动会专项资金。少了两个专项项目。</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475.24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47.72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520.55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52.28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108.03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本年度较上年度减少省市民族运动会专项资金。少了两个专项项目。</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108.03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本年度较上年度减少省市民族运动会专项资金。少了两个专项项目。</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909.84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91.37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68.37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卫生健康（类）支出</w:t>
      </w:r>
      <w:r>
        <w:rPr>
          <w:rFonts w:hint="eastAsia" w:ascii="Times New Roman" w:hAnsi="Times New Roman" w:eastAsia="仿宋_GB2312"/>
          <w:sz w:val="32"/>
          <w:szCs w:val="32"/>
          <w:lang w:val="en-US" w:eastAsia="zh-CN"/>
        </w:rPr>
        <w:t>17.58，占1.76%。</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898.74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995.79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110.8</w:t>
      </w:r>
      <w:r>
        <w:rPr>
          <w:rFonts w:hint="eastAsia" w:ascii="Times New Roman" w:hAnsi="Times New Roman" w:eastAsia="仿宋_GB2312"/>
          <w:sz w:val="32"/>
          <w:szCs w:val="32"/>
        </w:rPr>
        <w:t>%，其中：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2012301）</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378.42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445.49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117.72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本年度职工工资，奖金支出大于年度预算数</w:t>
      </w:r>
      <w:r>
        <w:rPr>
          <w:rFonts w:hint="eastAsia" w:ascii="Times New Roman" w:hAnsi="Times New Roman" w:eastAsia="仿宋_GB2312"/>
          <w:sz w:val="32"/>
          <w:szCs w:val="32"/>
          <w:lang w:val="en-US" w:eastAsia="zh-CN"/>
        </w:rPr>
        <w:t>67万元</w:t>
      </w:r>
      <w:r>
        <w:rPr>
          <w:rFonts w:hint="eastAsia" w:ascii="Times New Roman" w:hAnsi="Times New Roman" w:eastAsia="仿宋_GB2312"/>
          <w:sz w:val="32"/>
          <w:szCs w:val="32"/>
          <w:lang w:eastAsia="zh-CN"/>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2012302）</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59.73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99.55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厉行节约，严格控制开支。</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2012304）</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142.21</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本年度省民宗委下拨给本单位省级少数民族工作专项资金</w:t>
      </w:r>
      <w:r>
        <w:rPr>
          <w:rFonts w:hint="eastAsia" w:ascii="Times New Roman" w:hAnsi="Times New Roman" w:eastAsia="仿宋_GB2312"/>
          <w:sz w:val="32"/>
          <w:szCs w:val="32"/>
          <w:lang w:val="en-US" w:eastAsia="zh-CN"/>
        </w:rPr>
        <w:t>23万元，没在年初预算范围内</w:t>
      </w:r>
      <w:r>
        <w:rPr>
          <w:rFonts w:hint="eastAsia" w:ascii="Times New Roman" w:hAnsi="Times New Roman" w:eastAsia="仿宋_GB2312"/>
          <w:sz w:val="32"/>
          <w:szCs w:val="32"/>
          <w:lang w:eastAsia="zh-CN"/>
        </w:rPr>
        <w:t>。</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2012399）</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180.83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233.93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129.36</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第九届省级少数民族运动会追加奖金</w:t>
      </w:r>
      <w:r>
        <w:rPr>
          <w:rFonts w:hint="eastAsia" w:ascii="Times New Roman" w:hAnsi="Times New Roman" w:eastAsia="仿宋_GB2312"/>
          <w:sz w:val="32"/>
          <w:szCs w:val="32"/>
          <w:lang w:val="en-US" w:eastAsia="zh-CN"/>
        </w:rPr>
        <w:t>20万元，及年度考核绩效奖28万，没在年初预算范围内。</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201）统战事务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20134）宗教事务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2013404）</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省民宗委下拨的</w:t>
      </w:r>
      <w:r>
        <w:rPr>
          <w:rFonts w:hint="eastAsia" w:ascii="Times New Roman" w:hAnsi="Times New Roman" w:eastAsia="仿宋_GB2312"/>
          <w:sz w:val="32"/>
          <w:szCs w:val="32"/>
          <w:lang w:val="en-US" w:eastAsia="zh-CN"/>
        </w:rPr>
        <w:t>2.7万元宗教界人士困难补助没在年初预算范围内。</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201）其他一般公共服务支出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20199）其他一般公共服务支出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2019999）</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年初预算为0万元，支出决算为49.99万元，完成年初预算的0%，</w:t>
      </w:r>
      <w:r>
        <w:rPr>
          <w:rFonts w:hint="eastAsia" w:ascii="Times New Roman" w:hAnsi="Times New Roman" w:eastAsia="仿宋_GB2312"/>
          <w:sz w:val="32"/>
          <w:szCs w:val="32"/>
        </w:rPr>
        <w:t>决数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本年度结转上年度没有使用完的预算资金本年度继续使用。不属于年初预算安排。</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2080501）</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93.92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厉行节约，严格控制开支。</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2080505）</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38.44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43.48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113.11</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人员变动导致机关事业单位养老保险支出增多。。</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2080599）</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22.88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108.95</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人员变动导致机关事业单位养老保险支出增多。</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10、卫生健康</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21011行政单位医疗</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2101101）</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107.72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人员变动导致行政事业单位基本医疗保险支出增多。</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475.24</w:t>
      </w:r>
      <w:r>
        <w:rPr>
          <w:rFonts w:hint="eastAsia" w:ascii="Times New Roman" w:hAnsi="Times New Roman" w:eastAsia="仿宋_GB2312"/>
          <w:sz w:val="32"/>
          <w:szCs w:val="32"/>
        </w:rPr>
        <w:t>万元，其中：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401.31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84.44</w:t>
      </w:r>
      <w:r>
        <w:rPr>
          <w:rFonts w:hint="eastAsia" w:ascii="Times New Roman" w:hAnsi="Times New Roman" w:eastAsia="仿宋_GB2312"/>
          <w:sz w:val="32"/>
          <w:szCs w:val="32"/>
        </w:rPr>
        <w:t>%,主要包括基本工资、津贴补贴、奖金、伙食补助</w:t>
      </w:r>
      <w:r>
        <w:rPr>
          <w:rFonts w:hint="eastAsia" w:ascii="Times New Roman" w:hAnsi="Times New Roman" w:eastAsia="仿宋_GB2312"/>
          <w:sz w:val="32"/>
          <w:szCs w:val="32"/>
          <w:lang w:eastAsia="zh-CN"/>
        </w:rPr>
        <w:t>、机关事业单位基本养老保险支出、行政事业单位基本医疗保险支出等。</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b/>
          <w:bCs/>
          <w:sz w:val="32"/>
          <w:szCs w:val="32"/>
          <w:lang w:val="en-US" w:eastAsia="zh-CN"/>
        </w:rPr>
        <w:t>47.16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15.56</w:t>
      </w:r>
      <w:r>
        <w:rPr>
          <w:rFonts w:hint="eastAsia" w:ascii="Times New Roman" w:hAnsi="Times New Roman" w:eastAsia="仿宋_GB2312"/>
          <w:sz w:val="32"/>
          <w:szCs w:val="32"/>
        </w:rPr>
        <w:t>%，主要包括办公费、印刷费、咨询费、</w:t>
      </w:r>
      <w:r>
        <w:rPr>
          <w:rFonts w:hint="eastAsia" w:ascii="Times New Roman" w:hAnsi="Times New Roman" w:eastAsia="仿宋_GB2312"/>
          <w:sz w:val="32"/>
          <w:szCs w:val="32"/>
          <w:lang w:eastAsia="zh-CN"/>
        </w:rPr>
        <w:t>其他交通费用、工会经费等</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8.58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94.91</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厉行勤俭节约，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20.14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70.13</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上年度新购置了一台公务用车</w:t>
      </w:r>
      <w:r>
        <w:rPr>
          <w:rFonts w:hint="eastAsia" w:ascii="Times New Roman" w:hAnsi="Times New Roman" w:eastAsia="仿宋_GB2312"/>
          <w:sz w:val="32"/>
          <w:szCs w:val="32"/>
          <w:lang w:val="en-US" w:eastAsia="zh-CN"/>
        </w:rPr>
        <w:t>20.05万元</w:t>
      </w:r>
      <w:r>
        <w:rPr>
          <w:rFonts w:hint="eastAsia" w:ascii="Times New Roman" w:hAnsi="Times New Roman" w:eastAsia="仿宋_GB2312"/>
          <w:sz w:val="32"/>
          <w:szCs w:val="32"/>
        </w:rPr>
        <w:t>。其中：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没有列支预算，也没有实际发生支出。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88.75</w:t>
      </w:r>
      <w:r>
        <w:rPr>
          <w:rFonts w:hint="eastAsia" w:ascii="Times New Roman" w:hAnsi="Times New Roman" w:eastAsia="仿宋_GB2312"/>
          <w:sz w:val="32"/>
          <w:szCs w:val="32"/>
        </w:rPr>
        <w:t>%，决算数小于预算数的主要原因</w:t>
      </w:r>
      <w:r>
        <w:rPr>
          <w:rFonts w:hint="eastAsia" w:ascii="Times New Roman" w:hAnsi="Times New Roman" w:eastAsia="仿宋_GB2312"/>
          <w:sz w:val="32"/>
          <w:szCs w:val="32"/>
          <w:lang w:eastAsia="zh-CN"/>
        </w:rPr>
        <w:t>是厉行勤俭节约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严格控制接待人数和接待标准。</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接待人数较上年度稍少</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没有列支预算，也没有实际发生支出。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99.8</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严格公车管理</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正好持平，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严格公车管理</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41.38</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5.03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58.62</w:t>
      </w:r>
      <w:r>
        <w:rPr>
          <w:rFonts w:hint="eastAsia" w:ascii="Times New Roman" w:hAnsi="Times New Roman" w:eastAsia="仿宋_GB2312"/>
          <w:sz w:val="32"/>
          <w:szCs w:val="32"/>
        </w:rPr>
        <w:t>%。其中：</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，无开支。</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364</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接待上级民宗部门调研，检查，下级民宗部门汇报，其他地区民宗部门考察，交流，学习等</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5.03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5.03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车辆油料费，车辆维护和保养费，过桥过路费，车辆保险费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元。</w:t>
      </w:r>
      <w:r>
        <w:rPr>
          <w:rFonts w:hint="eastAsia" w:ascii="Times New Roman" w:hAnsi="Times New Roman" w:eastAsia="仿宋_GB2312"/>
          <w:sz w:val="32"/>
          <w:szCs w:val="32"/>
          <w:lang w:eastAsia="zh-CN"/>
        </w:rPr>
        <w:t>本单位无政府性基金收支。</w:t>
      </w:r>
    </w:p>
    <w:p>
      <w:pPr>
        <w:pStyle w:val="15"/>
        <w:numPr>
          <w:ilvl w:val="0"/>
          <w:numId w:val="2"/>
        </w:numPr>
        <w:ind w:left="641" w:leftChars="0" w:firstLine="0" w:firstLineChars="0"/>
        <w:rPr>
          <w:rFonts w:hint="eastAsia"/>
          <w:b/>
          <w:sz w:val="32"/>
          <w:szCs w:val="32"/>
          <w:lang w:val="en-US" w:eastAsia="zh-CN"/>
        </w:rPr>
      </w:pPr>
      <w:r>
        <w:rPr>
          <w:rFonts w:hint="eastAsia"/>
          <w:b/>
          <w:sz w:val="32"/>
          <w:szCs w:val="32"/>
          <w:lang w:val="en-US" w:eastAsia="zh-CN"/>
        </w:rPr>
        <w:t>国有资本经营预算财政拨款收入支出决算情况说明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2023年度国有资本经营预算财政拨款收入0万元，其中基本支出0万元，项目支出0万元，本单位无国有资本经营预算财政拨款支出。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bCs w:val="0"/>
          <w:sz w:val="32"/>
          <w:szCs w:val="32"/>
          <w:lang w:eastAsia="zh-CN"/>
        </w:rPr>
        <w:t>十</w:t>
      </w:r>
      <w:r>
        <w:rPr>
          <w:rFonts w:hint="eastAsia" w:ascii="黑体" w:hAnsi="黑体" w:eastAsia="黑体" w:cs="黑体"/>
          <w:b w:val="0"/>
          <w:bCs/>
          <w:sz w:val="32"/>
          <w:szCs w:val="32"/>
        </w:rPr>
        <w:t>、关于机关运行经费支出说明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47.16</w:t>
      </w:r>
      <w:r>
        <w:rPr>
          <w:rFonts w:hint="eastAsia" w:ascii="Times New Roman" w:hAnsi="Times New Roman" w:eastAsia="仿宋_GB2312"/>
          <w:sz w:val="32"/>
          <w:szCs w:val="32"/>
        </w:rPr>
        <w:t>万元，比年初预算数减少</w:t>
      </w:r>
      <w:r>
        <w:rPr>
          <w:rFonts w:hint="eastAsia" w:ascii="Times New Roman" w:hAnsi="Times New Roman" w:eastAsia="仿宋_GB2312"/>
          <w:sz w:val="32"/>
          <w:szCs w:val="32"/>
          <w:lang w:val="en-US" w:eastAsia="zh-CN"/>
        </w:rPr>
        <w:t>5.64</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10.68</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厉行勤俭节约，压缩机关运行的开支。</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bCs w:val="0"/>
          <w:sz w:val="32"/>
          <w:szCs w:val="32"/>
          <w:lang w:eastAsia="zh-CN"/>
        </w:rPr>
        <w:t>十一</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一般性支出情况说明</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会议费本年度支出5.7</w:t>
      </w:r>
      <w:r>
        <w:rPr>
          <w:rFonts w:hint="eastAsia" w:ascii="仿宋_GB2312" w:hAnsi="仿宋" w:eastAsia="仿宋_GB2312"/>
          <w:sz w:val="32"/>
          <w:szCs w:val="32"/>
          <w:lang w:val="en-US" w:eastAsia="zh-CN"/>
        </w:rPr>
        <w:t>2</w:t>
      </w:r>
      <w:r>
        <w:rPr>
          <w:rFonts w:hint="eastAsia" w:ascii="仿宋_GB2312" w:hAnsi="仿宋" w:eastAsia="仿宋_GB2312"/>
          <w:sz w:val="32"/>
          <w:szCs w:val="32"/>
        </w:rPr>
        <w:t>万元，与上年度相比，增加3.1</w:t>
      </w:r>
      <w:r>
        <w:rPr>
          <w:rFonts w:hint="eastAsia" w:ascii="仿宋_GB2312" w:hAnsi="仿宋" w:eastAsia="仿宋_GB2312"/>
          <w:sz w:val="32"/>
          <w:szCs w:val="32"/>
          <w:lang w:val="en-US" w:eastAsia="zh-CN"/>
        </w:rPr>
        <w:t>9</w:t>
      </w:r>
      <w:r>
        <w:rPr>
          <w:rFonts w:hint="eastAsia" w:ascii="仿宋_GB2312" w:hAnsi="仿宋" w:eastAsia="仿宋_GB2312"/>
          <w:sz w:val="32"/>
          <w:szCs w:val="32"/>
        </w:rPr>
        <w:t>万元。原因是本年度新增3个专项业务，召开会议较多。</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培训费本年度支出1.74万元，与上年度相比，增加1.74万元，原因是本年度创建“全国民族团结进步示范市”，培训的业务活动较多。 </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5.72</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全市民宗局长培训民族团结进步创建工作推进</w:t>
      </w:r>
      <w:r>
        <w:rPr>
          <w:rFonts w:hint="eastAsia" w:ascii="Times New Roman" w:hAnsi="Times New Roman" w:eastAsia="仿宋_GB2312"/>
          <w:sz w:val="32"/>
          <w:szCs w:val="32"/>
        </w:rPr>
        <w:t>会，人数</w:t>
      </w:r>
      <w:r>
        <w:rPr>
          <w:rFonts w:hint="eastAsia" w:ascii="Times New Roman" w:hAnsi="Times New Roman" w:eastAsia="仿宋_GB2312"/>
          <w:sz w:val="32"/>
          <w:szCs w:val="32"/>
          <w:lang w:val="en-US" w:eastAsia="zh-CN"/>
        </w:rPr>
        <w:t>65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召开全市民宗局长培训及民族团结进步创建工作推进</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经费预算为</w:t>
      </w:r>
      <w:r>
        <w:rPr>
          <w:rFonts w:hint="eastAsia" w:ascii="Times New Roman" w:hAnsi="Times New Roman" w:eastAsia="仿宋_GB2312"/>
          <w:sz w:val="32"/>
          <w:szCs w:val="32"/>
          <w:lang w:val="en-US" w:eastAsia="zh-CN"/>
        </w:rPr>
        <w:t>4万，实际开支1.86万元；用于召开市人大常委会评议市民族宗教事务局工作动员会和座谈会，内容为人大常委会评议市民族宗教事务局工作进行动员和座谈，人数为45人，预算0.82万元，实际开支0.58万元；用于召开创建全国民族团结进步示范市推进会，内容为对创建全国民族团结进步示范市这项工作进行推进，人员130人，预算0.94万元，实际开支0.76万元；用于召开怀化市创建全国民族团结进步示范市汇报会，内容为汇报创建工作情况，省第三方评估组代表反馈评估调研情况，市直，省，中央在怀单位参加理论测试市，市长表态发言，人数55人，预算0.79万元，实际开支0.75万元；用于召开新疆驻湘工作组来怀座谈宣讲会议，内容为新疆驻湘工作组来怀座谈宣讲，会议预算为0.35万元，人数36人，实际开支0.33万元；用于召开怀化市创建全国民族团结进步示范市迎接国家考评工作会议的通知，内容全国民族团结进步示范市迎接国家考评工作动员和部署，人数230人，预算为1.14万元，实际开支0.98万元，用于召开怀化市民族团结进步协会第一届会员大会暨成立大会。内容为怀化市民族团结进步协会第一届会员大会暨成立。人员为55人，预算为1.75万元，实际开支1.51万元；用于召开怀化市创建全国民族团结进步示范市迎国家考评县市区准备情况调度会，内容为对怀化市创建全国民族团结进步示范市迎国家考评县市区准备情况进行调度，人数为26人，预算为0.52万元，实际开支0.46万元；用于召开民族团结进步文艺巡演工作座谈会，内容为市民宗局汇报民族团结进步工作及民族文化发展情况及相关民族团结进步巡演情况。人数为0.15万元实际开支0.14万元；用于召开省委综合督查组督查怀化民宗工作意见反馈会，内容为省委综合督查组对督查怀化民宗工作的情况进行意见反馈，人员为65人，预算0.61万元，实际开支0.58万元；用于召开中央民大支持怀化市创建全国民族团结进步示范市提质增效会，内容市中央民大支持怀化市创建全国民族团结进步示范市，现场指导民族团结进步创建工作，提质增效，人数42人，预算1.35万元，实际开支1.18万元。2023年本部门</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1.74</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创建专干</w:t>
      </w:r>
      <w:r>
        <w:rPr>
          <w:rFonts w:hint="eastAsia" w:ascii="Times New Roman" w:hAnsi="Times New Roman" w:eastAsia="仿宋_GB2312"/>
          <w:sz w:val="32"/>
          <w:szCs w:val="32"/>
        </w:rPr>
        <w:t>培训</w:t>
      </w:r>
      <w:r>
        <w:rPr>
          <w:rFonts w:hint="eastAsia" w:ascii="Times New Roman" w:hAnsi="Times New Roman" w:eastAsia="仿宋_GB2312"/>
          <w:sz w:val="32"/>
          <w:szCs w:val="32"/>
          <w:lang w:eastAsia="zh-CN"/>
        </w:rPr>
        <w:t>会</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人，内容</w:t>
      </w:r>
      <w:r>
        <w:rPr>
          <w:rFonts w:hint="eastAsia" w:ascii="Times New Roman" w:hAnsi="Times New Roman" w:eastAsia="仿宋_GB2312"/>
          <w:sz w:val="32"/>
          <w:szCs w:val="32"/>
          <w:lang w:eastAsia="zh-CN"/>
        </w:rPr>
        <w:t>为召开创建专干培训</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实际开支</w:t>
      </w:r>
      <w:r>
        <w:rPr>
          <w:rFonts w:hint="eastAsia" w:ascii="Times New Roman" w:hAnsi="Times New Roman" w:eastAsia="仿宋_GB2312"/>
          <w:sz w:val="32"/>
          <w:szCs w:val="32"/>
          <w:lang w:val="en-US" w:eastAsia="zh-CN"/>
        </w:rPr>
        <w:t>1.05万元，</w:t>
      </w:r>
      <w:r>
        <w:rPr>
          <w:rFonts w:hint="eastAsia" w:ascii="Times New Roman" w:hAnsi="Times New Roman" w:eastAsia="仿宋_GB2312"/>
          <w:sz w:val="32"/>
          <w:szCs w:val="32"/>
          <w:lang w:eastAsia="zh-CN"/>
        </w:rPr>
        <w:t>用于开展创建工作解说员培训费，人数</w:t>
      </w:r>
      <w:r>
        <w:rPr>
          <w:rFonts w:hint="eastAsia" w:ascii="Times New Roman" w:hAnsi="Times New Roman" w:eastAsia="仿宋_GB2312"/>
          <w:sz w:val="32"/>
          <w:szCs w:val="32"/>
          <w:lang w:val="en-US" w:eastAsia="zh-CN"/>
        </w:rPr>
        <w:t>70人。预算为0.7万元，实际开支0.69万元。没有举办</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bCs w:val="0"/>
          <w:sz w:val="32"/>
          <w:szCs w:val="32"/>
        </w:rPr>
        <w:t>十</w:t>
      </w:r>
      <w:r>
        <w:rPr>
          <w:rFonts w:hint="eastAsia" w:hAnsi="黑体" w:cs="黑体"/>
          <w:b/>
          <w:bCs w:val="0"/>
          <w:sz w:val="32"/>
          <w:szCs w:val="32"/>
          <w:lang w:eastAsia="zh-CN"/>
        </w:rPr>
        <w:t>二</w:t>
      </w:r>
      <w:r>
        <w:rPr>
          <w:rFonts w:hint="eastAsia" w:ascii="黑体" w:hAnsi="黑体" w:eastAsia="黑体" w:cs="黑体"/>
          <w:b w:val="0"/>
          <w:bCs/>
          <w:sz w:val="32"/>
          <w:szCs w:val="32"/>
        </w:rPr>
        <w:t>、关于政府采购支出说明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bCs w:val="0"/>
          <w:color w:val="auto"/>
          <w:sz w:val="32"/>
          <w:szCs w:val="32"/>
        </w:rPr>
        <w:t>十</w:t>
      </w:r>
      <w:r>
        <w:rPr>
          <w:rFonts w:hint="eastAsia" w:hAnsi="黑体" w:cs="黑体"/>
          <w:b/>
          <w:bCs w:val="0"/>
          <w:color w:val="auto"/>
          <w:sz w:val="32"/>
          <w:szCs w:val="32"/>
          <w:lang w:eastAsia="zh-CN"/>
        </w:rPr>
        <w:t>三</w:t>
      </w:r>
      <w:r>
        <w:rPr>
          <w:rFonts w:hint="eastAsia" w:ascii="黑体" w:hAnsi="黑体" w:eastAsia="黑体" w:cs="黑体"/>
          <w:b w:val="0"/>
          <w:bCs/>
          <w:color w:val="auto"/>
          <w:sz w:val="32"/>
          <w:szCs w:val="32"/>
        </w:rPr>
        <w:t>、关于国有资产占用情况说明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bCs w:val="0"/>
          <w:color w:val="auto"/>
          <w:sz w:val="32"/>
          <w:szCs w:val="32"/>
        </w:rPr>
        <w:t>十</w:t>
      </w:r>
      <w:r>
        <w:rPr>
          <w:rFonts w:hint="eastAsia" w:hAnsi="黑体" w:cs="黑体"/>
          <w:b/>
          <w:bCs w:val="0"/>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2023年，根据财政下达的预算资金使用预算资金全面完成本局的职责，职能，预算资金的使用达到到了既定的绩效目标。</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spacing w:line="600" w:lineRule="exact"/>
        <w:ind w:firstLine="640" w:firstLineChars="200"/>
        <w:rPr>
          <w:rFonts w:hint="eastAsia" w:ascii="楷体_GB2312" w:hAnsi="仿宋" w:eastAsia="楷体_GB2312"/>
          <w:b/>
          <w:sz w:val="32"/>
          <w:szCs w:val="32"/>
        </w:rPr>
      </w:pPr>
      <w:r>
        <w:rPr>
          <w:rFonts w:hint="eastAsia" w:ascii="楷体_GB2312" w:hAnsi="仿宋" w:eastAsia="楷体_GB2312"/>
          <w:b/>
          <w:sz w:val="32"/>
          <w:szCs w:val="32"/>
        </w:rPr>
        <w:t>当年取得的主要事业成效。</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在省民宗委的悉心指导和市委市政府的正确领导下，怀化始终围绕中心、服务大局，坚持以推动新时代民宗工作高质量发展为主题，如期创成全国民族团结进步示范市，积极引导宗教与社会主义社会相适应，全市民宗领域持续保持和谐和顺稳定。</w:t>
      </w:r>
    </w:p>
    <w:p>
      <w:pPr>
        <w:pStyle w:val="1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 w:hAnsi="仿宋" w:eastAsia="仿宋" w:cs="黑体"/>
          <w:b/>
          <w:sz w:val="32"/>
          <w:szCs w:val="32"/>
        </w:rPr>
        <w:t>1.深入学习宣传贯彻习近平新时代中国特色社会主义思想和党的二十大精神，坚定拥护“两个确立”、坚决做到“两个维护”。</w:t>
      </w:r>
      <w:r>
        <w:rPr>
          <w:rFonts w:hint="eastAsia" w:ascii="仿宋_GB2312" w:hAnsi="仿宋_GB2312" w:eastAsia="仿宋_GB2312" w:cs="仿宋_GB2312"/>
          <w:b/>
          <w:bCs/>
          <w:sz w:val="32"/>
          <w:szCs w:val="32"/>
        </w:rPr>
        <w:t>一是加强理论学习。</w:t>
      </w:r>
      <w:r>
        <w:rPr>
          <w:rFonts w:hint="eastAsia" w:ascii="仿宋_GB2312" w:hAnsi="仿宋_GB2312" w:eastAsia="仿宋_GB2312" w:cs="仿宋_GB2312"/>
          <w:sz w:val="32"/>
          <w:szCs w:val="32"/>
        </w:rPr>
        <w:t>2023年召开党组理论学习中心组会议12次、党组会议18次，第一时间传达学习习近平总书记系列重要讲话重要指示批示精神，特别是认真学习了中央民族工作、全国宗教工作会议精神，当好市委政府参谋，出台了贯彻落实会议精神的两项实施方案，推动学习贯彻习近平新时代中国特色社会主义思想往深里走、往心里走、往实里走。</w:t>
      </w:r>
      <w:r>
        <w:rPr>
          <w:rFonts w:hint="eastAsia" w:ascii="仿宋_GB2312" w:hAnsi="仿宋_GB2312" w:eastAsia="仿宋_GB2312" w:cs="仿宋_GB2312"/>
          <w:b/>
          <w:bCs/>
          <w:sz w:val="32"/>
          <w:szCs w:val="32"/>
        </w:rPr>
        <w:t>二是全面落实党的二十大精神。</w:t>
      </w:r>
      <w:r>
        <w:rPr>
          <w:rFonts w:hint="eastAsia" w:ascii="仿宋_GB2312" w:hAnsi="仿宋_GB2312" w:eastAsia="仿宋_GB2312" w:cs="仿宋_GB2312"/>
          <w:sz w:val="32"/>
          <w:szCs w:val="32"/>
        </w:rPr>
        <w:t>坚持学思用贯通、知信行统一，将党的二十大精神纳入全体干部职工必学内容，纳入基层民宗干部培训内容，纳入宗教活动场所“五进五好”活动内容，切实将全市民族宗教领域的思想和行动统一到党的二十大精神上来，把力量凝聚到二十大确定的各项任务上来。</w:t>
      </w:r>
      <w:r>
        <w:rPr>
          <w:rFonts w:hint="eastAsia" w:ascii="仿宋_GB2312" w:hAnsi="仿宋_GB2312" w:eastAsia="仿宋_GB2312" w:cs="仿宋_GB2312"/>
          <w:b/>
          <w:bCs/>
          <w:sz w:val="32"/>
          <w:szCs w:val="32"/>
        </w:rPr>
        <w:t>三是扎实开展主题教育。</w:t>
      </w:r>
      <w:r>
        <w:rPr>
          <w:rFonts w:hint="eastAsia" w:ascii="仿宋_GB2312" w:hAnsi="仿宋_GB2312" w:eastAsia="仿宋_GB2312" w:cs="仿宋_GB2312"/>
          <w:sz w:val="32"/>
          <w:szCs w:val="32"/>
        </w:rPr>
        <w:t>紧扣“学思想、强党性、重实践、建新功”要求，高标准开展学习贯彻习近平新时代中国特色社会主义思想主题教育，举办专题读书班1期，开展集中学习研讨4次，开展“走基层、找问题、想办法、促发展”调查研究30余次，推动解决群众急难愁盼问题20余项。</w:t>
      </w:r>
      <w:r>
        <w:rPr>
          <w:rFonts w:hint="eastAsia" w:ascii="仿宋_GB2312" w:hAnsi="仿宋_GB2312" w:eastAsia="仿宋_GB2312" w:cs="仿宋_GB2312"/>
          <w:b/>
          <w:bCs/>
          <w:sz w:val="32"/>
          <w:szCs w:val="32"/>
        </w:rPr>
        <w:t>四是顺利完成“两项督查”反馈问题整改。</w:t>
      </w:r>
      <w:r>
        <w:rPr>
          <w:rFonts w:hint="eastAsia" w:ascii="仿宋_GB2312" w:hAnsi="仿宋_GB2312" w:eastAsia="仿宋_GB2312" w:cs="仿宋_GB2312"/>
          <w:sz w:val="32"/>
          <w:szCs w:val="32"/>
        </w:rPr>
        <w:t>中央民族工作会议精神检查暨宗教工作督查指出湖南省的4个方面12项具体问题，省委有关统战工作重要会议和重要文件精神综合督查反馈怀化民族宗教类5个问题，现已全面整改到位。在全省迎接中央督查会议上，市委忠建书记在全省会议上作经验交流发言。</w:t>
      </w:r>
      <w:r>
        <w:rPr>
          <w:rFonts w:hint="eastAsia" w:ascii="仿宋_GB2312" w:hAnsi="仿宋_GB2312" w:eastAsia="仿宋_GB2312" w:cs="仿宋_GB2312"/>
          <w:b/>
          <w:bCs/>
          <w:sz w:val="32"/>
          <w:szCs w:val="32"/>
        </w:rPr>
        <w:t>五是宣传工作再上新台阶。</w:t>
      </w:r>
      <w:r>
        <w:rPr>
          <w:rFonts w:hint="eastAsia" w:ascii="仿宋_GB2312" w:hAnsi="仿宋_GB2312" w:eastAsia="仿宋_GB2312" w:cs="仿宋_GB2312"/>
          <w:sz w:val="32"/>
          <w:szCs w:val="32"/>
        </w:rPr>
        <w:t>在着力强化全系统、全领域理论宣传的同时，积极报送贯彻落实习近平总书记关于加强和改进民族工作的重要思想、关于宗教工作重要论述的典型做法。2023年，宣传信息获国家民委、省政府、省民宗委等刊发200余条，其中“以铸牢中华民族共同体意识为主线，开创民族工作新局面”相关做法获省政府《政务要情与交流》单篇采用，在全省推介。</w:t>
      </w:r>
    </w:p>
    <w:p>
      <w:pPr>
        <w:spacing w:line="560" w:lineRule="exact"/>
        <w:ind w:firstLine="640" w:firstLineChars="200"/>
        <w:rPr>
          <w:rFonts w:hint="eastAsia" w:ascii="仿宋" w:hAnsi="仿宋" w:eastAsia="仿宋" w:cs="黑体"/>
          <w:b/>
          <w:bCs/>
          <w:color w:val="000000"/>
          <w:sz w:val="32"/>
          <w:szCs w:val="32"/>
        </w:rPr>
      </w:pPr>
      <w:r>
        <w:rPr>
          <w:rFonts w:hint="eastAsia" w:ascii="仿宋" w:hAnsi="仿宋" w:eastAsia="仿宋" w:cs="黑体"/>
          <w:b/>
          <w:bCs/>
          <w:color w:val="000000"/>
          <w:sz w:val="32"/>
          <w:szCs w:val="32"/>
        </w:rPr>
        <w:t>2.以铸牢中华民族共同体意识为主线，推动新时代党的民族工作高质量发展。</w:t>
      </w:r>
    </w:p>
    <w:p>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(1)奋力创成民族团结进步示范市，经验做法获全国推荐。</w:t>
      </w:r>
      <w:r>
        <w:rPr>
          <w:rFonts w:hint="eastAsia" w:ascii="仿宋_GB2312" w:hAnsi="仿宋_GB2312" w:eastAsia="仿宋_GB2312" w:cs="仿宋_GB2312"/>
          <w:sz w:val="32"/>
          <w:szCs w:val="32"/>
        </w:rPr>
        <w:t>深入挖掘“一粒种子改变世界”的精神内涵和时代价值，大力弘扬种子的“向阳、传承、开拓、包容、共生”精神，引领各族儿女立志成为中华民族伟大复兴的“好种子”，探索出“种子精神+民族团结”的创建模式，相关经验做法获国家民委《民族工作简报》120期刊发，在全国民委系统推介，得到市委忠建书记肯定性批示“工作主动，有成效！”。2023年12月，我市成功创成全国民族团结进步示范市。创建工作有形有感有效、亮点纷呈。怀化联手贵州黔东南州、广西柳州市共建“环三省坡”区域铸牢中华民族共同体意识示范带，成功举办“一粒种子　改变世界”原创民族音乐会、“石榴花开美中华—民族团结进步文艺宣传活动进怀化”“民族团结进步大使发布会”等重要活动。全国海峡两岸少数民族交流与合作基地落户芷江。</w:t>
      </w:r>
    </w:p>
    <w:p>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(2)全面落实民族政策，科学推动民族地区发展。一是争取中央、省政策资金有新成效。</w:t>
      </w:r>
      <w:r>
        <w:rPr>
          <w:rFonts w:hint="eastAsia" w:ascii="仿宋_GB2312" w:hAnsi="仿宋_GB2312" w:eastAsia="仿宋_GB2312" w:cs="仿宋_GB2312"/>
          <w:sz w:val="32"/>
          <w:szCs w:val="32"/>
        </w:rPr>
        <w:t>争取2023年中央、省级财政衔接推进乡村振兴补助资金（少数民族发展任务）4804万元，落实中央财政贴息引导资金1378.68万元，获批全省第三批民族乡村振兴试点单位8家。</w:t>
      </w:r>
      <w:r>
        <w:rPr>
          <w:rFonts w:hint="eastAsia" w:ascii="仿宋_GB2312" w:hAnsi="仿宋_GB2312" w:eastAsia="仿宋_GB2312" w:cs="仿宋_GB2312"/>
          <w:b/>
          <w:bCs/>
          <w:sz w:val="32"/>
          <w:szCs w:val="32"/>
        </w:rPr>
        <w:t>二是精准落实高考加分政策。</w:t>
      </w:r>
      <w:r>
        <w:rPr>
          <w:rFonts w:hint="eastAsia" w:ascii="仿宋_GB2312" w:hAnsi="仿宋_GB2312" w:eastAsia="仿宋_GB2312" w:cs="仿宋_GB2312"/>
          <w:sz w:val="32"/>
          <w:szCs w:val="32"/>
        </w:rPr>
        <w:t>为全市12467名各民族考生落实高考优惠加分，全市无一人漏审、错审、投诉。</w:t>
      </w:r>
      <w:r>
        <w:rPr>
          <w:rFonts w:hint="eastAsia" w:ascii="仿宋_GB2312" w:hAnsi="仿宋_GB2312" w:eastAsia="仿宋_GB2312" w:cs="仿宋_GB2312"/>
          <w:b/>
          <w:bCs/>
          <w:sz w:val="32"/>
          <w:szCs w:val="32"/>
        </w:rPr>
        <w:t>三是扎实做好新一轮“逢十”庆典筹备工作。</w:t>
      </w:r>
      <w:r>
        <w:rPr>
          <w:rFonts w:hint="eastAsia" w:ascii="仿宋_GB2312" w:hAnsi="仿宋_GB2312" w:eastAsia="仿宋_GB2312" w:cs="仿宋_GB2312"/>
          <w:sz w:val="32"/>
          <w:szCs w:val="32"/>
        </w:rPr>
        <w:t>在指导完成辰溪罗子山民族乡庆典的同时，积极做好自治县“逢十”庆典筹备工作。2024年通道70周年县庆是全国新一轮“逢十”庆典的第一个县，我局积极争取省政府支持，已争取省级支持资金2亿余元，为做好新一轮庆典工作打下坚实基础。</w:t>
      </w:r>
      <w:r>
        <w:rPr>
          <w:rFonts w:hint="eastAsia" w:ascii="仿宋_GB2312" w:hAnsi="仿宋_GB2312" w:eastAsia="仿宋_GB2312" w:cs="仿宋_GB2312"/>
          <w:b/>
          <w:bCs/>
          <w:sz w:val="32"/>
          <w:szCs w:val="32"/>
        </w:rPr>
        <w:t>四是加强城市民族工作。</w:t>
      </w:r>
      <w:r>
        <w:rPr>
          <w:rFonts w:hint="eastAsia" w:ascii="仿宋_GB2312" w:hAnsi="仿宋_GB2312" w:eastAsia="仿宋_GB2312" w:cs="仿宋_GB2312"/>
          <w:sz w:val="32"/>
          <w:szCs w:val="32"/>
        </w:rPr>
        <w:t>建立城市民族工作服务站，聚焦便民服务、信息管理、纠纷调解等三大核心职能，为18.6万余名来怀各族群众提供服务、解决难题，推动外来各族群众安居乐业，工作经验在全省工作会议上获省委统战部隋忠诚部长推介。</w:t>
      </w:r>
      <w:r>
        <w:rPr>
          <w:rFonts w:hint="eastAsia" w:ascii="仿宋_GB2312" w:hAnsi="仿宋_GB2312" w:eastAsia="仿宋_GB2312" w:cs="仿宋_GB2312"/>
          <w:b/>
          <w:bCs/>
          <w:sz w:val="32"/>
          <w:szCs w:val="32"/>
        </w:rPr>
        <w:t>五是创造性争取各方面支持。</w:t>
      </w:r>
      <w:r>
        <w:rPr>
          <w:rFonts w:hint="eastAsia" w:ascii="仿宋_GB2312" w:hAnsi="仿宋_GB2312" w:eastAsia="仿宋_GB2312" w:cs="仿宋_GB2312"/>
          <w:sz w:val="32"/>
          <w:szCs w:val="32"/>
        </w:rPr>
        <w:t>多次赴京衔接汇报，与中央民族大学达成战略合作，在人才引进、课题研究等方面开展深度协作，助推民族地区发展。</w:t>
      </w:r>
      <w:r>
        <w:rPr>
          <w:rFonts w:hint="eastAsia" w:ascii="仿宋_GB2312" w:hAnsi="仿宋_GB2312" w:eastAsia="仿宋_GB2312" w:cs="仿宋_GB2312"/>
          <w:b/>
          <w:bCs/>
          <w:sz w:val="32"/>
          <w:szCs w:val="32"/>
        </w:rPr>
        <w:t>六是推进少数民族传统体育文化传承发展。</w:t>
      </w:r>
      <w:r>
        <w:rPr>
          <w:rFonts w:hint="eastAsia" w:ascii="仿宋_GB2312" w:hAnsi="仿宋_GB2312" w:eastAsia="仿宋_GB2312" w:cs="仿宋_GB2312"/>
          <w:sz w:val="32"/>
          <w:szCs w:val="32"/>
        </w:rPr>
        <w:t>精心组织参加第十届全省少数民族传统体育运动会，取得团体总分第2名的优异成绩。</w:t>
      </w:r>
    </w:p>
    <w:p>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(3)深入推进凝心铸魂工作，铸牢中华民族共同体意识宣传教育成效斐然。</w:t>
      </w:r>
      <w:r>
        <w:rPr>
          <w:rFonts w:hint="eastAsia" w:ascii="仿宋_GB2312" w:hAnsi="仿宋_GB2312" w:eastAsia="仿宋_GB2312" w:cs="仿宋_GB2312"/>
          <w:sz w:val="32"/>
          <w:szCs w:val="32"/>
        </w:rPr>
        <w:t>突出三个聚焦，着力构建铸牢中华民族共同体意识宣传教育常态化机制，推动中华民族共同体理念深入人心。</w:t>
      </w:r>
      <w:r>
        <w:rPr>
          <w:rFonts w:hint="eastAsia" w:ascii="仿宋_GB2312" w:hAnsi="仿宋_GB2312" w:eastAsia="仿宋_GB2312" w:cs="仿宋_GB2312"/>
          <w:b/>
          <w:bCs/>
          <w:sz w:val="32"/>
          <w:szCs w:val="32"/>
        </w:rPr>
        <w:t>一是聚焦党员干部教育，创新“院校+基地”模式。</w:t>
      </w:r>
      <w:r>
        <w:rPr>
          <w:rFonts w:hint="eastAsia" w:ascii="仿宋_GB2312" w:hAnsi="仿宋_GB2312" w:eastAsia="仿宋_GB2312" w:cs="仿宋_GB2312"/>
          <w:sz w:val="32"/>
          <w:szCs w:val="32"/>
        </w:rPr>
        <w:t>抓好党校教育“主渠道”，将铸牢中华民族共同体意识教育纳入市、县两级党校教学计划和主体班次培训内容。建立教育场馆“微阵地”，在全市红色教育场馆成立中华民族共同体意识实践基地和现场教学点。打造理论研究“新基地”，依托国家民委中华民族共同体研究基地（怀化学院），加强中华民族共同体意识研究阐释，在SCI等核心期刊发文20篇、出版专著5本、培训学员500余人。</w:t>
      </w:r>
      <w:r>
        <w:rPr>
          <w:rFonts w:hint="eastAsia" w:ascii="仿宋_GB2312" w:hAnsi="仿宋_GB2312" w:eastAsia="仿宋_GB2312" w:cs="仿宋_GB2312"/>
          <w:b/>
          <w:bCs/>
          <w:sz w:val="32"/>
          <w:szCs w:val="32"/>
        </w:rPr>
        <w:t>二是聚焦国民教育，纳入大中小学教育教学内容。</w:t>
      </w:r>
      <w:r>
        <w:rPr>
          <w:rFonts w:hint="eastAsia" w:ascii="仿宋_GB2312" w:hAnsi="仿宋_GB2312" w:eastAsia="仿宋_GB2312" w:cs="仿宋_GB2312"/>
          <w:sz w:val="32"/>
          <w:szCs w:val="32"/>
        </w:rPr>
        <w:t>将大中小学校课堂教育和思政教育作为铸牢中华民族共同体意识教育的主阵地，打造省、市铸牢中华民族共同体意识示范学校30所，芷江荷花池小学新时代思政教育模式吸引省内外来校调研学习近30批次，在全省民宗系统推介。</w:t>
      </w:r>
      <w:r>
        <w:rPr>
          <w:rFonts w:hint="eastAsia" w:ascii="仿宋_GB2312" w:hAnsi="仿宋_GB2312" w:eastAsia="仿宋_GB2312" w:cs="仿宋_GB2312"/>
          <w:b/>
          <w:bCs/>
          <w:sz w:val="32"/>
          <w:szCs w:val="32"/>
        </w:rPr>
        <w:t>三是聚焦社会教育，与城市管理、文旅活动、媒体宣传等有机融合。</w:t>
      </w:r>
      <w:r>
        <w:rPr>
          <w:rFonts w:hint="eastAsia" w:ascii="仿宋_GB2312" w:hAnsi="仿宋_GB2312" w:eastAsia="仿宋_GB2312" w:cs="仿宋_GB2312"/>
          <w:sz w:val="32"/>
          <w:szCs w:val="32"/>
        </w:rPr>
        <w:t>开设“怀化民族团结”微信公众号，建成铸牢中华民族共同体意识主题公园14座、广场13个、街道13条、教育实践基地11处，开通民族团结客运班线、公交专线30条，规划建设中华文化公园1座，开设怀化“道中华”讲堂，让各族群众在潜移默化的教育熏陶中进一步铸牢中华民族共同体意识。怀化市打造铸牢中华民族共同体意识体验馆、芷江和平湖铸牢中华民族共同体意识教育实践基地做法获国家民委、省民宗委充分肯定。</w:t>
      </w:r>
    </w:p>
    <w:p>
      <w:pPr>
        <w:pBdr>
          <w:bottom w:val="single" w:color="FFFFFF" w:sz="4" w:space="31"/>
        </w:pBdr>
        <w:spacing w:line="560" w:lineRule="exact"/>
        <w:ind w:firstLine="640" w:firstLineChars="200"/>
        <w:rPr>
          <w:rFonts w:hint="eastAsia" w:ascii="仿宋" w:hAnsi="仿宋" w:eastAsia="仿宋" w:cs="黑体"/>
          <w:b/>
          <w:sz w:val="32"/>
          <w:szCs w:val="32"/>
        </w:rPr>
      </w:pPr>
      <w:r>
        <w:rPr>
          <w:rFonts w:hint="eastAsia" w:ascii="仿宋" w:hAnsi="仿宋" w:eastAsia="仿宋" w:cs="黑体"/>
          <w:b/>
          <w:sz w:val="32"/>
          <w:szCs w:val="32"/>
        </w:rPr>
        <w:t>3.坚持宗教中国化方向，不断开创宗教工作新局面（涉密）。</w:t>
      </w:r>
    </w:p>
    <w:p>
      <w:pPr>
        <w:pBdr>
          <w:bottom w:val="single" w:color="FFFFFF" w:sz="4" w:space="31"/>
        </w:pBdr>
        <w:tabs>
          <w:tab w:val="left" w:pos="3360"/>
        </w:tabs>
        <w:spacing w:line="560" w:lineRule="exact"/>
        <w:ind w:firstLine="640" w:firstLineChars="200"/>
        <w:rPr>
          <w:rFonts w:hint="eastAsia" w:ascii="仿宋" w:hAnsi="仿宋" w:eastAsia="仿宋" w:cs="仿宋_GB2312"/>
          <w:sz w:val="32"/>
          <w:szCs w:val="32"/>
        </w:rPr>
      </w:pPr>
      <w:r>
        <w:rPr>
          <w:rFonts w:hint="eastAsia" w:ascii="仿宋" w:hAnsi="仿宋" w:eastAsia="仿宋" w:cs="楷体_GB2312"/>
          <w:bCs/>
          <w:kern w:val="0"/>
          <w:sz w:val="32"/>
          <w:szCs w:val="32"/>
        </w:rPr>
        <w:t>(1)坚持依法管理宗教事务。</w:t>
      </w:r>
      <w:r>
        <w:rPr>
          <w:rFonts w:hint="eastAsia" w:ascii="仿宋" w:hAnsi="仿宋" w:eastAsia="仿宋" w:cs="楷体_GB2312"/>
          <w:bCs/>
          <w:sz w:val="32"/>
          <w:szCs w:val="32"/>
        </w:rPr>
        <w:t>持续深入推进宗教行政执法改革。</w:t>
      </w:r>
    </w:p>
    <w:p>
      <w:pPr>
        <w:pBdr>
          <w:bottom w:val="single" w:color="FFFFFF" w:sz="4" w:space="31"/>
        </w:pBdr>
        <w:tabs>
          <w:tab w:val="left" w:pos="3360"/>
        </w:tabs>
        <w:spacing w:line="560" w:lineRule="exact"/>
        <w:ind w:firstLine="640" w:firstLineChars="200"/>
        <w:rPr>
          <w:rFonts w:hint="eastAsia" w:ascii="仿宋" w:hAnsi="仿宋" w:eastAsia="仿宋" w:cs="仿宋_GB2312"/>
          <w:sz w:val="32"/>
          <w:szCs w:val="32"/>
        </w:rPr>
      </w:pPr>
      <w:r>
        <w:rPr>
          <w:rFonts w:hint="eastAsia" w:ascii="仿宋" w:hAnsi="仿宋" w:eastAsia="仿宋" w:cs="楷体_GB2312"/>
          <w:bCs/>
          <w:kern w:val="0"/>
          <w:sz w:val="32"/>
          <w:szCs w:val="32"/>
        </w:rPr>
        <w:t>(2)全市宗教管理基层基础上新台阶。</w:t>
      </w:r>
      <w:r>
        <w:rPr>
          <w:rFonts w:hint="eastAsia" w:ascii="仿宋" w:hAnsi="仿宋" w:eastAsia="仿宋" w:cs="仿宋_GB2312"/>
          <w:bCs/>
          <w:sz w:val="32"/>
          <w:szCs w:val="32"/>
        </w:rPr>
        <w:t>一是全面落实宗教工作三级网络两级责任制。</w:t>
      </w:r>
    </w:p>
    <w:p>
      <w:pPr>
        <w:pBdr>
          <w:bottom w:val="single" w:color="FFFFFF" w:sz="4" w:space="31"/>
        </w:pBdr>
        <w:tabs>
          <w:tab w:val="left" w:pos="3360"/>
        </w:tabs>
        <w:spacing w:line="560" w:lineRule="exact"/>
        <w:ind w:firstLine="640" w:firstLineChars="200"/>
        <w:rPr>
          <w:rFonts w:hint="eastAsia" w:ascii="仿宋" w:hAnsi="仿宋" w:eastAsia="仿宋" w:cs="仿宋_GB2312"/>
          <w:sz w:val="32"/>
          <w:szCs w:val="32"/>
        </w:rPr>
      </w:pPr>
      <w:r>
        <w:rPr>
          <w:rFonts w:hint="eastAsia" w:ascii="仿宋" w:hAnsi="仿宋" w:eastAsia="仿宋" w:cs="楷体_GB2312"/>
          <w:bCs/>
          <w:kern w:val="0"/>
          <w:sz w:val="32"/>
          <w:szCs w:val="32"/>
        </w:rPr>
        <w:t>(3)大力整治非法宗教，遏制渗透蔓延。</w:t>
      </w:r>
    </w:p>
    <w:p>
      <w:pPr>
        <w:pBdr>
          <w:bottom w:val="single" w:color="FFFFFF" w:sz="4" w:space="31"/>
        </w:pBdr>
        <w:tabs>
          <w:tab w:val="left" w:pos="3360"/>
        </w:tabs>
        <w:spacing w:line="560" w:lineRule="exact"/>
        <w:ind w:firstLine="640" w:firstLineChars="200"/>
        <w:rPr>
          <w:rFonts w:hint="eastAsia" w:ascii="仿宋" w:hAnsi="仿宋" w:eastAsia="仿宋" w:cs="仿宋_GB2312"/>
          <w:sz w:val="32"/>
          <w:szCs w:val="32"/>
        </w:rPr>
      </w:pPr>
      <w:r>
        <w:rPr>
          <w:rFonts w:hint="eastAsia" w:ascii="仿宋" w:hAnsi="仿宋" w:eastAsia="仿宋" w:cs="楷体_GB2312"/>
          <w:bCs/>
          <w:kern w:val="0"/>
          <w:sz w:val="32"/>
          <w:szCs w:val="32"/>
        </w:rPr>
        <w:t>(4)抓牢抓实宗教领域安全生产。</w:t>
      </w:r>
    </w:p>
    <w:p>
      <w:pPr>
        <w:pBdr>
          <w:bottom w:val="single" w:color="FFFFFF" w:sz="4" w:space="31"/>
        </w:pBdr>
        <w:tabs>
          <w:tab w:val="left" w:pos="3360"/>
        </w:tabs>
        <w:spacing w:line="560" w:lineRule="exact"/>
        <w:ind w:firstLine="640" w:firstLineChars="200"/>
        <w:rPr>
          <w:rFonts w:hint="eastAsia" w:ascii="仿宋" w:hAnsi="仿宋" w:eastAsia="仿宋" w:cs="黑体"/>
          <w:b/>
          <w:sz w:val="32"/>
          <w:szCs w:val="32"/>
        </w:rPr>
      </w:pPr>
      <w:r>
        <w:rPr>
          <w:rFonts w:hint="eastAsia" w:ascii="仿宋" w:hAnsi="仿宋" w:eastAsia="仿宋" w:cs="黑体"/>
          <w:b/>
          <w:sz w:val="32"/>
          <w:szCs w:val="32"/>
        </w:rPr>
        <w:t>4.纵深推进全面从严治党，着力营造风清气正的良好政治生态。</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(1)坚决扛牢全面从严治党政治责任。</w:t>
      </w:r>
      <w:r>
        <w:rPr>
          <w:rFonts w:hint="eastAsia" w:ascii="仿宋_GB2312" w:hAnsi="仿宋_GB2312" w:eastAsia="仿宋_GB2312" w:cs="仿宋_GB2312"/>
          <w:sz w:val="32"/>
          <w:szCs w:val="32"/>
        </w:rPr>
        <w:t>统筹抓好发展第一要务和落实党建主体责任，压实班子成员“一岗双责”，党组会议专题研究党建工作4次，及时研究解决重点难题问题，切实把党的领导贯彻落实到位，把党的建设落到实处。全面落实民主集中制，完善党组议事制度和民主决策机制，制定《关于落实“三重一大”事项集体决策制度的落实办法》，对“三重一大”事项坚持集体讨论决定，重大事项坚持向市纪委驻统战部纪监组报告，做到了项目安排、干部任选、资金使用等工作科学决策、民主决策、依法决策，营造了风清气正的政治生态。</w:t>
      </w:r>
      <w:r>
        <w:rPr>
          <w:rFonts w:hint="eastAsia" w:ascii="仿宋_GB2312" w:hAnsi="仿宋_GB2312" w:eastAsia="仿宋_GB2312" w:cs="仿宋_GB2312"/>
          <w:kern w:val="0"/>
          <w:sz w:val="32"/>
          <w:szCs w:val="32"/>
        </w:rPr>
        <w:t>严格落实重大事项请示报告制度，以党组名义向市委请示报告9次。</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rPr>
        <w:t>(2)深入推进法治政府建设。</w:t>
      </w:r>
      <w:r>
        <w:rPr>
          <w:rFonts w:hint="eastAsia" w:ascii="仿宋_GB2312" w:hAnsi="仿宋_GB2312" w:eastAsia="仿宋_GB2312" w:cs="仿宋_GB2312"/>
          <w:kern w:val="0"/>
          <w:sz w:val="32"/>
          <w:szCs w:val="32"/>
        </w:rPr>
        <w:t>党组班子坚持带头学法守法，将法律法规学习列入党组理论学习中心组学习重要内容，制定领导班子学习计划，确保每年不少于40个学时的法治学习。召开4次党组理论学习中心组学习会议，先后学习了《党章》《宪法》《民族区域自治法》《宗教事务条例》等法律法规，不断提升依法行政水平。加强法治宣传教育，结合“八五”普法，于今年9月开展了民族团结进步和宗教政策法规宣传月活动。坚持依法推进民族事务治理，“六联六治”“湘桂黔三省共建铸牢中华民族共同体意识示范带”等民族事务治理做法获国家民委内部刊物采纳，在全国民委系统推介。聘请1名专业律师为单位法律顾问，加强合法性审查，确保重大行政决策合法合规。</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rPr>
        <w:t>(3)抓实基层党建重点工作。</w:t>
      </w:r>
      <w:r>
        <w:rPr>
          <w:rFonts w:hint="eastAsia" w:ascii="仿宋_GB2312" w:hAnsi="仿宋_GB2312" w:eastAsia="仿宋_GB2312" w:cs="仿宋_GB2312"/>
          <w:sz w:val="32"/>
          <w:szCs w:val="32"/>
        </w:rPr>
        <w:t>认真落实“三会一课”、主题党日、公开承诺、民主评议等制度，班子成员以普通党员身份参加民宗局党支部组织生活会，为党员干部上党课5次，组织开展“光影铸魂”电影党课活动5次、“五溪先锋”党员志愿服务活动19次。加强结对共建，安排支部书记到乡村振兴结对帮扶村上党课１次，开展各类帮扶共建活动10余次。组织全体党员重温入党誓词、集体过“政治生日”、集中收看收听廉政党课，增强了党的意识和党员意识。</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rPr>
        <w:t>(4)纵深推进党风廉政建设和反腐败斗争。</w:t>
      </w:r>
      <w:r>
        <w:rPr>
          <w:rFonts w:hint="eastAsia" w:ascii="仿宋_GB2312" w:hAnsi="仿宋_GB2312" w:eastAsia="仿宋_GB2312" w:cs="仿宋_GB2312"/>
          <w:kern w:val="0"/>
          <w:sz w:val="32"/>
          <w:szCs w:val="32"/>
        </w:rPr>
        <w:t>把党风廉政建设与民宗中心工作同研究、同部署、同落实，</w:t>
      </w:r>
      <w:r>
        <w:rPr>
          <w:rFonts w:hint="eastAsia" w:ascii="仿宋_GB2312" w:hAnsi="仿宋_GB2312" w:eastAsia="仿宋_GB2312" w:cs="仿宋_GB2312"/>
          <w:sz w:val="32"/>
          <w:szCs w:val="32"/>
        </w:rPr>
        <w:t>召开党组会议6次研究党风廉政建设工作，组织开展警示教育3次，与班子成员、各科室（中心）负责人谈心谈话13次。持续推进清廉机关创建，成立清廉机关建设领导小组，制定《怀化市民宗局清廉机关建设实施方案》，明确10项重点任务和责任领导、完成时限，构建起合力推进清廉机关创建的工作格局。班子成员带头严格落实中央八项规定及其实施细则精神，驰而不息纠治“四风”，深化党政机关过紧日子，厉行节约、反对浪费的理念，严格落实廉洁自律各项规定。</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rPr>
        <w:t>(5)严格落实意识形态和网络意识形态工作责任制。</w:t>
      </w:r>
      <w:r>
        <w:rPr>
          <w:rFonts w:hint="eastAsia" w:ascii="仿宋_GB2312" w:hAnsi="仿宋_GB2312" w:eastAsia="仿宋_GB2312" w:cs="仿宋_GB2312"/>
          <w:kern w:val="0"/>
          <w:sz w:val="32"/>
          <w:szCs w:val="32"/>
        </w:rPr>
        <w:t>成立意识形态和网络意识形态工作领导小组，全面落实党组主体责任，突出党组书记第一责任人责任，压实班子成员“一岗双责”，明确意识形态专干１人。全年召开党组会议3次、意识形态风险研判会4次，专题研究意识形态工作，及时发现和解决全市民宗意识形态领域苗头性、倾向性问题。安排3名业务骨干组建民宗系统网评员队伍，动态监看全市涉民宗领域意识形态舆情风险，并及时向市委网信办报告。根据新形势新要求，制定出台了《怀化市民族宗教事务局党组贯彻落实意识形态暨网络意识形态工作责任制实施方案》。省委意识形态专项巡视反馈的3个问题已全面完成整改销号。</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(6)加强干部队伍建设。</w:t>
      </w:r>
      <w:r>
        <w:rPr>
          <w:rFonts w:hint="eastAsia" w:ascii="仿宋_GB2312" w:hAnsi="仿宋_GB2312" w:eastAsia="仿宋_GB2312" w:cs="仿宋_GB2312"/>
          <w:kern w:val="0"/>
          <w:sz w:val="32"/>
          <w:szCs w:val="32"/>
        </w:rPr>
        <w:t>坚持正确选人用人导向和党管人才原则，注重实干实效，用好考核标尺，畅通晋升渠道，晋升一级调研员１人，晋升２名90后年轻干部为四级主任科员，任用市民族研究与宗教事务中心副主任1人。加强干部监督管理，全面建立了党员干部廉政档案，紧盯权利集中、资金密集、资源富集领域加强监督，督促党员干部严于律己，一体推进“三不腐”。</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来，各项工作虽然取得了一定成绩，但是与市委要求和群众期待相比还有一些差距。如作风建设还需持续深化，宗教中国化实践还需向纵深推进等等，市民宗局党组班子将在今后的工作中落深落细。新的2024年，我局将踔厉奋发，力争在全市民族宗教事务管理上有新作为。一是深入贯彻落实党的二十大精神，以习近平新时代中国特色社会主义思想为引领，坚持全面从严治党，全面加强队伍建设，进一步提振干事创业的精气神。二是在民族工作上实施“五大工程”，即创建工程、先导工程、振兴工程、固本工程、融合工程。三是在宗教工作上实施“五大行动”，即理论研究提升行动、管理制度提升行动、工作能力提升行动、基础工作提升行动、安全生产和平安建设提升行动，在全市中国式现代化建设征程中贡献更大的民宗力量。</w:t>
      </w:r>
    </w:p>
    <w:p>
      <w:pPr>
        <w:pBdr>
          <w:bottom w:val="single" w:color="FFFFFF" w:sz="4" w:space="31"/>
        </w:pBdr>
        <w:tabs>
          <w:tab w:val="left" w:pos="3360"/>
        </w:tabs>
        <w:spacing w:line="56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存在的问题：我市的</w:t>
      </w:r>
      <w:r>
        <w:rPr>
          <w:rFonts w:hint="eastAsia" w:ascii="仿宋_GB2312" w:hAnsi="仿宋_GB2312" w:eastAsia="仿宋_GB2312" w:cs="仿宋_GB2312"/>
          <w:kern w:val="0"/>
          <w:sz w:val="32"/>
          <w:szCs w:val="32"/>
          <w:lang w:eastAsia="zh-CN"/>
        </w:rPr>
        <w:t>少数</w:t>
      </w:r>
      <w:r>
        <w:rPr>
          <w:rFonts w:hint="eastAsia" w:ascii="仿宋_GB2312" w:hAnsi="仿宋_GB2312" w:eastAsia="仿宋_GB2312" w:cs="仿宋_GB2312"/>
          <w:kern w:val="0"/>
          <w:sz w:val="32"/>
          <w:szCs w:val="32"/>
        </w:rPr>
        <w:t>民族工作经费是根据中共怀化市委、怀化市人民政府《关于进一步加强民族工作加快少数民族和民族地区经济社会发展的意见》（怀发</w:t>
      </w:r>
      <w:r>
        <w:rPr>
          <w:rFonts w:ascii="仿宋_GB2312" w:hAnsi="仿宋_GB2312" w:eastAsia="仿宋_GB2312" w:cs="仿宋_GB2312"/>
          <w:kern w:val="0"/>
          <w:sz w:val="32"/>
          <w:szCs w:val="32"/>
        </w:rPr>
        <w:t>[2006]11</w:t>
      </w:r>
      <w:r>
        <w:rPr>
          <w:rFonts w:hint="eastAsia" w:ascii="仿宋_GB2312" w:hAnsi="仿宋_GB2312" w:eastAsia="仿宋_GB2312" w:cs="仿宋_GB2312"/>
          <w:kern w:val="0"/>
          <w:sz w:val="32"/>
          <w:szCs w:val="32"/>
        </w:rPr>
        <w:t>号）文件精神，“按照少数民族人口人数不低于每人一元的标准安排民族工作经费，并形成正常增长机制”的要求，由市财政预算安排。问题是在遇到重大民族活动时，由于市</w:t>
      </w:r>
      <w:r>
        <w:rPr>
          <w:rFonts w:hint="eastAsia" w:ascii="仿宋_GB2312" w:hAnsi="仿宋_GB2312" w:eastAsia="仿宋_GB2312" w:cs="仿宋_GB2312"/>
          <w:kern w:val="0"/>
          <w:sz w:val="32"/>
          <w:szCs w:val="32"/>
          <w:lang w:eastAsia="zh-CN"/>
        </w:rPr>
        <w:t>级</w:t>
      </w:r>
      <w:r>
        <w:rPr>
          <w:rFonts w:hint="eastAsia" w:ascii="仿宋_GB2312" w:hAnsi="仿宋_GB2312" w:eastAsia="仿宋_GB2312" w:cs="仿宋_GB2312"/>
          <w:kern w:val="0"/>
          <w:sz w:val="32"/>
          <w:szCs w:val="32"/>
        </w:rPr>
        <w:t>财政经费紧张，会出现从这笔专项经费中调剂部分资金到</w:t>
      </w:r>
      <w:r>
        <w:rPr>
          <w:rFonts w:hint="eastAsia" w:ascii="仿宋_GB2312" w:hAnsi="仿宋_GB2312" w:eastAsia="仿宋_GB2312" w:cs="仿宋_GB2312"/>
          <w:kern w:val="0"/>
          <w:sz w:val="32"/>
          <w:szCs w:val="32"/>
          <w:lang w:eastAsia="zh-CN"/>
        </w:rPr>
        <w:t>重大民族</w:t>
      </w:r>
      <w:r>
        <w:rPr>
          <w:rFonts w:hint="eastAsia" w:ascii="仿宋_GB2312" w:hAnsi="仿宋_GB2312" w:eastAsia="仿宋_GB2312" w:cs="仿宋_GB2312"/>
          <w:kern w:val="0"/>
          <w:sz w:val="32"/>
          <w:szCs w:val="32"/>
        </w:rPr>
        <w:t>活动中</w:t>
      </w:r>
      <w:r>
        <w:rPr>
          <w:rFonts w:hint="eastAsia" w:ascii="仿宋_GB2312" w:hAnsi="仿宋_GB2312" w:eastAsia="仿宋_GB2312" w:cs="仿宋_GB2312"/>
          <w:kern w:val="0"/>
          <w:sz w:val="32"/>
          <w:szCs w:val="32"/>
          <w:lang w:eastAsia="zh-CN"/>
        </w:rPr>
        <w:t>使用</w:t>
      </w:r>
      <w:r>
        <w:rPr>
          <w:rFonts w:hint="eastAsia" w:ascii="仿宋_GB2312" w:hAnsi="仿宋_GB2312" w:eastAsia="仿宋_GB2312" w:cs="仿宋_GB2312"/>
          <w:kern w:val="0"/>
          <w:sz w:val="32"/>
          <w:szCs w:val="32"/>
        </w:rPr>
        <w:t>，这样无形中减少了我们的民族工作经费，影响了部分民族工作的顺利完成。</w:t>
      </w:r>
      <w:r>
        <w:rPr>
          <w:rFonts w:hint="eastAsia" w:ascii="仿宋_GB2312" w:hAnsi="仿宋_GB2312" w:eastAsia="仿宋_GB2312" w:cs="仿宋_GB2312"/>
          <w:kern w:val="0"/>
          <w:sz w:val="32"/>
          <w:szCs w:val="32"/>
          <w:lang w:eastAsia="zh-CN"/>
        </w:rPr>
        <w:t>同时，由于少数民族工作专项经费的使用主要是依据省财政厅，省民宗委文件湘财行【</w:t>
      </w:r>
      <w:r>
        <w:rPr>
          <w:rFonts w:hint="eastAsia" w:ascii="仿宋_GB2312" w:hAnsi="仿宋_GB2312" w:eastAsia="仿宋_GB2312" w:cs="仿宋_GB2312"/>
          <w:kern w:val="0"/>
          <w:sz w:val="32"/>
          <w:szCs w:val="32"/>
          <w:lang w:val="en-US" w:eastAsia="zh-CN"/>
        </w:rPr>
        <w:t>2019】13号文件制定的《怀化市市级民族宗教专项资金管理办法》，在该项专项资金的具体使用过程中，使用范围比较笼统，从而导致该项资金的监督检查过程中，不同的检查者都有不同的解读和标准，从而导致有挤占少数民族工作专项经费的嫌疑。导致存在没有专款专用少数民族工作专项经费的风险。</w:t>
      </w:r>
    </w:p>
    <w:p>
      <w:pPr>
        <w:pStyle w:val="2"/>
      </w:pPr>
    </w:p>
    <w:p>
      <w:pPr>
        <w:pStyle w:val="15"/>
        <w:jc w:val="center"/>
        <w:rPr>
          <w:sz w:val="72"/>
          <w:szCs w:val="72"/>
        </w:rPr>
      </w:pPr>
    </w:p>
    <w:p>
      <w:pPr>
        <w:pStyle w:val="15"/>
        <w:jc w:val="center"/>
        <w:rPr>
          <w:sz w:val="72"/>
          <w:szCs w:val="72"/>
        </w:rPr>
      </w:pPr>
    </w:p>
    <w:p>
      <w:pPr>
        <w:pStyle w:val="15"/>
        <w:jc w:val="both"/>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ind w:firstLine="640" w:firstLineChars="200"/>
        <w:jc w:val="left"/>
        <w:rPr>
          <w:rFonts w:hint="eastAsia" w:cs="黑体" w:asciiTheme="minorEastAsia" w:hAnsiTheme="minorEastAsia" w:eastAsiaTheme="minorEastAsia"/>
          <w:color w:val="000000"/>
          <w:kern w:val="0"/>
          <w:sz w:val="32"/>
          <w:szCs w:val="32"/>
          <w:lang w:eastAsia="zh-CN"/>
        </w:rPr>
      </w:pPr>
      <w:r>
        <w:rPr>
          <w:rFonts w:hint="eastAsia" w:cs="黑体" w:asciiTheme="minorEastAsia" w:hAnsiTheme="minorEastAsia"/>
          <w:color w:val="000000"/>
          <w:kern w:val="0"/>
          <w:sz w:val="32"/>
          <w:szCs w:val="32"/>
        </w:rPr>
        <w:t>一、</w:t>
      </w:r>
      <w:r>
        <w:rPr>
          <w:rFonts w:hint="eastAsia" w:cs="黑体" w:asciiTheme="minorEastAsia" w:hAnsiTheme="minorEastAsia"/>
          <w:color w:val="000000"/>
          <w:kern w:val="0"/>
          <w:sz w:val="32"/>
          <w:szCs w:val="32"/>
          <w:lang w:eastAsia="zh-CN"/>
        </w:rPr>
        <w:t>民族宗教事务：</w:t>
      </w:r>
      <w:r>
        <w:rPr>
          <w:rFonts w:hint="eastAsia" w:cs="黑体" w:asciiTheme="minorEastAsia" w:hAnsiTheme="minorEastAsia" w:eastAsiaTheme="minorEastAsia"/>
          <w:color w:val="000000"/>
          <w:kern w:val="0"/>
          <w:sz w:val="32"/>
          <w:szCs w:val="32"/>
          <w:lang w:val="en-US" w:eastAsia="zh-CN" w:bidi="ar-SA"/>
        </w:rPr>
        <w:t>贯彻执行规、党和国家及省委、省政府关于民族宗教工作的方针、政策和法律、法规章，组织开展民族宗教重大问题和民族地区经济社会发展方面问题的调查研究工作，提出有关民族宗教工作的建议</w:t>
      </w:r>
      <w:r>
        <w:rPr>
          <w:rFonts w:hint="eastAsia" w:cs="黑体" w:asciiTheme="minorEastAsia" w:hAnsiTheme="minorEastAsia"/>
          <w:color w:val="000000"/>
          <w:kern w:val="0"/>
          <w:sz w:val="32"/>
          <w:szCs w:val="32"/>
          <w:lang w:val="en-US" w:eastAsia="zh-CN" w:bidi="ar-SA"/>
        </w:rPr>
        <w:t>。</w:t>
      </w:r>
    </w:p>
    <w:p>
      <w:pPr>
        <w:pStyle w:val="16"/>
        <w:spacing w:line="600" w:lineRule="exact"/>
        <w:ind w:firstLine="3168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color w:val="000000"/>
          <w:kern w:val="0"/>
          <w:sz w:val="32"/>
          <w:szCs w:val="32"/>
          <w:lang w:eastAsia="zh-CN"/>
        </w:rPr>
        <w:t>二</w:t>
      </w:r>
      <w:r>
        <w:rPr>
          <w:rFonts w:hint="eastAsia" w:cs="黑体" w:asciiTheme="minorEastAsia" w:hAnsiTheme="minorEastAsia"/>
          <w:color w:val="000000"/>
          <w:kern w:val="0"/>
          <w:sz w:val="32"/>
          <w:szCs w:val="32"/>
        </w:rPr>
        <w:t>、</w:t>
      </w:r>
      <w:r>
        <w:rPr>
          <w:rFonts w:hint="eastAsia" w:cs="黑体" w:asciiTheme="minorEastAsia" w:hAnsiTheme="minorEastAsia" w:eastAsiaTheme="minorEastAsia"/>
          <w:color w:val="000000"/>
          <w:kern w:val="0"/>
          <w:sz w:val="32"/>
          <w:szCs w:val="32"/>
          <w:lang w:val="en-US" w:eastAsia="zh-CN" w:bidi="ar-SA"/>
        </w:rPr>
        <w:t>机关运行经费：为保障行政单位（包括参照公务员法管理的事业单位）运行，用一般公共预算拨款安排用于购买货物和服务的各项资金，包括办公及印刷费、电费、差旅费、福利费、日常维修费、办公用房用水费、办公用房取暖费、办公用房物业管理费、公务用车运行维护费以及其他费用。</w:t>
      </w:r>
    </w:p>
    <w:p>
      <w:pPr>
        <w:pStyle w:val="16"/>
        <w:spacing w:line="600" w:lineRule="exac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bidi="ar-SA"/>
        </w:rPr>
        <w:t>三</w:t>
      </w:r>
      <w:r>
        <w:rPr>
          <w:rFonts w:hint="eastAsia" w:cs="黑体" w:asciiTheme="minorEastAsia" w:hAnsiTheme="minorEastAsia" w:eastAsiaTheme="minorEastAsia"/>
          <w:color w:val="000000"/>
          <w:kern w:val="0"/>
          <w:sz w:val="32"/>
          <w:szCs w:val="32"/>
          <w:lang w:val="en-US" w:eastAsia="zh-CN" w:bidi="ar-SA"/>
        </w:rPr>
        <w:t>、“三公经费”：纳入财政预算管理的“三公”经费，是指用于一般公共预算拨款安排的公务接待费、公务用车购置费及运行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ind w:firstLine="640" w:firstLineChars="200"/>
        <w:jc w:val="left"/>
        <w:rPr>
          <w:rFonts w:cs="黑体" w:asciiTheme="minorEastAsia" w:hAnsiTheme="minorEastAsia"/>
          <w:color w:val="000000"/>
          <w:kern w:val="0"/>
          <w:sz w:val="32"/>
          <w:szCs w:val="32"/>
        </w:rPr>
      </w:pPr>
    </w:p>
    <w:p>
      <w:pPr>
        <w:pStyle w:val="15"/>
        <w:jc w:val="center"/>
        <w:rPr>
          <w:sz w:val="72"/>
          <w:szCs w:val="72"/>
        </w:rPr>
      </w:pPr>
    </w:p>
    <w:p>
      <w:pPr>
        <w:pStyle w:val="15"/>
        <w:jc w:val="center"/>
        <w:rPr>
          <w:sz w:val="72"/>
          <w:szCs w:val="72"/>
        </w:rPr>
      </w:pPr>
    </w:p>
    <w:p>
      <w:pPr>
        <w:pStyle w:val="15"/>
        <w:jc w:val="center"/>
        <w:rPr>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5"/>
        <w:jc w:val="center"/>
        <w:rPr>
          <w:rFonts w:hint="eastAsia" w:ascii="方正小标宋_GBK" w:hAnsi="方正小标宋_GBK" w:eastAsia="方正小标宋_GBK" w:cs="方正小标宋_GBK"/>
          <w:sz w:val="70"/>
          <w:szCs w:val="70"/>
        </w:rPr>
      </w:pPr>
    </w:p>
    <w:p>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p>
    <w:p>
      <w:pPr>
        <w:pStyle w:val="15"/>
        <w:keepNext w:val="0"/>
        <w:keepLines w:val="0"/>
        <w:pageBreakBefore w:val="0"/>
        <w:widowControl w:val="0"/>
        <w:kinsoku/>
        <w:wordWrap/>
        <w:overflowPunct/>
        <w:topLinePunct w:val="0"/>
        <w:bidi w:val="0"/>
        <w:snapToGrid/>
        <w:spacing w:line="600" w:lineRule="exact"/>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附件一、2023年度决算公开表</w:t>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附件二、2023年度整体支出绩效自评报告</w:t>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附件三、2023年度项目支出绩效自评报告</w:t>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p>
    <w:sectPr>
      <w:pgSz w:w="11906" w:h="16838"/>
      <w:pgMar w:top="1417" w:right="1417" w:bottom="1417" w:left="141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56993"/>
    <w:multiLevelType w:val="singleLevel"/>
    <w:tmpl w:val="9C256993"/>
    <w:lvl w:ilvl="0" w:tentative="0">
      <w:start w:val="9"/>
      <w:numFmt w:val="chineseCounting"/>
      <w:suff w:val="nothing"/>
      <w:lvlText w:val="%1、"/>
      <w:lvlJc w:val="left"/>
      <w:pPr>
        <w:ind w:left="641" w:leftChars="0" w:firstLine="0" w:firstLineChars="0"/>
      </w:pPr>
      <w:rPr>
        <w:rFonts w:hint="eastAsia"/>
      </w:rPr>
    </w:lvl>
  </w:abstractNum>
  <w:abstractNum w:abstractNumId="1">
    <w:nsid w:val="F5202C56"/>
    <w:multiLevelType w:val="singleLevel"/>
    <w:tmpl w:val="F5202C56"/>
    <w:lvl w:ilvl="0" w:tentative="0">
      <w:start w:val="1"/>
      <w:numFmt w:val="decimal"/>
      <w:lvlText w:val="%1."/>
      <w:lvlJc w:val="left"/>
      <w:pPr>
        <w:tabs>
          <w:tab w:val="left" w:pos="312"/>
        </w:tabs>
        <w:ind w:left="662"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71B68"/>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C25065"/>
    <w:rsid w:val="01DE1773"/>
    <w:rsid w:val="01F972F9"/>
    <w:rsid w:val="02671768"/>
    <w:rsid w:val="028440C8"/>
    <w:rsid w:val="03226D0C"/>
    <w:rsid w:val="03323B24"/>
    <w:rsid w:val="039D7B38"/>
    <w:rsid w:val="03C52BEB"/>
    <w:rsid w:val="03D01ADF"/>
    <w:rsid w:val="043400F8"/>
    <w:rsid w:val="04EA6DAD"/>
    <w:rsid w:val="057E12A3"/>
    <w:rsid w:val="05AC22B4"/>
    <w:rsid w:val="06A92350"/>
    <w:rsid w:val="07B436A2"/>
    <w:rsid w:val="096609CC"/>
    <w:rsid w:val="0A4A209B"/>
    <w:rsid w:val="0A8C6210"/>
    <w:rsid w:val="0A925A60"/>
    <w:rsid w:val="0A9B6453"/>
    <w:rsid w:val="0AB1211B"/>
    <w:rsid w:val="0AB95C60"/>
    <w:rsid w:val="0C061FF2"/>
    <w:rsid w:val="0C474AE5"/>
    <w:rsid w:val="0CB32919"/>
    <w:rsid w:val="0D166265"/>
    <w:rsid w:val="0D3B3F1D"/>
    <w:rsid w:val="0D3B5DD1"/>
    <w:rsid w:val="0DC70CA1"/>
    <w:rsid w:val="0DC8391D"/>
    <w:rsid w:val="0DFE7425"/>
    <w:rsid w:val="0E3177FA"/>
    <w:rsid w:val="0EA7186A"/>
    <w:rsid w:val="0EB67D00"/>
    <w:rsid w:val="0F0200FA"/>
    <w:rsid w:val="0F1B1BCB"/>
    <w:rsid w:val="0F8C6CB2"/>
    <w:rsid w:val="0FF706CE"/>
    <w:rsid w:val="10741C20"/>
    <w:rsid w:val="10A83678"/>
    <w:rsid w:val="10AC760C"/>
    <w:rsid w:val="10CD7582"/>
    <w:rsid w:val="113849FC"/>
    <w:rsid w:val="118539B9"/>
    <w:rsid w:val="11BF451F"/>
    <w:rsid w:val="12A444E8"/>
    <w:rsid w:val="13E23345"/>
    <w:rsid w:val="14172FEE"/>
    <w:rsid w:val="145C3ADA"/>
    <w:rsid w:val="158D108E"/>
    <w:rsid w:val="16026B55"/>
    <w:rsid w:val="16B9038D"/>
    <w:rsid w:val="16C60CFC"/>
    <w:rsid w:val="17FD074D"/>
    <w:rsid w:val="182C4B8E"/>
    <w:rsid w:val="18644328"/>
    <w:rsid w:val="18BB3C2D"/>
    <w:rsid w:val="192B12EA"/>
    <w:rsid w:val="1A11228E"/>
    <w:rsid w:val="1B71409F"/>
    <w:rsid w:val="1B746F78"/>
    <w:rsid w:val="1B851185"/>
    <w:rsid w:val="1C8568B5"/>
    <w:rsid w:val="1CAA0D35"/>
    <w:rsid w:val="1CD75A11"/>
    <w:rsid w:val="1D1E6EBF"/>
    <w:rsid w:val="1D97DEFF"/>
    <w:rsid w:val="1DFF72E5"/>
    <w:rsid w:val="1E454BFC"/>
    <w:rsid w:val="1EB12291"/>
    <w:rsid w:val="1EFC6F07"/>
    <w:rsid w:val="1F525822"/>
    <w:rsid w:val="1FA3607E"/>
    <w:rsid w:val="1FE65F6B"/>
    <w:rsid w:val="20765541"/>
    <w:rsid w:val="212136FE"/>
    <w:rsid w:val="213827F6"/>
    <w:rsid w:val="219C7EAF"/>
    <w:rsid w:val="21C41378"/>
    <w:rsid w:val="221D73A0"/>
    <w:rsid w:val="229D3630"/>
    <w:rsid w:val="22A068A5"/>
    <w:rsid w:val="23B663A8"/>
    <w:rsid w:val="249E6E14"/>
    <w:rsid w:val="24C53A3F"/>
    <w:rsid w:val="24DD793C"/>
    <w:rsid w:val="24E567F1"/>
    <w:rsid w:val="256A6060"/>
    <w:rsid w:val="256E5B51"/>
    <w:rsid w:val="25D074A1"/>
    <w:rsid w:val="26265313"/>
    <w:rsid w:val="26404627"/>
    <w:rsid w:val="268C786C"/>
    <w:rsid w:val="28C8445F"/>
    <w:rsid w:val="2A351FC9"/>
    <w:rsid w:val="2AE3353D"/>
    <w:rsid w:val="2B0A5203"/>
    <w:rsid w:val="2B32787F"/>
    <w:rsid w:val="2B386ED4"/>
    <w:rsid w:val="2B7E174D"/>
    <w:rsid w:val="2C332538"/>
    <w:rsid w:val="2D2C76B3"/>
    <w:rsid w:val="2D4D40DF"/>
    <w:rsid w:val="2D9D235F"/>
    <w:rsid w:val="2E6F4729"/>
    <w:rsid w:val="2FDF85B8"/>
    <w:rsid w:val="2FFFEE04"/>
    <w:rsid w:val="31D0734A"/>
    <w:rsid w:val="32624DE6"/>
    <w:rsid w:val="32892923"/>
    <w:rsid w:val="32F01C5A"/>
    <w:rsid w:val="337634BA"/>
    <w:rsid w:val="34BB131C"/>
    <w:rsid w:val="34DB19BE"/>
    <w:rsid w:val="34DF85B0"/>
    <w:rsid w:val="34E402F2"/>
    <w:rsid w:val="35A3428A"/>
    <w:rsid w:val="374C2700"/>
    <w:rsid w:val="37503F9E"/>
    <w:rsid w:val="378E7F9A"/>
    <w:rsid w:val="38DB1F8D"/>
    <w:rsid w:val="3A1C0AAF"/>
    <w:rsid w:val="3A377697"/>
    <w:rsid w:val="3A856654"/>
    <w:rsid w:val="3A9255D1"/>
    <w:rsid w:val="3B8F36BC"/>
    <w:rsid w:val="3BCE402B"/>
    <w:rsid w:val="3C504A40"/>
    <w:rsid w:val="3D485717"/>
    <w:rsid w:val="3DDC2A2F"/>
    <w:rsid w:val="3E043D34"/>
    <w:rsid w:val="3E282882"/>
    <w:rsid w:val="3F177A97"/>
    <w:rsid w:val="3F285800"/>
    <w:rsid w:val="4013200C"/>
    <w:rsid w:val="40F0234E"/>
    <w:rsid w:val="411029F0"/>
    <w:rsid w:val="42A81132"/>
    <w:rsid w:val="42F75C15"/>
    <w:rsid w:val="42F8395B"/>
    <w:rsid w:val="4332090C"/>
    <w:rsid w:val="43DE66AE"/>
    <w:rsid w:val="442C5D93"/>
    <w:rsid w:val="442E38B9"/>
    <w:rsid w:val="444D412E"/>
    <w:rsid w:val="44775260"/>
    <w:rsid w:val="44A92F3F"/>
    <w:rsid w:val="44CB3B1B"/>
    <w:rsid w:val="454113CA"/>
    <w:rsid w:val="460348D1"/>
    <w:rsid w:val="47F00E85"/>
    <w:rsid w:val="484E277B"/>
    <w:rsid w:val="491FF225"/>
    <w:rsid w:val="4ADF76BB"/>
    <w:rsid w:val="4B101F6A"/>
    <w:rsid w:val="4B166E55"/>
    <w:rsid w:val="4B49547C"/>
    <w:rsid w:val="4B756271"/>
    <w:rsid w:val="4B8D6271"/>
    <w:rsid w:val="4C1C66ED"/>
    <w:rsid w:val="4C883D82"/>
    <w:rsid w:val="4CC11850"/>
    <w:rsid w:val="4DA16EA9"/>
    <w:rsid w:val="4DD454D1"/>
    <w:rsid w:val="4F195165"/>
    <w:rsid w:val="4F622668"/>
    <w:rsid w:val="4FFD214C"/>
    <w:rsid w:val="503F6AA0"/>
    <w:rsid w:val="506F7733"/>
    <w:rsid w:val="5100482F"/>
    <w:rsid w:val="51013BE0"/>
    <w:rsid w:val="519F5DF6"/>
    <w:rsid w:val="51AB479B"/>
    <w:rsid w:val="520A0FB2"/>
    <w:rsid w:val="52CA50F4"/>
    <w:rsid w:val="52EA4E4F"/>
    <w:rsid w:val="53E67D0C"/>
    <w:rsid w:val="53F266B1"/>
    <w:rsid w:val="53FC752F"/>
    <w:rsid w:val="54482775"/>
    <w:rsid w:val="5462276D"/>
    <w:rsid w:val="550F5041"/>
    <w:rsid w:val="55264138"/>
    <w:rsid w:val="552A59CF"/>
    <w:rsid w:val="557FE655"/>
    <w:rsid w:val="55A57753"/>
    <w:rsid w:val="56C87B9D"/>
    <w:rsid w:val="5777D4F5"/>
    <w:rsid w:val="58507E4A"/>
    <w:rsid w:val="58597CE7"/>
    <w:rsid w:val="58FA7DB6"/>
    <w:rsid w:val="594352B9"/>
    <w:rsid w:val="59DD8326"/>
    <w:rsid w:val="5A04713E"/>
    <w:rsid w:val="5B12588A"/>
    <w:rsid w:val="5C78171D"/>
    <w:rsid w:val="5C7A0C9B"/>
    <w:rsid w:val="5CBF734C"/>
    <w:rsid w:val="5DEF592A"/>
    <w:rsid w:val="5E2D6537"/>
    <w:rsid w:val="5E435D5B"/>
    <w:rsid w:val="5E4C4C10"/>
    <w:rsid w:val="5E781EA8"/>
    <w:rsid w:val="5EC944B2"/>
    <w:rsid w:val="5FC6BB1E"/>
    <w:rsid w:val="5FEA2932"/>
    <w:rsid w:val="5FF720F1"/>
    <w:rsid w:val="61477910"/>
    <w:rsid w:val="61572249"/>
    <w:rsid w:val="6166248C"/>
    <w:rsid w:val="62233ED9"/>
    <w:rsid w:val="6300421A"/>
    <w:rsid w:val="63D7141F"/>
    <w:rsid w:val="644545DB"/>
    <w:rsid w:val="649C7F73"/>
    <w:rsid w:val="65085608"/>
    <w:rsid w:val="65C7198A"/>
    <w:rsid w:val="67A535E2"/>
    <w:rsid w:val="67FF5C0B"/>
    <w:rsid w:val="68FB5BB0"/>
    <w:rsid w:val="69AA1338"/>
    <w:rsid w:val="6A75729C"/>
    <w:rsid w:val="6AA71193"/>
    <w:rsid w:val="6ACF3BA3"/>
    <w:rsid w:val="6C164AAF"/>
    <w:rsid w:val="6C4909E0"/>
    <w:rsid w:val="6C580C23"/>
    <w:rsid w:val="6D6B4986"/>
    <w:rsid w:val="6D7D5C34"/>
    <w:rsid w:val="6D8223FC"/>
    <w:rsid w:val="6D82752C"/>
    <w:rsid w:val="6E351FF3"/>
    <w:rsid w:val="6E6E0BD2"/>
    <w:rsid w:val="6EB5235D"/>
    <w:rsid w:val="6EFC0924"/>
    <w:rsid w:val="6FB74722"/>
    <w:rsid w:val="6FE70C3C"/>
    <w:rsid w:val="6FEF8B7E"/>
    <w:rsid w:val="716C467F"/>
    <w:rsid w:val="719E532A"/>
    <w:rsid w:val="71A6591B"/>
    <w:rsid w:val="71A861A9"/>
    <w:rsid w:val="71E73175"/>
    <w:rsid w:val="72281098"/>
    <w:rsid w:val="737D59BA"/>
    <w:rsid w:val="73A3131E"/>
    <w:rsid w:val="74600FBD"/>
    <w:rsid w:val="749649DF"/>
    <w:rsid w:val="75B275F6"/>
    <w:rsid w:val="76CC1D9A"/>
    <w:rsid w:val="76D17F50"/>
    <w:rsid w:val="77C37683"/>
    <w:rsid w:val="787943FB"/>
    <w:rsid w:val="78986F77"/>
    <w:rsid w:val="78B6564F"/>
    <w:rsid w:val="78D9133E"/>
    <w:rsid w:val="79FF515B"/>
    <w:rsid w:val="7A8B6668"/>
    <w:rsid w:val="7C2E374F"/>
    <w:rsid w:val="7C7E2532"/>
    <w:rsid w:val="7CAF2AE1"/>
    <w:rsid w:val="7CEC5AE4"/>
    <w:rsid w:val="7E9E1962"/>
    <w:rsid w:val="7E9F11B4"/>
    <w:rsid w:val="7F37EC1E"/>
    <w:rsid w:val="7F601682"/>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spacing w:before="102"/>
      <w:ind w:left="112"/>
    </w:pPr>
    <w:rPr>
      <w:sz w:val="28"/>
      <w:szCs w:val="28"/>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43</Pages>
  <Words>13593</Words>
  <Characters>15721</Characters>
  <Lines>63</Lines>
  <Paragraphs>18</Paragraphs>
  <TotalTime>15</TotalTime>
  <ScaleCrop>false</ScaleCrop>
  <LinksUpToDate>false</LinksUpToDate>
  <CharactersWithSpaces>16820</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2020-07-08T10:32:00Z</dcterms:created>
  <dc:creator>李航 null</dc:creator>
  <cp:lastModifiedBy>宜烨</cp:lastModifiedBy>
  <cp:lastPrinted>2024-08-08T18:20:00Z</cp:lastPrinted>
  <dcterms:modified xsi:type="dcterms:W3CDTF">2024-09-24T09:35:33Z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F62636DF99E24CD9905E1868597C60A9_12</vt:lpwstr>
  </property>
</Properties>
</file>