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61"/>
        <w:rPr>
          <w:szCs w:val="36"/>
          <w:shd w:val="clear" w:color="auto" w:fill="FFFFFF"/>
        </w:rPr>
      </w:pPr>
      <w:r>
        <w:rPr>
          <w:rFonts w:hint="eastAsia"/>
          <w:szCs w:val="36"/>
          <w:shd w:val="clear" w:color="auto" w:fill="FFFFFF"/>
        </w:rPr>
        <w:t>湖南省怀化市人民政府驻北京联络处</w:t>
      </w:r>
    </w:p>
    <w:p>
      <w:pPr>
        <w:pStyle w:val="61"/>
        <w:rPr>
          <w:szCs w:val="36"/>
        </w:rPr>
      </w:pPr>
      <w:r>
        <w:rPr>
          <w:rFonts w:hint="eastAsia"/>
          <w:szCs w:val="36"/>
          <w:shd w:val="clear" w:color="auto" w:fill="FFFFFF"/>
        </w:rPr>
        <w:t>2023年部门整体支出绩效自评报告</w:t>
      </w:r>
    </w:p>
    <w:p>
      <w:pPr>
        <w:shd w:val="clear" w:color="auto" w:fill="FFFFFF"/>
        <w:snapToGrid w:val="0"/>
        <w:spacing w:line="570" w:lineRule="exact"/>
        <w:rPr>
          <w:rFonts w:ascii="黑体" w:hAnsi="黑体" w:eastAsia="黑体" w:cs="黑体"/>
          <w:kern w:val="0"/>
          <w:sz w:val="32"/>
          <w:szCs w:val="32"/>
          <w:shd w:val="clear" w:color="auto" w:fill="FFFFFF"/>
        </w:rPr>
      </w:pPr>
    </w:p>
    <w:p>
      <w:pPr>
        <w:pStyle w:val="17"/>
        <w:ind w:firstLine="602"/>
      </w:pPr>
      <w:r>
        <w:rPr>
          <w:rFonts w:hint="eastAsia"/>
        </w:rPr>
        <w:t>一、部门、单位基本情况</w:t>
      </w:r>
    </w:p>
    <w:p>
      <w:pPr>
        <w:pStyle w:val="18"/>
        <w:ind w:firstLine="562"/>
      </w:pPr>
      <w:r>
        <w:t>（一）机构设置情况</w:t>
      </w:r>
    </w:p>
    <w:p>
      <w:pPr>
        <w:pStyle w:val="39"/>
        <w:ind w:firstLine="480"/>
      </w:pPr>
      <w:r>
        <w:rPr>
          <w:rFonts w:hint="eastAsia"/>
        </w:rPr>
        <w:t>怀化市人民政府驻北京联络处作为一级部门预算单位，内设4个科室，分别为：综合科、招商引资科、接待科及信访维稳科。</w:t>
      </w:r>
    </w:p>
    <w:p>
      <w:pPr>
        <w:pStyle w:val="18"/>
        <w:ind w:firstLine="562"/>
      </w:pPr>
      <w:r>
        <w:t>（二）人员编制情况</w:t>
      </w:r>
    </w:p>
    <w:p>
      <w:pPr>
        <w:pStyle w:val="39"/>
        <w:ind w:firstLine="480"/>
        <w:rPr>
          <w:rFonts w:cs="方正仿宋简体"/>
        </w:rPr>
      </w:pPr>
      <w:r>
        <w:rPr>
          <w:rFonts w:hint="eastAsia" w:cs="方正仿宋简体"/>
        </w:rPr>
        <w:t>根据三定方案，2023年度怀化市人民政府驻北京联络处编制人员19人，在编在岗10人，其中：全额事业管理人员编制8人，工勤人员编制数2人，劳务派遣人员2人，离退休人员5人。</w:t>
      </w:r>
    </w:p>
    <w:p>
      <w:pPr>
        <w:pStyle w:val="18"/>
        <w:ind w:firstLine="562"/>
      </w:pPr>
      <w:r>
        <w:t>（三）主要职能职责</w:t>
      </w:r>
    </w:p>
    <w:p>
      <w:pPr>
        <w:pStyle w:val="39"/>
        <w:ind w:firstLine="480"/>
        <w:rPr>
          <w:shd w:val="clear" w:color="auto" w:fill="FFFFFF"/>
        </w:rPr>
      </w:pPr>
      <w:r>
        <w:rPr>
          <w:rFonts w:hint="eastAsia" w:cs="方正仿宋简体"/>
          <w:shd w:val="clear" w:color="auto" w:fill="FFFFFF"/>
        </w:rPr>
        <w:t>根据市委、市政府的要求，主要开展政务联络、招商引资、接待服务、搜集与传输信息、对外宣传和信访维稳工作，同时完成市委、市政府等各部门交办的各项工作任务。</w:t>
      </w:r>
    </w:p>
    <w:p>
      <w:pPr>
        <w:pStyle w:val="18"/>
        <w:ind w:firstLine="562"/>
      </w:pPr>
      <w:r>
        <w:t>（四）绩效目标设定情况</w:t>
      </w:r>
    </w:p>
    <w:p>
      <w:pPr>
        <w:pStyle w:val="39"/>
        <w:ind w:firstLine="480"/>
        <w:rPr>
          <w:rFonts w:cs="方正仿宋简体"/>
          <w:shd w:val="clear" w:color="auto" w:fill="FFFFFF"/>
        </w:rPr>
      </w:pPr>
      <w:r>
        <w:rPr>
          <w:rFonts w:hint="eastAsia" w:cs="方正仿宋简体"/>
          <w:shd w:val="clear" w:color="auto" w:fill="FFFFFF"/>
        </w:rPr>
        <w:t>按照市本级预算绩效管理工作的总体要求，2023年我单位整体支出293.53万元，全部实行整体支出绩效目标管理，编报绩效目标的项目2个，涉及的项目支出72.34万元，其中：专项业务（工作）经费62.34万元，维权维稳（工作）经费10万元，全部实行项目支出绩效目标管理。</w:t>
      </w:r>
    </w:p>
    <w:p>
      <w:pPr>
        <w:pStyle w:val="17"/>
        <w:ind w:firstLine="602"/>
      </w:pPr>
      <w:r>
        <w:rPr>
          <w:rFonts w:hint="eastAsia"/>
        </w:rPr>
        <w:t>二、部门整体支出管理及使用情况</w:t>
      </w:r>
    </w:p>
    <w:p>
      <w:pPr>
        <w:pStyle w:val="18"/>
        <w:ind w:firstLine="562"/>
      </w:pPr>
      <w:r>
        <w:t>（一）</w:t>
      </w:r>
      <w:r>
        <w:rPr>
          <w:rFonts w:hint="eastAsia"/>
        </w:rPr>
        <w:t>预算执行、使用、管理总体情况</w:t>
      </w:r>
    </w:p>
    <w:p>
      <w:pPr>
        <w:pStyle w:val="39"/>
        <w:ind w:firstLine="480"/>
        <w:rPr>
          <w:rFonts w:cs="方正仿宋简体"/>
        </w:rPr>
      </w:pPr>
      <w:r>
        <w:rPr>
          <w:rFonts w:hint="eastAsia" w:cs="方正仿宋简体"/>
        </w:rPr>
        <w:t>2023年部门预算收入均为一般公共预算财政拨款收入；支出包括保障机关基本运行的经费及相关专项经费。</w:t>
      </w:r>
    </w:p>
    <w:p>
      <w:pPr>
        <w:pStyle w:val="39"/>
        <w:ind w:firstLine="480"/>
        <w:rPr>
          <w:rFonts w:cs="方正仿宋简体"/>
        </w:rPr>
      </w:pPr>
      <w:r>
        <w:rPr>
          <w:rFonts w:hint="eastAsia" w:cs="方正仿宋简体"/>
        </w:rPr>
        <w:t>本单位基本支出和项目支出全部实行绩效目标管理。</w:t>
      </w:r>
    </w:p>
    <w:p>
      <w:pPr>
        <w:pStyle w:val="39"/>
        <w:ind w:firstLine="480"/>
        <w:rPr>
          <w:rFonts w:cs="方正仿宋简体"/>
        </w:rPr>
      </w:pPr>
      <w:r>
        <w:rPr>
          <w:rFonts w:hint="eastAsia" w:cs="方正仿宋简体"/>
        </w:rPr>
        <w:t>1.收入预算，2023年年初预算数293.53万元，其中，一般公共财政预算拨款293.53万元，纳入财政专户管理的非税收入拨款0万元，政府性基金预算拨款0万元，国有资本经营预算拨款0万元。压减公用经费和专项支出后，同口径对比，收入较上年增加68.35万元，主要原因一是人员工资和社会保险缴费支出增加，二是项目支出增加。</w:t>
      </w:r>
    </w:p>
    <w:p>
      <w:pPr>
        <w:pStyle w:val="39"/>
        <w:ind w:firstLine="480"/>
        <w:rPr>
          <w:rFonts w:cs="方正仿宋简体"/>
        </w:rPr>
      </w:pPr>
      <w:r>
        <w:rPr>
          <w:rFonts w:hint="eastAsia" w:cs="方正仿宋简体"/>
        </w:rPr>
        <w:t>2.支出预算，2023年年初预算293.53万元，其中人员支出197.19万元，公用经费24万元，其他运转类项目支出72.34万元，同口径对比，支出较上年增加68.35万元，主要原因一是人员类工资和社会保险缴费支出增加，二是项目支出增加。</w:t>
      </w:r>
    </w:p>
    <w:p>
      <w:pPr>
        <w:pStyle w:val="18"/>
        <w:ind w:firstLine="562"/>
      </w:pPr>
      <w:r>
        <w:t>（二）部门预算执行情况</w:t>
      </w:r>
    </w:p>
    <w:p>
      <w:pPr>
        <w:pStyle w:val="10"/>
        <w:ind w:firstLine="482"/>
        <w:rPr>
          <w:shd w:val="clear" w:color="auto" w:fill="FFFFFF"/>
        </w:rPr>
      </w:pPr>
      <w:r>
        <w:rPr>
          <w:rFonts w:hint="eastAsia"/>
          <w:shd w:val="clear" w:color="auto" w:fill="FFFFFF"/>
        </w:rPr>
        <w:t>1.基本支出情况</w:t>
      </w:r>
    </w:p>
    <w:p>
      <w:pPr>
        <w:pStyle w:val="39"/>
        <w:ind w:firstLine="480"/>
        <w:rPr>
          <w:rFonts w:cs="方正仿宋简体"/>
          <w:shd w:val="clear" w:color="auto" w:fill="FFFFFF"/>
        </w:rPr>
      </w:pPr>
      <w:r>
        <w:rPr>
          <w:rFonts w:hint="eastAsia" w:cs="方正仿宋简体"/>
          <w:shd w:val="clear" w:color="auto" w:fill="FFFFFF"/>
        </w:rPr>
        <w:t>2023年年初预算221.19万元，全年预算数194.42万元，实际支出194.30万元，转入结余分配0.12万元。基本支出是指为保障单位机构正常运转、完成日常工作任务而发生的各项支出，其中：基本工资55.20万元、津贴补贴0.15万元、奖金34.16万元、绩效工资32.06万元、基本养老保险17.28万元、职业年金1.27万元、职工基本医疗保险缴费15.39万元、生活补助13.73万元、办公费0.40万元、差旅费0.10万元、工会经费12.60万元、其他交通费用9.53万元等。</w:t>
      </w:r>
    </w:p>
    <w:p>
      <w:pPr>
        <w:pStyle w:val="10"/>
        <w:ind w:firstLine="482"/>
        <w:rPr>
          <w:shd w:val="clear" w:color="auto" w:fill="FFFFFF"/>
        </w:rPr>
      </w:pPr>
      <w:r>
        <w:rPr>
          <w:rFonts w:hint="eastAsia"/>
          <w:shd w:val="clear" w:color="auto" w:fill="FFFFFF"/>
        </w:rPr>
        <w:t>2.项目支出情况</w:t>
      </w:r>
    </w:p>
    <w:p>
      <w:pPr>
        <w:pStyle w:val="39"/>
        <w:ind w:firstLine="480"/>
        <w:rPr>
          <w:rFonts w:cs="方正仿宋简体"/>
          <w:shd w:val="clear" w:color="auto" w:fill="FFFFFF"/>
        </w:rPr>
      </w:pPr>
      <w:r>
        <w:rPr>
          <w:rFonts w:hint="eastAsia" w:cs="方正仿宋简体"/>
          <w:shd w:val="clear" w:color="auto" w:fill="FFFFFF"/>
        </w:rPr>
        <w:t>2023年年初预算72.34万元，年中追加预算51.79万元，全年预算106.06万元，实际支出106.06万元。项目支出是指单位为完成特定行政工作任务或事业发展目标而发生的支出，包括有关事业发展专项、专项业务费、基本建设支出等。</w:t>
      </w:r>
    </w:p>
    <w:p>
      <w:pPr>
        <w:pStyle w:val="18"/>
        <w:ind w:firstLine="562"/>
      </w:pPr>
      <w:r>
        <w:t>（三）</w:t>
      </w:r>
      <w:r>
        <w:rPr>
          <w:rFonts w:hint="eastAsia"/>
        </w:rPr>
        <w:t>“三公”</w:t>
      </w:r>
      <w:r>
        <w:t>经费使用和管理情况</w:t>
      </w:r>
    </w:p>
    <w:p>
      <w:pPr>
        <w:pStyle w:val="39"/>
        <w:ind w:firstLine="480"/>
        <w:rPr>
          <w:rFonts w:cs="方正仿宋简体"/>
          <w:shd w:val="clear" w:color="auto" w:fill="FFFFFF"/>
        </w:rPr>
      </w:pPr>
      <w:r>
        <w:rPr>
          <w:rFonts w:hint="eastAsia" w:cs="方正仿宋简体"/>
          <w:shd w:val="clear" w:color="auto" w:fill="FFFFFF"/>
        </w:rPr>
        <w:t>2023年我单位安排“三公”经费支出数为34.50万元，其中，公务接待费21.50万元，公务用车购置费0万元，公务用车维护费13万元，因公出国（境）费0万元。2023年“三公”经费预算数较上年预算数减少16.08万元，下降31.79%，主要是公务用车运行费减少。</w:t>
      </w:r>
    </w:p>
    <w:p>
      <w:pPr>
        <w:pStyle w:val="17"/>
        <w:ind w:firstLine="602"/>
      </w:pPr>
      <w:r>
        <w:rPr>
          <w:rFonts w:hint="eastAsia"/>
        </w:rPr>
        <w:t>三、政府性基金预算支出情况</w:t>
      </w:r>
    </w:p>
    <w:p>
      <w:pPr>
        <w:pStyle w:val="39"/>
        <w:ind w:firstLine="480"/>
        <w:rPr>
          <w:rFonts w:cs="方正仿宋简体"/>
          <w:shd w:val="clear" w:color="auto" w:fill="FFFFFF"/>
        </w:rPr>
      </w:pPr>
      <w:r>
        <w:rPr>
          <w:rFonts w:hint="eastAsia" w:cs="方正仿宋简体"/>
          <w:shd w:val="clear" w:color="auto" w:fill="FFFFFF"/>
        </w:rPr>
        <w:t>2023年无政府性基金预算支出。</w:t>
      </w:r>
    </w:p>
    <w:p>
      <w:pPr>
        <w:pStyle w:val="17"/>
        <w:ind w:firstLine="602"/>
      </w:pPr>
      <w:r>
        <w:rPr>
          <w:rFonts w:hint="eastAsia"/>
        </w:rPr>
        <w:t>四、国有资本经营预算支出情况</w:t>
      </w:r>
    </w:p>
    <w:p>
      <w:pPr>
        <w:pStyle w:val="39"/>
        <w:ind w:firstLine="480"/>
        <w:rPr>
          <w:shd w:val="clear" w:color="auto" w:fill="FFFFFF"/>
        </w:rPr>
      </w:pPr>
      <w:r>
        <w:rPr>
          <w:rFonts w:hint="eastAsia" w:cs="方正仿宋简体"/>
          <w:shd w:val="clear" w:color="auto" w:fill="FFFFFF"/>
        </w:rPr>
        <w:t>2023年无国有资本经营预算支出</w:t>
      </w:r>
      <w:r>
        <w:rPr>
          <w:rFonts w:hint="eastAsia"/>
          <w:shd w:val="clear" w:color="auto" w:fill="FFFFFF"/>
        </w:rPr>
        <w:t>。</w:t>
      </w:r>
    </w:p>
    <w:p>
      <w:pPr>
        <w:pStyle w:val="17"/>
        <w:ind w:firstLine="602"/>
      </w:pPr>
      <w:r>
        <w:rPr>
          <w:rFonts w:hint="eastAsia"/>
        </w:rPr>
        <w:t>五、社会保险基金预算支出情况</w:t>
      </w:r>
    </w:p>
    <w:p>
      <w:pPr>
        <w:pStyle w:val="39"/>
        <w:ind w:firstLine="480"/>
        <w:rPr>
          <w:rFonts w:cs="方正仿宋简体"/>
          <w:shd w:val="clear" w:color="auto" w:fill="FFFFFF"/>
        </w:rPr>
      </w:pPr>
      <w:r>
        <w:rPr>
          <w:rFonts w:hint="eastAsia" w:cs="方正仿宋简体"/>
          <w:shd w:val="clear" w:color="auto" w:fill="FFFFFF"/>
        </w:rPr>
        <w:t>单位2023年无社会保险基金预算支出。</w:t>
      </w:r>
    </w:p>
    <w:p>
      <w:pPr>
        <w:pStyle w:val="17"/>
        <w:ind w:firstLine="602"/>
      </w:pPr>
      <w:r>
        <w:rPr>
          <w:rFonts w:hint="eastAsia"/>
        </w:rPr>
        <w:t>六、部门整体支出绩效情况</w:t>
      </w:r>
    </w:p>
    <w:p>
      <w:pPr>
        <w:pStyle w:val="18"/>
        <w:ind w:firstLine="562"/>
      </w:pPr>
      <w:r>
        <w:t>（一）综合评价结论</w:t>
      </w:r>
    </w:p>
    <w:p>
      <w:pPr>
        <w:pStyle w:val="39"/>
        <w:ind w:firstLine="480"/>
        <w:rPr>
          <w:rFonts w:cs="方正仿宋简体"/>
          <w:shd w:val="clear" w:color="auto" w:fill="FFFFFF"/>
        </w:rPr>
      </w:pPr>
      <w:r>
        <w:rPr>
          <w:rFonts w:hint="eastAsia" w:cs="方正仿宋简体"/>
          <w:shd w:val="clear" w:color="auto" w:fill="FFFFFF"/>
        </w:rPr>
        <w:t>根据部门整体支出绩效评价指标规定的内容，经我单位认真自评，总评分为100分，实际得分98分，2023年度部门整体绩效评价为优秀。</w:t>
      </w:r>
    </w:p>
    <w:p>
      <w:pPr>
        <w:pStyle w:val="39"/>
        <w:ind w:firstLine="480"/>
        <w:rPr>
          <w:rFonts w:cs="方正仿宋简体"/>
          <w:shd w:val="clear" w:color="auto" w:fill="FFFFFF"/>
        </w:rPr>
      </w:pPr>
      <w:r>
        <w:rPr>
          <w:rFonts w:hint="eastAsia" w:cs="方正仿宋简体"/>
          <w:shd w:val="clear" w:color="auto" w:fill="FFFFFF"/>
        </w:rPr>
        <w:t>我单位按照市级部门预决算编制通知和有关要求，按时完成预决算编制工作，并及时在网上进行预决算公开。部门整体绩效目标编制完整、合理，项目绩效目标编制明确、量化。按要求严格预算执行管理，及时足额将专项资金按指标拨付。严格执行“三公经费”预算，按要求及时公开预算、决算、绩效等信息。按要求及时、准确、全面开展资产清查工作，上报国有资产报表数据真实、准确、全面。内部控制制度健全完整并执行良好，在本年度内未出现廉政风险。</w:t>
      </w:r>
    </w:p>
    <w:p>
      <w:pPr>
        <w:pStyle w:val="18"/>
        <w:ind w:firstLine="562"/>
        <w:rPr>
          <w:shd w:val="clear" w:color="auto" w:fill="FFFFFF"/>
        </w:rPr>
      </w:pPr>
      <w:r>
        <w:rPr>
          <w:shd w:val="clear" w:color="auto" w:fill="FFFFFF"/>
        </w:rPr>
        <w:t>（二）评价指标分析</w:t>
      </w:r>
    </w:p>
    <w:p>
      <w:pPr>
        <w:pStyle w:val="39"/>
        <w:ind w:firstLine="480"/>
        <w:rPr>
          <w:rFonts w:cs="方正仿宋简体"/>
          <w:shd w:val="clear" w:color="auto" w:fill="FFFFFF"/>
        </w:rPr>
      </w:pPr>
      <w:r>
        <w:rPr>
          <w:rFonts w:hint="eastAsia" w:cs="方正仿宋简体"/>
          <w:shd w:val="clear" w:color="auto" w:fill="FFFFFF"/>
        </w:rPr>
        <w:t>我单位围绕部门职责、行业发展规划，以预算资金管理为主线，从整体绩效目标设定、预算配置、预算执行、预算管理、资产管理、职责履行、履职效益等方面综合分析。总结归纳本部门支出的绩效目标完成情况，实现产出和取得效益的情况。</w:t>
      </w:r>
    </w:p>
    <w:p>
      <w:pPr>
        <w:pStyle w:val="39"/>
        <w:ind w:firstLine="480"/>
        <w:rPr>
          <w:shd w:val="clear" w:color="auto" w:fill="FFFFFF"/>
        </w:rPr>
      </w:pPr>
      <w:r>
        <w:rPr>
          <w:rFonts w:hint="eastAsia" w:cs="方正仿宋简体"/>
          <w:shd w:val="clear" w:color="auto" w:fill="FFFFFF"/>
        </w:rPr>
        <w:t>2023年，按照党中央、省委和市委的统一部署，我单位深入开展主题教育活动，坚持学思用贯通、知信行统一，全面、系统、深入学习习近平新时代中国特色社会主义思想，深刻领悟“两个确立”的决定性意义，突出实践导向，真抓实干、务求实效，牢固树立以人民为中心的发展思想，严格落实中央八项规定及其实施细则精神和省委实施意见、市委相关规定，深入推进清廉驻京建设，积极做好“两带头五整治”纠风防腐专项行动，常态化推进“三整顿两提升”干部作风建设，与深化清廉驻京建设、推进作风建设专项行动、巩固模范机关创建成果等工作结合起来，同中心工作结合起来，做到两手抓、两促进。2023年，获评“一粒种子 改变世界”原创民族音乐会筹备工作先进集体。现总结如下：</w:t>
      </w:r>
    </w:p>
    <w:p>
      <w:pPr>
        <w:pStyle w:val="10"/>
        <w:ind w:firstLine="482"/>
      </w:pPr>
      <w:r>
        <w:rPr>
          <w:rFonts w:hint="eastAsia"/>
        </w:rPr>
        <w:t>1.强化政治引领，筑牢政治忠诚</w:t>
      </w:r>
    </w:p>
    <w:p>
      <w:pPr>
        <w:pStyle w:val="39"/>
        <w:ind w:firstLine="480"/>
        <w:rPr>
          <w:rFonts w:cs="方正仿宋简体"/>
          <w:shd w:val="clear" w:color="auto" w:fill="FFFFFF"/>
        </w:rPr>
      </w:pPr>
      <w:r>
        <w:rPr>
          <w:rFonts w:hint="eastAsia" w:cs="方正仿宋简体"/>
          <w:shd w:val="clear" w:color="auto" w:fill="FFFFFF"/>
        </w:rPr>
        <w:t>（1）把党的政治建设摆在首位。</w:t>
      </w:r>
      <w:r>
        <w:rPr>
          <w:rFonts w:hint="eastAsia" w:cs="方正仿宋简体"/>
        </w:rPr>
        <w:t>严肃党内政治生活，强化政治监督，涵养风清气正、干事创业的政治生态。</w:t>
      </w:r>
    </w:p>
    <w:p>
      <w:pPr>
        <w:pStyle w:val="39"/>
        <w:ind w:firstLine="480"/>
        <w:rPr>
          <w:rFonts w:cs="方正仿宋简体"/>
        </w:rPr>
      </w:pPr>
      <w:r>
        <w:rPr>
          <w:rFonts w:hint="eastAsia" w:cs="方正仿宋简体"/>
        </w:rPr>
        <w:t>（2）认真开展好主题教育活动。</w:t>
      </w:r>
      <w:r>
        <w:rPr>
          <w:rFonts w:hint="eastAsia" w:cs="方正仿宋简体"/>
          <w:bCs/>
        </w:rPr>
        <w:t>2023年，</w:t>
      </w:r>
      <w:r>
        <w:rPr>
          <w:rFonts w:hint="eastAsia" w:cs="方正仿宋简体"/>
        </w:rPr>
        <w:t>按照党中央、省委和市委的统一部署，驻京联络处深入开展主题教育活动，坚持学思用贯通、知信行统一，全面、系统、深入学习习近平新时代中国特色社会主义思想。</w:t>
      </w:r>
    </w:p>
    <w:p>
      <w:pPr>
        <w:pStyle w:val="39"/>
        <w:ind w:firstLine="480"/>
        <w:rPr>
          <w:rFonts w:cs="方正仿宋简体"/>
        </w:rPr>
      </w:pPr>
      <w:r>
        <w:rPr>
          <w:rFonts w:hint="eastAsia" w:cs="方正仿宋简体"/>
        </w:rPr>
        <w:t>（3）加强意识形态工作。驻京联络处切实把讲政治贯穿驻京工作全过程，要求联络处每一位党员干部都要站稳政治立场，维护党中央的核心领导地位。</w:t>
      </w:r>
    </w:p>
    <w:p>
      <w:pPr>
        <w:pStyle w:val="10"/>
        <w:ind w:firstLine="482"/>
      </w:pPr>
      <w:r>
        <w:rPr>
          <w:rFonts w:hint="eastAsia"/>
        </w:rPr>
        <w:t>2.守正创新促发展，增强服务效能</w:t>
      </w:r>
    </w:p>
    <w:p>
      <w:pPr>
        <w:pStyle w:val="39"/>
        <w:ind w:firstLine="480"/>
        <w:rPr>
          <w:rFonts w:cs="方正仿宋简体"/>
        </w:rPr>
      </w:pPr>
      <w:r>
        <w:rPr>
          <w:rFonts w:hint="eastAsia" w:cs="方正仿宋简体"/>
        </w:rPr>
        <w:t>（1）信息工作打开新局面。主动对接国家部委，第一时间获取政策信息，全力打造常态化、多元化、立体化的信息收集报送体系，定期参加湖南省驻京办央企对接暨重大招商工作调度会议，全力配合省驻京办创建“共建、共赢、共享”的信息网络平台。</w:t>
      </w:r>
    </w:p>
    <w:p>
      <w:pPr>
        <w:pStyle w:val="39"/>
        <w:ind w:firstLine="480"/>
        <w:rPr>
          <w:rFonts w:cs="方正仿宋简体"/>
        </w:rPr>
      </w:pPr>
      <w:r>
        <w:rPr>
          <w:rFonts w:hint="eastAsia" w:cs="方正仿宋简体"/>
        </w:rPr>
        <w:t>（2）人才信息工作起收效。</w:t>
      </w:r>
      <w:r>
        <w:rPr>
          <w:rFonts w:hint="eastAsia" w:cs="方正仿宋简体"/>
          <w:shd w:val="clear" w:color="auto" w:fill="FFFFFF"/>
        </w:rPr>
        <w:t>及时掌握了解怀化籍在京人士信息，确保精准对接，</w:t>
      </w:r>
      <w:r>
        <w:rPr>
          <w:rFonts w:hint="eastAsia" w:cs="方正仿宋简体"/>
        </w:rPr>
        <w:t>协助市委组织部、市人社局在京开展招才引才活动，发动在京怀籍企业家和高校师生为怀化招才引才做好宣传推介工作。</w:t>
      </w:r>
    </w:p>
    <w:p>
      <w:pPr>
        <w:pStyle w:val="39"/>
        <w:ind w:firstLine="480"/>
        <w:rPr>
          <w:rFonts w:cs="方正仿宋简体"/>
        </w:rPr>
      </w:pPr>
      <w:r>
        <w:rPr>
          <w:rFonts w:hint="eastAsia" w:cs="方正仿宋简体"/>
        </w:rPr>
        <w:t>（3）全力推进湘商回归。成立了北京怀化企业商会，注重以商招商和亲情招商，积极与央企北京怀化商会，兄弟地市驻京联络处，怀化籍在京乡贤企业走访联系，掌握信息。</w:t>
      </w:r>
    </w:p>
    <w:p>
      <w:pPr>
        <w:pStyle w:val="39"/>
        <w:ind w:firstLine="480"/>
        <w:rPr>
          <w:rFonts w:cs="方正仿宋简体"/>
        </w:rPr>
      </w:pPr>
      <w:r>
        <w:rPr>
          <w:rFonts w:hint="eastAsia" w:cs="方正仿宋简体"/>
        </w:rPr>
        <w:t>（4）政务服务有质效。全年共计为市级领导和市直部门，各县、市（区）来京汇报对接工作联络服务400余人次。</w:t>
      </w:r>
    </w:p>
    <w:p>
      <w:pPr>
        <w:pStyle w:val="39"/>
        <w:ind w:firstLine="480"/>
        <w:rPr>
          <w:rFonts w:cs="方正仿宋简体"/>
        </w:rPr>
      </w:pPr>
      <w:r>
        <w:rPr>
          <w:rFonts w:hint="eastAsia" w:cs="方正仿宋简体"/>
        </w:rPr>
        <w:t>（5）宣传工作开新局面。强化与媒体的联系，统筹市宣传资</w:t>
      </w:r>
      <w:r>
        <w:rPr>
          <w:rFonts w:hint="eastAsia" w:cs="方正仿宋简体"/>
          <w:spacing w:val="6"/>
        </w:rPr>
        <w:t>源，宣传怀化讲好怀化故事。同时，铺路搭桥，为更好地让怀化土特产走出去，通过线上和线下多种渠道宣传推介怀化农产品。</w:t>
      </w:r>
    </w:p>
    <w:p>
      <w:pPr>
        <w:pStyle w:val="39"/>
        <w:ind w:firstLine="480"/>
        <w:rPr>
          <w:rFonts w:cs="方正仿宋简体"/>
        </w:rPr>
      </w:pPr>
      <w:r>
        <w:rPr>
          <w:rFonts w:hint="eastAsia" w:cs="方正仿宋简体"/>
        </w:rPr>
        <w:t>（6）整体形象有新面貌。把清廉文化建设同党风廉政建设工作一并部署，一并落实，清廉文化建设与班子成员履职党支部建设相结合，党员干部带头守纪律讲规矩，遵守党纪国法。</w:t>
      </w:r>
    </w:p>
    <w:p>
      <w:pPr>
        <w:pStyle w:val="39"/>
        <w:ind w:firstLine="480"/>
        <w:rPr>
          <w:rFonts w:cs="Times New Roman"/>
          <w:bCs/>
        </w:rPr>
      </w:pPr>
      <w:r>
        <w:rPr>
          <w:rFonts w:hint="eastAsia" w:cs="方正仿宋简体"/>
        </w:rPr>
        <w:t>（7）全力促进大稳定。</w:t>
      </w:r>
      <w:r>
        <w:rPr>
          <w:rFonts w:hint="eastAsia" w:cs="方正仿宋简体"/>
          <w:bCs/>
        </w:rPr>
        <w:t>抓好全年重点节日确保驻京信访维稳零滞留、零倒流、零滋事、零违纪、零炒作目标，实现了“三</w:t>
      </w:r>
      <w:r>
        <w:rPr>
          <w:rFonts w:hint="eastAsia" w:cs="方正仿宋简体"/>
          <w:bCs/>
          <w:spacing w:val="6"/>
        </w:rPr>
        <w:t>个确保”的预期目标：既没有发生进京规模聚访事件，也没有发生影响怀化形象的恶性个案，进京非正常上访的批次和人次均有下降，为维护首都稳定，维护怀化形象做出了怀化贡献。</w:t>
      </w:r>
    </w:p>
    <w:p>
      <w:pPr>
        <w:pStyle w:val="17"/>
        <w:ind w:firstLine="602"/>
      </w:pPr>
      <w:r>
        <w:rPr>
          <w:rFonts w:hint="eastAsia"/>
          <w:shd w:val="clear" w:color="auto" w:fill="FFFFFF"/>
        </w:rPr>
        <w:t>七、存在的问题及原因分析</w:t>
      </w:r>
    </w:p>
    <w:p>
      <w:pPr>
        <w:pStyle w:val="39"/>
        <w:ind w:firstLine="480"/>
        <w:rPr>
          <w:rFonts w:cs="方正仿宋简体"/>
        </w:rPr>
      </w:pPr>
      <w:r>
        <w:rPr>
          <w:rFonts w:hint="eastAsia" w:cs="方正仿宋简体"/>
        </w:rPr>
        <w:t>1.全面预算绩效管理工作经验不太丰富，绩效管理专业人员匮乏，规范管理有盲点。</w:t>
      </w:r>
    </w:p>
    <w:p>
      <w:pPr>
        <w:pStyle w:val="39"/>
        <w:ind w:firstLine="480"/>
        <w:rPr>
          <w:rFonts w:cs="方正仿宋简体"/>
        </w:rPr>
      </w:pPr>
      <w:r>
        <w:rPr>
          <w:rFonts w:hint="eastAsia" w:cs="方正仿宋简体"/>
        </w:rPr>
        <w:t>2.部门预算编制的科学化、精细化有待提高。目前，预算编制要求经济科目细化到款级，但在实际编制过程中，由于有的预算支出项目具有预测性和不确定性等特点，造成实际支出与预算编制不符。</w:t>
      </w:r>
    </w:p>
    <w:p>
      <w:pPr>
        <w:pStyle w:val="17"/>
        <w:ind w:firstLine="602"/>
        <w:rPr>
          <w:shd w:val="clear" w:color="auto" w:fill="FFFFFF"/>
        </w:rPr>
      </w:pPr>
      <w:r>
        <w:rPr>
          <w:rFonts w:hint="eastAsia"/>
          <w:shd w:val="clear" w:color="auto" w:fill="FFFFFF"/>
        </w:rPr>
        <w:t>八、下一步改进措施</w:t>
      </w:r>
    </w:p>
    <w:p>
      <w:pPr>
        <w:pStyle w:val="39"/>
        <w:ind w:firstLine="480"/>
        <w:rPr>
          <w:rFonts w:cs="方正仿宋简体"/>
          <w:shd w:val="clear" w:color="auto" w:fill="FFFFFF"/>
        </w:rPr>
      </w:pPr>
      <w:r>
        <w:rPr>
          <w:rFonts w:hint="eastAsia" w:cs="方正仿宋简体"/>
          <w:shd w:val="clear" w:color="auto" w:fill="FFFFFF"/>
        </w:rPr>
        <w:t>1.我们将更加全面、细致地制定绩效目标，进一步严肃财经纪律，在实施过程中遵循“实事求是、尊重客观、力求精准”的原则，努力使项目资金落到实处。</w:t>
      </w:r>
    </w:p>
    <w:p>
      <w:pPr>
        <w:pStyle w:val="39"/>
        <w:ind w:firstLine="480"/>
        <w:rPr>
          <w:rFonts w:cs="方正仿宋简体"/>
          <w:shd w:val="clear" w:color="auto" w:fill="FFFFFF"/>
        </w:rPr>
      </w:pPr>
      <w:r>
        <w:rPr>
          <w:rFonts w:hint="eastAsia" w:cs="方正仿宋简体"/>
          <w:shd w:val="clear" w:color="auto" w:fill="FFFFFF"/>
        </w:rPr>
        <w:t>2.我们将落实内控制度，严肃执行“三重一大”的原则，深入开展政府购买社会化服务，切实引进社会化竞争机制，引进相关专业人才，保障项目在公开、公平、公正的监督环境中实施，有效节约项目资金，把有限的资金用在刀刃上。</w:t>
      </w:r>
    </w:p>
    <w:p>
      <w:pPr>
        <w:pStyle w:val="39"/>
        <w:ind w:firstLine="480"/>
        <w:rPr>
          <w:rFonts w:cs="方正仿宋简体"/>
          <w:shd w:val="clear" w:color="auto" w:fill="FFFFFF"/>
        </w:rPr>
      </w:pPr>
      <w:r>
        <w:rPr>
          <w:rFonts w:hint="eastAsia" w:cs="方正仿宋简体"/>
          <w:shd w:val="clear" w:color="auto" w:fill="FFFFFF"/>
        </w:rPr>
        <w:t>3.加强对财政资金的拨付和使用管理，加强对财务干部职工的业务培训，强化预算管理意识，严格执行预算，做到按项目核算，确保专款专用。</w:t>
      </w:r>
    </w:p>
    <w:p>
      <w:pPr>
        <w:pStyle w:val="17"/>
        <w:ind w:firstLine="602"/>
        <w:rPr>
          <w:shd w:val="clear" w:color="auto" w:fill="FFFFFF"/>
        </w:rPr>
      </w:pPr>
      <w:r>
        <w:rPr>
          <w:rFonts w:hint="eastAsia"/>
          <w:shd w:val="clear" w:color="auto" w:fill="FFFFFF"/>
        </w:rPr>
        <w:t>九、其他需要说明的情况</w:t>
      </w:r>
    </w:p>
    <w:p>
      <w:pPr>
        <w:pStyle w:val="39"/>
        <w:ind w:firstLine="480"/>
        <w:rPr>
          <w:rFonts w:cs="方正仿宋简体"/>
          <w:shd w:val="clear" w:color="auto" w:fill="FFFFFF"/>
        </w:rPr>
      </w:pPr>
      <w:r>
        <w:rPr>
          <w:rFonts w:hint="eastAsia" w:cs="方正仿宋简体"/>
          <w:shd w:val="clear" w:color="auto" w:fill="FFFFFF"/>
        </w:rPr>
        <w:t>单位无其他</w:t>
      </w:r>
      <w:r>
        <w:rPr>
          <w:rFonts w:hint="eastAsia" w:cs="宋体"/>
          <w:shd w:val="clear" w:color="auto" w:fill="FFFFFF"/>
        </w:rPr>
        <w:t>需</w:t>
      </w:r>
      <w:r>
        <w:rPr>
          <w:rFonts w:hint="eastAsia" w:cs="方正仿宋简体"/>
          <w:shd w:val="clear" w:color="auto" w:fill="FFFFFF"/>
        </w:rPr>
        <w:t>要</w:t>
      </w:r>
      <w:r>
        <w:rPr>
          <w:rFonts w:hint="eastAsia" w:cs="宋体"/>
          <w:shd w:val="clear" w:color="auto" w:fill="FFFFFF"/>
        </w:rPr>
        <w:t>说</w:t>
      </w:r>
      <w:r>
        <w:rPr>
          <w:rFonts w:hint="eastAsia" w:cs="方正仿宋简体"/>
          <w:shd w:val="clear" w:color="auto" w:fill="FFFFFF"/>
        </w:rPr>
        <w:t>明的情况。</w:t>
      </w:r>
    </w:p>
    <w:p>
      <w:pPr>
        <w:pStyle w:val="39"/>
        <w:ind w:firstLine="480"/>
        <w:rPr>
          <w:rFonts w:cs="方正仿宋简体"/>
          <w:shd w:val="clear" w:color="auto" w:fill="FFFFFF"/>
        </w:rPr>
      </w:pPr>
      <w:r>
        <w:rPr>
          <w:rFonts w:hint="eastAsia" w:cs="方正仿宋简体"/>
          <w:shd w:val="clear" w:color="auto" w:fill="FFFFFF"/>
        </w:rPr>
        <w:t>报告包括以下附件：</w:t>
      </w:r>
    </w:p>
    <w:p>
      <w:pPr>
        <w:pStyle w:val="39"/>
        <w:ind w:firstLine="480"/>
        <w:rPr>
          <w:rFonts w:cs="方正仿宋简体"/>
          <w:shd w:val="clear" w:color="auto" w:fill="FFFFFF"/>
        </w:rPr>
      </w:pPr>
      <w:r>
        <w:rPr>
          <w:rFonts w:hint="eastAsia" w:cs="方正仿宋简体"/>
          <w:shd w:val="clear" w:color="auto" w:fill="FFFFFF"/>
        </w:rPr>
        <w:t xml:space="preserve">1.部门整体支出绩效评价基础数据表  </w:t>
      </w:r>
    </w:p>
    <w:p>
      <w:pPr>
        <w:pStyle w:val="39"/>
        <w:ind w:firstLine="480"/>
        <w:rPr>
          <w:rFonts w:cs="方正仿宋简体"/>
          <w:shd w:val="clear" w:color="auto" w:fill="FFFFFF"/>
        </w:rPr>
      </w:pPr>
      <w:r>
        <w:rPr>
          <w:rFonts w:hint="eastAsia" w:cs="方正仿宋简体"/>
          <w:shd w:val="clear" w:color="auto" w:fill="FFFFFF"/>
        </w:rPr>
        <w:t>2.部门整体支出绩效自评表</w:t>
      </w:r>
    </w:p>
    <w:p>
      <w:pPr>
        <w:pStyle w:val="39"/>
        <w:ind w:firstLine="480"/>
        <w:rPr>
          <w:rFonts w:cs="Times New Roman"/>
          <w:szCs w:val="24"/>
          <w:shd w:val="clear" w:color="auto" w:fill="FFFFFF"/>
        </w:rPr>
      </w:pPr>
      <w:r>
        <w:rPr>
          <w:rFonts w:hint="eastAsia" w:cs="Times New Roman"/>
          <w:szCs w:val="24"/>
          <w:shd w:val="clear" w:color="auto" w:fill="FFFFFF"/>
        </w:rPr>
        <w:br w:type="page"/>
      </w:r>
    </w:p>
    <w:p>
      <w:pPr>
        <w:pStyle w:val="41"/>
        <w:ind w:firstLine="420"/>
        <w:jc w:val="left"/>
        <w:rPr>
          <w:shd w:val="clear" w:color="auto" w:fill="FFFFFF"/>
        </w:rPr>
      </w:pPr>
      <w:r>
        <w:rPr>
          <w:rFonts w:hint="eastAsia"/>
          <w:shd w:val="clear" w:color="auto" w:fill="FFFFFF"/>
        </w:rPr>
        <w:t>附件1-1</w:t>
      </w:r>
    </w:p>
    <w:p>
      <w:pPr>
        <w:pStyle w:val="41"/>
        <w:ind w:firstLine="420"/>
      </w:pPr>
      <w:r>
        <w:rPr>
          <w:rFonts w:hint="eastAsia"/>
        </w:rPr>
        <w:t>部门整体支出绩效评价基础数据表</w:t>
      </w:r>
    </w:p>
    <w:p>
      <w:pPr>
        <w:pStyle w:val="41"/>
        <w:ind w:firstLine="420"/>
        <w:jc w:val="left"/>
        <w:rPr>
          <w:rFonts w:eastAsia="新宋体"/>
        </w:rPr>
      </w:pPr>
      <w:r>
        <w:rPr>
          <w:rFonts w:hint="eastAsia"/>
        </w:rPr>
        <w:t xml:space="preserve">填报单位：湖南省怀化市人民政府驻北京联络处                                        </w:t>
      </w:r>
    </w:p>
    <w:tbl>
      <w:tblPr>
        <w:tblStyle w:val="25"/>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vAlign w:val="center"/>
          </w:tcPr>
          <w:p>
            <w:pPr>
              <w:spacing w:line="300" w:lineRule="exact"/>
              <w:jc w:val="left"/>
              <w:rPr>
                <w:rFonts w:ascii="宋体" w:hAnsi="宋体" w:eastAsia="宋体" w:cs="Times New Roman"/>
                <w:bCs/>
                <w:szCs w:val="21"/>
              </w:rPr>
            </w:pPr>
            <w:r>
              <w:rPr>
                <w:rFonts w:hint="eastAsia" w:ascii="宋体" w:hAnsi="宋体" w:eastAsia="宋体" w:cs="Times New Roman"/>
                <w:bCs/>
                <w:szCs w:val="21"/>
              </w:rPr>
              <w:t>财政供养人员情况</w:t>
            </w:r>
          </w:p>
        </w:tc>
        <w:tc>
          <w:tcPr>
            <w:tcW w:w="2038"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编制数</w:t>
            </w:r>
          </w:p>
        </w:tc>
        <w:tc>
          <w:tcPr>
            <w:tcW w:w="2240" w:type="dxa"/>
            <w:gridSpan w:val="2"/>
            <w:vAlign w:val="center"/>
          </w:tcPr>
          <w:p>
            <w:pPr>
              <w:spacing w:line="300" w:lineRule="exact"/>
              <w:jc w:val="center"/>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023年实际在职人数</w:t>
            </w:r>
          </w:p>
        </w:tc>
        <w:tc>
          <w:tcPr>
            <w:tcW w:w="1832"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vAlign w:val="center"/>
          </w:tcPr>
          <w:p>
            <w:pPr>
              <w:spacing w:line="300" w:lineRule="exact"/>
              <w:jc w:val="left"/>
              <w:rPr>
                <w:rFonts w:ascii="宋体" w:hAnsi="宋体" w:eastAsia="宋体" w:cs="Times New Roman"/>
                <w:bCs/>
                <w:szCs w:val="21"/>
              </w:rPr>
            </w:pPr>
          </w:p>
        </w:tc>
        <w:tc>
          <w:tcPr>
            <w:tcW w:w="2038"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9</w:t>
            </w:r>
          </w:p>
        </w:tc>
        <w:tc>
          <w:tcPr>
            <w:tcW w:w="2240"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w:t>
            </w:r>
          </w:p>
        </w:tc>
        <w:tc>
          <w:tcPr>
            <w:tcW w:w="1832"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00</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spacing w:line="300" w:lineRule="exact"/>
              <w:jc w:val="left"/>
              <w:rPr>
                <w:rFonts w:ascii="宋体" w:hAnsi="宋体" w:eastAsia="宋体" w:cs="Times New Roman"/>
                <w:bCs/>
                <w:szCs w:val="21"/>
              </w:rPr>
            </w:pPr>
            <w:r>
              <w:rPr>
                <w:rFonts w:hint="eastAsia" w:ascii="宋体" w:hAnsi="宋体" w:eastAsia="宋体" w:cs="Times New Roman"/>
                <w:bCs/>
                <w:szCs w:val="21"/>
              </w:rPr>
              <w:t>经费控制情况</w:t>
            </w:r>
          </w:p>
        </w:tc>
        <w:tc>
          <w:tcPr>
            <w:tcW w:w="2038" w:type="dxa"/>
            <w:gridSpan w:val="2"/>
            <w:vAlign w:val="center"/>
          </w:tcPr>
          <w:p>
            <w:pPr>
              <w:spacing w:line="300" w:lineRule="exact"/>
              <w:jc w:val="center"/>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022年决算数</w:t>
            </w:r>
          </w:p>
        </w:tc>
        <w:tc>
          <w:tcPr>
            <w:tcW w:w="2240" w:type="dxa"/>
            <w:gridSpan w:val="2"/>
            <w:vAlign w:val="center"/>
          </w:tcPr>
          <w:p>
            <w:pPr>
              <w:spacing w:line="300" w:lineRule="exact"/>
              <w:jc w:val="center"/>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023年预算数</w:t>
            </w:r>
          </w:p>
        </w:tc>
        <w:tc>
          <w:tcPr>
            <w:tcW w:w="1832" w:type="dxa"/>
            <w:gridSpan w:val="2"/>
            <w:vAlign w:val="center"/>
          </w:tcPr>
          <w:p>
            <w:pPr>
              <w:spacing w:line="300" w:lineRule="exact"/>
              <w:jc w:val="center"/>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023年决算数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spacing w:line="300" w:lineRule="exact"/>
              <w:jc w:val="left"/>
              <w:rPr>
                <w:rFonts w:ascii="宋体" w:hAnsi="宋体" w:eastAsia="宋体" w:cs="Times New Roman"/>
                <w:bCs/>
                <w:szCs w:val="21"/>
              </w:rPr>
            </w:pPr>
            <w:r>
              <w:rPr>
                <w:rFonts w:hint="eastAsia" w:ascii="宋体" w:hAnsi="宋体" w:eastAsia="宋体" w:cs="Times New Roman"/>
                <w:bCs/>
                <w:szCs w:val="21"/>
              </w:rPr>
              <w:t>三公经费</w:t>
            </w:r>
          </w:p>
        </w:tc>
        <w:tc>
          <w:tcPr>
            <w:tcW w:w="2038" w:type="dxa"/>
            <w:gridSpan w:val="2"/>
            <w:vAlign w:val="center"/>
          </w:tcPr>
          <w:p>
            <w:pPr>
              <w:spacing w:line="300" w:lineRule="exact"/>
              <w:jc w:val="center"/>
              <w:rPr>
                <w:rFonts w:ascii="宋体" w:hAnsi="宋体" w:eastAsia="宋体" w:cs="Times New Roman"/>
                <w:bCs/>
                <w:szCs w:val="21"/>
              </w:rPr>
            </w:pPr>
            <w:r>
              <w:rPr>
                <w:rFonts w:ascii="宋体" w:hAnsi="宋体" w:eastAsia="宋体" w:cs="Times New Roman"/>
                <w:bCs/>
                <w:szCs w:val="21"/>
              </w:rPr>
              <w:t>25.12</w:t>
            </w:r>
          </w:p>
        </w:tc>
        <w:tc>
          <w:tcPr>
            <w:tcW w:w="2240" w:type="dxa"/>
            <w:gridSpan w:val="2"/>
            <w:vAlign w:val="center"/>
          </w:tcPr>
          <w:p>
            <w:pPr>
              <w:spacing w:line="300" w:lineRule="exact"/>
              <w:jc w:val="center"/>
              <w:rPr>
                <w:rFonts w:ascii="宋体" w:hAnsi="宋体" w:eastAsia="宋体" w:cs="Times New Roman"/>
                <w:bCs/>
                <w:szCs w:val="21"/>
              </w:rPr>
            </w:pPr>
            <w:r>
              <w:rPr>
                <w:rFonts w:ascii="宋体" w:hAnsi="宋体" w:eastAsia="宋体" w:cs="Times New Roman"/>
                <w:bCs/>
                <w:szCs w:val="21"/>
              </w:rPr>
              <w:t>34.50</w:t>
            </w:r>
          </w:p>
        </w:tc>
        <w:tc>
          <w:tcPr>
            <w:tcW w:w="1832" w:type="dxa"/>
            <w:gridSpan w:val="2"/>
            <w:vAlign w:val="center"/>
          </w:tcPr>
          <w:p>
            <w:pPr>
              <w:spacing w:line="300" w:lineRule="exact"/>
              <w:jc w:val="center"/>
              <w:rPr>
                <w:rFonts w:ascii="宋体" w:hAnsi="宋体" w:eastAsia="宋体" w:cs="Times New Roman"/>
                <w:bCs/>
                <w:szCs w:val="21"/>
              </w:rPr>
            </w:pPr>
            <w:r>
              <w:rPr>
                <w:rFonts w:ascii="宋体" w:hAnsi="宋体" w:eastAsia="宋体" w:cs="Times New Roman"/>
                <w:bCs/>
                <w:szCs w:val="21"/>
              </w:rPr>
              <w:t>34.12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spacing w:line="300" w:lineRule="exact"/>
              <w:jc w:val="left"/>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w:t>
            </w:r>
            <w:r>
              <w:rPr>
                <w:rFonts w:hint="eastAsia" w:ascii="宋体" w:hAnsi="宋体" w:eastAsia="宋体" w:cs="Times New Roman"/>
                <w:bCs/>
                <w:szCs w:val="21"/>
              </w:rPr>
              <w:t>公务用车购置和维护经费</w:t>
            </w:r>
          </w:p>
        </w:tc>
        <w:tc>
          <w:tcPr>
            <w:tcW w:w="2038" w:type="dxa"/>
            <w:gridSpan w:val="2"/>
            <w:vAlign w:val="center"/>
          </w:tcPr>
          <w:p>
            <w:pPr>
              <w:spacing w:line="300" w:lineRule="exact"/>
              <w:jc w:val="center"/>
              <w:rPr>
                <w:rFonts w:ascii="宋体" w:hAnsi="宋体" w:eastAsia="宋体" w:cs="Times New Roman"/>
                <w:bCs/>
                <w:szCs w:val="21"/>
              </w:rPr>
            </w:pPr>
            <w:r>
              <w:rPr>
                <w:rFonts w:ascii="宋体" w:hAnsi="宋体" w:eastAsia="宋体" w:cs="Times New Roman"/>
                <w:bCs/>
                <w:szCs w:val="21"/>
              </w:rPr>
              <w:t>14.70</w:t>
            </w:r>
          </w:p>
        </w:tc>
        <w:tc>
          <w:tcPr>
            <w:tcW w:w="2240" w:type="dxa"/>
            <w:gridSpan w:val="2"/>
            <w:vAlign w:val="center"/>
          </w:tcPr>
          <w:p>
            <w:pPr>
              <w:spacing w:line="300" w:lineRule="exact"/>
              <w:jc w:val="center"/>
              <w:rPr>
                <w:rFonts w:ascii="宋体" w:hAnsi="宋体" w:eastAsia="宋体" w:cs="Times New Roman"/>
                <w:bCs/>
                <w:szCs w:val="21"/>
              </w:rPr>
            </w:pPr>
            <w:r>
              <w:rPr>
                <w:rFonts w:ascii="宋体" w:hAnsi="宋体" w:eastAsia="宋体" w:cs="Times New Roman"/>
                <w:bCs/>
                <w:szCs w:val="21"/>
              </w:rPr>
              <w:t>13.00</w:t>
            </w:r>
          </w:p>
        </w:tc>
        <w:tc>
          <w:tcPr>
            <w:tcW w:w="1832" w:type="dxa"/>
            <w:gridSpan w:val="2"/>
            <w:vAlign w:val="center"/>
          </w:tcPr>
          <w:p>
            <w:pPr>
              <w:spacing w:line="300" w:lineRule="exact"/>
              <w:jc w:val="center"/>
              <w:rPr>
                <w:rFonts w:ascii="宋体" w:hAnsi="宋体" w:eastAsia="宋体" w:cs="Times New Roman"/>
                <w:bCs/>
                <w:szCs w:val="21"/>
              </w:rPr>
            </w:pPr>
            <w:r>
              <w:rPr>
                <w:rFonts w:ascii="宋体" w:hAnsi="宋体" w:eastAsia="宋体" w:cs="Times New Roman"/>
                <w:bCs/>
                <w:szCs w:val="21"/>
              </w:rPr>
              <w:t>12.69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spacing w:line="300" w:lineRule="exact"/>
              <w:jc w:val="left"/>
              <w:rPr>
                <w:rFonts w:ascii="宋体" w:hAnsi="宋体" w:eastAsia="宋体" w:cs="Times New Roman"/>
                <w:bCs/>
                <w:szCs w:val="21"/>
              </w:rPr>
            </w:pPr>
            <w:r>
              <w:rPr>
                <w:rFonts w:hint="eastAsia" w:ascii="宋体" w:hAnsi="宋体" w:eastAsia="宋体" w:cs="Times New Roman"/>
                <w:bCs/>
                <w:szCs w:val="21"/>
              </w:rPr>
              <w:t xml:space="preserve">       其中：公车购置</w:t>
            </w:r>
          </w:p>
        </w:tc>
        <w:tc>
          <w:tcPr>
            <w:tcW w:w="2038" w:type="dxa"/>
            <w:gridSpan w:val="2"/>
            <w:vAlign w:val="center"/>
          </w:tcPr>
          <w:p>
            <w:pPr>
              <w:spacing w:line="300" w:lineRule="exact"/>
              <w:jc w:val="center"/>
              <w:rPr>
                <w:rFonts w:ascii="宋体" w:hAnsi="宋体" w:eastAsia="宋体" w:cs="Times New Roman"/>
                <w:bCs/>
                <w:szCs w:val="21"/>
              </w:rPr>
            </w:pPr>
          </w:p>
        </w:tc>
        <w:tc>
          <w:tcPr>
            <w:tcW w:w="2240" w:type="dxa"/>
            <w:gridSpan w:val="2"/>
            <w:vAlign w:val="center"/>
          </w:tcPr>
          <w:p>
            <w:pPr>
              <w:spacing w:line="300" w:lineRule="exact"/>
              <w:jc w:val="center"/>
              <w:rPr>
                <w:rFonts w:ascii="宋体" w:hAnsi="宋体" w:eastAsia="宋体" w:cs="Times New Roman"/>
                <w:bCs/>
                <w:szCs w:val="21"/>
              </w:rPr>
            </w:pPr>
          </w:p>
        </w:tc>
        <w:tc>
          <w:tcPr>
            <w:tcW w:w="1832" w:type="dxa"/>
            <w:gridSpan w:val="2"/>
            <w:vAlign w:val="center"/>
          </w:tcPr>
          <w:p>
            <w:pPr>
              <w:spacing w:line="30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spacing w:line="300" w:lineRule="exact"/>
              <w:jc w:val="left"/>
              <w:rPr>
                <w:rFonts w:ascii="宋体" w:hAnsi="宋体" w:eastAsia="宋体" w:cs="Times New Roman"/>
                <w:bCs/>
                <w:szCs w:val="21"/>
              </w:rPr>
            </w:pPr>
            <w:r>
              <w:rPr>
                <w:rFonts w:hint="eastAsia" w:ascii="宋体" w:hAnsi="宋体" w:eastAsia="宋体" w:cs="Times New Roman"/>
                <w:bCs/>
                <w:szCs w:val="21"/>
              </w:rPr>
              <w:t xml:space="preserve">             公车运行维护</w:t>
            </w:r>
          </w:p>
        </w:tc>
        <w:tc>
          <w:tcPr>
            <w:tcW w:w="2038" w:type="dxa"/>
            <w:gridSpan w:val="2"/>
            <w:vAlign w:val="center"/>
          </w:tcPr>
          <w:p>
            <w:pPr>
              <w:spacing w:line="300" w:lineRule="exact"/>
              <w:jc w:val="center"/>
              <w:rPr>
                <w:rFonts w:ascii="宋体" w:hAnsi="宋体" w:eastAsia="宋体" w:cs="Times New Roman"/>
                <w:bCs/>
                <w:szCs w:val="21"/>
              </w:rPr>
            </w:pPr>
            <w:r>
              <w:rPr>
                <w:rFonts w:ascii="宋体" w:hAnsi="宋体" w:eastAsia="宋体" w:cs="Times New Roman"/>
                <w:bCs/>
                <w:szCs w:val="21"/>
              </w:rPr>
              <w:t>14.70</w:t>
            </w:r>
          </w:p>
        </w:tc>
        <w:tc>
          <w:tcPr>
            <w:tcW w:w="2240"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3.00</w:t>
            </w:r>
          </w:p>
        </w:tc>
        <w:tc>
          <w:tcPr>
            <w:tcW w:w="1832" w:type="dxa"/>
            <w:gridSpan w:val="2"/>
            <w:vAlign w:val="center"/>
          </w:tcPr>
          <w:p>
            <w:pPr>
              <w:spacing w:line="300" w:lineRule="exact"/>
              <w:jc w:val="center"/>
              <w:rPr>
                <w:rFonts w:ascii="宋体" w:hAnsi="宋体" w:eastAsia="宋体" w:cs="Times New Roman"/>
                <w:bCs/>
                <w:szCs w:val="21"/>
              </w:rPr>
            </w:pPr>
            <w:r>
              <w:rPr>
                <w:rFonts w:ascii="宋体" w:hAnsi="宋体" w:eastAsia="宋体" w:cs="Times New Roman"/>
                <w:bCs/>
                <w:szCs w:val="21"/>
              </w:rPr>
              <w:t>12.69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spacing w:line="3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w:t>
            </w:r>
            <w:r>
              <w:rPr>
                <w:rFonts w:hint="eastAsia" w:ascii="宋体" w:hAnsi="宋体" w:eastAsia="宋体" w:cs="Times New Roman"/>
                <w:bCs/>
                <w:szCs w:val="21"/>
              </w:rPr>
              <w:t>出国经费</w:t>
            </w:r>
          </w:p>
        </w:tc>
        <w:tc>
          <w:tcPr>
            <w:tcW w:w="2038" w:type="dxa"/>
            <w:gridSpan w:val="2"/>
            <w:vAlign w:val="center"/>
          </w:tcPr>
          <w:p>
            <w:pPr>
              <w:spacing w:line="300" w:lineRule="exact"/>
              <w:jc w:val="center"/>
              <w:rPr>
                <w:rFonts w:ascii="宋体" w:hAnsi="宋体" w:eastAsia="宋体" w:cs="Times New Roman"/>
                <w:bCs/>
                <w:szCs w:val="21"/>
              </w:rPr>
            </w:pPr>
          </w:p>
        </w:tc>
        <w:tc>
          <w:tcPr>
            <w:tcW w:w="2240" w:type="dxa"/>
            <w:gridSpan w:val="2"/>
            <w:vAlign w:val="center"/>
          </w:tcPr>
          <w:p>
            <w:pPr>
              <w:spacing w:line="300" w:lineRule="exact"/>
              <w:jc w:val="center"/>
              <w:rPr>
                <w:rFonts w:ascii="宋体" w:hAnsi="宋体" w:eastAsia="宋体" w:cs="Times New Roman"/>
                <w:bCs/>
                <w:szCs w:val="21"/>
              </w:rPr>
            </w:pPr>
          </w:p>
        </w:tc>
        <w:tc>
          <w:tcPr>
            <w:tcW w:w="1832" w:type="dxa"/>
            <w:gridSpan w:val="2"/>
            <w:vAlign w:val="center"/>
          </w:tcPr>
          <w:p>
            <w:pPr>
              <w:spacing w:line="30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spacing w:line="300" w:lineRule="exact"/>
              <w:jc w:val="left"/>
              <w:rPr>
                <w:rFonts w:ascii="宋体" w:hAnsi="宋体" w:eastAsia="宋体" w:cs="Times New Roman"/>
                <w:bCs/>
                <w:szCs w:val="21"/>
              </w:rPr>
            </w:pPr>
            <w:r>
              <w:rPr>
                <w:rFonts w:hint="eastAsia" w:ascii="宋体" w:hAnsi="宋体" w:eastAsia="宋体" w:cs="Times New Roman"/>
                <w:bCs/>
                <w:szCs w:val="21"/>
              </w:rPr>
              <w:t>3</w:t>
            </w:r>
            <w:r>
              <w:rPr>
                <w:rFonts w:ascii="宋体" w:hAnsi="宋体" w:eastAsia="宋体" w:cs="Times New Roman"/>
                <w:bCs/>
                <w:szCs w:val="21"/>
              </w:rPr>
              <w:t>.</w:t>
            </w:r>
            <w:r>
              <w:rPr>
                <w:rFonts w:hint="eastAsia" w:ascii="宋体" w:hAnsi="宋体" w:eastAsia="宋体" w:cs="Times New Roman"/>
                <w:bCs/>
                <w:szCs w:val="21"/>
              </w:rPr>
              <w:t>公务接待</w:t>
            </w:r>
          </w:p>
        </w:tc>
        <w:tc>
          <w:tcPr>
            <w:tcW w:w="2038" w:type="dxa"/>
            <w:gridSpan w:val="2"/>
            <w:vAlign w:val="center"/>
          </w:tcPr>
          <w:p>
            <w:pPr>
              <w:spacing w:line="300" w:lineRule="exact"/>
              <w:jc w:val="center"/>
              <w:rPr>
                <w:rFonts w:ascii="宋体" w:hAnsi="宋体" w:eastAsia="宋体" w:cs="Times New Roman"/>
                <w:bCs/>
                <w:szCs w:val="21"/>
              </w:rPr>
            </w:pPr>
            <w:r>
              <w:rPr>
                <w:rFonts w:ascii="宋体" w:hAnsi="宋体" w:eastAsia="宋体" w:cs="Times New Roman"/>
                <w:bCs/>
                <w:szCs w:val="21"/>
              </w:rPr>
              <w:t>10.42</w:t>
            </w:r>
          </w:p>
        </w:tc>
        <w:tc>
          <w:tcPr>
            <w:tcW w:w="2240" w:type="dxa"/>
            <w:gridSpan w:val="2"/>
            <w:vAlign w:val="center"/>
          </w:tcPr>
          <w:p>
            <w:pPr>
              <w:spacing w:line="300" w:lineRule="exact"/>
              <w:jc w:val="center"/>
              <w:rPr>
                <w:rFonts w:ascii="宋体" w:hAnsi="宋体" w:eastAsia="宋体" w:cs="Times New Roman"/>
                <w:bCs/>
                <w:szCs w:val="21"/>
              </w:rPr>
            </w:pPr>
            <w:r>
              <w:rPr>
                <w:rFonts w:ascii="宋体" w:hAnsi="宋体" w:eastAsia="宋体" w:cs="Times New Roman"/>
                <w:bCs/>
                <w:szCs w:val="21"/>
              </w:rPr>
              <w:t>21.50</w:t>
            </w:r>
          </w:p>
        </w:tc>
        <w:tc>
          <w:tcPr>
            <w:tcW w:w="1832"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spacing w:line="300" w:lineRule="exact"/>
              <w:jc w:val="left"/>
              <w:rPr>
                <w:rFonts w:ascii="宋体" w:hAnsi="宋体" w:eastAsia="宋体" w:cs="Times New Roman"/>
                <w:bCs/>
                <w:szCs w:val="21"/>
              </w:rPr>
            </w:pPr>
            <w:r>
              <w:rPr>
                <w:rFonts w:hint="eastAsia" w:ascii="宋体" w:hAnsi="宋体" w:eastAsia="宋体" w:cs="Times New Roman"/>
                <w:bCs/>
                <w:szCs w:val="21"/>
              </w:rPr>
              <w:t>项目支出：</w:t>
            </w:r>
          </w:p>
        </w:tc>
        <w:tc>
          <w:tcPr>
            <w:tcW w:w="2038"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8</w:t>
            </w:r>
            <w:r>
              <w:rPr>
                <w:rFonts w:ascii="宋体" w:hAnsi="宋体" w:eastAsia="宋体" w:cs="Times New Roman"/>
                <w:bCs/>
                <w:szCs w:val="21"/>
              </w:rPr>
              <w:t>3.19</w:t>
            </w:r>
          </w:p>
        </w:tc>
        <w:tc>
          <w:tcPr>
            <w:tcW w:w="2240" w:type="dxa"/>
            <w:gridSpan w:val="2"/>
            <w:vAlign w:val="center"/>
          </w:tcPr>
          <w:p>
            <w:pPr>
              <w:spacing w:line="300" w:lineRule="exact"/>
              <w:jc w:val="center"/>
              <w:rPr>
                <w:rFonts w:ascii="宋体" w:hAnsi="宋体" w:eastAsia="宋体" w:cs="Times New Roman"/>
                <w:bCs/>
                <w:szCs w:val="21"/>
              </w:rPr>
            </w:pPr>
            <w:r>
              <w:rPr>
                <w:rFonts w:ascii="宋体" w:hAnsi="宋体" w:eastAsia="宋体" w:cs="Times New Roman"/>
                <w:bCs/>
                <w:szCs w:val="21"/>
              </w:rPr>
              <w:t>72.34</w:t>
            </w:r>
          </w:p>
        </w:tc>
        <w:tc>
          <w:tcPr>
            <w:tcW w:w="1832"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spacing w:line="300" w:lineRule="exact"/>
              <w:jc w:val="left"/>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w:t>
            </w:r>
            <w:r>
              <w:rPr>
                <w:rFonts w:hint="eastAsia" w:ascii="宋体" w:hAnsi="宋体" w:eastAsia="宋体" w:cs="Times New Roman"/>
                <w:bCs/>
                <w:szCs w:val="21"/>
              </w:rPr>
              <w:t>专项业务（工作）经费</w:t>
            </w:r>
          </w:p>
        </w:tc>
        <w:tc>
          <w:tcPr>
            <w:tcW w:w="2038" w:type="dxa"/>
            <w:gridSpan w:val="2"/>
            <w:vAlign w:val="center"/>
          </w:tcPr>
          <w:p>
            <w:pPr>
              <w:spacing w:line="300" w:lineRule="exact"/>
              <w:jc w:val="center"/>
              <w:rPr>
                <w:rFonts w:ascii="宋体" w:hAnsi="宋体" w:eastAsia="宋体" w:cs="Times New Roman"/>
                <w:bCs/>
                <w:szCs w:val="21"/>
              </w:rPr>
            </w:pPr>
            <w:r>
              <w:rPr>
                <w:rFonts w:ascii="宋体" w:hAnsi="宋体" w:eastAsia="宋体" w:cs="Times New Roman"/>
                <w:bCs/>
                <w:szCs w:val="21"/>
              </w:rPr>
              <w:t>74.79</w:t>
            </w:r>
          </w:p>
        </w:tc>
        <w:tc>
          <w:tcPr>
            <w:tcW w:w="2240"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6</w:t>
            </w:r>
            <w:r>
              <w:rPr>
                <w:rFonts w:ascii="宋体" w:hAnsi="宋体" w:eastAsia="宋体" w:cs="Times New Roman"/>
                <w:bCs/>
                <w:szCs w:val="21"/>
              </w:rPr>
              <w:t>2.34</w:t>
            </w:r>
          </w:p>
        </w:tc>
        <w:tc>
          <w:tcPr>
            <w:tcW w:w="1832"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4</w:t>
            </w:r>
            <w:r>
              <w:rPr>
                <w:rFonts w:ascii="宋体" w:hAnsi="宋体" w:eastAsia="宋体" w:cs="Times New Roman"/>
                <w:bCs/>
                <w:szCs w:val="21"/>
              </w:rPr>
              <w:t>6.78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spacing w:line="3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w:t>
            </w:r>
            <w:r>
              <w:rPr>
                <w:rFonts w:hint="eastAsia" w:ascii="宋体" w:hAnsi="宋体" w:eastAsia="宋体" w:cs="Times New Roman"/>
                <w:bCs/>
                <w:szCs w:val="21"/>
              </w:rPr>
              <w:t>维权维稳（工作）经费</w:t>
            </w:r>
          </w:p>
        </w:tc>
        <w:tc>
          <w:tcPr>
            <w:tcW w:w="2038" w:type="dxa"/>
            <w:gridSpan w:val="2"/>
            <w:vAlign w:val="center"/>
          </w:tcPr>
          <w:p>
            <w:pPr>
              <w:spacing w:line="300" w:lineRule="exact"/>
              <w:jc w:val="center"/>
              <w:rPr>
                <w:rFonts w:ascii="宋体" w:hAnsi="宋体" w:eastAsia="宋体" w:cs="Times New Roman"/>
                <w:bCs/>
                <w:szCs w:val="21"/>
              </w:rPr>
            </w:pPr>
            <w:r>
              <w:rPr>
                <w:rFonts w:ascii="宋体" w:hAnsi="宋体" w:eastAsia="宋体" w:cs="Times New Roman"/>
                <w:bCs/>
                <w:szCs w:val="21"/>
              </w:rPr>
              <w:t>8.40</w:t>
            </w:r>
          </w:p>
        </w:tc>
        <w:tc>
          <w:tcPr>
            <w:tcW w:w="2240"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0.00</w:t>
            </w:r>
          </w:p>
        </w:tc>
        <w:tc>
          <w:tcPr>
            <w:tcW w:w="1832"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7</w:t>
            </w:r>
            <w:r>
              <w:rPr>
                <w:rFonts w:ascii="宋体" w:hAnsi="宋体" w:eastAsia="宋体" w:cs="Times New Roman"/>
                <w:bCs/>
                <w:szCs w:val="21"/>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spacing w:line="300" w:lineRule="exact"/>
              <w:jc w:val="left"/>
              <w:rPr>
                <w:rFonts w:ascii="宋体" w:hAnsi="宋体" w:eastAsia="宋体" w:cs="Times New Roman"/>
                <w:bCs/>
                <w:szCs w:val="21"/>
              </w:rPr>
            </w:pPr>
            <w:r>
              <w:rPr>
                <w:rFonts w:ascii="宋体" w:hAnsi="宋体" w:eastAsia="宋体" w:cs="Times New Roman"/>
                <w:bCs/>
                <w:szCs w:val="21"/>
              </w:rPr>
              <w:t>3.工作经费</w:t>
            </w:r>
          </w:p>
        </w:tc>
        <w:tc>
          <w:tcPr>
            <w:tcW w:w="2038" w:type="dxa"/>
            <w:gridSpan w:val="2"/>
            <w:vAlign w:val="center"/>
          </w:tcPr>
          <w:p>
            <w:pPr>
              <w:spacing w:line="300" w:lineRule="exact"/>
              <w:jc w:val="center"/>
              <w:rPr>
                <w:rFonts w:ascii="宋体" w:hAnsi="宋体" w:eastAsia="宋体" w:cs="Times New Roman"/>
                <w:bCs/>
                <w:szCs w:val="21"/>
              </w:rPr>
            </w:pPr>
          </w:p>
        </w:tc>
        <w:tc>
          <w:tcPr>
            <w:tcW w:w="2240" w:type="dxa"/>
            <w:gridSpan w:val="2"/>
            <w:vAlign w:val="center"/>
          </w:tcPr>
          <w:p>
            <w:pPr>
              <w:spacing w:line="300" w:lineRule="exact"/>
              <w:jc w:val="center"/>
              <w:rPr>
                <w:rFonts w:ascii="宋体" w:hAnsi="宋体" w:eastAsia="宋体" w:cs="Times New Roman"/>
                <w:bCs/>
                <w:szCs w:val="21"/>
              </w:rPr>
            </w:pPr>
            <w:r>
              <w:rPr>
                <w:rFonts w:ascii="宋体" w:hAnsi="宋体" w:eastAsia="宋体" w:cs="Times New Roman"/>
                <w:bCs/>
                <w:szCs w:val="21"/>
              </w:rPr>
              <w:t>51.79</w:t>
            </w:r>
          </w:p>
        </w:tc>
        <w:tc>
          <w:tcPr>
            <w:tcW w:w="1832" w:type="dxa"/>
            <w:gridSpan w:val="2"/>
            <w:vAlign w:val="center"/>
          </w:tcPr>
          <w:p>
            <w:pPr>
              <w:spacing w:line="300" w:lineRule="exact"/>
              <w:jc w:val="center"/>
              <w:rPr>
                <w:rFonts w:ascii="宋体" w:hAnsi="宋体" w:eastAsia="宋体" w:cs="Times New Roman"/>
                <w:bCs/>
                <w:szCs w:val="21"/>
              </w:rPr>
            </w:pPr>
            <w:r>
              <w:rPr>
                <w:rFonts w:ascii="宋体" w:hAnsi="宋体" w:eastAsia="宋体" w:cs="Times New Roman"/>
                <w:bCs/>
                <w:szCs w:val="21"/>
              </w:rPr>
              <w:t>51.79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spacing w:line="300" w:lineRule="exact"/>
              <w:jc w:val="left"/>
              <w:rPr>
                <w:rFonts w:ascii="宋体" w:hAnsi="宋体" w:eastAsia="宋体" w:cs="Times New Roman"/>
                <w:bCs/>
                <w:szCs w:val="21"/>
              </w:rPr>
            </w:pPr>
            <w:r>
              <w:rPr>
                <w:rFonts w:hint="eastAsia" w:ascii="宋体" w:hAnsi="宋体" w:eastAsia="宋体" w:cs="Times New Roman"/>
                <w:bCs/>
                <w:szCs w:val="21"/>
              </w:rPr>
              <w:t>4其他事业类发展资金</w:t>
            </w:r>
          </w:p>
        </w:tc>
        <w:tc>
          <w:tcPr>
            <w:tcW w:w="2038" w:type="dxa"/>
            <w:gridSpan w:val="2"/>
            <w:vAlign w:val="center"/>
          </w:tcPr>
          <w:p>
            <w:pPr>
              <w:spacing w:line="300" w:lineRule="exact"/>
              <w:jc w:val="center"/>
              <w:rPr>
                <w:rFonts w:ascii="宋体" w:hAnsi="宋体" w:eastAsia="宋体" w:cs="Times New Roman"/>
                <w:bCs/>
                <w:szCs w:val="21"/>
              </w:rPr>
            </w:pPr>
          </w:p>
        </w:tc>
        <w:tc>
          <w:tcPr>
            <w:tcW w:w="2240" w:type="dxa"/>
            <w:gridSpan w:val="2"/>
            <w:vAlign w:val="center"/>
          </w:tcPr>
          <w:p>
            <w:pPr>
              <w:spacing w:line="300" w:lineRule="exact"/>
              <w:jc w:val="center"/>
              <w:rPr>
                <w:rFonts w:ascii="宋体" w:hAnsi="宋体" w:eastAsia="宋体" w:cs="Times New Roman"/>
                <w:bCs/>
                <w:szCs w:val="21"/>
              </w:rPr>
            </w:pPr>
          </w:p>
        </w:tc>
        <w:tc>
          <w:tcPr>
            <w:tcW w:w="1832" w:type="dxa"/>
            <w:gridSpan w:val="2"/>
            <w:vAlign w:val="center"/>
          </w:tcPr>
          <w:p>
            <w:pPr>
              <w:spacing w:line="30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spacing w:line="300" w:lineRule="exact"/>
              <w:jc w:val="left"/>
              <w:rPr>
                <w:rFonts w:ascii="宋体" w:hAnsi="宋体" w:eastAsia="宋体" w:cs="Times New Roman"/>
                <w:bCs/>
                <w:szCs w:val="21"/>
              </w:rPr>
            </w:pPr>
            <w:r>
              <w:rPr>
                <w:rFonts w:hint="eastAsia" w:ascii="宋体" w:hAnsi="宋体" w:eastAsia="宋体" w:cs="Times New Roman"/>
                <w:bCs/>
                <w:szCs w:val="21"/>
              </w:rPr>
              <w:t>公用经费</w:t>
            </w:r>
          </w:p>
        </w:tc>
        <w:tc>
          <w:tcPr>
            <w:tcW w:w="2038"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1.86</w:t>
            </w:r>
          </w:p>
        </w:tc>
        <w:tc>
          <w:tcPr>
            <w:tcW w:w="2240"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4.00</w:t>
            </w:r>
          </w:p>
        </w:tc>
        <w:tc>
          <w:tcPr>
            <w:tcW w:w="1832"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3.46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spacing w:line="300" w:lineRule="exact"/>
              <w:jc w:val="left"/>
              <w:rPr>
                <w:rFonts w:ascii="宋体" w:hAnsi="宋体" w:eastAsia="宋体" w:cs="Times New Roman"/>
                <w:bCs/>
                <w:szCs w:val="21"/>
              </w:rPr>
            </w:pPr>
            <w:r>
              <w:rPr>
                <w:rFonts w:hint="eastAsia" w:ascii="宋体" w:hAnsi="宋体" w:eastAsia="宋体" w:cs="Times New Roman"/>
                <w:bCs/>
                <w:szCs w:val="21"/>
              </w:rPr>
              <w:t xml:space="preserve">    其中：办公费</w:t>
            </w:r>
          </w:p>
        </w:tc>
        <w:tc>
          <w:tcPr>
            <w:tcW w:w="2038" w:type="dxa"/>
            <w:gridSpan w:val="2"/>
            <w:vAlign w:val="center"/>
          </w:tcPr>
          <w:p>
            <w:pPr>
              <w:spacing w:line="300" w:lineRule="exact"/>
              <w:jc w:val="center"/>
              <w:rPr>
                <w:rFonts w:ascii="宋体" w:hAnsi="宋体" w:eastAsia="宋体" w:cs="Times New Roman"/>
                <w:bCs/>
                <w:szCs w:val="21"/>
              </w:rPr>
            </w:pPr>
            <w:r>
              <w:rPr>
                <w:rFonts w:ascii="宋体" w:hAnsi="宋体" w:eastAsia="宋体" w:cs="Times New Roman"/>
                <w:bCs/>
                <w:szCs w:val="21"/>
              </w:rPr>
              <w:t>0.00</w:t>
            </w:r>
          </w:p>
        </w:tc>
        <w:tc>
          <w:tcPr>
            <w:tcW w:w="2240"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.00</w:t>
            </w:r>
          </w:p>
        </w:tc>
        <w:tc>
          <w:tcPr>
            <w:tcW w:w="1832"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0</w:t>
            </w:r>
            <w:r>
              <w:rPr>
                <w:rFonts w:ascii="宋体" w:hAnsi="宋体" w:eastAsia="宋体" w:cs="Times New Roman"/>
                <w:bCs/>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spacing w:line="300" w:lineRule="exact"/>
              <w:jc w:val="left"/>
              <w:rPr>
                <w:rFonts w:ascii="宋体" w:hAnsi="宋体" w:eastAsia="宋体" w:cs="Times New Roman"/>
                <w:bCs/>
                <w:szCs w:val="21"/>
              </w:rPr>
            </w:pPr>
            <w:r>
              <w:rPr>
                <w:rFonts w:hint="eastAsia" w:ascii="宋体" w:hAnsi="宋体" w:eastAsia="宋体" w:cs="Times New Roman"/>
                <w:bCs/>
                <w:szCs w:val="21"/>
              </w:rPr>
              <w:t xml:space="preserve">          水费、电费、差旅费</w:t>
            </w:r>
          </w:p>
        </w:tc>
        <w:tc>
          <w:tcPr>
            <w:tcW w:w="2038"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0</w:t>
            </w:r>
            <w:r>
              <w:rPr>
                <w:rFonts w:ascii="宋体" w:hAnsi="宋体" w:eastAsia="宋体" w:cs="Times New Roman"/>
                <w:bCs/>
                <w:szCs w:val="21"/>
              </w:rPr>
              <w:t>.16</w:t>
            </w:r>
          </w:p>
        </w:tc>
        <w:tc>
          <w:tcPr>
            <w:tcW w:w="2240"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.00</w:t>
            </w:r>
          </w:p>
        </w:tc>
        <w:tc>
          <w:tcPr>
            <w:tcW w:w="1832"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0</w:t>
            </w:r>
            <w:r>
              <w:rPr>
                <w:rFonts w:ascii="宋体" w:hAnsi="宋体" w:eastAsia="宋体" w:cs="Times New Roman"/>
                <w:bCs/>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vAlign w:val="center"/>
          </w:tcPr>
          <w:p>
            <w:pPr>
              <w:spacing w:line="300" w:lineRule="exact"/>
              <w:jc w:val="left"/>
              <w:rPr>
                <w:rFonts w:ascii="宋体" w:hAnsi="宋体" w:eastAsia="宋体" w:cs="Times New Roman"/>
                <w:bCs/>
                <w:szCs w:val="21"/>
              </w:rPr>
            </w:pPr>
            <w:r>
              <w:rPr>
                <w:rFonts w:hint="eastAsia" w:ascii="宋体" w:hAnsi="宋体" w:eastAsia="宋体" w:cs="Times New Roman"/>
                <w:bCs/>
                <w:szCs w:val="21"/>
              </w:rPr>
              <w:t xml:space="preserve">          会议费、培训费</w:t>
            </w:r>
          </w:p>
        </w:tc>
        <w:tc>
          <w:tcPr>
            <w:tcW w:w="2038"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0</w:t>
            </w:r>
            <w:r>
              <w:rPr>
                <w:rFonts w:ascii="宋体" w:hAnsi="宋体" w:eastAsia="宋体" w:cs="Times New Roman"/>
                <w:bCs/>
                <w:szCs w:val="21"/>
              </w:rPr>
              <w:t>.00</w:t>
            </w:r>
          </w:p>
        </w:tc>
        <w:tc>
          <w:tcPr>
            <w:tcW w:w="2240"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0</w:t>
            </w:r>
            <w:r>
              <w:rPr>
                <w:rFonts w:ascii="宋体" w:hAnsi="宋体" w:eastAsia="宋体" w:cs="Times New Roman"/>
                <w:bCs/>
                <w:szCs w:val="21"/>
              </w:rPr>
              <w:t>.50</w:t>
            </w:r>
          </w:p>
        </w:tc>
        <w:tc>
          <w:tcPr>
            <w:tcW w:w="1832"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0</w:t>
            </w:r>
            <w:r>
              <w:rPr>
                <w:rFonts w:ascii="宋体" w:hAnsi="宋体" w:eastAsia="宋体" w:cs="Times New Roman"/>
                <w:bCs/>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spacing w:line="300" w:lineRule="exact"/>
              <w:jc w:val="left"/>
              <w:rPr>
                <w:rFonts w:ascii="宋体" w:hAnsi="宋体" w:eastAsia="宋体" w:cs="Times New Roman"/>
                <w:bCs/>
                <w:szCs w:val="21"/>
              </w:rPr>
            </w:pPr>
            <w:r>
              <w:rPr>
                <w:rFonts w:hint="eastAsia" w:ascii="宋体" w:hAnsi="宋体" w:eastAsia="宋体" w:cs="Times New Roman"/>
                <w:bCs/>
                <w:szCs w:val="21"/>
              </w:rPr>
              <w:t>政府采购金额</w:t>
            </w:r>
          </w:p>
        </w:tc>
        <w:tc>
          <w:tcPr>
            <w:tcW w:w="2038"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w:t>
            </w:r>
          </w:p>
        </w:tc>
        <w:tc>
          <w:tcPr>
            <w:tcW w:w="2240" w:type="dxa"/>
            <w:gridSpan w:val="2"/>
            <w:vAlign w:val="center"/>
          </w:tcPr>
          <w:p>
            <w:pPr>
              <w:spacing w:line="300" w:lineRule="exact"/>
              <w:jc w:val="center"/>
              <w:rPr>
                <w:rFonts w:ascii="宋体" w:hAnsi="宋体" w:eastAsia="宋体" w:cs="Times New Roman"/>
                <w:bCs/>
                <w:szCs w:val="21"/>
              </w:rPr>
            </w:pPr>
            <w:r>
              <w:rPr>
                <w:rFonts w:ascii="宋体" w:hAnsi="宋体" w:eastAsia="宋体" w:cs="Times New Roman"/>
                <w:bCs/>
                <w:szCs w:val="21"/>
              </w:rPr>
              <w:t>4.00</w:t>
            </w:r>
          </w:p>
        </w:tc>
        <w:tc>
          <w:tcPr>
            <w:tcW w:w="1832"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pPr>
              <w:spacing w:line="300" w:lineRule="exact"/>
              <w:jc w:val="left"/>
              <w:rPr>
                <w:rFonts w:ascii="宋体" w:hAnsi="宋体" w:eastAsia="宋体" w:cs="Times New Roman"/>
                <w:bCs/>
                <w:szCs w:val="21"/>
              </w:rPr>
            </w:pPr>
            <w:r>
              <w:rPr>
                <w:rFonts w:hint="eastAsia" w:ascii="宋体" w:hAnsi="宋体" w:eastAsia="宋体" w:cs="Times New Roman"/>
                <w:bCs/>
                <w:szCs w:val="21"/>
              </w:rPr>
              <w:t xml:space="preserve">部门基本支出预算调整 </w:t>
            </w:r>
          </w:p>
        </w:tc>
        <w:tc>
          <w:tcPr>
            <w:tcW w:w="2038"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w:t>
            </w:r>
          </w:p>
        </w:tc>
        <w:tc>
          <w:tcPr>
            <w:tcW w:w="2240" w:type="dxa"/>
            <w:gridSpan w:val="2"/>
            <w:vAlign w:val="center"/>
          </w:tcPr>
          <w:p>
            <w:pPr>
              <w:spacing w:line="300" w:lineRule="exact"/>
              <w:jc w:val="center"/>
              <w:rPr>
                <w:rFonts w:ascii="宋体" w:hAnsi="宋体" w:eastAsia="宋体" w:cs="Times New Roman"/>
                <w:bCs/>
                <w:szCs w:val="21"/>
              </w:rPr>
            </w:pPr>
            <w:r>
              <w:rPr>
                <w:rFonts w:ascii="宋体" w:hAnsi="宋体" w:eastAsia="宋体" w:cs="Times New Roman"/>
                <w:bCs/>
                <w:szCs w:val="21"/>
              </w:rPr>
              <w:t>221.19</w:t>
            </w:r>
          </w:p>
        </w:tc>
        <w:tc>
          <w:tcPr>
            <w:tcW w:w="1832" w:type="dxa"/>
            <w:gridSpan w:val="2"/>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94.30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vAlign w:val="center"/>
          </w:tcPr>
          <w:p>
            <w:pPr>
              <w:spacing w:line="300" w:lineRule="exact"/>
              <w:jc w:val="left"/>
              <w:rPr>
                <w:rFonts w:ascii="宋体" w:hAnsi="宋体" w:eastAsia="宋体" w:cs="Times New Roman"/>
                <w:bCs/>
                <w:szCs w:val="21"/>
              </w:rPr>
            </w:pPr>
            <w:r>
              <w:rPr>
                <w:rFonts w:hint="eastAsia" w:ascii="宋体" w:hAnsi="宋体" w:eastAsia="宋体" w:cs="Times New Roman"/>
                <w:bCs/>
                <w:szCs w:val="21"/>
              </w:rPr>
              <w:t>楼堂馆所控制情况</w:t>
            </w:r>
          </w:p>
        </w:tc>
        <w:tc>
          <w:tcPr>
            <w:tcW w:w="1189" w:type="dxa"/>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批复规模</w:t>
            </w:r>
          </w:p>
          <w:p>
            <w:pPr>
              <w:spacing w:line="300" w:lineRule="exact"/>
              <w:jc w:val="center"/>
              <w:rPr>
                <w:rFonts w:ascii="宋体" w:hAnsi="宋体" w:eastAsia="宋体" w:cs="Times New Roman"/>
                <w:bCs/>
                <w:szCs w:val="21"/>
              </w:rPr>
            </w:pPr>
            <w:r>
              <w:rPr>
                <w:rFonts w:hint="eastAsia" w:ascii="宋体" w:hAnsi="宋体" w:eastAsia="宋体" w:cs="Times New Roman"/>
                <w:bCs/>
                <w:szCs w:val="21"/>
              </w:rPr>
              <w:t>（㎡）</w:t>
            </w:r>
          </w:p>
        </w:tc>
        <w:tc>
          <w:tcPr>
            <w:tcW w:w="849" w:type="dxa"/>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实际规模（㎡）</w:t>
            </w:r>
          </w:p>
        </w:tc>
        <w:tc>
          <w:tcPr>
            <w:tcW w:w="1129" w:type="dxa"/>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规模控制率</w:t>
            </w:r>
          </w:p>
        </w:tc>
        <w:tc>
          <w:tcPr>
            <w:tcW w:w="1111" w:type="dxa"/>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预算投资（万元）</w:t>
            </w:r>
          </w:p>
        </w:tc>
        <w:tc>
          <w:tcPr>
            <w:tcW w:w="969" w:type="dxa"/>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实际投资（万元）</w:t>
            </w:r>
          </w:p>
        </w:tc>
        <w:tc>
          <w:tcPr>
            <w:tcW w:w="863" w:type="dxa"/>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投资概算控制率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vAlign w:val="center"/>
          </w:tcPr>
          <w:p>
            <w:pPr>
              <w:spacing w:line="300" w:lineRule="exact"/>
              <w:jc w:val="left"/>
              <w:rPr>
                <w:rFonts w:ascii="宋体" w:hAnsi="宋体" w:eastAsia="宋体" w:cs="Times New Roman"/>
                <w:bCs/>
                <w:szCs w:val="21"/>
              </w:rPr>
            </w:pPr>
          </w:p>
        </w:tc>
        <w:tc>
          <w:tcPr>
            <w:tcW w:w="1189" w:type="dxa"/>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0</w:t>
            </w:r>
          </w:p>
        </w:tc>
        <w:tc>
          <w:tcPr>
            <w:tcW w:w="849" w:type="dxa"/>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0</w:t>
            </w:r>
          </w:p>
        </w:tc>
        <w:tc>
          <w:tcPr>
            <w:tcW w:w="1129" w:type="dxa"/>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0</w:t>
            </w:r>
          </w:p>
        </w:tc>
        <w:tc>
          <w:tcPr>
            <w:tcW w:w="1111" w:type="dxa"/>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0</w:t>
            </w:r>
          </w:p>
        </w:tc>
        <w:tc>
          <w:tcPr>
            <w:tcW w:w="969" w:type="dxa"/>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0</w:t>
            </w:r>
          </w:p>
        </w:tc>
        <w:tc>
          <w:tcPr>
            <w:tcW w:w="863" w:type="dxa"/>
            <w:vAlign w:val="center"/>
          </w:tcPr>
          <w:p>
            <w:pPr>
              <w:spacing w:line="30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00</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vAlign w:val="center"/>
          </w:tcPr>
          <w:p>
            <w:pPr>
              <w:spacing w:line="300" w:lineRule="exact"/>
              <w:jc w:val="left"/>
              <w:rPr>
                <w:rFonts w:ascii="宋体" w:hAnsi="宋体" w:eastAsia="宋体" w:cs="Times New Roman"/>
                <w:bCs/>
                <w:szCs w:val="21"/>
              </w:rPr>
            </w:pPr>
            <w:r>
              <w:rPr>
                <w:rFonts w:hint="eastAsia" w:ascii="宋体" w:hAnsi="宋体" w:eastAsia="宋体" w:cs="Times New Roman"/>
                <w:bCs/>
                <w:szCs w:val="21"/>
              </w:rPr>
              <w:t>厉行节约保障措施</w:t>
            </w:r>
          </w:p>
        </w:tc>
        <w:tc>
          <w:tcPr>
            <w:tcW w:w="6110" w:type="dxa"/>
            <w:gridSpan w:val="6"/>
            <w:vAlign w:val="center"/>
          </w:tcPr>
          <w:p>
            <w:pPr>
              <w:spacing w:line="300" w:lineRule="exact"/>
              <w:jc w:val="left"/>
              <w:rPr>
                <w:rFonts w:ascii="宋体" w:hAnsi="宋体" w:eastAsia="宋体" w:cs="Times New Roman"/>
                <w:bCs/>
                <w:szCs w:val="21"/>
              </w:rPr>
            </w:pPr>
            <w:r>
              <w:rPr>
                <w:rFonts w:hint="eastAsia" w:ascii="宋体" w:hAnsi="宋体" w:eastAsia="宋体" w:cs="Times New Roman"/>
                <w:bCs/>
                <w:szCs w:val="21"/>
              </w:rPr>
              <w:t>科学合理编制预算，严格执行《财务管理制度》、《专项资金管理办法》。</w:t>
            </w:r>
          </w:p>
        </w:tc>
      </w:tr>
    </w:tbl>
    <w:p>
      <w:pPr>
        <w:pStyle w:val="41"/>
        <w:ind w:firstLine="420"/>
        <w:jc w:val="left"/>
      </w:pPr>
      <w:r>
        <w:t>填表人：</w:t>
      </w:r>
      <w:r>
        <w:rPr>
          <w:rFonts w:hint="eastAsia"/>
        </w:rPr>
        <w:t xml:space="preserve">  </w:t>
      </w:r>
      <w:r>
        <w:t>向芳</w:t>
      </w:r>
      <w:r>
        <w:rPr>
          <w:rFonts w:hint="eastAsia"/>
        </w:rPr>
        <w:t xml:space="preserve">      </w:t>
      </w:r>
      <w:r>
        <w:t xml:space="preserve"> 填报日期：</w:t>
      </w:r>
      <w:r>
        <w:rPr>
          <w:rFonts w:hint="eastAsia"/>
        </w:rPr>
        <w:t xml:space="preserve"> </w:t>
      </w:r>
      <w:r>
        <w:t>2024年</w:t>
      </w:r>
      <w:r>
        <w:rPr>
          <w:rFonts w:hint="eastAsia"/>
        </w:rPr>
        <w:t>6</w:t>
      </w:r>
      <w:r>
        <w:t>月6日</w:t>
      </w:r>
      <w:r>
        <w:rPr>
          <w:rFonts w:hint="eastAsia"/>
        </w:rPr>
        <w:t xml:space="preserve">    </w:t>
      </w:r>
      <w:r>
        <w:t>联系电话：</w:t>
      </w:r>
      <w:r>
        <w:rPr>
          <w:rFonts w:hint="eastAsia"/>
        </w:rPr>
        <w:t>1</w:t>
      </w:r>
      <w:r>
        <w:t>3611355776</w:t>
      </w:r>
    </w:p>
    <w:p>
      <w:pPr>
        <w:widowControl/>
        <w:jc w:val="left"/>
        <w:rPr>
          <w:rFonts w:ascii="黑体" w:hAnsi="黑体" w:eastAsia="黑体" w:cs="黑体"/>
          <w:sz w:val="24"/>
          <w:szCs w:val="24"/>
          <w:shd w:val="clear" w:color="auto" w:fill="FFFFFF"/>
        </w:rPr>
      </w:pPr>
      <w:r>
        <w:rPr>
          <w:rFonts w:hint="eastAsia" w:ascii="黑体" w:hAnsi="黑体" w:eastAsia="黑体" w:cs="黑体"/>
          <w:sz w:val="24"/>
          <w:szCs w:val="24"/>
          <w:shd w:val="clear" w:color="auto" w:fill="FFFFFF"/>
        </w:rPr>
        <w:br w:type="page"/>
      </w:r>
    </w:p>
    <w:p>
      <w:pPr>
        <w:pStyle w:val="41"/>
        <w:ind w:firstLine="420"/>
        <w:jc w:val="left"/>
      </w:pPr>
      <w:r>
        <w:rPr>
          <w:rFonts w:hint="eastAsia"/>
        </w:rPr>
        <w:t>附件1-2</w:t>
      </w:r>
    </w:p>
    <w:p>
      <w:pPr>
        <w:pStyle w:val="41"/>
        <w:ind w:firstLine="420"/>
      </w:pPr>
      <w:r>
        <w:rPr>
          <w:rFonts w:hint="eastAsia"/>
        </w:rPr>
        <w:t>部门整体支出绩效自评表</w:t>
      </w:r>
    </w:p>
    <w:tbl>
      <w:tblPr>
        <w:tblStyle w:val="25"/>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
        <w:gridCol w:w="1102"/>
        <w:gridCol w:w="962"/>
        <w:gridCol w:w="965"/>
        <w:gridCol w:w="81"/>
        <w:gridCol w:w="1126"/>
        <w:gridCol w:w="1077"/>
        <w:gridCol w:w="675"/>
        <w:gridCol w:w="1151"/>
        <w:gridCol w:w="1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预算单位名称</w:t>
            </w:r>
          </w:p>
        </w:tc>
        <w:tc>
          <w:tcPr>
            <w:tcW w:w="8194" w:type="dxa"/>
            <w:gridSpan w:val="9"/>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湖南省怀化市人民政府驻北京联络处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068" w:type="dxa"/>
            <w:vMerge w:val="restart"/>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年度预</w:t>
            </w:r>
          </w:p>
          <w:p>
            <w:pPr>
              <w:spacing w:line="360" w:lineRule="exact"/>
              <w:jc w:val="center"/>
              <w:rPr>
                <w:rFonts w:ascii="宋体" w:hAnsi="宋体" w:eastAsia="宋体" w:cs="Times New Roman"/>
                <w:bCs/>
                <w:szCs w:val="21"/>
              </w:rPr>
            </w:pPr>
            <w:r>
              <w:rPr>
                <w:rFonts w:hint="eastAsia" w:ascii="宋体" w:hAnsi="宋体" w:eastAsia="宋体" w:cs="Times New Roman"/>
                <w:bCs/>
                <w:szCs w:val="21"/>
              </w:rPr>
              <w:t>算申请</w:t>
            </w:r>
          </w:p>
          <w:p>
            <w:pPr>
              <w:spacing w:line="360" w:lineRule="exact"/>
              <w:jc w:val="center"/>
              <w:rPr>
                <w:rFonts w:ascii="宋体" w:hAnsi="宋体" w:eastAsia="宋体" w:cs="Times New Roman"/>
                <w:bCs/>
                <w:szCs w:val="21"/>
              </w:rPr>
            </w:pPr>
            <w:r>
              <w:rPr>
                <w:rFonts w:hint="eastAsia" w:ascii="宋体" w:hAnsi="宋体" w:eastAsia="宋体" w:cs="Times New Roman"/>
                <w:bCs/>
                <w:szCs w:val="21"/>
              </w:rPr>
              <w:t>（万元）</w:t>
            </w:r>
          </w:p>
        </w:tc>
        <w:tc>
          <w:tcPr>
            <w:tcW w:w="2064" w:type="dxa"/>
            <w:gridSpan w:val="2"/>
            <w:vAlign w:val="center"/>
          </w:tcPr>
          <w:p>
            <w:pPr>
              <w:spacing w:line="360" w:lineRule="exact"/>
              <w:jc w:val="left"/>
              <w:rPr>
                <w:rFonts w:ascii="宋体" w:hAnsi="宋体" w:eastAsia="宋体" w:cs="Times New Roman"/>
                <w:bCs/>
                <w:szCs w:val="21"/>
              </w:rPr>
            </w:pPr>
          </w:p>
        </w:tc>
        <w:tc>
          <w:tcPr>
            <w:tcW w:w="965"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年初</w:t>
            </w:r>
          </w:p>
          <w:p>
            <w:pPr>
              <w:spacing w:line="360" w:lineRule="exact"/>
              <w:jc w:val="center"/>
              <w:rPr>
                <w:rFonts w:ascii="宋体" w:hAnsi="宋体" w:eastAsia="宋体" w:cs="Times New Roman"/>
                <w:bCs/>
                <w:szCs w:val="21"/>
              </w:rPr>
            </w:pPr>
            <w:r>
              <w:rPr>
                <w:rFonts w:hint="eastAsia" w:ascii="宋体" w:hAnsi="宋体" w:eastAsia="宋体" w:cs="Times New Roman"/>
                <w:bCs/>
                <w:szCs w:val="21"/>
              </w:rPr>
              <w:t>预算数</w:t>
            </w:r>
          </w:p>
        </w:tc>
        <w:tc>
          <w:tcPr>
            <w:tcW w:w="1207" w:type="dxa"/>
            <w:gridSpan w:val="2"/>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全年</w:t>
            </w:r>
          </w:p>
          <w:p>
            <w:pPr>
              <w:spacing w:line="360" w:lineRule="exact"/>
              <w:jc w:val="center"/>
              <w:rPr>
                <w:rFonts w:ascii="宋体" w:hAnsi="宋体" w:eastAsia="宋体" w:cs="Times New Roman"/>
                <w:bCs/>
                <w:szCs w:val="21"/>
              </w:rPr>
            </w:pPr>
            <w:r>
              <w:rPr>
                <w:rFonts w:hint="eastAsia" w:ascii="宋体" w:hAnsi="宋体" w:eastAsia="宋体" w:cs="Times New Roman"/>
                <w:bCs/>
                <w:szCs w:val="21"/>
              </w:rPr>
              <w:t>预算数</w:t>
            </w:r>
          </w:p>
        </w:tc>
        <w:tc>
          <w:tcPr>
            <w:tcW w:w="1077"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全年</w:t>
            </w:r>
          </w:p>
          <w:p>
            <w:pPr>
              <w:spacing w:line="360" w:lineRule="exact"/>
              <w:jc w:val="center"/>
              <w:rPr>
                <w:rFonts w:ascii="宋体" w:hAnsi="宋体" w:eastAsia="宋体" w:cs="Times New Roman"/>
                <w:bCs/>
                <w:szCs w:val="21"/>
              </w:rPr>
            </w:pPr>
            <w:r>
              <w:rPr>
                <w:rFonts w:hint="eastAsia" w:ascii="宋体" w:hAnsi="宋体" w:eastAsia="宋体" w:cs="Times New Roman"/>
                <w:bCs/>
                <w:szCs w:val="21"/>
              </w:rPr>
              <w:t>执行数</w:t>
            </w:r>
          </w:p>
        </w:tc>
        <w:tc>
          <w:tcPr>
            <w:tcW w:w="675"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分值</w:t>
            </w:r>
          </w:p>
        </w:tc>
        <w:tc>
          <w:tcPr>
            <w:tcW w:w="1151"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执行率</w:t>
            </w:r>
          </w:p>
        </w:tc>
        <w:tc>
          <w:tcPr>
            <w:tcW w:w="1055"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continue"/>
            <w:vAlign w:val="center"/>
          </w:tcPr>
          <w:p>
            <w:pPr>
              <w:spacing w:line="360" w:lineRule="exact"/>
              <w:jc w:val="center"/>
              <w:rPr>
                <w:rFonts w:ascii="宋体" w:hAnsi="宋体" w:eastAsia="宋体" w:cs="Times New Roman"/>
                <w:bCs/>
                <w:szCs w:val="21"/>
              </w:rPr>
            </w:pPr>
          </w:p>
        </w:tc>
        <w:tc>
          <w:tcPr>
            <w:tcW w:w="2064" w:type="dxa"/>
            <w:gridSpan w:val="2"/>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年度资金总额</w:t>
            </w:r>
          </w:p>
        </w:tc>
        <w:tc>
          <w:tcPr>
            <w:tcW w:w="965"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293.53</w:t>
            </w:r>
          </w:p>
        </w:tc>
        <w:tc>
          <w:tcPr>
            <w:tcW w:w="1207" w:type="dxa"/>
            <w:gridSpan w:val="2"/>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300.48</w:t>
            </w:r>
          </w:p>
        </w:tc>
        <w:tc>
          <w:tcPr>
            <w:tcW w:w="1077" w:type="dxa"/>
            <w:vAlign w:val="center"/>
          </w:tcPr>
          <w:p>
            <w:pPr>
              <w:spacing w:line="360" w:lineRule="exact"/>
              <w:jc w:val="center"/>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300.36</w:t>
            </w:r>
          </w:p>
        </w:tc>
        <w:tc>
          <w:tcPr>
            <w:tcW w:w="675"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0</w:t>
            </w:r>
          </w:p>
        </w:tc>
        <w:tc>
          <w:tcPr>
            <w:tcW w:w="1151"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102.32</w:t>
            </w:r>
            <w:r>
              <w:rPr>
                <w:rFonts w:hint="eastAsia" w:ascii="宋体" w:hAnsi="宋体" w:eastAsia="宋体" w:cs="Times New Roman"/>
                <w:bCs/>
                <w:szCs w:val="21"/>
              </w:rPr>
              <w:t>%</w:t>
            </w:r>
          </w:p>
        </w:tc>
        <w:tc>
          <w:tcPr>
            <w:tcW w:w="1055"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continue"/>
            <w:vAlign w:val="center"/>
          </w:tcPr>
          <w:p>
            <w:pPr>
              <w:spacing w:line="360" w:lineRule="exact"/>
              <w:jc w:val="center"/>
              <w:rPr>
                <w:rFonts w:ascii="宋体" w:hAnsi="宋体" w:eastAsia="宋体" w:cs="Times New Roman"/>
                <w:bCs/>
                <w:szCs w:val="21"/>
              </w:rPr>
            </w:pPr>
          </w:p>
        </w:tc>
        <w:tc>
          <w:tcPr>
            <w:tcW w:w="4236" w:type="dxa"/>
            <w:gridSpan w:val="5"/>
            <w:vAlign w:val="center"/>
          </w:tcPr>
          <w:p>
            <w:pPr>
              <w:spacing w:line="360" w:lineRule="exact"/>
              <w:jc w:val="left"/>
              <w:rPr>
                <w:rFonts w:ascii="宋体" w:hAnsi="宋体" w:eastAsia="宋体" w:cs="Times New Roman"/>
                <w:bCs/>
                <w:szCs w:val="21"/>
              </w:rPr>
            </w:pPr>
            <w:r>
              <w:rPr>
                <w:rFonts w:hint="eastAsia" w:ascii="宋体" w:hAnsi="宋体" w:eastAsia="宋体" w:cs="Times New Roman"/>
                <w:bCs/>
                <w:szCs w:val="21"/>
              </w:rPr>
              <w:t>按收入性质分：3</w:t>
            </w:r>
            <w:r>
              <w:rPr>
                <w:rFonts w:ascii="宋体" w:hAnsi="宋体" w:eastAsia="宋体" w:cs="Times New Roman"/>
                <w:bCs/>
                <w:szCs w:val="21"/>
              </w:rPr>
              <w:t>00.48</w:t>
            </w:r>
          </w:p>
        </w:tc>
        <w:tc>
          <w:tcPr>
            <w:tcW w:w="3958" w:type="dxa"/>
            <w:gridSpan w:val="4"/>
            <w:vAlign w:val="center"/>
          </w:tcPr>
          <w:p>
            <w:pPr>
              <w:spacing w:line="36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rPr>
              <w:t>按支出性质分：</w:t>
            </w:r>
            <w:r>
              <w:rPr>
                <w:rFonts w:ascii="宋体" w:hAnsi="宋体" w:eastAsia="宋体" w:cs="Times New Roman"/>
                <w:bCs/>
                <w:szCs w:val="21"/>
              </w:rPr>
              <w:t>303.</w:t>
            </w:r>
            <w:r>
              <w:rPr>
                <w:rFonts w:hint="eastAsia" w:ascii="宋体" w:hAnsi="宋体" w:eastAsia="宋体" w:cs="Times New Roman"/>
                <w:bCs/>
                <w:szCs w:val="21"/>
                <w:lang w:val="en-US" w:eastAsia="zh-CN"/>
              </w:rPr>
              <w:t>36</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continue"/>
            <w:vAlign w:val="center"/>
          </w:tcPr>
          <w:p>
            <w:pPr>
              <w:spacing w:line="360" w:lineRule="exact"/>
              <w:jc w:val="center"/>
              <w:rPr>
                <w:rFonts w:ascii="宋体" w:hAnsi="宋体" w:eastAsia="宋体" w:cs="Times New Roman"/>
                <w:bCs/>
                <w:szCs w:val="21"/>
              </w:rPr>
            </w:pPr>
          </w:p>
        </w:tc>
        <w:tc>
          <w:tcPr>
            <w:tcW w:w="4236" w:type="dxa"/>
            <w:gridSpan w:val="5"/>
            <w:vAlign w:val="center"/>
          </w:tcPr>
          <w:p>
            <w:pPr>
              <w:spacing w:line="360" w:lineRule="exact"/>
              <w:jc w:val="left"/>
              <w:rPr>
                <w:rFonts w:ascii="宋体" w:hAnsi="宋体" w:eastAsia="宋体" w:cs="Times New Roman"/>
                <w:bCs/>
                <w:szCs w:val="21"/>
              </w:rPr>
            </w:pPr>
            <w:r>
              <w:rPr>
                <w:rFonts w:hint="eastAsia" w:ascii="宋体" w:hAnsi="宋体" w:eastAsia="宋体" w:cs="Times New Roman"/>
                <w:bCs/>
                <w:szCs w:val="21"/>
              </w:rPr>
              <w:t xml:space="preserve"> 其中：  一般公共预算：3</w:t>
            </w:r>
            <w:r>
              <w:rPr>
                <w:rFonts w:ascii="宋体" w:hAnsi="宋体" w:eastAsia="宋体" w:cs="Times New Roman"/>
                <w:bCs/>
                <w:szCs w:val="21"/>
              </w:rPr>
              <w:t>00.32</w:t>
            </w:r>
          </w:p>
        </w:tc>
        <w:tc>
          <w:tcPr>
            <w:tcW w:w="3958" w:type="dxa"/>
            <w:gridSpan w:val="4"/>
            <w:vAlign w:val="center"/>
          </w:tcPr>
          <w:p>
            <w:pPr>
              <w:spacing w:line="360" w:lineRule="exact"/>
              <w:jc w:val="left"/>
              <w:rPr>
                <w:rFonts w:ascii="宋体" w:hAnsi="宋体" w:eastAsia="宋体" w:cs="Times New Roman"/>
                <w:bCs/>
                <w:szCs w:val="21"/>
              </w:rPr>
            </w:pPr>
            <w:r>
              <w:rPr>
                <w:rFonts w:hint="eastAsia" w:ascii="宋体" w:hAnsi="宋体" w:eastAsia="宋体" w:cs="Times New Roman"/>
                <w:bCs/>
                <w:szCs w:val="21"/>
              </w:rPr>
              <w:t>其中：基本支出：1</w:t>
            </w:r>
            <w:r>
              <w:rPr>
                <w:rFonts w:ascii="宋体" w:hAnsi="宋体" w:eastAsia="宋体" w:cs="Times New Roman"/>
                <w:bCs/>
                <w:szCs w:val="21"/>
              </w:rPr>
              <w:t>94.30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continue"/>
            <w:vAlign w:val="center"/>
          </w:tcPr>
          <w:p>
            <w:pPr>
              <w:spacing w:line="360" w:lineRule="exact"/>
              <w:jc w:val="center"/>
              <w:rPr>
                <w:rFonts w:ascii="宋体" w:hAnsi="宋体" w:eastAsia="宋体" w:cs="Times New Roman"/>
                <w:bCs/>
                <w:szCs w:val="21"/>
              </w:rPr>
            </w:pPr>
          </w:p>
        </w:tc>
        <w:tc>
          <w:tcPr>
            <w:tcW w:w="4236" w:type="dxa"/>
            <w:gridSpan w:val="5"/>
            <w:vAlign w:val="center"/>
          </w:tcPr>
          <w:p>
            <w:pPr>
              <w:spacing w:line="360" w:lineRule="exact"/>
              <w:jc w:val="left"/>
              <w:rPr>
                <w:rFonts w:ascii="宋体" w:hAnsi="宋体" w:eastAsia="宋体" w:cs="Times New Roman"/>
                <w:bCs/>
                <w:szCs w:val="21"/>
              </w:rPr>
            </w:pPr>
            <w:r>
              <w:rPr>
                <w:rFonts w:hint="eastAsia" w:ascii="宋体" w:hAnsi="宋体" w:eastAsia="宋体" w:cs="Times New Roman"/>
                <w:bCs/>
                <w:szCs w:val="21"/>
              </w:rPr>
              <w:t>政府性基金拨款：</w:t>
            </w:r>
          </w:p>
        </w:tc>
        <w:tc>
          <w:tcPr>
            <w:tcW w:w="3958" w:type="dxa"/>
            <w:gridSpan w:val="4"/>
            <w:vAlign w:val="center"/>
          </w:tcPr>
          <w:p>
            <w:pPr>
              <w:spacing w:line="360" w:lineRule="exact"/>
              <w:jc w:val="left"/>
              <w:rPr>
                <w:rFonts w:ascii="宋体" w:hAnsi="宋体" w:eastAsia="宋体" w:cs="Times New Roman"/>
                <w:bCs/>
                <w:szCs w:val="21"/>
              </w:rPr>
            </w:pPr>
            <w:r>
              <w:rPr>
                <w:rFonts w:hint="eastAsia" w:ascii="宋体" w:hAnsi="宋体" w:eastAsia="宋体" w:cs="Times New Roman"/>
                <w:bCs/>
                <w:szCs w:val="21"/>
              </w:rPr>
              <w:t>项目支出：1</w:t>
            </w:r>
            <w:r>
              <w:rPr>
                <w:rFonts w:ascii="宋体" w:hAnsi="宋体" w:eastAsia="宋体" w:cs="Times New Roman"/>
                <w:bCs/>
                <w:szCs w:val="21"/>
              </w:rPr>
              <w:t>06.06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continue"/>
            <w:vAlign w:val="center"/>
          </w:tcPr>
          <w:p>
            <w:pPr>
              <w:spacing w:line="360" w:lineRule="exact"/>
              <w:jc w:val="center"/>
              <w:rPr>
                <w:rFonts w:ascii="宋体" w:hAnsi="宋体" w:eastAsia="宋体" w:cs="Times New Roman"/>
                <w:bCs/>
                <w:szCs w:val="21"/>
              </w:rPr>
            </w:pPr>
          </w:p>
        </w:tc>
        <w:tc>
          <w:tcPr>
            <w:tcW w:w="4236" w:type="dxa"/>
            <w:gridSpan w:val="5"/>
            <w:vAlign w:val="center"/>
          </w:tcPr>
          <w:p>
            <w:pPr>
              <w:spacing w:line="360" w:lineRule="exact"/>
              <w:jc w:val="left"/>
              <w:rPr>
                <w:rFonts w:ascii="宋体" w:hAnsi="宋体" w:eastAsia="宋体" w:cs="Times New Roman"/>
                <w:bCs/>
                <w:szCs w:val="21"/>
              </w:rPr>
            </w:pPr>
            <w:r>
              <w:rPr>
                <w:rFonts w:hint="eastAsia" w:ascii="宋体" w:hAnsi="宋体" w:eastAsia="宋体" w:cs="Times New Roman"/>
                <w:bCs/>
                <w:szCs w:val="21"/>
              </w:rPr>
              <w:t>纳入专户管理的非税收入拨款：</w:t>
            </w:r>
          </w:p>
        </w:tc>
        <w:tc>
          <w:tcPr>
            <w:tcW w:w="3958" w:type="dxa"/>
            <w:gridSpan w:val="4"/>
            <w:vAlign w:val="center"/>
          </w:tcPr>
          <w:p>
            <w:pPr>
              <w:spacing w:line="360" w:lineRule="exact"/>
              <w:jc w:val="left"/>
              <w:rPr>
                <w:rFonts w:ascii="宋体" w:hAnsi="宋体" w:eastAsia="宋体" w:cs="Times New Roman"/>
                <w:bCs/>
                <w:szCs w:val="21"/>
              </w:rPr>
            </w:pPr>
            <w:r>
              <w:rPr>
                <w:rFonts w:hint="eastAsia" w:ascii="宋体" w:hAnsi="宋体" w:eastAsia="宋体" w:cs="Times New Roman"/>
                <w:bCs/>
                <w:szCs w:val="21"/>
              </w:rPr>
              <w:t>转入结余分配：0</w:t>
            </w:r>
            <w:r>
              <w:rPr>
                <w:rFonts w:ascii="宋体" w:hAnsi="宋体" w:eastAsia="宋体" w:cs="Times New Roman"/>
                <w:bCs/>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68" w:type="dxa"/>
            <w:vMerge w:val="continue"/>
            <w:vAlign w:val="center"/>
          </w:tcPr>
          <w:p>
            <w:pPr>
              <w:spacing w:line="360" w:lineRule="exact"/>
              <w:jc w:val="center"/>
              <w:rPr>
                <w:rFonts w:ascii="宋体" w:hAnsi="宋体" w:eastAsia="宋体" w:cs="Times New Roman"/>
                <w:bCs/>
                <w:szCs w:val="21"/>
              </w:rPr>
            </w:pPr>
          </w:p>
        </w:tc>
        <w:tc>
          <w:tcPr>
            <w:tcW w:w="4236" w:type="dxa"/>
            <w:gridSpan w:val="5"/>
            <w:vAlign w:val="center"/>
          </w:tcPr>
          <w:p>
            <w:pPr>
              <w:spacing w:line="360" w:lineRule="exact"/>
              <w:jc w:val="left"/>
              <w:rPr>
                <w:rFonts w:ascii="宋体" w:hAnsi="宋体" w:eastAsia="宋体" w:cs="Times New Roman"/>
                <w:bCs/>
                <w:szCs w:val="21"/>
              </w:rPr>
            </w:pPr>
            <w:r>
              <w:rPr>
                <w:rFonts w:hint="eastAsia" w:ascii="宋体" w:hAnsi="宋体" w:eastAsia="宋体" w:cs="Times New Roman"/>
                <w:bCs/>
                <w:szCs w:val="21"/>
              </w:rPr>
              <w:t>其他资金：0</w:t>
            </w:r>
            <w:r>
              <w:rPr>
                <w:rFonts w:ascii="宋体" w:hAnsi="宋体" w:eastAsia="宋体" w:cs="Times New Roman"/>
                <w:bCs/>
                <w:szCs w:val="21"/>
              </w:rPr>
              <w:t>.16</w:t>
            </w:r>
          </w:p>
        </w:tc>
        <w:tc>
          <w:tcPr>
            <w:tcW w:w="3958" w:type="dxa"/>
            <w:gridSpan w:val="4"/>
            <w:vAlign w:val="center"/>
          </w:tcPr>
          <w:p>
            <w:pPr>
              <w:spacing w:line="360" w:lineRule="exact"/>
              <w:jc w:val="left"/>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8" w:type="dxa"/>
            <w:vMerge w:val="restart"/>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年度总体目标</w:t>
            </w:r>
          </w:p>
        </w:tc>
        <w:tc>
          <w:tcPr>
            <w:tcW w:w="4236" w:type="dxa"/>
            <w:gridSpan w:val="5"/>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预预期目标</w:t>
            </w:r>
          </w:p>
        </w:tc>
        <w:tc>
          <w:tcPr>
            <w:tcW w:w="3958" w:type="dxa"/>
            <w:gridSpan w:val="4"/>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068" w:type="dxa"/>
            <w:vMerge w:val="continue"/>
            <w:vAlign w:val="center"/>
          </w:tcPr>
          <w:p>
            <w:pPr>
              <w:spacing w:line="360" w:lineRule="exact"/>
              <w:jc w:val="center"/>
              <w:rPr>
                <w:rFonts w:ascii="宋体" w:hAnsi="宋体" w:eastAsia="宋体" w:cs="Times New Roman"/>
                <w:bCs/>
                <w:szCs w:val="21"/>
              </w:rPr>
            </w:pPr>
          </w:p>
        </w:tc>
        <w:tc>
          <w:tcPr>
            <w:tcW w:w="4236" w:type="dxa"/>
            <w:gridSpan w:val="5"/>
            <w:vAlign w:val="center"/>
          </w:tcPr>
          <w:p>
            <w:pPr>
              <w:spacing w:line="360" w:lineRule="exact"/>
              <w:rPr>
                <w:rFonts w:ascii="宋体" w:hAnsi="宋体" w:eastAsia="宋体" w:cs="Times New Roman"/>
                <w:bCs/>
                <w:szCs w:val="21"/>
              </w:rPr>
            </w:pPr>
            <w:r>
              <w:rPr>
                <w:rFonts w:hint="eastAsia" w:ascii="宋体" w:hAnsi="宋体" w:eastAsia="宋体" w:cs="Times New Roman"/>
                <w:bCs/>
                <w:szCs w:val="21"/>
              </w:rPr>
              <w:t>一、突出政治建设，强化忠诚履职。一是深入学习宣传贯彻党的二十大会议精神。二是建设坚强有力政治机关。三是推动决策部署落地见效。</w:t>
            </w:r>
          </w:p>
          <w:p>
            <w:pPr>
              <w:spacing w:line="360" w:lineRule="exact"/>
              <w:rPr>
                <w:rFonts w:ascii="宋体" w:hAnsi="宋体" w:eastAsia="宋体" w:cs="Times New Roman"/>
                <w:bCs/>
                <w:szCs w:val="21"/>
              </w:rPr>
            </w:pPr>
            <w:r>
              <w:rPr>
                <w:rFonts w:hint="eastAsia" w:ascii="宋体" w:hAnsi="宋体" w:eastAsia="宋体" w:cs="Times New Roman"/>
                <w:bCs/>
                <w:szCs w:val="21"/>
              </w:rPr>
              <w:t>二、突出业务建设，强化高效履职。一是当好接待员。二是当好信息员。三是当好宣传员。四是当好服务员。</w:t>
            </w:r>
          </w:p>
          <w:p>
            <w:pPr>
              <w:spacing w:line="360" w:lineRule="exact"/>
              <w:rPr>
                <w:rFonts w:ascii="宋体" w:hAnsi="宋体" w:eastAsia="宋体" w:cs="Times New Roman"/>
                <w:bCs/>
                <w:szCs w:val="21"/>
              </w:rPr>
            </w:pPr>
            <w:r>
              <w:rPr>
                <w:rFonts w:hint="eastAsia" w:ascii="宋体" w:hAnsi="宋体" w:eastAsia="宋体" w:cs="Times New Roman"/>
                <w:bCs/>
                <w:szCs w:val="21"/>
              </w:rPr>
              <w:t>三、突出自身建设，强化充分履职。一是班子建设高标准。二是队伍建设高素质。三是制度建设高效能。</w:t>
            </w:r>
          </w:p>
          <w:p>
            <w:pPr>
              <w:spacing w:line="360" w:lineRule="exact"/>
              <w:rPr>
                <w:rFonts w:ascii="宋体" w:hAnsi="宋体" w:eastAsia="宋体" w:cs="Times New Roman"/>
                <w:bCs/>
                <w:szCs w:val="21"/>
              </w:rPr>
            </w:pPr>
            <w:r>
              <w:rPr>
                <w:rFonts w:hint="eastAsia" w:ascii="宋体" w:hAnsi="宋体" w:eastAsia="宋体" w:cs="Times New Roman"/>
                <w:bCs/>
                <w:szCs w:val="21"/>
              </w:rPr>
              <w:t>四、突出作风建设，强化廉洁履职。一是强化教育管理。二是持续纠治“四风”。三是加强监督执纪。</w:t>
            </w:r>
          </w:p>
          <w:p>
            <w:pPr>
              <w:spacing w:line="360" w:lineRule="exact"/>
              <w:rPr>
                <w:rFonts w:ascii="宋体" w:hAnsi="宋体" w:eastAsia="宋体" w:cs="Times New Roman"/>
                <w:bCs/>
                <w:szCs w:val="21"/>
              </w:rPr>
            </w:pPr>
            <w:r>
              <w:rPr>
                <w:rFonts w:ascii="宋体" w:hAnsi="宋体" w:eastAsia="宋体" w:cs="Times New Roman"/>
                <w:bCs/>
                <w:szCs w:val="21"/>
              </w:rPr>
              <w:t xml:space="preserve">          </w:t>
            </w:r>
          </w:p>
          <w:p>
            <w:pPr>
              <w:spacing w:line="360" w:lineRule="exact"/>
              <w:rPr>
                <w:rFonts w:ascii="宋体" w:hAnsi="宋体" w:eastAsia="宋体" w:cs="Times New Roman"/>
                <w:bCs/>
                <w:szCs w:val="21"/>
              </w:rPr>
            </w:pPr>
            <w:r>
              <w:rPr>
                <w:rFonts w:ascii="宋体" w:hAnsi="宋体" w:eastAsia="宋体" w:cs="Times New Roman"/>
                <w:bCs/>
                <w:szCs w:val="21"/>
              </w:rPr>
              <w:t xml:space="preserve">          </w:t>
            </w:r>
          </w:p>
          <w:p>
            <w:pPr>
              <w:spacing w:line="360" w:lineRule="exact"/>
              <w:rPr>
                <w:rFonts w:ascii="宋体" w:hAnsi="宋体" w:eastAsia="宋体" w:cs="Times New Roman"/>
                <w:bCs/>
                <w:szCs w:val="21"/>
              </w:rPr>
            </w:pPr>
            <w:r>
              <w:rPr>
                <w:rFonts w:ascii="宋体" w:hAnsi="宋体" w:eastAsia="宋体" w:cs="Times New Roman"/>
                <w:bCs/>
                <w:szCs w:val="21"/>
              </w:rPr>
              <w:t xml:space="preserve">          </w:t>
            </w:r>
          </w:p>
          <w:p>
            <w:pPr>
              <w:spacing w:line="360" w:lineRule="exact"/>
              <w:rPr>
                <w:rFonts w:ascii="宋体" w:hAnsi="宋体" w:eastAsia="宋体" w:cs="Times New Roman"/>
                <w:bCs/>
                <w:szCs w:val="21"/>
              </w:rPr>
            </w:pPr>
            <w:r>
              <w:rPr>
                <w:rFonts w:ascii="宋体" w:hAnsi="宋体" w:eastAsia="宋体" w:cs="Times New Roman"/>
                <w:bCs/>
                <w:szCs w:val="21"/>
              </w:rPr>
              <w:t>"</w:t>
            </w:r>
            <w:r>
              <w:rPr>
                <w:rFonts w:ascii="宋体" w:hAnsi="宋体" w:eastAsia="宋体" w:cs="Times New Roman"/>
                <w:bCs/>
                <w:szCs w:val="21"/>
              </w:rPr>
              <w:tab/>
            </w:r>
            <w:r>
              <w:rPr>
                <w:rFonts w:ascii="宋体" w:hAnsi="宋体" w:eastAsia="宋体" w:cs="Times New Roman"/>
                <w:bCs/>
                <w:szCs w:val="21"/>
              </w:rPr>
              <w:tab/>
            </w:r>
            <w:r>
              <w:rPr>
                <w:rFonts w:ascii="宋体" w:hAnsi="宋体" w:eastAsia="宋体" w:cs="Times New Roman"/>
                <w:bCs/>
                <w:szCs w:val="21"/>
              </w:rPr>
              <w:tab/>
            </w:r>
            <w:r>
              <w:rPr>
                <w:rFonts w:ascii="宋体" w:hAnsi="宋体" w:eastAsia="宋体" w:cs="Times New Roman"/>
                <w:bCs/>
                <w:szCs w:val="21"/>
              </w:rPr>
              <w:tab/>
            </w:r>
            <w:r>
              <w:rPr>
                <w:rFonts w:ascii="宋体" w:hAnsi="宋体" w:eastAsia="宋体" w:cs="Times New Roman"/>
                <w:bCs/>
                <w:szCs w:val="21"/>
              </w:rPr>
              <w:tab/>
            </w:r>
            <w:r>
              <w:rPr>
                <w:rFonts w:ascii="宋体" w:hAnsi="宋体" w:eastAsia="宋体" w:cs="Times New Roman"/>
                <w:bCs/>
                <w:szCs w:val="21"/>
              </w:rPr>
              <w:tab/>
            </w:r>
            <w:r>
              <w:rPr>
                <w:rFonts w:ascii="宋体" w:hAnsi="宋体" w:eastAsia="宋体" w:cs="Times New Roman"/>
                <w:bCs/>
                <w:szCs w:val="21"/>
              </w:rPr>
              <w:tab/>
            </w:r>
          </w:p>
        </w:tc>
        <w:tc>
          <w:tcPr>
            <w:tcW w:w="3958" w:type="dxa"/>
            <w:gridSpan w:val="4"/>
            <w:vAlign w:val="center"/>
          </w:tcPr>
          <w:p>
            <w:pPr>
              <w:spacing w:line="360" w:lineRule="exact"/>
              <w:rPr>
                <w:rFonts w:ascii="宋体" w:hAnsi="宋体" w:eastAsia="宋体" w:cs="Times New Roman"/>
                <w:bCs/>
                <w:szCs w:val="21"/>
              </w:rPr>
            </w:pPr>
            <w:r>
              <w:rPr>
                <w:rFonts w:hint="eastAsia" w:ascii="宋体" w:hAnsi="宋体" w:eastAsia="宋体" w:cs="Times New Roman"/>
                <w:bCs/>
                <w:szCs w:val="21"/>
              </w:rPr>
              <w:t>1.强化政治引领，筑牢政治忠诚</w:t>
            </w:r>
          </w:p>
          <w:p>
            <w:pPr>
              <w:spacing w:line="360" w:lineRule="exact"/>
              <w:rPr>
                <w:rFonts w:ascii="宋体" w:hAnsi="宋体" w:eastAsia="宋体" w:cs="Times New Roman"/>
                <w:bCs/>
                <w:szCs w:val="21"/>
              </w:rPr>
            </w:pPr>
            <w:r>
              <w:rPr>
                <w:rFonts w:hint="eastAsia" w:ascii="宋体" w:hAnsi="宋体" w:eastAsia="宋体" w:cs="Times New Roman"/>
                <w:bCs/>
                <w:szCs w:val="21"/>
              </w:rPr>
              <w:t>（1）把党的政治建设摆在首位。认真学习贯彻党的二十大精神，扎实推进政治机关建设，深刻领悟“两个确立”的决定性意义，不断增强“四个意识”，坚定“四个自信”，做到“两个维护”，始终牢记“国之大者,”精准把握“省之大计”，忠诚履行驻京使命，严明政治纪律。严肃党内政治生活，强化政治监督，涵养风清气正、干事创业的政治生态。</w:t>
            </w:r>
          </w:p>
          <w:p>
            <w:pPr>
              <w:spacing w:line="360" w:lineRule="exact"/>
              <w:rPr>
                <w:rFonts w:ascii="宋体" w:hAnsi="宋体" w:eastAsia="宋体" w:cs="Times New Roman"/>
                <w:bCs/>
                <w:szCs w:val="21"/>
              </w:rPr>
            </w:pPr>
            <w:r>
              <w:rPr>
                <w:rFonts w:hint="eastAsia" w:ascii="宋体" w:hAnsi="宋体" w:eastAsia="宋体" w:cs="Times New Roman"/>
                <w:bCs/>
                <w:szCs w:val="21"/>
              </w:rPr>
              <w:t>（2）认真开展好主题教育活动。2023年，按照党中央、省委和市委的统一部署，驻京联络处深入开展主题教育活动，坚持学思用贯通、知信行统一，全面、系统、深入学习习近平新时代中国特色社会主义思想，深刻领悟“两个确立”的决定性意义，突出实践导向，真抓实干、务求实效，牢固树立以人民为中心的发展思想，严格落实中央八项规定及其实施细则精神和省委实施意见、市委相关规定，深入推进清廉驻京建设，积极做好“两带头五整治”纠风防腐专项行动，常态化推进“三整顿两提升”干部作风建设，与深化清廉驻京建设、推进作风建设专项行动、巩固模范机关创建成果等工作结合起来，同中心工作结合起来，做到两手抓、两促进。</w:t>
            </w:r>
          </w:p>
          <w:p>
            <w:pPr>
              <w:spacing w:line="360" w:lineRule="exact"/>
              <w:rPr>
                <w:rFonts w:ascii="宋体" w:hAnsi="宋体" w:eastAsia="宋体" w:cs="Times New Roman"/>
                <w:bCs/>
                <w:szCs w:val="21"/>
              </w:rPr>
            </w:pPr>
            <w:r>
              <w:rPr>
                <w:rFonts w:hint="eastAsia" w:ascii="宋体" w:hAnsi="宋体" w:eastAsia="宋体" w:cs="Times New Roman"/>
                <w:bCs/>
                <w:szCs w:val="21"/>
              </w:rPr>
              <w:t>（3）加强意识形态工作。认真落实意识形态工作责任制，围绕重要时间节点，认真分析研判意识形态领域情况，牢牢把握主导权和话语权。驻京联络处切实把讲政治贯穿驻京工作全过程，要求联络处每一位党员干部都要站稳政治立场，维护党中央的核心领导地位。坚持开展经常性谈心谈话和干部职工思想动态调研分析，规范全体党员干部工作时间内外、网上网下言行，把握好正确的舆论导向。</w:t>
            </w:r>
          </w:p>
          <w:p>
            <w:pPr>
              <w:spacing w:line="360" w:lineRule="exac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.守正创新促发展，增强服务效能</w:t>
            </w:r>
          </w:p>
          <w:p>
            <w:pPr>
              <w:spacing w:line="360" w:lineRule="exact"/>
              <w:rPr>
                <w:rFonts w:ascii="宋体" w:hAnsi="宋体" w:eastAsia="宋体" w:cs="Times New Roman"/>
                <w:bCs/>
                <w:szCs w:val="21"/>
              </w:rPr>
            </w:pPr>
            <w:r>
              <w:rPr>
                <w:rFonts w:hint="eastAsia" w:ascii="宋体" w:hAnsi="宋体" w:eastAsia="宋体" w:cs="Times New Roman"/>
                <w:bCs/>
                <w:szCs w:val="21"/>
              </w:rPr>
              <w:t>（1）信息工作打开新局面。主动对接国家部委，第一时间获取政策信息，全力打造常态化、多元化、立体化的信息收集报送体系，定期参加湖南省驻京办央企对接暨重大招商工作调度会议，全力配合省驻京办创建“共建、共赢、共享”的信息网络平台。</w:t>
            </w:r>
          </w:p>
          <w:p>
            <w:pPr>
              <w:spacing w:line="360" w:lineRule="exact"/>
              <w:rPr>
                <w:rFonts w:ascii="宋体" w:hAnsi="宋体" w:eastAsia="宋体" w:cs="Times New Roman"/>
                <w:bCs/>
                <w:szCs w:val="21"/>
              </w:rPr>
            </w:pPr>
            <w:r>
              <w:rPr>
                <w:rFonts w:hint="eastAsia" w:ascii="宋体" w:hAnsi="宋体" w:eastAsia="宋体" w:cs="Times New Roman"/>
                <w:bCs/>
                <w:szCs w:val="21"/>
              </w:rPr>
              <w:t>（2）人才信息工作起收效。5月，配合市委组织部在清华大学开展“智汇潇湘 才聚五溪”怀化市招才引才恳谈会。6月，完成专项信息采集工作，收集整理和更新了怀化籍及在怀化工作过的中央机关、国家部委、央企、在京科研院校正处级以上206名在职人士信息。及时掌握了解怀化籍在京人士信息，确保精准对接。协助市委组织部、市人社局在京开展招才引才活动，发动在京怀籍企业家和高校师生为怀化招才引才做好宣传推介工作，进一步扩大知晓度和参与度，形成招才引智的良好氛围。</w:t>
            </w:r>
          </w:p>
          <w:p>
            <w:pPr>
              <w:spacing w:line="360" w:lineRule="exact"/>
              <w:rPr>
                <w:rFonts w:ascii="宋体" w:hAnsi="宋体" w:eastAsia="宋体" w:cs="Times New Roman"/>
                <w:bCs/>
                <w:szCs w:val="21"/>
              </w:rPr>
            </w:pPr>
            <w:r>
              <w:rPr>
                <w:rFonts w:hint="eastAsia" w:ascii="宋体" w:hAnsi="宋体" w:eastAsia="宋体" w:cs="Times New Roman"/>
                <w:bCs/>
                <w:szCs w:val="21"/>
              </w:rPr>
              <w:t>（3）全力推进湘商回归。今年，成立了北京怀化企业商会，注重以商招商和亲情招商，积极与央企北京怀化商会，兄弟地市驻京联络处，怀化籍在京乡贤企业走访联系，掌握信息。3月，参加了华北地区湖南商会联席会议暨湘商回归座谈会，以商会为载体、以亲情为纽带、创新推动商会招商、以商引商各项工作。利亚德集团与芷江城建投公司合作在芷江艺术中心建设利亚德元宇宙文旅项目。走访怀化籍北京企业，通过实地察看、座谈交流等方式，结合“走、找、想、促”活动，助力湘商回归。在座谈会上积极宣传《怀化市湘商回归和返乡创业工作实施方案》和“智慧怀商项目平台”，在各种公共场合宣传怀化“湘商回归”优惠政策。1.开展平台招商。通过驻京联络处和北京怀化企业商会平台，构建常态化联系怀商、新生代怀商和怀化籍专家学者制度，定期走访商协会，积极为湘商回归“铺路、架桥、搭台”，在京召开湘商座谈会，倾听湘商声音。9月3日，我市在北京利亚德集团举行“湘商回归”对接座谈会。 9月下旬，由芷江县委、县政府与利亚德集团共同打造的和平艺术中心“元宇宙”科技体验馆正式开馆。2.创新大使招商。聘请23名重点企业家和商协会会长作为招商大使，助力怀化招大引强。北京招商大使、北京潇湘曾府酒店董事长曾峥已计划投资洪江市黔阳古城的民宿项目。3.依托资源招商。整合光伏、风力等资源，谋划风光水储新能源项目，引入中电国际赴怀建设新能源项目，其中合同外资1.8亿美元，现已累积到资4084万美元。4.推动资本招商。设立总规模50亿元的怀化国际陆港产业发展基金，与湘投基金合作管理，采取母“基金子+基金”和直投方式，助力国际陆港产业项目招商。</w:t>
            </w:r>
          </w:p>
          <w:p>
            <w:pPr>
              <w:spacing w:line="360" w:lineRule="exact"/>
              <w:rPr>
                <w:rFonts w:ascii="宋体" w:hAnsi="宋体" w:eastAsia="宋体" w:cs="Times New Roman"/>
                <w:bCs/>
                <w:szCs w:val="21"/>
              </w:rPr>
            </w:pPr>
            <w:r>
              <w:rPr>
                <w:rFonts w:hint="eastAsia" w:ascii="宋体" w:hAnsi="宋体" w:eastAsia="宋体" w:cs="Times New Roman"/>
                <w:bCs/>
                <w:szCs w:val="21"/>
              </w:rPr>
              <w:t>（4）政务服务有质效。贯彻市委、市政府工作要求，协调陪同市级领导在京对接国家发展改革委、水利部、财政部、商务部及铁道部，将“湖南省蟒塘溪（怀化市）水资源配置工程”增列进入全国“十四五”水安全保障规划和全国“十四五”重大水利项目建设库、在国家《抽水蓄能中长期发展规划（2021-2035年）》中期调整时，将怀化高新区用户侧抽水蓄能项目调整纳入规划、会同石煤综合利用项目所需火电建设指标、湖南省怀化市创建全国生态产品价值实现机制试点（国家目前已停止试点工作，以案例形式推广此项工作）、将怀化市纳入国家现代流通战略支点城市、怀化至桂林铁路列入国家“十四五”铁路发展规划等工作，助推怀化“五新四城”建设。突出重点对接，协调陪同市级领导在京对接重点项目，促成中国供销集团怀化产业园项目、中电国际储能集成设备生产线项目、东旭集团怀化高新标载板项目、中林集团竹缠绕复合压力管道生产基地项目等一批重大项目纷纷落户。靖州县通过茯苓产业引进修正药业集团投资13亿元布局建设生物医药项目和大健康产业。中储粮集团公司党组书记、董事长表示，中储粮集团公司将积极支持怀化直属库退城进园项目建设，进一步提升粮食储备安全保障能力。全年共计为市级领导和市直部门，各县、市（区）来京汇报对接工作联络服务400余人次。</w:t>
            </w:r>
          </w:p>
          <w:p>
            <w:pPr>
              <w:spacing w:line="360" w:lineRule="exact"/>
              <w:rPr>
                <w:rFonts w:ascii="宋体" w:hAnsi="宋体" w:eastAsia="宋体" w:cs="Times New Roman"/>
                <w:bCs/>
                <w:szCs w:val="21"/>
              </w:rPr>
            </w:pPr>
            <w:r>
              <w:rPr>
                <w:rFonts w:hint="eastAsia" w:ascii="宋体" w:hAnsi="宋体" w:eastAsia="宋体" w:cs="Times New Roman"/>
                <w:bCs/>
                <w:szCs w:val="21"/>
              </w:rPr>
              <w:t>（5）宣传工作开新局面。强化与媒体的联系，统筹市宣传资源，宣传怀化讲好怀化故事。3月，积极协助市委宣传部、洪江市市委宣传部、湖南广播电视台新闻中心赴京对接宣传片。铺路搭桥，为更好地让怀化土特产走出去，通过线上和线下多种渠道宣传推介怀化农产品。同时，等条件成熟，计划对新办公楼进行装修，划分专门区域作为宣传怀化土特产的阵地和窗口。全力为了“一粒种子 改变世界”原创民族音乐会和怀化市文化旅游推介大会提供服务保障工作。9月4日，“一粒种子 改变世界”原创民族音乐会在京首演，扩大怀化“一粒种子 改变世界”城市形象品牌影响力，着力打造湖南农耕文化旅游名片。同时，易烊千玺受邀担任怀化形象大使，通过视频向全世界朋友发出邀约，邀请大家走进怀化，来到怀化。9月23日，怀化举办第二届旅发大会，邀请利亚德集团董事长等十余名在京怀籍企业家出席会议，以旅发大会为契机，推动全市文旅招商项目落地怀化。</w:t>
            </w:r>
          </w:p>
          <w:p>
            <w:pPr>
              <w:spacing w:line="360" w:lineRule="exact"/>
              <w:rPr>
                <w:rFonts w:ascii="宋体" w:hAnsi="宋体" w:eastAsia="宋体" w:cs="Times New Roman"/>
                <w:bCs/>
                <w:szCs w:val="21"/>
              </w:rPr>
            </w:pPr>
            <w:r>
              <w:rPr>
                <w:rFonts w:hint="eastAsia" w:ascii="宋体" w:hAnsi="宋体" w:eastAsia="宋体" w:cs="Times New Roman"/>
                <w:bCs/>
                <w:szCs w:val="21"/>
              </w:rPr>
              <w:t>（6）整体形象有新面貌。深入推进“清廉机关”的建设。把清廉文化建设同党风廉政建设工作一并部署，一并落实，制定《市驻京联络处清廉文化建设实施方案》，组织联络处全体干部职工开展党纪条规、廉政法律法规学习及廉洁文化宣传教育活动4次。充分利用联络处现有阵地，在办公室制作清廉文化宣传墙,不断提升清廉文化的认同感。清廉文化建设与班子成员履职党支部建设相结合，加强党员干部的教育管理和监督服务，督促党员干部带头守纪律讲规矩，遵守党纪国法，充分发挥政治引领、廉洁奉公示范作用；将清廉建设纳入班子成员履职评价，对违纪违规、违背政令，受到纪律处分、组织处理、责任追究的班子成员，实行履职评价“一票否决”。</w:t>
            </w:r>
          </w:p>
          <w:p>
            <w:pPr>
              <w:spacing w:line="360" w:lineRule="exact"/>
              <w:rPr>
                <w:rFonts w:ascii="宋体" w:hAnsi="宋体" w:eastAsia="宋体" w:cs="Times New Roman"/>
                <w:bCs/>
                <w:szCs w:val="21"/>
              </w:rPr>
            </w:pPr>
            <w:r>
              <w:rPr>
                <w:rFonts w:hint="eastAsia" w:ascii="宋体" w:hAnsi="宋体" w:eastAsia="宋体" w:cs="Times New Roman"/>
                <w:bCs/>
                <w:szCs w:val="21"/>
              </w:rPr>
              <w:t>（7）全力促进大稳定。驻京联络处坚持把维护首都稳定作为驻京工作的重要政治任务，全国“两会”、北戴河暑期值班等特护期，同时抓好全年重点节日确保驻京信访维稳零滞留、零倒流、零滋事、零违纪、零炒作目标，实现了“三个确保”，的预期目标：既没有发生进京规模聚访事件，没有发生影响怀化形象的恶性个案，进京非正常上访的批次和人次均有下降，为维护首都稳定，维护怀化形象做出了怀化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068" w:type="dxa"/>
            <w:vMerge w:val="restart"/>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绩</w:t>
            </w:r>
          </w:p>
          <w:p>
            <w:pPr>
              <w:spacing w:line="360" w:lineRule="exact"/>
              <w:jc w:val="center"/>
              <w:rPr>
                <w:rFonts w:ascii="宋体" w:hAnsi="宋体" w:eastAsia="宋体" w:cs="Times New Roman"/>
                <w:bCs/>
                <w:szCs w:val="21"/>
              </w:rPr>
            </w:pPr>
            <w:r>
              <w:rPr>
                <w:rFonts w:hint="eastAsia" w:ascii="宋体" w:hAnsi="宋体" w:eastAsia="宋体" w:cs="Times New Roman"/>
                <w:bCs/>
                <w:szCs w:val="21"/>
              </w:rPr>
              <w:t>效</w:t>
            </w:r>
          </w:p>
          <w:p>
            <w:pPr>
              <w:spacing w:line="360" w:lineRule="exact"/>
              <w:jc w:val="center"/>
              <w:rPr>
                <w:rFonts w:ascii="宋体" w:hAnsi="宋体" w:eastAsia="宋体" w:cs="Times New Roman"/>
                <w:bCs/>
                <w:szCs w:val="21"/>
              </w:rPr>
            </w:pPr>
            <w:r>
              <w:rPr>
                <w:rFonts w:hint="eastAsia" w:ascii="宋体" w:hAnsi="宋体" w:eastAsia="宋体" w:cs="Times New Roman"/>
                <w:bCs/>
                <w:szCs w:val="21"/>
              </w:rPr>
              <w:t>指</w:t>
            </w:r>
          </w:p>
          <w:p>
            <w:pPr>
              <w:spacing w:line="360" w:lineRule="exact"/>
              <w:jc w:val="center"/>
              <w:rPr>
                <w:rFonts w:ascii="宋体" w:hAnsi="宋体" w:eastAsia="宋体" w:cs="Times New Roman"/>
                <w:bCs/>
                <w:szCs w:val="21"/>
              </w:rPr>
            </w:pPr>
            <w:r>
              <w:rPr>
                <w:rFonts w:hint="eastAsia" w:ascii="宋体" w:hAnsi="宋体" w:eastAsia="宋体" w:cs="Times New Roman"/>
                <w:bCs/>
                <w:szCs w:val="21"/>
              </w:rPr>
              <w:t>标</w:t>
            </w:r>
          </w:p>
        </w:tc>
        <w:tc>
          <w:tcPr>
            <w:tcW w:w="1102"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一级</w:t>
            </w:r>
          </w:p>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指标</w:t>
            </w:r>
          </w:p>
        </w:tc>
        <w:tc>
          <w:tcPr>
            <w:tcW w:w="962"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二级</w:t>
            </w:r>
          </w:p>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指标</w:t>
            </w:r>
          </w:p>
        </w:tc>
        <w:tc>
          <w:tcPr>
            <w:tcW w:w="1046" w:type="dxa"/>
            <w:gridSpan w:val="2"/>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三级</w:t>
            </w:r>
          </w:p>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指标</w:t>
            </w:r>
          </w:p>
        </w:tc>
        <w:tc>
          <w:tcPr>
            <w:tcW w:w="1126"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年度</w:t>
            </w:r>
          </w:p>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指标值</w:t>
            </w:r>
          </w:p>
        </w:tc>
        <w:tc>
          <w:tcPr>
            <w:tcW w:w="1077"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实际</w:t>
            </w:r>
          </w:p>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完成值</w:t>
            </w:r>
          </w:p>
        </w:tc>
        <w:tc>
          <w:tcPr>
            <w:tcW w:w="675"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分值</w:t>
            </w:r>
          </w:p>
        </w:tc>
        <w:tc>
          <w:tcPr>
            <w:tcW w:w="1151"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得分</w:t>
            </w:r>
          </w:p>
        </w:tc>
        <w:tc>
          <w:tcPr>
            <w:tcW w:w="1055" w:type="dxa"/>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偏差差原因分析及改措施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068" w:type="dxa"/>
            <w:vMerge w:val="continue"/>
            <w:vAlign w:val="center"/>
          </w:tcPr>
          <w:p>
            <w:pPr>
              <w:spacing w:line="360" w:lineRule="exact"/>
              <w:jc w:val="center"/>
              <w:rPr>
                <w:rFonts w:ascii="宋体" w:hAnsi="宋体" w:eastAsia="宋体" w:cs="Times New Roman"/>
                <w:bCs/>
                <w:szCs w:val="21"/>
              </w:rPr>
            </w:pPr>
          </w:p>
        </w:tc>
        <w:tc>
          <w:tcPr>
            <w:tcW w:w="1102" w:type="dxa"/>
            <w:vMerge w:val="restart"/>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产出</w:t>
            </w:r>
          </w:p>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指标</w:t>
            </w:r>
          </w:p>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（50分)</w:t>
            </w:r>
          </w:p>
        </w:tc>
        <w:tc>
          <w:tcPr>
            <w:tcW w:w="962"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数量</w:t>
            </w:r>
          </w:p>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指指标</w:t>
            </w:r>
          </w:p>
        </w:tc>
        <w:tc>
          <w:tcPr>
            <w:tcW w:w="1046" w:type="dxa"/>
            <w:gridSpan w:val="2"/>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重</w:t>
            </w:r>
            <w:r>
              <w:rPr>
                <w:rFonts w:ascii="宋体" w:hAnsi="宋体" w:eastAsia="宋体" w:cs="仿宋"/>
                <w:bCs/>
                <w:kern w:val="0"/>
                <w:szCs w:val="21"/>
              </w:rPr>
              <w:t>点工作完成数</w:t>
            </w:r>
          </w:p>
        </w:tc>
        <w:tc>
          <w:tcPr>
            <w:tcW w:w="1126"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3</w:t>
            </w:r>
            <w:r>
              <w:rPr>
                <w:rFonts w:ascii="宋体" w:hAnsi="宋体" w:eastAsia="宋体" w:cs="仿宋"/>
                <w:bCs/>
                <w:kern w:val="0"/>
                <w:szCs w:val="21"/>
              </w:rPr>
              <w:t>次</w:t>
            </w:r>
          </w:p>
        </w:tc>
        <w:tc>
          <w:tcPr>
            <w:tcW w:w="1077" w:type="dxa"/>
            <w:vAlign w:val="center"/>
          </w:tcPr>
          <w:p>
            <w:pPr>
              <w:spacing w:line="360" w:lineRule="exact"/>
              <w:jc w:val="center"/>
              <w:rPr>
                <w:rFonts w:ascii="宋体" w:hAnsi="宋体" w:eastAsia="宋体" w:cs="仿宋"/>
                <w:bCs/>
                <w:kern w:val="0"/>
                <w:szCs w:val="21"/>
              </w:rPr>
            </w:pPr>
            <w:r>
              <w:rPr>
                <w:rFonts w:ascii="宋体" w:hAnsi="宋体" w:eastAsia="宋体" w:cs="仿宋"/>
                <w:bCs/>
                <w:kern w:val="0"/>
                <w:szCs w:val="21"/>
              </w:rPr>
              <w:t>3次</w:t>
            </w:r>
          </w:p>
        </w:tc>
        <w:tc>
          <w:tcPr>
            <w:tcW w:w="675" w:type="dxa"/>
            <w:vAlign w:val="center"/>
          </w:tcPr>
          <w:p>
            <w:pPr>
              <w:spacing w:line="360" w:lineRule="exact"/>
              <w:jc w:val="center"/>
              <w:rPr>
                <w:rFonts w:ascii="宋体" w:hAnsi="宋体" w:eastAsia="宋体" w:cs="仿宋"/>
                <w:bCs/>
                <w:kern w:val="0"/>
                <w:szCs w:val="21"/>
              </w:rPr>
            </w:pPr>
            <w:r>
              <w:rPr>
                <w:rFonts w:ascii="宋体" w:hAnsi="宋体" w:eastAsia="宋体" w:cs="仿宋"/>
                <w:bCs/>
                <w:kern w:val="0"/>
                <w:szCs w:val="21"/>
              </w:rPr>
              <w:t>20</w:t>
            </w:r>
          </w:p>
        </w:tc>
        <w:tc>
          <w:tcPr>
            <w:tcW w:w="1151" w:type="dxa"/>
            <w:vAlign w:val="center"/>
          </w:tcPr>
          <w:p>
            <w:pPr>
              <w:spacing w:line="360" w:lineRule="exact"/>
              <w:jc w:val="center"/>
              <w:rPr>
                <w:rFonts w:ascii="宋体" w:hAnsi="宋体" w:eastAsia="宋体" w:cs="仿宋"/>
                <w:bCs/>
                <w:kern w:val="0"/>
                <w:szCs w:val="21"/>
              </w:rPr>
            </w:pPr>
            <w:r>
              <w:rPr>
                <w:rFonts w:ascii="宋体" w:hAnsi="宋体" w:eastAsia="宋体" w:cs="仿宋"/>
                <w:bCs/>
                <w:kern w:val="0"/>
                <w:szCs w:val="21"/>
              </w:rPr>
              <w:t>20</w:t>
            </w:r>
          </w:p>
        </w:tc>
        <w:tc>
          <w:tcPr>
            <w:tcW w:w="1055" w:type="dxa"/>
            <w:vAlign w:val="center"/>
          </w:tcPr>
          <w:p>
            <w:pPr>
              <w:spacing w:line="360" w:lineRule="exact"/>
              <w:jc w:val="center"/>
              <w:rPr>
                <w:rFonts w:ascii="宋体" w:hAnsi="宋体" w:eastAsia="宋体" w:cs="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068" w:type="dxa"/>
            <w:vMerge w:val="continue"/>
            <w:vAlign w:val="center"/>
          </w:tcPr>
          <w:p>
            <w:pPr>
              <w:spacing w:line="360" w:lineRule="exact"/>
              <w:jc w:val="center"/>
              <w:rPr>
                <w:rFonts w:ascii="宋体" w:hAnsi="宋体" w:eastAsia="宋体" w:cs="Times New Roman"/>
                <w:bCs/>
                <w:szCs w:val="21"/>
              </w:rPr>
            </w:pPr>
          </w:p>
        </w:tc>
        <w:tc>
          <w:tcPr>
            <w:tcW w:w="1102" w:type="dxa"/>
            <w:vMerge w:val="continue"/>
            <w:vAlign w:val="center"/>
          </w:tcPr>
          <w:p>
            <w:pPr>
              <w:spacing w:line="360" w:lineRule="exact"/>
              <w:jc w:val="center"/>
              <w:rPr>
                <w:rFonts w:ascii="宋体" w:hAnsi="宋体" w:eastAsia="宋体" w:cs="仿宋"/>
                <w:bCs/>
                <w:kern w:val="0"/>
                <w:szCs w:val="21"/>
              </w:rPr>
            </w:pPr>
          </w:p>
        </w:tc>
        <w:tc>
          <w:tcPr>
            <w:tcW w:w="962"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质量</w:t>
            </w:r>
          </w:p>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指指标</w:t>
            </w:r>
          </w:p>
        </w:tc>
        <w:tc>
          <w:tcPr>
            <w:tcW w:w="1046" w:type="dxa"/>
            <w:gridSpan w:val="2"/>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达</w:t>
            </w:r>
            <w:r>
              <w:rPr>
                <w:rFonts w:ascii="宋体" w:hAnsi="宋体" w:eastAsia="宋体" w:cs="仿宋"/>
                <w:bCs/>
                <w:kern w:val="0"/>
                <w:szCs w:val="21"/>
              </w:rPr>
              <w:t>标完成率</w:t>
            </w:r>
          </w:p>
        </w:tc>
        <w:tc>
          <w:tcPr>
            <w:tcW w:w="1126"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1</w:t>
            </w:r>
            <w:r>
              <w:rPr>
                <w:rFonts w:ascii="宋体" w:hAnsi="宋体" w:eastAsia="宋体" w:cs="仿宋"/>
                <w:bCs/>
                <w:kern w:val="0"/>
                <w:szCs w:val="21"/>
              </w:rPr>
              <w:t>00</w:t>
            </w:r>
            <w:r>
              <w:rPr>
                <w:rFonts w:hint="eastAsia" w:ascii="宋体" w:hAnsi="宋体" w:eastAsia="宋体" w:cs="仿宋"/>
                <w:bCs/>
                <w:kern w:val="0"/>
                <w:szCs w:val="21"/>
              </w:rPr>
              <w:t>%</w:t>
            </w:r>
          </w:p>
        </w:tc>
        <w:tc>
          <w:tcPr>
            <w:tcW w:w="1077"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1</w:t>
            </w:r>
            <w:r>
              <w:rPr>
                <w:rFonts w:ascii="宋体" w:hAnsi="宋体" w:eastAsia="宋体" w:cs="仿宋"/>
                <w:bCs/>
                <w:kern w:val="0"/>
                <w:szCs w:val="21"/>
              </w:rPr>
              <w:t>00</w:t>
            </w:r>
            <w:r>
              <w:rPr>
                <w:rFonts w:hint="eastAsia" w:ascii="宋体" w:hAnsi="宋体" w:eastAsia="宋体" w:cs="仿宋"/>
                <w:bCs/>
                <w:kern w:val="0"/>
                <w:szCs w:val="21"/>
              </w:rPr>
              <w:t>%</w:t>
            </w:r>
          </w:p>
        </w:tc>
        <w:tc>
          <w:tcPr>
            <w:tcW w:w="675" w:type="dxa"/>
            <w:vAlign w:val="center"/>
          </w:tcPr>
          <w:p>
            <w:pPr>
              <w:spacing w:line="360" w:lineRule="exact"/>
              <w:jc w:val="center"/>
              <w:rPr>
                <w:rFonts w:ascii="宋体" w:hAnsi="宋体" w:eastAsia="宋体" w:cs="仿宋"/>
                <w:bCs/>
                <w:kern w:val="0"/>
                <w:szCs w:val="21"/>
              </w:rPr>
            </w:pPr>
            <w:r>
              <w:rPr>
                <w:rFonts w:ascii="宋体" w:hAnsi="宋体" w:eastAsia="宋体" w:cs="仿宋"/>
                <w:bCs/>
                <w:kern w:val="0"/>
                <w:szCs w:val="21"/>
              </w:rPr>
              <w:t>10</w:t>
            </w:r>
          </w:p>
        </w:tc>
        <w:tc>
          <w:tcPr>
            <w:tcW w:w="1151" w:type="dxa"/>
            <w:vAlign w:val="center"/>
          </w:tcPr>
          <w:p>
            <w:pPr>
              <w:spacing w:line="360" w:lineRule="exact"/>
              <w:jc w:val="center"/>
              <w:rPr>
                <w:rFonts w:ascii="宋体" w:hAnsi="宋体" w:eastAsia="宋体" w:cs="仿宋"/>
                <w:bCs/>
                <w:kern w:val="0"/>
                <w:szCs w:val="21"/>
              </w:rPr>
            </w:pPr>
            <w:r>
              <w:rPr>
                <w:rFonts w:ascii="宋体" w:hAnsi="宋体" w:eastAsia="宋体" w:cs="仿宋"/>
                <w:bCs/>
                <w:kern w:val="0"/>
                <w:szCs w:val="21"/>
              </w:rPr>
              <w:t>10</w:t>
            </w:r>
          </w:p>
        </w:tc>
        <w:tc>
          <w:tcPr>
            <w:tcW w:w="1055" w:type="dxa"/>
            <w:vAlign w:val="center"/>
          </w:tcPr>
          <w:p>
            <w:pPr>
              <w:spacing w:line="360" w:lineRule="exact"/>
              <w:jc w:val="center"/>
              <w:rPr>
                <w:rFonts w:ascii="宋体" w:hAnsi="宋体" w:eastAsia="宋体" w:cs="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068" w:type="dxa"/>
            <w:vMerge w:val="continue"/>
            <w:vAlign w:val="center"/>
          </w:tcPr>
          <w:p>
            <w:pPr>
              <w:spacing w:line="360" w:lineRule="exact"/>
              <w:jc w:val="center"/>
              <w:rPr>
                <w:rFonts w:ascii="宋体" w:hAnsi="宋体" w:eastAsia="宋体" w:cs="仿宋"/>
                <w:bCs/>
                <w:kern w:val="0"/>
                <w:szCs w:val="21"/>
              </w:rPr>
            </w:pPr>
          </w:p>
        </w:tc>
        <w:tc>
          <w:tcPr>
            <w:tcW w:w="1102" w:type="dxa"/>
            <w:vMerge w:val="continue"/>
            <w:vAlign w:val="center"/>
          </w:tcPr>
          <w:p>
            <w:pPr>
              <w:spacing w:line="360" w:lineRule="exact"/>
              <w:jc w:val="center"/>
              <w:rPr>
                <w:rFonts w:ascii="宋体" w:hAnsi="宋体" w:eastAsia="宋体" w:cs="仿宋"/>
                <w:bCs/>
                <w:kern w:val="0"/>
                <w:szCs w:val="21"/>
              </w:rPr>
            </w:pPr>
          </w:p>
        </w:tc>
        <w:tc>
          <w:tcPr>
            <w:tcW w:w="962"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时效</w:t>
            </w:r>
          </w:p>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指指标</w:t>
            </w:r>
          </w:p>
        </w:tc>
        <w:tc>
          <w:tcPr>
            <w:tcW w:w="1046" w:type="dxa"/>
            <w:gridSpan w:val="2"/>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及</w:t>
            </w:r>
            <w:r>
              <w:rPr>
                <w:rFonts w:ascii="宋体" w:hAnsi="宋体" w:eastAsia="宋体" w:cs="仿宋"/>
                <w:bCs/>
                <w:kern w:val="0"/>
                <w:szCs w:val="21"/>
              </w:rPr>
              <w:t>时完成情况</w:t>
            </w:r>
          </w:p>
        </w:tc>
        <w:tc>
          <w:tcPr>
            <w:tcW w:w="1126"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2</w:t>
            </w:r>
            <w:r>
              <w:rPr>
                <w:rFonts w:ascii="宋体" w:hAnsi="宋体" w:eastAsia="宋体" w:cs="仿宋"/>
                <w:bCs/>
                <w:kern w:val="0"/>
                <w:szCs w:val="21"/>
              </w:rPr>
              <w:t>023年</w:t>
            </w:r>
            <w:r>
              <w:rPr>
                <w:rFonts w:hint="eastAsia" w:ascii="宋体" w:hAnsi="宋体" w:eastAsia="宋体" w:cs="仿宋"/>
                <w:bCs/>
                <w:kern w:val="0"/>
                <w:szCs w:val="21"/>
              </w:rPr>
              <w:t>1</w:t>
            </w:r>
            <w:r>
              <w:rPr>
                <w:rFonts w:ascii="宋体" w:hAnsi="宋体" w:eastAsia="宋体" w:cs="仿宋"/>
                <w:bCs/>
                <w:kern w:val="0"/>
                <w:szCs w:val="21"/>
              </w:rPr>
              <w:t>2月</w:t>
            </w:r>
            <w:r>
              <w:rPr>
                <w:rFonts w:hint="eastAsia" w:ascii="宋体" w:hAnsi="宋体" w:eastAsia="宋体" w:cs="仿宋"/>
                <w:bCs/>
                <w:kern w:val="0"/>
                <w:szCs w:val="21"/>
              </w:rPr>
              <w:t>2</w:t>
            </w:r>
            <w:r>
              <w:rPr>
                <w:rFonts w:ascii="宋体" w:hAnsi="宋体" w:eastAsia="宋体" w:cs="仿宋"/>
                <w:bCs/>
                <w:kern w:val="0"/>
                <w:szCs w:val="21"/>
              </w:rPr>
              <w:t>1日完成</w:t>
            </w:r>
          </w:p>
        </w:tc>
        <w:tc>
          <w:tcPr>
            <w:tcW w:w="1077"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在</w:t>
            </w:r>
            <w:r>
              <w:rPr>
                <w:rFonts w:ascii="宋体" w:hAnsi="宋体" w:eastAsia="宋体" w:cs="仿宋"/>
                <w:bCs/>
                <w:kern w:val="0"/>
                <w:szCs w:val="21"/>
              </w:rPr>
              <w:t>规定的</w:t>
            </w:r>
            <w:r>
              <w:rPr>
                <w:rFonts w:hint="eastAsia" w:ascii="宋体" w:hAnsi="宋体" w:eastAsia="宋体" w:cs="仿宋"/>
                <w:bCs/>
                <w:kern w:val="0"/>
                <w:szCs w:val="21"/>
              </w:rPr>
              <w:t>时</w:t>
            </w:r>
            <w:r>
              <w:rPr>
                <w:rFonts w:ascii="宋体" w:hAnsi="宋体" w:eastAsia="宋体" w:cs="仿宋"/>
                <w:bCs/>
                <w:kern w:val="0"/>
                <w:szCs w:val="21"/>
              </w:rPr>
              <w:t>间内完成</w:t>
            </w:r>
          </w:p>
        </w:tc>
        <w:tc>
          <w:tcPr>
            <w:tcW w:w="675" w:type="dxa"/>
            <w:vAlign w:val="center"/>
          </w:tcPr>
          <w:p>
            <w:pPr>
              <w:spacing w:line="360" w:lineRule="exact"/>
              <w:jc w:val="center"/>
              <w:rPr>
                <w:rFonts w:ascii="宋体" w:hAnsi="宋体" w:eastAsia="宋体" w:cs="仿宋"/>
                <w:bCs/>
                <w:kern w:val="0"/>
                <w:szCs w:val="21"/>
              </w:rPr>
            </w:pPr>
            <w:r>
              <w:rPr>
                <w:rFonts w:ascii="宋体" w:hAnsi="宋体" w:eastAsia="宋体" w:cs="仿宋"/>
                <w:bCs/>
                <w:kern w:val="0"/>
                <w:szCs w:val="21"/>
              </w:rPr>
              <w:t>10</w:t>
            </w:r>
          </w:p>
        </w:tc>
        <w:tc>
          <w:tcPr>
            <w:tcW w:w="1151" w:type="dxa"/>
            <w:vAlign w:val="center"/>
          </w:tcPr>
          <w:p>
            <w:pPr>
              <w:spacing w:line="360" w:lineRule="exact"/>
              <w:jc w:val="center"/>
              <w:rPr>
                <w:rFonts w:ascii="宋体" w:hAnsi="宋体" w:eastAsia="宋体" w:cs="仿宋"/>
                <w:bCs/>
                <w:kern w:val="0"/>
                <w:szCs w:val="21"/>
              </w:rPr>
            </w:pPr>
            <w:r>
              <w:rPr>
                <w:rFonts w:ascii="宋体" w:hAnsi="宋体" w:eastAsia="宋体" w:cs="仿宋"/>
                <w:bCs/>
                <w:kern w:val="0"/>
                <w:szCs w:val="21"/>
              </w:rPr>
              <w:t>10</w:t>
            </w:r>
          </w:p>
        </w:tc>
        <w:tc>
          <w:tcPr>
            <w:tcW w:w="1055" w:type="dxa"/>
            <w:vAlign w:val="center"/>
          </w:tcPr>
          <w:p>
            <w:pPr>
              <w:spacing w:line="360" w:lineRule="exact"/>
              <w:jc w:val="center"/>
              <w:rPr>
                <w:rFonts w:ascii="宋体" w:hAnsi="宋体" w:eastAsia="宋体" w:cs="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068" w:type="dxa"/>
            <w:vMerge w:val="continue"/>
            <w:vAlign w:val="center"/>
          </w:tcPr>
          <w:p>
            <w:pPr>
              <w:spacing w:line="360" w:lineRule="exact"/>
              <w:jc w:val="center"/>
              <w:rPr>
                <w:rFonts w:ascii="宋体" w:hAnsi="宋体" w:eastAsia="宋体" w:cs="仿宋"/>
                <w:bCs/>
                <w:kern w:val="0"/>
                <w:szCs w:val="21"/>
              </w:rPr>
            </w:pPr>
          </w:p>
        </w:tc>
        <w:tc>
          <w:tcPr>
            <w:tcW w:w="1102" w:type="dxa"/>
            <w:vMerge w:val="continue"/>
            <w:vAlign w:val="center"/>
          </w:tcPr>
          <w:p>
            <w:pPr>
              <w:spacing w:line="360" w:lineRule="exact"/>
              <w:jc w:val="center"/>
              <w:rPr>
                <w:rFonts w:ascii="宋体" w:hAnsi="宋体" w:eastAsia="宋体" w:cs="仿宋"/>
                <w:bCs/>
                <w:kern w:val="0"/>
                <w:szCs w:val="21"/>
              </w:rPr>
            </w:pPr>
          </w:p>
        </w:tc>
        <w:tc>
          <w:tcPr>
            <w:tcW w:w="962"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成本指标</w:t>
            </w:r>
          </w:p>
        </w:tc>
        <w:tc>
          <w:tcPr>
            <w:tcW w:w="1046" w:type="dxa"/>
            <w:gridSpan w:val="2"/>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“成本控制</w:t>
            </w:r>
          </w:p>
        </w:tc>
        <w:tc>
          <w:tcPr>
            <w:tcW w:w="1126"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小于或等于财政</w:t>
            </w:r>
            <w:r>
              <w:rPr>
                <w:rFonts w:ascii="宋体" w:hAnsi="宋体" w:eastAsia="宋体" w:cs="仿宋"/>
                <w:bCs/>
                <w:kern w:val="0"/>
                <w:szCs w:val="21"/>
              </w:rPr>
              <w:t>预算指标控制数</w:t>
            </w:r>
          </w:p>
        </w:tc>
        <w:tc>
          <w:tcPr>
            <w:tcW w:w="1077"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等于财政预算指标控制数</w:t>
            </w:r>
          </w:p>
        </w:tc>
        <w:tc>
          <w:tcPr>
            <w:tcW w:w="675" w:type="dxa"/>
            <w:vAlign w:val="center"/>
          </w:tcPr>
          <w:p>
            <w:pPr>
              <w:spacing w:line="360" w:lineRule="exact"/>
              <w:jc w:val="center"/>
              <w:rPr>
                <w:rFonts w:ascii="宋体" w:hAnsi="宋体" w:eastAsia="宋体" w:cs="仿宋"/>
                <w:bCs/>
                <w:kern w:val="0"/>
                <w:szCs w:val="21"/>
              </w:rPr>
            </w:pPr>
            <w:r>
              <w:rPr>
                <w:rFonts w:ascii="宋体" w:hAnsi="宋体" w:eastAsia="宋体" w:cs="仿宋"/>
                <w:bCs/>
                <w:kern w:val="0"/>
                <w:szCs w:val="21"/>
              </w:rPr>
              <w:t>10</w:t>
            </w:r>
          </w:p>
        </w:tc>
        <w:tc>
          <w:tcPr>
            <w:tcW w:w="1151" w:type="dxa"/>
            <w:vAlign w:val="center"/>
          </w:tcPr>
          <w:p>
            <w:pPr>
              <w:spacing w:line="360" w:lineRule="exact"/>
              <w:jc w:val="center"/>
              <w:rPr>
                <w:rFonts w:ascii="宋体" w:hAnsi="宋体" w:eastAsia="宋体" w:cs="仿宋"/>
                <w:bCs/>
                <w:kern w:val="0"/>
                <w:szCs w:val="21"/>
              </w:rPr>
            </w:pPr>
            <w:r>
              <w:rPr>
                <w:rFonts w:ascii="宋体" w:hAnsi="宋体" w:eastAsia="宋体" w:cs="仿宋"/>
                <w:bCs/>
                <w:kern w:val="0"/>
                <w:szCs w:val="21"/>
              </w:rPr>
              <w:t>10</w:t>
            </w:r>
          </w:p>
        </w:tc>
        <w:tc>
          <w:tcPr>
            <w:tcW w:w="1055" w:type="dxa"/>
            <w:vAlign w:val="center"/>
          </w:tcPr>
          <w:p>
            <w:pPr>
              <w:spacing w:line="360" w:lineRule="exact"/>
              <w:jc w:val="center"/>
              <w:rPr>
                <w:rFonts w:ascii="宋体" w:hAnsi="宋体" w:eastAsia="宋体" w:cs="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068" w:type="dxa"/>
            <w:vMerge w:val="continue"/>
            <w:vAlign w:val="center"/>
          </w:tcPr>
          <w:p>
            <w:pPr>
              <w:spacing w:line="360" w:lineRule="exact"/>
              <w:jc w:val="center"/>
              <w:rPr>
                <w:rFonts w:ascii="宋体" w:hAnsi="宋体" w:eastAsia="宋体" w:cs="仿宋"/>
                <w:bCs/>
                <w:kern w:val="0"/>
                <w:szCs w:val="21"/>
              </w:rPr>
            </w:pPr>
          </w:p>
        </w:tc>
        <w:tc>
          <w:tcPr>
            <w:tcW w:w="1102" w:type="dxa"/>
            <w:vMerge w:val="restart"/>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效益</w:t>
            </w:r>
          </w:p>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指标</w:t>
            </w:r>
          </w:p>
          <w:p>
            <w:pPr>
              <w:spacing w:line="360" w:lineRule="exact"/>
              <w:rPr>
                <w:rFonts w:ascii="宋体" w:hAnsi="宋体" w:eastAsia="宋体" w:cs="仿宋"/>
                <w:bCs/>
                <w:kern w:val="0"/>
                <w:szCs w:val="21"/>
              </w:rPr>
            </w:pPr>
            <w:r>
              <w:rPr>
                <w:rFonts w:hint="eastAsia" w:ascii="宋体" w:hAnsi="宋体" w:eastAsia="宋体" w:cs="仿宋"/>
                <w:bCs/>
                <w:kern w:val="0"/>
                <w:szCs w:val="21"/>
              </w:rPr>
              <w:t>（30分）</w:t>
            </w:r>
          </w:p>
        </w:tc>
        <w:tc>
          <w:tcPr>
            <w:tcW w:w="962"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经济效益指标</w:t>
            </w:r>
          </w:p>
        </w:tc>
        <w:tc>
          <w:tcPr>
            <w:tcW w:w="1046" w:type="dxa"/>
            <w:gridSpan w:val="2"/>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精准招商</w:t>
            </w:r>
          </w:p>
        </w:tc>
        <w:tc>
          <w:tcPr>
            <w:tcW w:w="1126"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效果明显</w:t>
            </w:r>
          </w:p>
        </w:tc>
        <w:tc>
          <w:tcPr>
            <w:tcW w:w="1077"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效果明显</w:t>
            </w:r>
          </w:p>
        </w:tc>
        <w:tc>
          <w:tcPr>
            <w:tcW w:w="675" w:type="dxa"/>
            <w:vAlign w:val="center"/>
          </w:tcPr>
          <w:p>
            <w:pPr>
              <w:spacing w:line="360" w:lineRule="exact"/>
              <w:jc w:val="center"/>
              <w:rPr>
                <w:rFonts w:ascii="宋体" w:hAnsi="宋体" w:eastAsia="宋体" w:cs="仿宋"/>
                <w:bCs/>
                <w:kern w:val="0"/>
                <w:szCs w:val="21"/>
              </w:rPr>
            </w:pPr>
            <w:r>
              <w:rPr>
                <w:rFonts w:ascii="宋体" w:hAnsi="宋体" w:eastAsia="宋体" w:cs="仿宋"/>
                <w:bCs/>
                <w:kern w:val="0"/>
                <w:szCs w:val="21"/>
              </w:rPr>
              <w:t>10</w:t>
            </w:r>
          </w:p>
        </w:tc>
        <w:tc>
          <w:tcPr>
            <w:tcW w:w="1151" w:type="dxa"/>
            <w:vAlign w:val="center"/>
          </w:tcPr>
          <w:p>
            <w:pPr>
              <w:spacing w:line="360" w:lineRule="exact"/>
              <w:jc w:val="center"/>
              <w:rPr>
                <w:rFonts w:ascii="宋体" w:hAnsi="宋体" w:eastAsia="宋体" w:cs="仿宋"/>
                <w:bCs/>
                <w:kern w:val="0"/>
                <w:szCs w:val="21"/>
              </w:rPr>
            </w:pPr>
            <w:r>
              <w:rPr>
                <w:rFonts w:ascii="宋体" w:hAnsi="宋体" w:eastAsia="宋体" w:cs="仿宋"/>
                <w:bCs/>
                <w:kern w:val="0"/>
                <w:szCs w:val="21"/>
              </w:rPr>
              <w:t>10</w:t>
            </w:r>
          </w:p>
        </w:tc>
        <w:tc>
          <w:tcPr>
            <w:tcW w:w="1055" w:type="dxa"/>
            <w:vAlign w:val="center"/>
          </w:tcPr>
          <w:p>
            <w:pPr>
              <w:spacing w:line="360" w:lineRule="exact"/>
              <w:jc w:val="center"/>
              <w:rPr>
                <w:rFonts w:ascii="宋体" w:hAnsi="宋体" w:eastAsia="宋体" w:cs="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068" w:type="dxa"/>
            <w:vMerge w:val="continue"/>
            <w:vAlign w:val="center"/>
          </w:tcPr>
          <w:p>
            <w:pPr>
              <w:spacing w:line="360" w:lineRule="exact"/>
              <w:jc w:val="center"/>
              <w:rPr>
                <w:rFonts w:ascii="宋体" w:hAnsi="宋体" w:eastAsia="宋体" w:cs="仿宋"/>
                <w:bCs/>
                <w:kern w:val="0"/>
                <w:szCs w:val="21"/>
              </w:rPr>
            </w:pPr>
          </w:p>
        </w:tc>
        <w:tc>
          <w:tcPr>
            <w:tcW w:w="1102" w:type="dxa"/>
            <w:vMerge w:val="continue"/>
            <w:vAlign w:val="center"/>
          </w:tcPr>
          <w:p>
            <w:pPr>
              <w:spacing w:line="360" w:lineRule="exact"/>
              <w:jc w:val="center"/>
              <w:rPr>
                <w:rFonts w:ascii="宋体" w:hAnsi="宋体" w:eastAsia="宋体" w:cs="仿宋"/>
                <w:bCs/>
                <w:kern w:val="0"/>
                <w:szCs w:val="21"/>
              </w:rPr>
            </w:pPr>
          </w:p>
        </w:tc>
        <w:tc>
          <w:tcPr>
            <w:tcW w:w="962"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社会效益益指标</w:t>
            </w:r>
          </w:p>
        </w:tc>
        <w:tc>
          <w:tcPr>
            <w:tcW w:w="1046" w:type="dxa"/>
            <w:gridSpan w:val="2"/>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发挥桥梁作用</w:t>
            </w:r>
          </w:p>
        </w:tc>
        <w:tc>
          <w:tcPr>
            <w:tcW w:w="1126"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效果明显</w:t>
            </w:r>
          </w:p>
        </w:tc>
        <w:tc>
          <w:tcPr>
            <w:tcW w:w="1077"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效果明显</w:t>
            </w:r>
          </w:p>
        </w:tc>
        <w:tc>
          <w:tcPr>
            <w:tcW w:w="675"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1</w:t>
            </w:r>
            <w:r>
              <w:rPr>
                <w:rFonts w:ascii="宋体" w:hAnsi="宋体" w:eastAsia="宋体" w:cs="仿宋"/>
                <w:bCs/>
                <w:kern w:val="0"/>
                <w:szCs w:val="21"/>
              </w:rPr>
              <w:t>0</w:t>
            </w:r>
          </w:p>
        </w:tc>
        <w:tc>
          <w:tcPr>
            <w:tcW w:w="1151" w:type="dxa"/>
            <w:vAlign w:val="center"/>
          </w:tcPr>
          <w:p>
            <w:pPr>
              <w:spacing w:line="360" w:lineRule="exact"/>
              <w:jc w:val="center"/>
              <w:rPr>
                <w:rFonts w:ascii="宋体" w:hAnsi="宋体" w:eastAsia="宋体" w:cs="仿宋"/>
                <w:bCs/>
                <w:kern w:val="0"/>
                <w:szCs w:val="21"/>
              </w:rPr>
            </w:pPr>
            <w:r>
              <w:rPr>
                <w:rFonts w:ascii="宋体" w:hAnsi="宋体" w:eastAsia="宋体" w:cs="仿宋"/>
                <w:bCs/>
                <w:kern w:val="0"/>
                <w:szCs w:val="21"/>
              </w:rPr>
              <w:t>10</w:t>
            </w:r>
          </w:p>
        </w:tc>
        <w:tc>
          <w:tcPr>
            <w:tcW w:w="1055" w:type="dxa"/>
            <w:vAlign w:val="center"/>
          </w:tcPr>
          <w:p>
            <w:pPr>
              <w:spacing w:line="360" w:lineRule="exact"/>
              <w:jc w:val="center"/>
              <w:rPr>
                <w:rFonts w:ascii="宋体" w:hAnsi="宋体" w:eastAsia="宋体" w:cs="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068" w:type="dxa"/>
            <w:vMerge w:val="continue"/>
            <w:vAlign w:val="center"/>
          </w:tcPr>
          <w:p>
            <w:pPr>
              <w:spacing w:line="360" w:lineRule="exact"/>
              <w:jc w:val="center"/>
              <w:rPr>
                <w:rFonts w:ascii="宋体" w:hAnsi="宋体" w:eastAsia="宋体" w:cs="仿宋"/>
                <w:bCs/>
                <w:kern w:val="0"/>
                <w:szCs w:val="21"/>
              </w:rPr>
            </w:pPr>
          </w:p>
        </w:tc>
        <w:tc>
          <w:tcPr>
            <w:tcW w:w="1102" w:type="dxa"/>
            <w:vMerge w:val="continue"/>
            <w:vAlign w:val="center"/>
          </w:tcPr>
          <w:p>
            <w:pPr>
              <w:spacing w:line="360" w:lineRule="exact"/>
              <w:jc w:val="center"/>
              <w:rPr>
                <w:rFonts w:ascii="宋体" w:hAnsi="宋体" w:eastAsia="宋体" w:cs="仿宋"/>
                <w:bCs/>
                <w:kern w:val="0"/>
                <w:szCs w:val="21"/>
              </w:rPr>
            </w:pPr>
          </w:p>
        </w:tc>
        <w:tc>
          <w:tcPr>
            <w:tcW w:w="962"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生态效益指标</w:t>
            </w:r>
          </w:p>
        </w:tc>
        <w:tc>
          <w:tcPr>
            <w:tcW w:w="1046" w:type="dxa"/>
            <w:gridSpan w:val="2"/>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无</w:t>
            </w:r>
          </w:p>
        </w:tc>
        <w:tc>
          <w:tcPr>
            <w:tcW w:w="1126" w:type="dxa"/>
            <w:vAlign w:val="center"/>
          </w:tcPr>
          <w:p>
            <w:pPr>
              <w:spacing w:line="360" w:lineRule="exact"/>
              <w:jc w:val="center"/>
              <w:rPr>
                <w:rFonts w:ascii="宋体" w:hAnsi="宋体" w:eastAsia="宋体" w:cs="仿宋"/>
                <w:bCs/>
                <w:kern w:val="0"/>
                <w:szCs w:val="21"/>
              </w:rPr>
            </w:pPr>
          </w:p>
        </w:tc>
        <w:tc>
          <w:tcPr>
            <w:tcW w:w="1077" w:type="dxa"/>
            <w:vAlign w:val="center"/>
          </w:tcPr>
          <w:p>
            <w:pPr>
              <w:spacing w:line="360" w:lineRule="exact"/>
              <w:jc w:val="center"/>
              <w:rPr>
                <w:rFonts w:ascii="宋体" w:hAnsi="宋体" w:eastAsia="宋体" w:cs="仿宋"/>
                <w:bCs/>
                <w:kern w:val="0"/>
                <w:szCs w:val="21"/>
              </w:rPr>
            </w:pPr>
          </w:p>
        </w:tc>
        <w:tc>
          <w:tcPr>
            <w:tcW w:w="675" w:type="dxa"/>
            <w:vAlign w:val="center"/>
          </w:tcPr>
          <w:p>
            <w:pPr>
              <w:spacing w:line="360" w:lineRule="exact"/>
              <w:jc w:val="center"/>
              <w:rPr>
                <w:rFonts w:ascii="宋体" w:hAnsi="宋体" w:eastAsia="宋体" w:cs="仿宋"/>
                <w:bCs/>
                <w:kern w:val="0"/>
                <w:szCs w:val="21"/>
              </w:rPr>
            </w:pPr>
          </w:p>
        </w:tc>
        <w:tc>
          <w:tcPr>
            <w:tcW w:w="1151" w:type="dxa"/>
            <w:vAlign w:val="center"/>
          </w:tcPr>
          <w:p>
            <w:pPr>
              <w:spacing w:line="360" w:lineRule="exact"/>
              <w:jc w:val="center"/>
              <w:rPr>
                <w:rFonts w:ascii="宋体" w:hAnsi="宋体" w:eastAsia="宋体" w:cs="仿宋"/>
                <w:bCs/>
                <w:kern w:val="0"/>
                <w:szCs w:val="21"/>
              </w:rPr>
            </w:pPr>
          </w:p>
        </w:tc>
        <w:tc>
          <w:tcPr>
            <w:tcW w:w="1055" w:type="dxa"/>
            <w:vAlign w:val="center"/>
          </w:tcPr>
          <w:p>
            <w:pPr>
              <w:spacing w:line="360" w:lineRule="exact"/>
              <w:jc w:val="center"/>
              <w:rPr>
                <w:rFonts w:ascii="宋体" w:hAnsi="宋体" w:eastAsia="宋体" w:cs="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068" w:type="dxa"/>
            <w:vMerge w:val="continue"/>
            <w:vAlign w:val="center"/>
          </w:tcPr>
          <w:p>
            <w:pPr>
              <w:spacing w:line="360" w:lineRule="exact"/>
              <w:jc w:val="center"/>
              <w:rPr>
                <w:rFonts w:ascii="宋体" w:hAnsi="宋体" w:eastAsia="宋体" w:cs="仿宋"/>
                <w:bCs/>
                <w:kern w:val="0"/>
                <w:szCs w:val="21"/>
              </w:rPr>
            </w:pPr>
          </w:p>
        </w:tc>
        <w:tc>
          <w:tcPr>
            <w:tcW w:w="1102" w:type="dxa"/>
            <w:vMerge w:val="continue"/>
            <w:vAlign w:val="center"/>
          </w:tcPr>
          <w:p>
            <w:pPr>
              <w:spacing w:line="360" w:lineRule="exact"/>
              <w:jc w:val="center"/>
              <w:rPr>
                <w:rFonts w:ascii="宋体" w:hAnsi="宋体" w:eastAsia="宋体" w:cs="仿宋"/>
                <w:bCs/>
                <w:kern w:val="0"/>
                <w:szCs w:val="21"/>
              </w:rPr>
            </w:pPr>
          </w:p>
        </w:tc>
        <w:tc>
          <w:tcPr>
            <w:tcW w:w="962"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可持续影响指标</w:t>
            </w:r>
          </w:p>
        </w:tc>
        <w:tc>
          <w:tcPr>
            <w:tcW w:w="1046" w:type="dxa"/>
            <w:gridSpan w:val="2"/>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提升宣传、信访维护水平</w:t>
            </w:r>
          </w:p>
        </w:tc>
        <w:tc>
          <w:tcPr>
            <w:tcW w:w="1126"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效果明显</w:t>
            </w:r>
          </w:p>
        </w:tc>
        <w:tc>
          <w:tcPr>
            <w:tcW w:w="1077"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效果明显</w:t>
            </w:r>
          </w:p>
        </w:tc>
        <w:tc>
          <w:tcPr>
            <w:tcW w:w="675" w:type="dxa"/>
            <w:vAlign w:val="center"/>
          </w:tcPr>
          <w:p>
            <w:pPr>
              <w:spacing w:line="360" w:lineRule="exact"/>
              <w:jc w:val="center"/>
              <w:rPr>
                <w:rFonts w:ascii="宋体" w:hAnsi="宋体" w:eastAsia="宋体" w:cs="仿宋"/>
                <w:bCs/>
                <w:kern w:val="0"/>
                <w:szCs w:val="21"/>
              </w:rPr>
            </w:pPr>
            <w:r>
              <w:rPr>
                <w:rFonts w:ascii="宋体" w:hAnsi="宋体" w:eastAsia="宋体" w:cs="仿宋"/>
                <w:bCs/>
                <w:kern w:val="0"/>
                <w:szCs w:val="21"/>
              </w:rPr>
              <w:t>10</w:t>
            </w:r>
          </w:p>
        </w:tc>
        <w:tc>
          <w:tcPr>
            <w:tcW w:w="1151" w:type="dxa"/>
            <w:vAlign w:val="center"/>
          </w:tcPr>
          <w:p>
            <w:pPr>
              <w:spacing w:line="360" w:lineRule="exact"/>
              <w:jc w:val="center"/>
              <w:rPr>
                <w:rFonts w:ascii="宋体" w:hAnsi="宋体" w:eastAsia="宋体" w:cs="仿宋"/>
                <w:bCs/>
                <w:kern w:val="0"/>
                <w:szCs w:val="21"/>
              </w:rPr>
            </w:pPr>
            <w:r>
              <w:rPr>
                <w:rFonts w:ascii="宋体" w:hAnsi="宋体" w:eastAsia="宋体" w:cs="仿宋"/>
                <w:bCs/>
                <w:kern w:val="0"/>
                <w:szCs w:val="21"/>
              </w:rPr>
              <w:t>8</w:t>
            </w:r>
          </w:p>
        </w:tc>
        <w:tc>
          <w:tcPr>
            <w:tcW w:w="1055" w:type="dxa"/>
            <w:vAlign w:val="center"/>
          </w:tcPr>
          <w:p>
            <w:pPr>
              <w:spacing w:line="360" w:lineRule="exact"/>
              <w:jc w:val="center"/>
              <w:rPr>
                <w:rFonts w:ascii="宋体" w:hAnsi="宋体" w:eastAsia="宋体" w:cs="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068" w:type="dxa"/>
            <w:vMerge w:val="continue"/>
            <w:vAlign w:val="center"/>
          </w:tcPr>
          <w:p>
            <w:pPr>
              <w:spacing w:line="360" w:lineRule="exact"/>
              <w:jc w:val="center"/>
              <w:rPr>
                <w:rFonts w:ascii="宋体" w:hAnsi="宋体" w:eastAsia="宋体" w:cs="仿宋"/>
                <w:bCs/>
                <w:kern w:val="0"/>
                <w:szCs w:val="21"/>
              </w:rPr>
            </w:pPr>
          </w:p>
        </w:tc>
        <w:tc>
          <w:tcPr>
            <w:tcW w:w="1102"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满满意度指标</w:t>
            </w:r>
          </w:p>
          <w:p>
            <w:pPr>
              <w:spacing w:line="360" w:lineRule="exact"/>
              <w:rPr>
                <w:rFonts w:ascii="宋体" w:hAnsi="宋体" w:eastAsia="宋体" w:cs="仿宋"/>
                <w:bCs/>
                <w:kern w:val="0"/>
                <w:szCs w:val="21"/>
              </w:rPr>
            </w:pPr>
            <w:r>
              <w:rPr>
                <w:rFonts w:hint="eastAsia" w:ascii="宋体" w:hAnsi="宋体" w:eastAsia="宋体" w:cs="仿宋"/>
                <w:bCs/>
                <w:kern w:val="0"/>
                <w:szCs w:val="21"/>
              </w:rPr>
              <w:t>（10分）</w:t>
            </w:r>
          </w:p>
        </w:tc>
        <w:tc>
          <w:tcPr>
            <w:tcW w:w="962"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服务对象满意度指标</w:t>
            </w:r>
          </w:p>
        </w:tc>
        <w:tc>
          <w:tcPr>
            <w:tcW w:w="1046" w:type="dxa"/>
            <w:gridSpan w:val="2"/>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社会公众满意度</w:t>
            </w:r>
          </w:p>
        </w:tc>
        <w:tc>
          <w:tcPr>
            <w:tcW w:w="1126" w:type="dxa"/>
            <w:vAlign w:val="center"/>
          </w:tcPr>
          <w:p>
            <w:pPr>
              <w:spacing w:line="360" w:lineRule="exact"/>
              <w:jc w:val="center"/>
              <w:rPr>
                <w:rFonts w:ascii="宋体" w:hAnsi="宋体" w:eastAsia="宋体" w:cs="仿宋"/>
                <w:bCs/>
                <w:kern w:val="0"/>
                <w:szCs w:val="21"/>
              </w:rPr>
            </w:pPr>
            <w:r>
              <w:rPr>
                <w:rFonts w:ascii="宋体" w:hAnsi="宋体" w:eastAsia="宋体" w:cs="仿宋"/>
                <w:bCs/>
                <w:kern w:val="0"/>
                <w:szCs w:val="21"/>
              </w:rPr>
              <w:t>95</w:t>
            </w:r>
            <w:r>
              <w:rPr>
                <w:rFonts w:hint="eastAsia" w:ascii="宋体" w:hAnsi="宋体" w:eastAsia="宋体" w:cs="仿宋"/>
                <w:bCs/>
                <w:kern w:val="0"/>
                <w:szCs w:val="21"/>
              </w:rPr>
              <w:t>%</w:t>
            </w:r>
          </w:p>
        </w:tc>
        <w:tc>
          <w:tcPr>
            <w:tcW w:w="1077" w:type="dxa"/>
            <w:vAlign w:val="center"/>
          </w:tcPr>
          <w:p>
            <w:pPr>
              <w:spacing w:line="360" w:lineRule="exact"/>
              <w:jc w:val="center"/>
              <w:rPr>
                <w:rFonts w:ascii="宋体" w:hAnsi="宋体" w:eastAsia="宋体" w:cs="仿宋"/>
                <w:bCs/>
                <w:kern w:val="0"/>
                <w:szCs w:val="21"/>
              </w:rPr>
            </w:pPr>
            <w:r>
              <w:rPr>
                <w:rFonts w:ascii="宋体" w:hAnsi="宋体" w:eastAsia="宋体" w:cs="仿宋"/>
                <w:bCs/>
                <w:kern w:val="0"/>
                <w:szCs w:val="21"/>
              </w:rPr>
              <w:t>95</w:t>
            </w:r>
            <w:r>
              <w:rPr>
                <w:rFonts w:hint="eastAsia" w:ascii="宋体" w:hAnsi="宋体" w:eastAsia="宋体" w:cs="仿宋"/>
                <w:bCs/>
                <w:kern w:val="0"/>
                <w:szCs w:val="21"/>
              </w:rPr>
              <w:t>%</w:t>
            </w:r>
          </w:p>
        </w:tc>
        <w:tc>
          <w:tcPr>
            <w:tcW w:w="675" w:type="dxa"/>
            <w:vAlign w:val="center"/>
          </w:tcPr>
          <w:p>
            <w:pPr>
              <w:spacing w:line="360" w:lineRule="exact"/>
              <w:jc w:val="center"/>
              <w:rPr>
                <w:rFonts w:ascii="宋体" w:hAnsi="宋体" w:eastAsia="宋体" w:cs="仿宋"/>
                <w:bCs/>
                <w:kern w:val="0"/>
                <w:szCs w:val="21"/>
              </w:rPr>
            </w:pPr>
            <w:r>
              <w:rPr>
                <w:rFonts w:ascii="宋体" w:hAnsi="宋体" w:eastAsia="宋体" w:cs="仿宋"/>
                <w:bCs/>
                <w:kern w:val="0"/>
                <w:szCs w:val="21"/>
              </w:rPr>
              <w:t>10</w:t>
            </w:r>
          </w:p>
        </w:tc>
        <w:tc>
          <w:tcPr>
            <w:tcW w:w="1151" w:type="dxa"/>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1</w:t>
            </w:r>
            <w:r>
              <w:rPr>
                <w:rFonts w:ascii="宋体" w:hAnsi="宋体" w:eastAsia="宋体" w:cs="仿宋"/>
                <w:bCs/>
                <w:kern w:val="0"/>
                <w:szCs w:val="21"/>
              </w:rPr>
              <w:t>0</w:t>
            </w:r>
          </w:p>
        </w:tc>
        <w:tc>
          <w:tcPr>
            <w:tcW w:w="1055" w:type="dxa"/>
            <w:vAlign w:val="center"/>
          </w:tcPr>
          <w:p>
            <w:pPr>
              <w:spacing w:line="360" w:lineRule="exact"/>
              <w:jc w:val="center"/>
              <w:rPr>
                <w:rFonts w:ascii="宋体" w:hAnsi="宋体" w:eastAsia="宋体" w:cs="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6381" w:type="dxa"/>
            <w:gridSpan w:val="7"/>
            <w:vAlign w:val="center"/>
          </w:tcPr>
          <w:p>
            <w:pPr>
              <w:spacing w:line="360" w:lineRule="exact"/>
              <w:jc w:val="center"/>
              <w:rPr>
                <w:rFonts w:ascii="宋体" w:hAnsi="宋体" w:eastAsia="宋体" w:cs="仿宋"/>
                <w:bCs/>
                <w:kern w:val="0"/>
                <w:szCs w:val="21"/>
              </w:rPr>
            </w:pPr>
            <w:r>
              <w:rPr>
                <w:rFonts w:hint="eastAsia" w:ascii="宋体" w:hAnsi="宋体" w:eastAsia="宋体" w:cs="仿宋"/>
                <w:bCs/>
                <w:kern w:val="0"/>
                <w:szCs w:val="21"/>
              </w:rPr>
              <w:t>总分</w:t>
            </w:r>
          </w:p>
        </w:tc>
        <w:tc>
          <w:tcPr>
            <w:tcW w:w="675" w:type="dxa"/>
            <w:vAlign w:val="center"/>
          </w:tcPr>
          <w:p>
            <w:pPr>
              <w:spacing w:line="360" w:lineRule="exact"/>
              <w:jc w:val="center"/>
              <w:rPr>
                <w:rFonts w:ascii="宋体" w:hAnsi="宋体" w:eastAsia="宋体" w:cs="仿宋"/>
                <w:bCs/>
                <w:kern w:val="0"/>
                <w:szCs w:val="21"/>
              </w:rPr>
            </w:pPr>
            <w:r>
              <w:rPr>
                <w:rFonts w:ascii="宋体" w:hAnsi="宋体" w:eastAsia="宋体" w:cs="仿宋"/>
                <w:bCs/>
                <w:kern w:val="0"/>
                <w:szCs w:val="21"/>
              </w:rPr>
              <w:t>1</w:t>
            </w:r>
            <w:r>
              <w:rPr>
                <w:rFonts w:hint="eastAsia" w:ascii="宋体" w:hAnsi="宋体" w:eastAsia="宋体" w:cs="仿宋"/>
                <w:bCs/>
                <w:kern w:val="0"/>
                <w:szCs w:val="21"/>
              </w:rPr>
              <w:t>00</w:t>
            </w:r>
          </w:p>
        </w:tc>
        <w:tc>
          <w:tcPr>
            <w:tcW w:w="1151" w:type="dxa"/>
            <w:vAlign w:val="center"/>
          </w:tcPr>
          <w:p>
            <w:pPr>
              <w:spacing w:line="360" w:lineRule="exact"/>
              <w:jc w:val="center"/>
              <w:rPr>
                <w:rFonts w:ascii="宋体" w:hAnsi="宋体" w:eastAsia="宋体" w:cs="仿宋"/>
                <w:bCs/>
                <w:kern w:val="0"/>
                <w:szCs w:val="21"/>
              </w:rPr>
            </w:pPr>
            <w:r>
              <w:rPr>
                <w:rFonts w:ascii="宋体" w:hAnsi="宋体" w:eastAsia="宋体" w:cs="仿宋"/>
                <w:bCs/>
                <w:kern w:val="0"/>
                <w:szCs w:val="21"/>
              </w:rPr>
              <w:t>98</w:t>
            </w:r>
          </w:p>
        </w:tc>
        <w:tc>
          <w:tcPr>
            <w:tcW w:w="1055" w:type="dxa"/>
            <w:vAlign w:val="center"/>
          </w:tcPr>
          <w:p>
            <w:pPr>
              <w:spacing w:line="360" w:lineRule="exact"/>
              <w:jc w:val="center"/>
              <w:rPr>
                <w:rFonts w:ascii="宋体" w:hAnsi="宋体" w:eastAsia="宋体" w:cs="仿宋"/>
                <w:bCs/>
                <w:kern w:val="0"/>
                <w:szCs w:val="21"/>
              </w:rPr>
            </w:pPr>
          </w:p>
        </w:tc>
      </w:tr>
    </w:tbl>
    <w:p>
      <w:pPr>
        <w:widowControl/>
        <w:jc w:val="left"/>
        <w:rPr>
          <w:rFonts w:ascii="宋体" w:hAnsi="宋体" w:eastAsia="宋体" w:cs="仿宋"/>
          <w:bCs/>
          <w:kern w:val="0"/>
          <w:szCs w:val="21"/>
        </w:rPr>
      </w:pPr>
      <w:r>
        <w:rPr>
          <w:rFonts w:ascii="宋体" w:hAnsi="宋体" w:eastAsia="宋体" w:cs="仿宋"/>
          <w:bCs/>
          <w:kern w:val="0"/>
          <w:szCs w:val="21"/>
        </w:rPr>
        <w:t>填表人：</w:t>
      </w:r>
      <w:r>
        <w:rPr>
          <w:rFonts w:hint="eastAsia" w:ascii="宋体" w:hAnsi="宋体" w:eastAsia="宋体" w:cs="仿宋"/>
          <w:bCs/>
          <w:kern w:val="0"/>
          <w:szCs w:val="21"/>
        </w:rPr>
        <w:t xml:space="preserve">   向芳     </w:t>
      </w:r>
      <w:r>
        <w:rPr>
          <w:rFonts w:ascii="宋体" w:hAnsi="宋体" w:eastAsia="宋体" w:cs="仿宋"/>
          <w:bCs/>
          <w:kern w:val="0"/>
          <w:szCs w:val="21"/>
        </w:rPr>
        <w:t>填报日期：</w:t>
      </w:r>
      <w:r>
        <w:rPr>
          <w:rFonts w:hint="eastAsia" w:ascii="宋体" w:hAnsi="宋体" w:eastAsia="宋体" w:cs="仿宋"/>
          <w:bCs/>
          <w:kern w:val="0"/>
          <w:szCs w:val="21"/>
        </w:rPr>
        <w:t>2</w:t>
      </w:r>
      <w:r>
        <w:rPr>
          <w:rFonts w:ascii="宋体" w:hAnsi="宋体" w:eastAsia="宋体" w:cs="仿宋"/>
          <w:bCs/>
          <w:kern w:val="0"/>
          <w:szCs w:val="21"/>
        </w:rPr>
        <w:t>024</w:t>
      </w:r>
      <w:r>
        <w:rPr>
          <w:rFonts w:hint="eastAsia" w:ascii="宋体" w:hAnsi="宋体" w:eastAsia="宋体" w:cs="仿宋"/>
          <w:bCs/>
          <w:kern w:val="0"/>
          <w:szCs w:val="21"/>
        </w:rPr>
        <w:t xml:space="preserve">年6月6日       </w:t>
      </w:r>
      <w:r>
        <w:rPr>
          <w:rFonts w:ascii="宋体" w:hAnsi="宋体" w:eastAsia="宋体" w:cs="仿宋"/>
          <w:bCs/>
          <w:kern w:val="0"/>
          <w:szCs w:val="21"/>
        </w:rPr>
        <w:t>联系电话：13611355776</w:t>
      </w:r>
    </w:p>
    <w:p>
      <w:pPr>
        <w:widowControl/>
        <w:jc w:val="left"/>
        <w:rPr>
          <w:rFonts w:ascii="仿宋" w:hAnsi="仿宋" w:eastAsia="仿宋" w:cs="仿宋"/>
          <w:kern w:val="0"/>
          <w:sz w:val="20"/>
          <w:szCs w:val="2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DLF-3-0-1061508550+ZLTFEy-360">
    <w:altName w:val="Cambria"/>
    <w:panose1 w:val="00000000000000000000"/>
    <w:charset w:val="00"/>
    <w:family w:val="roman"/>
    <w:pitch w:val="default"/>
    <w:sig w:usb0="00000000" w:usb1="00000000" w:usb2="00000000" w:usb3="00000000" w:csb0="00000000" w:csb1="00000000"/>
  </w:font>
  <w:font w:name="方正仿宋简体">
    <w:altName w:val="微软雅黑"/>
    <w:panose1 w:val="00000000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5771975"/>
      <w:docPartObj>
        <w:docPartGallery w:val="AutoText"/>
      </w:docPartObj>
    </w:sdtPr>
    <w:sdtContent>
      <w:p>
        <w:pPr>
          <w:pStyle w:val="1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val="1"/>
  <w:bordersDoNotSurroundHeader w:val="1"/>
  <w:bordersDoNotSurroundFooter w:val="1"/>
  <w:hideSpellingErrors/>
  <w:documentProtection w:enforcement="0"/>
  <w:defaultTabStop w:val="420"/>
  <w:drawingGridHorizontalSpacing w:val="18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4D6"/>
    <w:rsid w:val="000000E6"/>
    <w:rsid w:val="000001A6"/>
    <w:rsid w:val="00000F4E"/>
    <w:rsid w:val="00000F50"/>
    <w:rsid w:val="0000100A"/>
    <w:rsid w:val="00001614"/>
    <w:rsid w:val="00002995"/>
    <w:rsid w:val="00002FB6"/>
    <w:rsid w:val="000034F0"/>
    <w:rsid w:val="00003F09"/>
    <w:rsid w:val="0000532B"/>
    <w:rsid w:val="000058D0"/>
    <w:rsid w:val="00007088"/>
    <w:rsid w:val="000075AE"/>
    <w:rsid w:val="00007666"/>
    <w:rsid w:val="00007E74"/>
    <w:rsid w:val="00010441"/>
    <w:rsid w:val="00010AAF"/>
    <w:rsid w:val="00011C8D"/>
    <w:rsid w:val="0001239D"/>
    <w:rsid w:val="0001251D"/>
    <w:rsid w:val="00012F21"/>
    <w:rsid w:val="00012F55"/>
    <w:rsid w:val="00013F83"/>
    <w:rsid w:val="000143A5"/>
    <w:rsid w:val="0001514A"/>
    <w:rsid w:val="000155A4"/>
    <w:rsid w:val="00015DB2"/>
    <w:rsid w:val="00016BD1"/>
    <w:rsid w:val="0001726E"/>
    <w:rsid w:val="0001749E"/>
    <w:rsid w:val="00017A67"/>
    <w:rsid w:val="00017F83"/>
    <w:rsid w:val="00020E17"/>
    <w:rsid w:val="00021524"/>
    <w:rsid w:val="0002380D"/>
    <w:rsid w:val="00024953"/>
    <w:rsid w:val="00024C19"/>
    <w:rsid w:val="00024E55"/>
    <w:rsid w:val="00024EC5"/>
    <w:rsid w:val="00025855"/>
    <w:rsid w:val="000264B2"/>
    <w:rsid w:val="00027B50"/>
    <w:rsid w:val="00027CBD"/>
    <w:rsid w:val="000312DC"/>
    <w:rsid w:val="000315E9"/>
    <w:rsid w:val="00033C09"/>
    <w:rsid w:val="00033E5A"/>
    <w:rsid w:val="0003508D"/>
    <w:rsid w:val="00036493"/>
    <w:rsid w:val="0003652E"/>
    <w:rsid w:val="00036B19"/>
    <w:rsid w:val="0003700A"/>
    <w:rsid w:val="00037DFC"/>
    <w:rsid w:val="00040116"/>
    <w:rsid w:val="00040735"/>
    <w:rsid w:val="000407E6"/>
    <w:rsid w:val="0004274C"/>
    <w:rsid w:val="0004296C"/>
    <w:rsid w:val="00042A57"/>
    <w:rsid w:val="00042DD6"/>
    <w:rsid w:val="00042EEC"/>
    <w:rsid w:val="000431EA"/>
    <w:rsid w:val="000444D6"/>
    <w:rsid w:val="0004489F"/>
    <w:rsid w:val="0004577C"/>
    <w:rsid w:val="000460D1"/>
    <w:rsid w:val="000468A2"/>
    <w:rsid w:val="00046D79"/>
    <w:rsid w:val="00047101"/>
    <w:rsid w:val="00047C8C"/>
    <w:rsid w:val="000514EB"/>
    <w:rsid w:val="0005291D"/>
    <w:rsid w:val="0005304D"/>
    <w:rsid w:val="00053356"/>
    <w:rsid w:val="0005424B"/>
    <w:rsid w:val="00054851"/>
    <w:rsid w:val="00054986"/>
    <w:rsid w:val="00054F46"/>
    <w:rsid w:val="000555FB"/>
    <w:rsid w:val="00056C5D"/>
    <w:rsid w:val="00056D19"/>
    <w:rsid w:val="000612C8"/>
    <w:rsid w:val="0006133F"/>
    <w:rsid w:val="00062A8B"/>
    <w:rsid w:val="00063605"/>
    <w:rsid w:val="0006410F"/>
    <w:rsid w:val="00064155"/>
    <w:rsid w:val="00064793"/>
    <w:rsid w:val="00066433"/>
    <w:rsid w:val="00066F3E"/>
    <w:rsid w:val="00071096"/>
    <w:rsid w:val="00071305"/>
    <w:rsid w:val="00071F30"/>
    <w:rsid w:val="00073086"/>
    <w:rsid w:val="0007369A"/>
    <w:rsid w:val="00074188"/>
    <w:rsid w:val="000747B6"/>
    <w:rsid w:val="00074C51"/>
    <w:rsid w:val="000754AB"/>
    <w:rsid w:val="00075684"/>
    <w:rsid w:val="00075EE1"/>
    <w:rsid w:val="00076D96"/>
    <w:rsid w:val="0007700F"/>
    <w:rsid w:val="00077F3E"/>
    <w:rsid w:val="00082EF3"/>
    <w:rsid w:val="00083EBE"/>
    <w:rsid w:val="00083F5F"/>
    <w:rsid w:val="00085062"/>
    <w:rsid w:val="00085D3C"/>
    <w:rsid w:val="0008638C"/>
    <w:rsid w:val="00087092"/>
    <w:rsid w:val="000879C0"/>
    <w:rsid w:val="0009003E"/>
    <w:rsid w:val="00090534"/>
    <w:rsid w:val="00091055"/>
    <w:rsid w:val="00091300"/>
    <w:rsid w:val="0009233A"/>
    <w:rsid w:val="0009251B"/>
    <w:rsid w:val="00092654"/>
    <w:rsid w:val="000932B5"/>
    <w:rsid w:val="00093504"/>
    <w:rsid w:val="00093D91"/>
    <w:rsid w:val="00095B80"/>
    <w:rsid w:val="00095B8E"/>
    <w:rsid w:val="00095BBB"/>
    <w:rsid w:val="000962E2"/>
    <w:rsid w:val="00097CA7"/>
    <w:rsid w:val="00097F54"/>
    <w:rsid w:val="000A066E"/>
    <w:rsid w:val="000A1902"/>
    <w:rsid w:val="000A2743"/>
    <w:rsid w:val="000A2FAF"/>
    <w:rsid w:val="000A3C2A"/>
    <w:rsid w:val="000A4F87"/>
    <w:rsid w:val="000A52A8"/>
    <w:rsid w:val="000A546B"/>
    <w:rsid w:val="000A5482"/>
    <w:rsid w:val="000A596F"/>
    <w:rsid w:val="000A6B24"/>
    <w:rsid w:val="000A7EBA"/>
    <w:rsid w:val="000B3CE4"/>
    <w:rsid w:val="000B4DD5"/>
    <w:rsid w:val="000B4FC4"/>
    <w:rsid w:val="000B52E9"/>
    <w:rsid w:val="000B5520"/>
    <w:rsid w:val="000B64C1"/>
    <w:rsid w:val="000B72E5"/>
    <w:rsid w:val="000C072F"/>
    <w:rsid w:val="000C10BE"/>
    <w:rsid w:val="000C207E"/>
    <w:rsid w:val="000C21D1"/>
    <w:rsid w:val="000C3997"/>
    <w:rsid w:val="000C5778"/>
    <w:rsid w:val="000C6BA2"/>
    <w:rsid w:val="000C6CAA"/>
    <w:rsid w:val="000C7142"/>
    <w:rsid w:val="000C79A2"/>
    <w:rsid w:val="000C79D5"/>
    <w:rsid w:val="000C7D5A"/>
    <w:rsid w:val="000D0985"/>
    <w:rsid w:val="000D0B9D"/>
    <w:rsid w:val="000D2F37"/>
    <w:rsid w:val="000D3F8E"/>
    <w:rsid w:val="000D425B"/>
    <w:rsid w:val="000D4C92"/>
    <w:rsid w:val="000D5CBA"/>
    <w:rsid w:val="000D5DD9"/>
    <w:rsid w:val="000D67E9"/>
    <w:rsid w:val="000D6BBF"/>
    <w:rsid w:val="000D6C30"/>
    <w:rsid w:val="000E0641"/>
    <w:rsid w:val="000E0669"/>
    <w:rsid w:val="000E08B9"/>
    <w:rsid w:val="000E2136"/>
    <w:rsid w:val="000E2A0C"/>
    <w:rsid w:val="000E3EE0"/>
    <w:rsid w:val="000E4436"/>
    <w:rsid w:val="000E764F"/>
    <w:rsid w:val="000F03D5"/>
    <w:rsid w:val="000F0503"/>
    <w:rsid w:val="000F0B1D"/>
    <w:rsid w:val="000F1BF7"/>
    <w:rsid w:val="000F1CF8"/>
    <w:rsid w:val="000F2211"/>
    <w:rsid w:val="000F35D2"/>
    <w:rsid w:val="000F3768"/>
    <w:rsid w:val="000F440C"/>
    <w:rsid w:val="000F44D6"/>
    <w:rsid w:val="000F45C6"/>
    <w:rsid w:val="000F5156"/>
    <w:rsid w:val="000F53EA"/>
    <w:rsid w:val="000F554E"/>
    <w:rsid w:val="000F5645"/>
    <w:rsid w:val="000F665E"/>
    <w:rsid w:val="000F7A3D"/>
    <w:rsid w:val="000F7F10"/>
    <w:rsid w:val="00100088"/>
    <w:rsid w:val="001029D1"/>
    <w:rsid w:val="00103FE0"/>
    <w:rsid w:val="0010449F"/>
    <w:rsid w:val="001058EB"/>
    <w:rsid w:val="00105D9F"/>
    <w:rsid w:val="00106CD6"/>
    <w:rsid w:val="00110134"/>
    <w:rsid w:val="001109CA"/>
    <w:rsid w:val="00110F68"/>
    <w:rsid w:val="001120B4"/>
    <w:rsid w:val="0011252C"/>
    <w:rsid w:val="00112646"/>
    <w:rsid w:val="001129C8"/>
    <w:rsid w:val="00112FDC"/>
    <w:rsid w:val="001139B7"/>
    <w:rsid w:val="00113C14"/>
    <w:rsid w:val="00114994"/>
    <w:rsid w:val="00114ACE"/>
    <w:rsid w:val="00114E44"/>
    <w:rsid w:val="00115FD8"/>
    <w:rsid w:val="001161C1"/>
    <w:rsid w:val="001169E8"/>
    <w:rsid w:val="001209B7"/>
    <w:rsid w:val="00120EAF"/>
    <w:rsid w:val="001229C2"/>
    <w:rsid w:val="00123CA7"/>
    <w:rsid w:val="001248D7"/>
    <w:rsid w:val="001274C3"/>
    <w:rsid w:val="00127AEB"/>
    <w:rsid w:val="001302DA"/>
    <w:rsid w:val="00131040"/>
    <w:rsid w:val="00131842"/>
    <w:rsid w:val="001321CD"/>
    <w:rsid w:val="001333B7"/>
    <w:rsid w:val="00133B95"/>
    <w:rsid w:val="00135631"/>
    <w:rsid w:val="0013598D"/>
    <w:rsid w:val="00135E31"/>
    <w:rsid w:val="00135F75"/>
    <w:rsid w:val="00136B16"/>
    <w:rsid w:val="001371A9"/>
    <w:rsid w:val="00137F18"/>
    <w:rsid w:val="0014027C"/>
    <w:rsid w:val="001411A7"/>
    <w:rsid w:val="001415F5"/>
    <w:rsid w:val="00141D9B"/>
    <w:rsid w:val="001432A4"/>
    <w:rsid w:val="00143907"/>
    <w:rsid w:val="00146A8B"/>
    <w:rsid w:val="00147E2F"/>
    <w:rsid w:val="00151CE1"/>
    <w:rsid w:val="00151F19"/>
    <w:rsid w:val="001526C7"/>
    <w:rsid w:val="00152CD9"/>
    <w:rsid w:val="00152F4D"/>
    <w:rsid w:val="001543D6"/>
    <w:rsid w:val="00154CB1"/>
    <w:rsid w:val="00155094"/>
    <w:rsid w:val="0015732A"/>
    <w:rsid w:val="0015761C"/>
    <w:rsid w:val="00160F1C"/>
    <w:rsid w:val="00163065"/>
    <w:rsid w:val="00163272"/>
    <w:rsid w:val="00163709"/>
    <w:rsid w:val="00165FB4"/>
    <w:rsid w:val="001665B3"/>
    <w:rsid w:val="001679EF"/>
    <w:rsid w:val="00167B59"/>
    <w:rsid w:val="00167D27"/>
    <w:rsid w:val="00170145"/>
    <w:rsid w:val="00170D85"/>
    <w:rsid w:val="0017186F"/>
    <w:rsid w:val="00172561"/>
    <w:rsid w:val="001727DF"/>
    <w:rsid w:val="00173411"/>
    <w:rsid w:val="00173683"/>
    <w:rsid w:val="00173FED"/>
    <w:rsid w:val="00174B83"/>
    <w:rsid w:val="001758B8"/>
    <w:rsid w:val="00176781"/>
    <w:rsid w:val="0017683E"/>
    <w:rsid w:val="001769A5"/>
    <w:rsid w:val="0018032C"/>
    <w:rsid w:val="0018096A"/>
    <w:rsid w:val="00180ED3"/>
    <w:rsid w:val="00182D9C"/>
    <w:rsid w:val="00183BBB"/>
    <w:rsid w:val="00185D78"/>
    <w:rsid w:val="00186404"/>
    <w:rsid w:val="00186652"/>
    <w:rsid w:val="00186ADC"/>
    <w:rsid w:val="00186C7B"/>
    <w:rsid w:val="00186F5C"/>
    <w:rsid w:val="001872DD"/>
    <w:rsid w:val="0019012F"/>
    <w:rsid w:val="00190E7F"/>
    <w:rsid w:val="001913E6"/>
    <w:rsid w:val="00191989"/>
    <w:rsid w:val="001935AC"/>
    <w:rsid w:val="00194362"/>
    <w:rsid w:val="001A0069"/>
    <w:rsid w:val="001A0F77"/>
    <w:rsid w:val="001A107D"/>
    <w:rsid w:val="001A170C"/>
    <w:rsid w:val="001A187C"/>
    <w:rsid w:val="001A2F7B"/>
    <w:rsid w:val="001A3E4D"/>
    <w:rsid w:val="001A5B4F"/>
    <w:rsid w:val="001A674F"/>
    <w:rsid w:val="001A6CAE"/>
    <w:rsid w:val="001A7274"/>
    <w:rsid w:val="001A78AA"/>
    <w:rsid w:val="001B00D0"/>
    <w:rsid w:val="001B00FB"/>
    <w:rsid w:val="001B097A"/>
    <w:rsid w:val="001B1897"/>
    <w:rsid w:val="001B1E19"/>
    <w:rsid w:val="001B1E96"/>
    <w:rsid w:val="001B2E5D"/>
    <w:rsid w:val="001B4209"/>
    <w:rsid w:val="001B6215"/>
    <w:rsid w:val="001B70C5"/>
    <w:rsid w:val="001B727B"/>
    <w:rsid w:val="001C079B"/>
    <w:rsid w:val="001C0ADD"/>
    <w:rsid w:val="001C0B99"/>
    <w:rsid w:val="001C1CD5"/>
    <w:rsid w:val="001C2B46"/>
    <w:rsid w:val="001C3B31"/>
    <w:rsid w:val="001C4BD0"/>
    <w:rsid w:val="001C4F02"/>
    <w:rsid w:val="001C51AD"/>
    <w:rsid w:val="001C5A48"/>
    <w:rsid w:val="001C666A"/>
    <w:rsid w:val="001C6C61"/>
    <w:rsid w:val="001C78BA"/>
    <w:rsid w:val="001D0529"/>
    <w:rsid w:val="001D0F5D"/>
    <w:rsid w:val="001D1872"/>
    <w:rsid w:val="001D19CB"/>
    <w:rsid w:val="001D2819"/>
    <w:rsid w:val="001D2EE0"/>
    <w:rsid w:val="001D3E88"/>
    <w:rsid w:val="001D6A7A"/>
    <w:rsid w:val="001E0230"/>
    <w:rsid w:val="001E07BF"/>
    <w:rsid w:val="001E1930"/>
    <w:rsid w:val="001E39DD"/>
    <w:rsid w:val="001E3EF1"/>
    <w:rsid w:val="001E45D3"/>
    <w:rsid w:val="001E477E"/>
    <w:rsid w:val="001E4D56"/>
    <w:rsid w:val="001E5EB9"/>
    <w:rsid w:val="001E6391"/>
    <w:rsid w:val="001F04FF"/>
    <w:rsid w:val="001F293C"/>
    <w:rsid w:val="001F3CEC"/>
    <w:rsid w:val="001F567D"/>
    <w:rsid w:val="001F5D4B"/>
    <w:rsid w:val="001F7480"/>
    <w:rsid w:val="001F7686"/>
    <w:rsid w:val="001F7B4E"/>
    <w:rsid w:val="001F7CC6"/>
    <w:rsid w:val="00200607"/>
    <w:rsid w:val="002011E0"/>
    <w:rsid w:val="0020218D"/>
    <w:rsid w:val="00202F81"/>
    <w:rsid w:val="00204284"/>
    <w:rsid w:val="00206099"/>
    <w:rsid w:val="0020740C"/>
    <w:rsid w:val="0021069B"/>
    <w:rsid w:val="00210A6A"/>
    <w:rsid w:val="00210EA2"/>
    <w:rsid w:val="002112AF"/>
    <w:rsid w:val="00212E6F"/>
    <w:rsid w:val="00214015"/>
    <w:rsid w:val="0021402B"/>
    <w:rsid w:val="002145E7"/>
    <w:rsid w:val="00215BE3"/>
    <w:rsid w:val="00220429"/>
    <w:rsid w:val="00220638"/>
    <w:rsid w:val="00221165"/>
    <w:rsid w:val="002211B7"/>
    <w:rsid w:val="002218FB"/>
    <w:rsid w:val="002226ED"/>
    <w:rsid w:val="00222E8B"/>
    <w:rsid w:val="00222FD4"/>
    <w:rsid w:val="00223256"/>
    <w:rsid w:val="00223547"/>
    <w:rsid w:val="002243C7"/>
    <w:rsid w:val="002243FA"/>
    <w:rsid w:val="00225DA0"/>
    <w:rsid w:val="00226167"/>
    <w:rsid w:val="00226177"/>
    <w:rsid w:val="00226B6D"/>
    <w:rsid w:val="002300E3"/>
    <w:rsid w:val="00231E5E"/>
    <w:rsid w:val="0023229C"/>
    <w:rsid w:val="0023321A"/>
    <w:rsid w:val="00234435"/>
    <w:rsid w:val="00234816"/>
    <w:rsid w:val="002366C2"/>
    <w:rsid w:val="00241D95"/>
    <w:rsid w:val="002423A1"/>
    <w:rsid w:val="00244353"/>
    <w:rsid w:val="00244B4C"/>
    <w:rsid w:val="00244C03"/>
    <w:rsid w:val="00244D2F"/>
    <w:rsid w:val="002454FB"/>
    <w:rsid w:val="00246D7D"/>
    <w:rsid w:val="00247507"/>
    <w:rsid w:val="00247AB3"/>
    <w:rsid w:val="00247B2F"/>
    <w:rsid w:val="0025027C"/>
    <w:rsid w:val="0025046B"/>
    <w:rsid w:val="00250FA4"/>
    <w:rsid w:val="002512B4"/>
    <w:rsid w:val="00253055"/>
    <w:rsid w:val="00253776"/>
    <w:rsid w:val="00253D3D"/>
    <w:rsid w:val="00254A1F"/>
    <w:rsid w:val="00254F58"/>
    <w:rsid w:val="0025550F"/>
    <w:rsid w:val="00256801"/>
    <w:rsid w:val="00257200"/>
    <w:rsid w:val="0025728F"/>
    <w:rsid w:val="00257F37"/>
    <w:rsid w:val="00260CF7"/>
    <w:rsid w:val="00260DFB"/>
    <w:rsid w:val="002612BC"/>
    <w:rsid w:val="002633D9"/>
    <w:rsid w:val="0026430E"/>
    <w:rsid w:val="00264B00"/>
    <w:rsid w:val="00266083"/>
    <w:rsid w:val="002668B6"/>
    <w:rsid w:val="00266AD9"/>
    <w:rsid w:val="00267851"/>
    <w:rsid w:val="0026798B"/>
    <w:rsid w:val="00267FBD"/>
    <w:rsid w:val="00270206"/>
    <w:rsid w:val="0027072C"/>
    <w:rsid w:val="00271B1B"/>
    <w:rsid w:val="00271B3D"/>
    <w:rsid w:val="002724D4"/>
    <w:rsid w:val="00272B70"/>
    <w:rsid w:val="002730C7"/>
    <w:rsid w:val="00274265"/>
    <w:rsid w:val="00275405"/>
    <w:rsid w:val="0027713B"/>
    <w:rsid w:val="00281777"/>
    <w:rsid w:val="00281818"/>
    <w:rsid w:val="00283BE3"/>
    <w:rsid w:val="0028525A"/>
    <w:rsid w:val="002860BC"/>
    <w:rsid w:val="00286685"/>
    <w:rsid w:val="002869C7"/>
    <w:rsid w:val="0028788A"/>
    <w:rsid w:val="00287920"/>
    <w:rsid w:val="002916B8"/>
    <w:rsid w:val="002919DA"/>
    <w:rsid w:val="0029247E"/>
    <w:rsid w:val="00293E3D"/>
    <w:rsid w:val="002942B2"/>
    <w:rsid w:val="0029471A"/>
    <w:rsid w:val="00295BB9"/>
    <w:rsid w:val="002963E6"/>
    <w:rsid w:val="00296FC0"/>
    <w:rsid w:val="002A15DA"/>
    <w:rsid w:val="002A2130"/>
    <w:rsid w:val="002A2E26"/>
    <w:rsid w:val="002A4BF9"/>
    <w:rsid w:val="002A5165"/>
    <w:rsid w:val="002A5C09"/>
    <w:rsid w:val="002B0961"/>
    <w:rsid w:val="002B282A"/>
    <w:rsid w:val="002B2BBA"/>
    <w:rsid w:val="002B45E8"/>
    <w:rsid w:val="002B5ADF"/>
    <w:rsid w:val="002B67D4"/>
    <w:rsid w:val="002B6891"/>
    <w:rsid w:val="002B6BA2"/>
    <w:rsid w:val="002B77F4"/>
    <w:rsid w:val="002B798F"/>
    <w:rsid w:val="002C189A"/>
    <w:rsid w:val="002C3A5B"/>
    <w:rsid w:val="002C4531"/>
    <w:rsid w:val="002C543D"/>
    <w:rsid w:val="002C6060"/>
    <w:rsid w:val="002C6359"/>
    <w:rsid w:val="002C6D69"/>
    <w:rsid w:val="002C7019"/>
    <w:rsid w:val="002C775A"/>
    <w:rsid w:val="002D08FB"/>
    <w:rsid w:val="002D0A5A"/>
    <w:rsid w:val="002D0D87"/>
    <w:rsid w:val="002D0DBA"/>
    <w:rsid w:val="002D265E"/>
    <w:rsid w:val="002D288A"/>
    <w:rsid w:val="002D3552"/>
    <w:rsid w:val="002D39D5"/>
    <w:rsid w:val="002D42BE"/>
    <w:rsid w:val="002D438A"/>
    <w:rsid w:val="002D560D"/>
    <w:rsid w:val="002D5B46"/>
    <w:rsid w:val="002D6FF6"/>
    <w:rsid w:val="002D77A9"/>
    <w:rsid w:val="002E1770"/>
    <w:rsid w:val="002E44ED"/>
    <w:rsid w:val="002E6CBC"/>
    <w:rsid w:val="002E730F"/>
    <w:rsid w:val="002E77FA"/>
    <w:rsid w:val="002E7E1F"/>
    <w:rsid w:val="002F1699"/>
    <w:rsid w:val="002F1BDA"/>
    <w:rsid w:val="002F2190"/>
    <w:rsid w:val="002F2745"/>
    <w:rsid w:val="002F2B8E"/>
    <w:rsid w:val="002F3764"/>
    <w:rsid w:val="002F41A8"/>
    <w:rsid w:val="002F58C7"/>
    <w:rsid w:val="002F5D8A"/>
    <w:rsid w:val="002F666D"/>
    <w:rsid w:val="002F7372"/>
    <w:rsid w:val="00300832"/>
    <w:rsid w:val="00301A72"/>
    <w:rsid w:val="003042D9"/>
    <w:rsid w:val="00304DB3"/>
    <w:rsid w:val="003057CA"/>
    <w:rsid w:val="00306561"/>
    <w:rsid w:val="00307647"/>
    <w:rsid w:val="00307F5D"/>
    <w:rsid w:val="00310688"/>
    <w:rsid w:val="003127C8"/>
    <w:rsid w:val="00312A57"/>
    <w:rsid w:val="00314821"/>
    <w:rsid w:val="00315044"/>
    <w:rsid w:val="003163C3"/>
    <w:rsid w:val="0031715B"/>
    <w:rsid w:val="00320703"/>
    <w:rsid w:val="00320FC5"/>
    <w:rsid w:val="003213E5"/>
    <w:rsid w:val="00321CFF"/>
    <w:rsid w:val="0032254D"/>
    <w:rsid w:val="00322942"/>
    <w:rsid w:val="00323B83"/>
    <w:rsid w:val="003244AC"/>
    <w:rsid w:val="003251DF"/>
    <w:rsid w:val="00325318"/>
    <w:rsid w:val="0032532C"/>
    <w:rsid w:val="00325486"/>
    <w:rsid w:val="00326C57"/>
    <w:rsid w:val="00326CD5"/>
    <w:rsid w:val="003271E6"/>
    <w:rsid w:val="00327F9F"/>
    <w:rsid w:val="0033060E"/>
    <w:rsid w:val="00330794"/>
    <w:rsid w:val="00332341"/>
    <w:rsid w:val="0033249D"/>
    <w:rsid w:val="00333CEC"/>
    <w:rsid w:val="00333E4C"/>
    <w:rsid w:val="00334344"/>
    <w:rsid w:val="00334F83"/>
    <w:rsid w:val="00336057"/>
    <w:rsid w:val="003364D1"/>
    <w:rsid w:val="003365A8"/>
    <w:rsid w:val="00337244"/>
    <w:rsid w:val="003373E4"/>
    <w:rsid w:val="00337743"/>
    <w:rsid w:val="003378F7"/>
    <w:rsid w:val="00337B18"/>
    <w:rsid w:val="00340C55"/>
    <w:rsid w:val="00341C02"/>
    <w:rsid w:val="00344339"/>
    <w:rsid w:val="0034475D"/>
    <w:rsid w:val="00344D9C"/>
    <w:rsid w:val="003455F5"/>
    <w:rsid w:val="003456D8"/>
    <w:rsid w:val="003469EC"/>
    <w:rsid w:val="003472D4"/>
    <w:rsid w:val="00347466"/>
    <w:rsid w:val="00347BE5"/>
    <w:rsid w:val="003503E8"/>
    <w:rsid w:val="003510C7"/>
    <w:rsid w:val="00351CEC"/>
    <w:rsid w:val="00352131"/>
    <w:rsid w:val="003524FD"/>
    <w:rsid w:val="003558E5"/>
    <w:rsid w:val="00355F99"/>
    <w:rsid w:val="00356514"/>
    <w:rsid w:val="003565E7"/>
    <w:rsid w:val="003565F6"/>
    <w:rsid w:val="003573C2"/>
    <w:rsid w:val="003578F2"/>
    <w:rsid w:val="00360FF1"/>
    <w:rsid w:val="00361EDE"/>
    <w:rsid w:val="00361F97"/>
    <w:rsid w:val="00362BE2"/>
    <w:rsid w:val="00363D81"/>
    <w:rsid w:val="00363F37"/>
    <w:rsid w:val="0036408D"/>
    <w:rsid w:val="00364EE3"/>
    <w:rsid w:val="00365086"/>
    <w:rsid w:val="003666D4"/>
    <w:rsid w:val="00367ABA"/>
    <w:rsid w:val="00372394"/>
    <w:rsid w:val="003729BF"/>
    <w:rsid w:val="003748AD"/>
    <w:rsid w:val="00374BAC"/>
    <w:rsid w:val="00375894"/>
    <w:rsid w:val="003768A3"/>
    <w:rsid w:val="003768A4"/>
    <w:rsid w:val="0037691C"/>
    <w:rsid w:val="00377D74"/>
    <w:rsid w:val="00377F15"/>
    <w:rsid w:val="0038187E"/>
    <w:rsid w:val="00383851"/>
    <w:rsid w:val="00384300"/>
    <w:rsid w:val="00384F71"/>
    <w:rsid w:val="00385F04"/>
    <w:rsid w:val="00385F43"/>
    <w:rsid w:val="00386007"/>
    <w:rsid w:val="00386F1E"/>
    <w:rsid w:val="00387F74"/>
    <w:rsid w:val="003906C3"/>
    <w:rsid w:val="00391704"/>
    <w:rsid w:val="00391785"/>
    <w:rsid w:val="00391C3B"/>
    <w:rsid w:val="0039249E"/>
    <w:rsid w:val="00392CE6"/>
    <w:rsid w:val="003936E0"/>
    <w:rsid w:val="00394957"/>
    <w:rsid w:val="0039605F"/>
    <w:rsid w:val="0039612F"/>
    <w:rsid w:val="003967C4"/>
    <w:rsid w:val="00397E29"/>
    <w:rsid w:val="003A033D"/>
    <w:rsid w:val="003A0852"/>
    <w:rsid w:val="003A0B2C"/>
    <w:rsid w:val="003A0D3B"/>
    <w:rsid w:val="003A2D9B"/>
    <w:rsid w:val="003A2E02"/>
    <w:rsid w:val="003A3033"/>
    <w:rsid w:val="003A4AFD"/>
    <w:rsid w:val="003A575C"/>
    <w:rsid w:val="003A73BF"/>
    <w:rsid w:val="003A7C3E"/>
    <w:rsid w:val="003B0298"/>
    <w:rsid w:val="003B08A9"/>
    <w:rsid w:val="003B0CA9"/>
    <w:rsid w:val="003B13C2"/>
    <w:rsid w:val="003B1740"/>
    <w:rsid w:val="003B1862"/>
    <w:rsid w:val="003B1C73"/>
    <w:rsid w:val="003B1F60"/>
    <w:rsid w:val="003B2827"/>
    <w:rsid w:val="003B40F2"/>
    <w:rsid w:val="003B458E"/>
    <w:rsid w:val="003B4BF0"/>
    <w:rsid w:val="003B4D36"/>
    <w:rsid w:val="003B5696"/>
    <w:rsid w:val="003B56A6"/>
    <w:rsid w:val="003B5EA9"/>
    <w:rsid w:val="003B6C28"/>
    <w:rsid w:val="003B7BBE"/>
    <w:rsid w:val="003B7C0D"/>
    <w:rsid w:val="003C0D62"/>
    <w:rsid w:val="003C1187"/>
    <w:rsid w:val="003C2AFE"/>
    <w:rsid w:val="003C2B67"/>
    <w:rsid w:val="003C702A"/>
    <w:rsid w:val="003C73EC"/>
    <w:rsid w:val="003D098B"/>
    <w:rsid w:val="003D1399"/>
    <w:rsid w:val="003D1478"/>
    <w:rsid w:val="003D16D2"/>
    <w:rsid w:val="003D1F5F"/>
    <w:rsid w:val="003D2A6D"/>
    <w:rsid w:val="003D2F64"/>
    <w:rsid w:val="003D304D"/>
    <w:rsid w:val="003D3439"/>
    <w:rsid w:val="003D43AE"/>
    <w:rsid w:val="003D4CD2"/>
    <w:rsid w:val="003D6A74"/>
    <w:rsid w:val="003D78FF"/>
    <w:rsid w:val="003E25DE"/>
    <w:rsid w:val="003E2AE0"/>
    <w:rsid w:val="003E308E"/>
    <w:rsid w:val="003E3E73"/>
    <w:rsid w:val="003E3F16"/>
    <w:rsid w:val="003E63A9"/>
    <w:rsid w:val="003E6653"/>
    <w:rsid w:val="003E6799"/>
    <w:rsid w:val="003E75A6"/>
    <w:rsid w:val="003E794D"/>
    <w:rsid w:val="003F1653"/>
    <w:rsid w:val="003F16E2"/>
    <w:rsid w:val="003F4D22"/>
    <w:rsid w:val="003F5A82"/>
    <w:rsid w:val="003F6A58"/>
    <w:rsid w:val="003F6D08"/>
    <w:rsid w:val="003F7B15"/>
    <w:rsid w:val="003F7F76"/>
    <w:rsid w:val="00400AA3"/>
    <w:rsid w:val="00401AAE"/>
    <w:rsid w:val="00401D78"/>
    <w:rsid w:val="00402D91"/>
    <w:rsid w:val="004030C8"/>
    <w:rsid w:val="00403EDD"/>
    <w:rsid w:val="004048DB"/>
    <w:rsid w:val="00404CDD"/>
    <w:rsid w:val="00404E3E"/>
    <w:rsid w:val="00405D13"/>
    <w:rsid w:val="00405D34"/>
    <w:rsid w:val="00406875"/>
    <w:rsid w:val="00406BB0"/>
    <w:rsid w:val="00407BD1"/>
    <w:rsid w:val="00407C6F"/>
    <w:rsid w:val="00407CD8"/>
    <w:rsid w:val="00407FE3"/>
    <w:rsid w:val="00410180"/>
    <w:rsid w:val="00411CDD"/>
    <w:rsid w:val="00412EA4"/>
    <w:rsid w:val="00412EE4"/>
    <w:rsid w:val="00413261"/>
    <w:rsid w:val="004138C9"/>
    <w:rsid w:val="00415769"/>
    <w:rsid w:val="00417FF5"/>
    <w:rsid w:val="0042045A"/>
    <w:rsid w:val="00420755"/>
    <w:rsid w:val="00420DAB"/>
    <w:rsid w:val="00421883"/>
    <w:rsid w:val="00421B64"/>
    <w:rsid w:val="004232FA"/>
    <w:rsid w:val="0042356D"/>
    <w:rsid w:val="004238AB"/>
    <w:rsid w:val="00423BC7"/>
    <w:rsid w:val="00425C33"/>
    <w:rsid w:val="004266AF"/>
    <w:rsid w:val="00426A74"/>
    <w:rsid w:val="00426DE0"/>
    <w:rsid w:val="00427401"/>
    <w:rsid w:val="00430BB3"/>
    <w:rsid w:val="00430ED4"/>
    <w:rsid w:val="00431DC4"/>
    <w:rsid w:val="00432202"/>
    <w:rsid w:val="00432DDE"/>
    <w:rsid w:val="00432F9F"/>
    <w:rsid w:val="00433A98"/>
    <w:rsid w:val="004341C1"/>
    <w:rsid w:val="0043439F"/>
    <w:rsid w:val="00434B1C"/>
    <w:rsid w:val="00434B52"/>
    <w:rsid w:val="00435423"/>
    <w:rsid w:val="0043546C"/>
    <w:rsid w:val="00435552"/>
    <w:rsid w:val="00435970"/>
    <w:rsid w:val="00435F46"/>
    <w:rsid w:val="004362B0"/>
    <w:rsid w:val="00437AB9"/>
    <w:rsid w:val="00437D0F"/>
    <w:rsid w:val="00440BAE"/>
    <w:rsid w:val="00440E56"/>
    <w:rsid w:val="004413A3"/>
    <w:rsid w:val="0044181F"/>
    <w:rsid w:val="0044183D"/>
    <w:rsid w:val="0044254B"/>
    <w:rsid w:val="0044255F"/>
    <w:rsid w:val="00443A93"/>
    <w:rsid w:val="00444EFC"/>
    <w:rsid w:val="00444FFC"/>
    <w:rsid w:val="00446429"/>
    <w:rsid w:val="00447260"/>
    <w:rsid w:val="004473BA"/>
    <w:rsid w:val="004516C0"/>
    <w:rsid w:val="00452312"/>
    <w:rsid w:val="00453EB3"/>
    <w:rsid w:val="004567F4"/>
    <w:rsid w:val="00456AA2"/>
    <w:rsid w:val="004602E2"/>
    <w:rsid w:val="004606C2"/>
    <w:rsid w:val="004615A3"/>
    <w:rsid w:val="004615B4"/>
    <w:rsid w:val="004621EE"/>
    <w:rsid w:val="00463C0A"/>
    <w:rsid w:val="00464B29"/>
    <w:rsid w:val="00464D7E"/>
    <w:rsid w:val="00465F37"/>
    <w:rsid w:val="004663F2"/>
    <w:rsid w:val="00466676"/>
    <w:rsid w:val="00466D58"/>
    <w:rsid w:val="00467558"/>
    <w:rsid w:val="004675CC"/>
    <w:rsid w:val="00467A2D"/>
    <w:rsid w:val="004710C2"/>
    <w:rsid w:val="00471709"/>
    <w:rsid w:val="00471D7C"/>
    <w:rsid w:val="00472064"/>
    <w:rsid w:val="0047218F"/>
    <w:rsid w:val="004728BF"/>
    <w:rsid w:val="00472C0A"/>
    <w:rsid w:val="00472EA5"/>
    <w:rsid w:val="00474A65"/>
    <w:rsid w:val="004750D0"/>
    <w:rsid w:val="004758C1"/>
    <w:rsid w:val="00475940"/>
    <w:rsid w:val="00475A18"/>
    <w:rsid w:val="00476381"/>
    <w:rsid w:val="00476485"/>
    <w:rsid w:val="00476C9F"/>
    <w:rsid w:val="00481897"/>
    <w:rsid w:val="00482ACF"/>
    <w:rsid w:val="004833B7"/>
    <w:rsid w:val="00483555"/>
    <w:rsid w:val="00483FF2"/>
    <w:rsid w:val="00485181"/>
    <w:rsid w:val="004916AC"/>
    <w:rsid w:val="0049363B"/>
    <w:rsid w:val="004944B2"/>
    <w:rsid w:val="00494552"/>
    <w:rsid w:val="00495CF6"/>
    <w:rsid w:val="00497343"/>
    <w:rsid w:val="00497762"/>
    <w:rsid w:val="004A0502"/>
    <w:rsid w:val="004A0821"/>
    <w:rsid w:val="004A1214"/>
    <w:rsid w:val="004A1D37"/>
    <w:rsid w:val="004A269D"/>
    <w:rsid w:val="004A3DB1"/>
    <w:rsid w:val="004A3E2F"/>
    <w:rsid w:val="004A3EAA"/>
    <w:rsid w:val="004A450C"/>
    <w:rsid w:val="004A45EC"/>
    <w:rsid w:val="004A4F6E"/>
    <w:rsid w:val="004A6CBC"/>
    <w:rsid w:val="004B312B"/>
    <w:rsid w:val="004B3156"/>
    <w:rsid w:val="004B3A86"/>
    <w:rsid w:val="004B44FD"/>
    <w:rsid w:val="004B4658"/>
    <w:rsid w:val="004B5321"/>
    <w:rsid w:val="004B5CC9"/>
    <w:rsid w:val="004B5F5F"/>
    <w:rsid w:val="004B6F97"/>
    <w:rsid w:val="004C0233"/>
    <w:rsid w:val="004C18DD"/>
    <w:rsid w:val="004C35E3"/>
    <w:rsid w:val="004C3A55"/>
    <w:rsid w:val="004C6123"/>
    <w:rsid w:val="004C69E1"/>
    <w:rsid w:val="004C7A06"/>
    <w:rsid w:val="004D12BD"/>
    <w:rsid w:val="004D1E60"/>
    <w:rsid w:val="004D2796"/>
    <w:rsid w:val="004D2C6F"/>
    <w:rsid w:val="004D2CF2"/>
    <w:rsid w:val="004D454D"/>
    <w:rsid w:val="004D464A"/>
    <w:rsid w:val="004D62AA"/>
    <w:rsid w:val="004D6B61"/>
    <w:rsid w:val="004D76BF"/>
    <w:rsid w:val="004D772B"/>
    <w:rsid w:val="004D7987"/>
    <w:rsid w:val="004D7E2A"/>
    <w:rsid w:val="004E0003"/>
    <w:rsid w:val="004E09C0"/>
    <w:rsid w:val="004E167E"/>
    <w:rsid w:val="004E18BA"/>
    <w:rsid w:val="004E2967"/>
    <w:rsid w:val="004E2E94"/>
    <w:rsid w:val="004E3264"/>
    <w:rsid w:val="004E3C1D"/>
    <w:rsid w:val="004E3C41"/>
    <w:rsid w:val="004E57BD"/>
    <w:rsid w:val="004E5B20"/>
    <w:rsid w:val="004E7B83"/>
    <w:rsid w:val="004F10FC"/>
    <w:rsid w:val="004F1E7B"/>
    <w:rsid w:val="004F4ED1"/>
    <w:rsid w:val="004F50D2"/>
    <w:rsid w:val="004F51B6"/>
    <w:rsid w:val="004F5805"/>
    <w:rsid w:val="004F6555"/>
    <w:rsid w:val="004F7B63"/>
    <w:rsid w:val="004F7D8E"/>
    <w:rsid w:val="00501236"/>
    <w:rsid w:val="00502A0C"/>
    <w:rsid w:val="00503354"/>
    <w:rsid w:val="00503DA7"/>
    <w:rsid w:val="0050429B"/>
    <w:rsid w:val="005042E0"/>
    <w:rsid w:val="00504E77"/>
    <w:rsid w:val="005065DD"/>
    <w:rsid w:val="00506641"/>
    <w:rsid w:val="00506D07"/>
    <w:rsid w:val="00507E0F"/>
    <w:rsid w:val="005101C1"/>
    <w:rsid w:val="005112D7"/>
    <w:rsid w:val="00511B5E"/>
    <w:rsid w:val="005127B2"/>
    <w:rsid w:val="0051280D"/>
    <w:rsid w:val="00512DE4"/>
    <w:rsid w:val="005133D8"/>
    <w:rsid w:val="00513A4F"/>
    <w:rsid w:val="00515D82"/>
    <w:rsid w:val="00516762"/>
    <w:rsid w:val="005170F3"/>
    <w:rsid w:val="00517D19"/>
    <w:rsid w:val="005226FC"/>
    <w:rsid w:val="00522AC9"/>
    <w:rsid w:val="005230CE"/>
    <w:rsid w:val="0052371A"/>
    <w:rsid w:val="005237F8"/>
    <w:rsid w:val="00523C79"/>
    <w:rsid w:val="00524D62"/>
    <w:rsid w:val="005252D5"/>
    <w:rsid w:val="00525E2B"/>
    <w:rsid w:val="00526070"/>
    <w:rsid w:val="00526C42"/>
    <w:rsid w:val="00527486"/>
    <w:rsid w:val="00527683"/>
    <w:rsid w:val="005276AC"/>
    <w:rsid w:val="00527F74"/>
    <w:rsid w:val="0053002A"/>
    <w:rsid w:val="00531327"/>
    <w:rsid w:val="00531E86"/>
    <w:rsid w:val="00532601"/>
    <w:rsid w:val="00532C00"/>
    <w:rsid w:val="00533069"/>
    <w:rsid w:val="00533810"/>
    <w:rsid w:val="00533BB9"/>
    <w:rsid w:val="00534836"/>
    <w:rsid w:val="00535290"/>
    <w:rsid w:val="00535721"/>
    <w:rsid w:val="00535B7F"/>
    <w:rsid w:val="0054056D"/>
    <w:rsid w:val="00540699"/>
    <w:rsid w:val="0054299B"/>
    <w:rsid w:val="00543BBE"/>
    <w:rsid w:val="00544C10"/>
    <w:rsid w:val="00545658"/>
    <w:rsid w:val="00545A63"/>
    <w:rsid w:val="00545F0D"/>
    <w:rsid w:val="00546A9A"/>
    <w:rsid w:val="00546B04"/>
    <w:rsid w:val="005472FD"/>
    <w:rsid w:val="00547C3D"/>
    <w:rsid w:val="00550190"/>
    <w:rsid w:val="00550D85"/>
    <w:rsid w:val="0055271F"/>
    <w:rsid w:val="00552C65"/>
    <w:rsid w:val="00554476"/>
    <w:rsid w:val="00554481"/>
    <w:rsid w:val="00554DEC"/>
    <w:rsid w:val="005552B0"/>
    <w:rsid w:val="00555833"/>
    <w:rsid w:val="00555B2F"/>
    <w:rsid w:val="00556669"/>
    <w:rsid w:val="00556E08"/>
    <w:rsid w:val="0056001B"/>
    <w:rsid w:val="00560AE2"/>
    <w:rsid w:val="00562922"/>
    <w:rsid w:val="00563754"/>
    <w:rsid w:val="00564024"/>
    <w:rsid w:val="0056444C"/>
    <w:rsid w:val="0056452E"/>
    <w:rsid w:val="00564984"/>
    <w:rsid w:val="00564CC8"/>
    <w:rsid w:val="0056615F"/>
    <w:rsid w:val="00567270"/>
    <w:rsid w:val="0056756E"/>
    <w:rsid w:val="00567FAD"/>
    <w:rsid w:val="005735B6"/>
    <w:rsid w:val="00574968"/>
    <w:rsid w:val="00576B8D"/>
    <w:rsid w:val="0057749E"/>
    <w:rsid w:val="005818BC"/>
    <w:rsid w:val="005822E4"/>
    <w:rsid w:val="00582855"/>
    <w:rsid w:val="005843D6"/>
    <w:rsid w:val="00584587"/>
    <w:rsid w:val="00584AEA"/>
    <w:rsid w:val="00584D43"/>
    <w:rsid w:val="005859AE"/>
    <w:rsid w:val="00585BFC"/>
    <w:rsid w:val="0058672E"/>
    <w:rsid w:val="0058678C"/>
    <w:rsid w:val="00586955"/>
    <w:rsid w:val="00586C31"/>
    <w:rsid w:val="0058739C"/>
    <w:rsid w:val="0058750C"/>
    <w:rsid w:val="005875A7"/>
    <w:rsid w:val="005879C8"/>
    <w:rsid w:val="00587BC9"/>
    <w:rsid w:val="005915DA"/>
    <w:rsid w:val="00591E79"/>
    <w:rsid w:val="005926B9"/>
    <w:rsid w:val="0059286B"/>
    <w:rsid w:val="00592FE0"/>
    <w:rsid w:val="00595B51"/>
    <w:rsid w:val="00595FDD"/>
    <w:rsid w:val="005965FD"/>
    <w:rsid w:val="005A2243"/>
    <w:rsid w:val="005A2F5D"/>
    <w:rsid w:val="005A3D7F"/>
    <w:rsid w:val="005A4150"/>
    <w:rsid w:val="005A4477"/>
    <w:rsid w:val="005A56D8"/>
    <w:rsid w:val="005A6538"/>
    <w:rsid w:val="005A70B7"/>
    <w:rsid w:val="005B0AA6"/>
    <w:rsid w:val="005B1363"/>
    <w:rsid w:val="005B1A60"/>
    <w:rsid w:val="005B1B66"/>
    <w:rsid w:val="005B1E23"/>
    <w:rsid w:val="005B329F"/>
    <w:rsid w:val="005B33F1"/>
    <w:rsid w:val="005B4225"/>
    <w:rsid w:val="005B4E80"/>
    <w:rsid w:val="005B6707"/>
    <w:rsid w:val="005B7B13"/>
    <w:rsid w:val="005C016C"/>
    <w:rsid w:val="005C077A"/>
    <w:rsid w:val="005C183A"/>
    <w:rsid w:val="005C264A"/>
    <w:rsid w:val="005C2C9B"/>
    <w:rsid w:val="005C4FDB"/>
    <w:rsid w:val="005C5A34"/>
    <w:rsid w:val="005C74ED"/>
    <w:rsid w:val="005C7849"/>
    <w:rsid w:val="005D07C7"/>
    <w:rsid w:val="005D2776"/>
    <w:rsid w:val="005D4C1A"/>
    <w:rsid w:val="005D521E"/>
    <w:rsid w:val="005D5D48"/>
    <w:rsid w:val="005D6A19"/>
    <w:rsid w:val="005E1002"/>
    <w:rsid w:val="005E31F1"/>
    <w:rsid w:val="005E395C"/>
    <w:rsid w:val="005E3CB5"/>
    <w:rsid w:val="005E3CE0"/>
    <w:rsid w:val="005E41E8"/>
    <w:rsid w:val="005E4B35"/>
    <w:rsid w:val="005E59E5"/>
    <w:rsid w:val="005E5CB8"/>
    <w:rsid w:val="005E7388"/>
    <w:rsid w:val="005E7ABE"/>
    <w:rsid w:val="005F2CB6"/>
    <w:rsid w:val="005F2CD1"/>
    <w:rsid w:val="005F37CD"/>
    <w:rsid w:val="005F3921"/>
    <w:rsid w:val="005F68E3"/>
    <w:rsid w:val="005F7192"/>
    <w:rsid w:val="00600DC2"/>
    <w:rsid w:val="00601152"/>
    <w:rsid w:val="00601A48"/>
    <w:rsid w:val="00601DBA"/>
    <w:rsid w:val="006026E4"/>
    <w:rsid w:val="0060286D"/>
    <w:rsid w:val="00604C86"/>
    <w:rsid w:val="006061A1"/>
    <w:rsid w:val="006071D7"/>
    <w:rsid w:val="0060734C"/>
    <w:rsid w:val="00610B6D"/>
    <w:rsid w:val="00611A61"/>
    <w:rsid w:val="00614227"/>
    <w:rsid w:val="00614675"/>
    <w:rsid w:val="00614680"/>
    <w:rsid w:val="00615C9F"/>
    <w:rsid w:val="00621020"/>
    <w:rsid w:val="00621082"/>
    <w:rsid w:val="0062125D"/>
    <w:rsid w:val="00623694"/>
    <w:rsid w:val="00624295"/>
    <w:rsid w:val="006247DD"/>
    <w:rsid w:val="006251A3"/>
    <w:rsid w:val="0062541E"/>
    <w:rsid w:val="006257D0"/>
    <w:rsid w:val="00626FD1"/>
    <w:rsid w:val="00627C7C"/>
    <w:rsid w:val="00627F53"/>
    <w:rsid w:val="00630A9C"/>
    <w:rsid w:val="00631F6A"/>
    <w:rsid w:val="00632024"/>
    <w:rsid w:val="006328DA"/>
    <w:rsid w:val="00633E7E"/>
    <w:rsid w:val="00634176"/>
    <w:rsid w:val="0063486B"/>
    <w:rsid w:val="00637463"/>
    <w:rsid w:val="00640792"/>
    <w:rsid w:val="00640B49"/>
    <w:rsid w:val="00641EA0"/>
    <w:rsid w:val="00641FB2"/>
    <w:rsid w:val="00642062"/>
    <w:rsid w:val="006424D4"/>
    <w:rsid w:val="00645393"/>
    <w:rsid w:val="006455D0"/>
    <w:rsid w:val="00646327"/>
    <w:rsid w:val="00647062"/>
    <w:rsid w:val="006473F6"/>
    <w:rsid w:val="00647896"/>
    <w:rsid w:val="00650D62"/>
    <w:rsid w:val="00651BE7"/>
    <w:rsid w:val="00651D31"/>
    <w:rsid w:val="00651D3A"/>
    <w:rsid w:val="006527C5"/>
    <w:rsid w:val="00653252"/>
    <w:rsid w:val="006538B5"/>
    <w:rsid w:val="0065392C"/>
    <w:rsid w:val="00653DC4"/>
    <w:rsid w:val="00656165"/>
    <w:rsid w:val="00656841"/>
    <w:rsid w:val="006576FD"/>
    <w:rsid w:val="00662DDB"/>
    <w:rsid w:val="00665EBC"/>
    <w:rsid w:val="0066667A"/>
    <w:rsid w:val="00666876"/>
    <w:rsid w:val="006673A8"/>
    <w:rsid w:val="00667682"/>
    <w:rsid w:val="00667796"/>
    <w:rsid w:val="00667D52"/>
    <w:rsid w:val="006703F1"/>
    <w:rsid w:val="00671092"/>
    <w:rsid w:val="0067130D"/>
    <w:rsid w:val="00671C58"/>
    <w:rsid w:val="00671D97"/>
    <w:rsid w:val="00672B6C"/>
    <w:rsid w:val="006744C3"/>
    <w:rsid w:val="00674C23"/>
    <w:rsid w:val="006754AF"/>
    <w:rsid w:val="00677F9F"/>
    <w:rsid w:val="006807FE"/>
    <w:rsid w:val="0068265B"/>
    <w:rsid w:val="00682875"/>
    <w:rsid w:val="00683E6A"/>
    <w:rsid w:val="00685D55"/>
    <w:rsid w:val="006861F9"/>
    <w:rsid w:val="006869AA"/>
    <w:rsid w:val="006874FD"/>
    <w:rsid w:val="00687E86"/>
    <w:rsid w:val="0069139A"/>
    <w:rsid w:val="006913B4"/>
    <w:rsid w:val="00691D24"/>
    <w:rsid w:val="00691DED"/>
    <w:rsid w:val="0069297D"/>
    <w:rsid w:val="006934FF"/>
    <w:rsid w:val="006941DA"/>
    <w:rsid w:val="00694BB6"/>
    <w:rsid w:val="00695E65"/>
    <w:rsid w:val="00696BB8"/>
    <w:rsid w:val="00696EED"/>
    <w:rsid w:val="006A0277"/>
    <w:rsid w:val="006A0F5F"/>
    <w:rsid w:val="006A18BE"/>
    <w:rsid w:val="006A1D9F"/>
    <w:rsid w:val="006A211B"/>
    <w:rsid w:val="006A2AB7"/>
    <w:rsid w:val="006A2AC5"/>
    <w:rsid w:val="006A3A92"/>
    <w:rsid w:val="006A49BA"/>
    <w:rsid w:val="006A5031"/>
    <w:rsid w:val="006A5164"/>
    <w:rsid w:val="006A59E3"/>
    <w:rsid w:val="006A6598"/>
    <w:rsid w:val="006B0081"/>
    <w:rsid w:val="006B02F7"/>
    <w:rsid w:val="006B0BBB"/>
    <w:rsid w:val="006B1C82"/>
    <w:rsid w:val="006B1DF2"/>
    <w:rsid w:val="006B2392"/>
    <w:rsid w:val="006B3059"/>
    <w:rsid w:val="006B32A3"/>
    <w:rsid w:val="006B39EA"/>
    <w:rsid w:val="006B3D48"/>
    <w:rsid w:val="006B3DF6"/>
    <w:rsid w:val="006B4CB8"/>
    <w:rsid w:val="006B5080"/>
    <w:rsid w:val="006B5E49"/>
    <w:rsid w:val="006B70DA"/>
    <w:rsid w:val="006B7384"/>
    <w:rsid w:val="006C0161"/>
    <w:rsid w:val="006C2E3D"/>
    <w:rsid w:val="006C3D12"/>
    <w:rsid w:val="006C452B"/>
    <w:rsid w:val="006C4AD3"/>
    <w:rsid w:val="006C5153"/>
    <w:rsid w:val="006C529E"/>
    <w:rsid w:val="006C5448"/>
    <w:rsid w:val="006C64C9"/>
    <w:rsid w:val="006C6851"/>
    <w:rsid w:val="006C6C4D"/>
    <w:rsid w:val="006C6D11"/>
    <w:rsid w:val="006C723F"/>
    <w:rsid w:val="006C7A53"/>
    <w:rsid w:val="006D013D"/>
    <w:rsid w:val="006D044A"/>
    <w:rsid w:val="006D1A21"/>
    <w:rsid w:val="006D3278"/>
    <w:rsid w:val="006D366C"/>
    <w:rsid w:val="006D3C25"/>
    <w:rsid w:val="006D4403"/>
    <w:rsid w:val="006D454C"/>
    <w:rsid w:val="006D5398"/>
    <w:rsid w:val="006D5407"/>
    <w:rsid w:val="006D54A9"/>
    <w:rsid w:val="006D56C7"/>
    <w:rsid w:val="006D67B2"/>
    <w:rsid w:val="006D6C32"/>
    <w:rsid w:val="006E03A7"/>
    <w:rsid w:val="006E066B"/>
    <w:rsid w:val="006E2890"/>
    <w:rsid w:val="006E3B9E"/>
    <w:rsid w:val="006E418D"/>
    <w:rsid w:val="006E4930"/>
    <w:rsid w:val="006E4AED"/>
    <w:rsid w:val="006F0E4F"/>
    <w:rsid w:val="006F3034"/>
    <w:rsid w:val="006F50EC"/>
    <w:rsid w:val="006F74FD"/>
    <w:rsid w:val="006F7C1A"/>
    <w:rsid w:val="00700F4E"/>
    <w:rsid w:val="00700FA7"/>
    <w:rsid w:val="00701A81"/>
    <w:rsid w:val="007026B9"/>
    <w:rsid w:val="00703905"/>
    <w:rsid w:val="007051EF"/>
    <w:rsid w:val="00706D66"/>
    <w:rsid w:val="007073BE"/>
    <w:rsid w:val="00707C54"/>
    <w:rsid w:val="00707E26"/>
    <w:rsid w:val="007104AC"/>
    <w:rsid w:val="0071121E"/>
    <w:rsid w:val="00711300"/>
    <w:rsid w:val="007130AF"/>
    <w:rsid w:val="007130D9"/>
    <w:rsid w:val="007130EF"/>
    <w:rsid w:val="007135D3"/>
    <w:rsid w:val="00714918"/>
    <w:rsid w:val="00715EE9"/>
    <w:rsid w:val="0071683F"/>
    <w:rsid w:val="00716E0A"/>
    <w:rsid w:val="007178FB"/>
    <w:rsid w:val="00720293"/>
    <w:rsid w:val="00721025"/>
    <w:rsid w:val="00721952"/>
    <w:rsid w:val="00721B22"/>
    <w:rsid w:val="007222AC"/>
    <w:rsid w:val="00722967"/>
    <w:rsid w:val="007229D1"/>
    <w:rsid w:val="00722F25"/>
    <w:rsid w:val="00723B8F"/>
    <w:rsid w:val="00723BD6"/>
    <w:rsid w:val="00724435"/>
    <w:rsid w:val="00724F96"/>
    <w:rsid w:val="00724FE5"/>
    <w:rsid w:val="00725121"/>
    <w:rsid w:val="00725648"/>
    <w:rsid w:val="007256EE"/>
    <w:rsid w:val="00725AA6"/>
    <w:rsid w:val="00727236"/>
    <w:rsid w:val="0072791A"/>
    <w:rsid w:val="007303C9"/>
    <w:rsid w:val="0073087F"/>
    <w:rsid w:val="0073143E"/>
    <w:rsid w:val="00732016"/>
    <w:rsid w:val="00733381"/>
    <w:rsid w:val="00733892"/>
    <w:rsid w:val="00733ACE"/>
    <w:rsid w:val="00734AE2"/>
    <w:rsid w:val="00734F12"/>
    <w:rsid w:val="00734F6D"/>
    <w:rsid w:val="007352A1"/>
    <w:rsid w:val="00735AC1"/>
    <w:rsid w:val="00735BB2"/>
    <w:rsid w:val="007376E5"/>
    <w:rsid w:val="007409A9"/>
    <w:rsid w:val="00743359"/>
    <w:rsid w:val="00743F7A"/>
    <w:rsid w:val="00744545"/>
    <w:rsid w:val="00744851"/>
    <w:rsid w:val="0074511E"/>
    <w:rsid w:val="00745ECB"/>
    <w:rsid w:val="00745F28"/>
    <w:rsid w:val="007479F8"/>
    <w:rsid w:val="00750018"/>
    <w:rsid w:val="0075076E"/>
    <w:rsid w:val="007508E2"/>
    <w:rsid w:val="007530F4"/>
    <w:rsid w:val="00753580"/>
    <w:rsid w:val="00753CAB"/>
    <w:rsid w:val="007545AE"/>
    <w:rsid w:val="00754A35"/>
    <w:rsid w:val="00754E69"/>
    <w:rsid w:val="00755048"/>
    <w:rsid w:val="00756DAA"/>
    <w:rsid w:val="00757C12"/>
    <w:rsid w:val="00760A07"/>
    <w:rsid w:val="0076145E"/>
    <w:rsid w:val="007616DA"/>
    <w:rsid w:val="00761B06"/>
    <w:rsid w:val="00762016"/>
    <w:rsid w:val="00762442"/>
    <w:rsid w:val="0076298E"/>
    <w:rsid w:val="00763084"/>
    <w:rsid w:val="00763BFE"/>
    <w:rsid w:val="0076455F"/>
    <w:rsid w:val="00765416"/>
    <w:rsid w:val="00765DD7"/>
    <w:rsid w:val="00765EC2"/>
    <w:rsid w:val="00765EDF"/>
    <w:rsid w:val="00766975"/>
    <w:rsid w:val="00767057"/>
    <w:rsid w:val="00770339"/>
    <w:rsid w:val="00771C9D"/>
    <w:rsid w:val="007754EB"/>
    <w:rsid w:val="007762AF"/>
    <w:rsid w:val="00780B1F"/>
    <w:rsid w:val="00781D86"/>
    <w:rsid w:val="007827CC"/>
    <w:rsid w:val="00782813"/>
    <w:rsid w:val="00783061"/>
    <w:rsid w:val="007834EF"/>
    <w:rsid w:val="00783C6C"/>
    <w:rsid w:val="00784EAA"/>
    <w:rsid w:val="007853A4"/>
    <w:rsid w:val="00785B11"/>
    <w:rsid w:val="00785CC9"/>
    <w:rsid w:val="00786B29"/>
    <w:rsid w:val="007871A2"/>
    <w:rsid w:val="00787A71"/>
    <w:rsid w:val="00790479"/>
    <w:rsid w:val="00790CF6"/>
    <w:rsid w:val="0079165F"/>
    <w:rsid w:val="00791862"/>
    <w:rsid w:val="007921E6"/>
    <w:rsid w:val="00792AC2"/>
    <w:rsid w:val="00794398"/>
    <w:rsid w:val="00794BC1"/>
    <w:rsid w:val="0079640B"/>
    <w:rsid w:val="00797831"/>
    <w:rsid w:val="007A0904"/>
    <w:rsid w:val="007A1EBA"/>
    <w:rsid w:val="007A2517"/>
    <w:rsid w:val="007A4862"/>
    <w:rsid w:val="007A59C2"/>
    <w:rsid w:val="007A5A20"/>
    <w:rsid w:val="007A5BC1"/>
    <w:rsid w:val="007A5D8C"/>
    <w:rsid w:val="007A6053"/>
    <w:rsid w:val="007A697D"/>
    <w:rsid w:val="007B0295"/>
    <w:rsid w:val="007B1AB0"/>
    <w:rsid w:val="007B24F7"/>
    <w:rsid w:val="007B31DA"/>
    <w:rsid w:val="007B3432"/>
    <w:rsid w:val="007B3D8C"/>
    <w:rsid w:val="007B3E85"/>
    <w:rsid w:val="007B5EA2"/>
    <w:rsid w:val="007C04AF"/>
    <w:rsid w:val="007C06C2"/>
    <w:rsid w:val="007C10D1"/>
    <w:rsid w:val="007C1F91"/>
    <w:rsid w:val="007C2886"/>
    <w:rsid w:val="007C2F66"/>
    <w:rsid w:val="007C3A77"/>
    <w:rsid w:val="007C6161"/>
    <w:rsid w:val="007C7212"/>
    <w:rsid w:val="007C7BF1"/>
    <w:rsid w:val="007D0C39"/>
    <w:rsid w:val="007D0D16"/>
    <w:rsid w:val="007D1499"/>
    <w:rsid w:val="007D1599"/>
    <w:rsid w:val="007D1D81"/>
    <w:rsid w:val="007D1E58"/>
    <w:rsid w:val="007D2080"/>
    <w:rsid w:val="007D2EB3"/>
    <w:rsid w:val="007D318F"/>
    <w:rsid w:val="007D3381"/>
    <w:rsid w:val="007D4026"/>
    <w:rsid w:val="007D4EDD"/>
    <w:rsid w:val="007D6089"/>
    <w:rsid w:val="007D64F5"/>
    <w:rsid w:val="007D7088"/>
    <w:rsid w:val="007D7D81"/>
    <w:rsid w:val="007E03CD"/>
    <w:rsid w:val="007E2D57"/>
    <w:rsid w:val="007E442D"/>
    <w:rsid w:val="007E6847"/>
    <w:rsid w:val="007E726C"/>
    <w:rsid w:val="007E7741"/>
    <w:rsid w:val="007F1652"/>
    <w:rsid w:val="007F19EB"/>
    <w:rsid w:val="007F2D13"/>
    <w:rsid w:val="007F48DF"/>
    <w:rsid w:val="007F4A1F"/>
    <w:rsid w:val="007F5E94"/>
    <w:rsid w:val="007F6AB9"/>
    <w:rsid w:val="007F6AE8"/>
    <w:rsid w:val="007F78D6"/>
    <w:rsid w:val="008006E8"/>
    <w:rsid w:val="00800738"/>
    <w:rsid w:val="00801124"/>
    <w:rsid w:val="008038FE"/>
    <w:rsid w:val="0080390F"/>
    <w:rsid w:val="00803F6B"/>
    <w:rsid w:val="0080799E"/>
    <w:rsid w:val="008101E7"/>
    <w:rsid w:val="008112F3"/>
    <w:rsid w:val="00812CFB"/>
    <w:rsid w:val="008137B0"/>
    <w:rsid w:val="00814F0F"/>
    <w:rsid w:val="008155AF"/>
    <w:rsid w:val="00815C83"/>
    <w:rsid w:val="0082171F"/>
    <w:rsid w:val="00821E8B"/>
    <w:rsid w:val="008233FD"/>
    <w:rsid w:val="00823C80"/>
    <w:rsid w:val="00823FE7"/>
    <w:rsid w:val="00824B7F"/>
    <w:rsid w:val="00826C6B"/>
    <w:rsid w:val="00827097"/>
    <w:rsid w:val="008270F8"/>
    <w:rsid w:val="008274EF"/>
    <w:rsid w:val="00827C81"/>
    <w:rsid w:val="00830FB2"/>
    <w:rsid w:val="00832014"/>
    <w:rsid w:val="00832E93"/>
    <w:rsid w:val="008335D3"/>
    <w:rsid w:val="008337CA"/>
    <w:rsid w:val="00833A21"/>
    <w:rsid w:val="00834345"/>
    <w:rsid w:val="00835364"/>
    <w:rsid w:val="0083600C"/>
    <w:rsid w:val="00836601"/>
    <w:rsid w:val="008369D4"/>
    <w:rsid w:val="00837DD3"/>
    <w:rsid w:val="008407DD"/>
    <w:rsid w:val="00841813"/>
    <w:rsid w:val="008423EE"/>
    <w:rsid w:val="00842D86"/>
    <w:rsid w:val="00843153"/>
    <w:rsid w:val="008436A8"/>
    <w:rsid w:val="00846399"/>
    <w:rsid w:val="00847005"/>
    <w:rsid w:val="008470AB"/>
    <w:rsid w:val="00850762"/>
    <w:rsid w:val="0085159E"/>
    <w:rsid w:val="00852558"/>
    <w:rsid w:val="00854482"/>
    <w:rsid w:val="008544EF"/>
    <w:rsid w:val="00855A45"/>
    <w:rsid w:val="00856EBC"/>
    <w:rsid w:val="00857F18"/>
    <w:rsid w:val="0086070F"/>
    <w:rsid w:val="0086097E"/>
    <w:rsid w:val="00861B84"/>
    <w:rsid w:val="008624E1"/>
    <w:rsid w:val="00863F48"/>
    <w:rsid w:val="0086467B"/>
    <w:rsid w:val="0086546A"/>
    <w:rsid w:val="00865FEF"/>
    <w:rsid w:val="00866736"/>
    <w:rsid w:val="00866BE0"/>
    <w:rsid w:val="008671DE"/>
    <w:rsid w:val="00867274"/>
    <w:rsid w:val="008673E7"/>
    <w:rsid w:val="008709C7"/>
    <w:rsid w:val="00871F6B"/>
    <w:rsid w:val="00872B4D"/>
    <w:rsid w:val="008730FA"/>
    <w:rsid w:val="0087393A"/>
    <w:rsid w:val="00875092"/>
    <w:rsid w:val="008759A3"/>
    <w:rsid w:val="00875B69"/>
    <w:rsid w:val="00876B52"/>
    <w:rsid w:val="00877560"/>
    <w:rsid w:val="00877924"/>
    <w:rsid w:val="008805C7"/>
    <w:rsid w:val="00880CAE"/>
    <w:rsid w:val="00881E51"/>
    <w:rsid w:val="00882802"/>
    <w:rsid w:val="00883124"/>
    <w:rsid w:val="00883358"/>
    <w:rsid w:val="008838CC"/>
    <w:rsid w:val="00884DEC"/>
    <w:rsid w:val="00885191"/>
    <w:rsid w:val="0088592F"/>
    <w:rsid w:val="008860D3"/>
    <w:rsid w:val="00886AE9"/>
    <w:rsid w:val="00886C69"/>
    <w:rsid w:val="00886F73"/>
    <w:rsid w:val="008872C3"/>
    <w:rsid w:val="0088788F"/>
    <w:rsid w:val="0088794C"/>
    <w:rsid w:val="008879FF"/>
    <w:rsid w:val="00887FFC"/>
    <w:rsid w:val="00890314"/>
    <w:rsid w:val="0089049C"/>
    <w:rsid w:val="00891266"/>
    <w:rsid w:val="00891AEE"/>
    <w:rsid w:val="00892B21"/>
    <w:rsid w:val="0089319D"/>
    <w:rsid w:val="00895788"/>
    <w:rsid w:val="0089618C"/>
    <w:rsid w:val="008961CF"/>
    <w:rsid w:val="008963E4"/>
    <w:rsid w:val="00897531"/>
    <w:rsid w:val="008A05C6"/>
    <w:rsid w:val="008A0A3D"/>
    <w:rsid w:val="008A2ACE"/>
    <w:rsid w:val="008A3BC6"/>
    <w:rsid w:val="008A4990"/>
    <w:rsid w:val="008A4D17"/>
    <w:rsid w:val="008A56C8"/>
    <w:rsid w:val="008A63C3"/>
    <w:rsid w:val="008A7166"/>
    <w:rsid w:val="008A79FF"/>
    <w:rsid w:val="008B0E6E"/>
    <w:rsid w:val="008B104E"/>
    <w:rsid w:val="008B29EB"/>
    <w:rsid w:val="008B3093"/>
    <w:rsid w:val="008B3596"/>
    <w:rsid w:val="008B365D"/>
    <w:rsid w:val="008B41E5"/>
    <w:rsid w:val="008B6A5C"/>
    <w:rsid w:val="008C04E5"/>
    <w:rsid w:val="008C07EB"/>
    <w:rsid w:val="008C2856"/>
    <w:rsid w:val="008C3CED"/>
    <w:rsid w:val="008C3CF5"/>
    <w:rsid w:val="008C6D7E"/>
    <w:rsid w:val="008C7F83"/>
    <w:rsid w:val="008D06B5"/>
    <w:rsid w:val="008D0850"/>
    <w:rsid w:val="008D2ABF"/>
    <w:rsid w:val="008D2C20"/>
    <w:rsid w:val="008D35AA"/>
    <w:rsid w:val="008D37F8"/>
    <w:rsid w:val="008D4FF7"/>
    <w:rsid w:val="008D55B0"/>
    <w:rsid w:val="008D7343"/>
    <w:rsid w:val="008D73B2"/>
    <w:rsid w:val="008D7E67"/>
    <w:rsid w:val="008D7EC4"/>
    <w:rsid w:val="008E2045"/>
    <w:rsid w:val="008E23A2"/>
    <w:rsid w:val="008E2E30"/>
    <w:rsid w:val="008E464B"/>
    <w:rsid w:val="008E4FFA"/>
    <w:rsid w:val="008E53B8"/>
    <w:rsid w:val="008E6039"/>
    <w:rsid w:val="008E6AC7"/>
    <w:rsid w:val="008E7358"/>
    <w:rsid w:val="008E7807"/>
    <w:rsid w:val="008F06C5"/>
    <w:rsid w:val="008F0AD7"/>
    <w:rsid w:val="008F0D33"/>
    <w:rsid w:val="008F1B61"/>
    <w:rsid w:val="008F2EEE"/>
    <w:rsid w:val="008F3963"/>
    <w:rsid w:val="008F3AD3"/>
    <w:rsid w:val="008F40E8"/>
    <w:rsid w:val="008F6722"/>
    <w:rsid w:val="008F6C20"/>
    <w:rsid w:val="008F73F1"/>
    <w:rsid w:val="008F7984"/>
    <w:rsid w:val="009000FC"/>
    <w:rsid w:val="0090102C"/>
    <w:rsid w:val="00901A36"/>
    <w:rsid w:val="00901A5C"/>
    <w:rsid w:val="00902291"/>
    <w:rsid w:val="0090397A"/>
    <w:rsid w:val="009053CA"/>
    <w:rsid w:val="0090561C"/>
    <w:rsid w:val="0090696F"/>
    <w:rsid w:val="00906A90"/>
    <w:rsid w:val="00906E35"/>
    <w:rsid w:val="00910537"/>
    <w:rsid w:val="00910FAD"/>
    <w:rsid w:val="00911957"/>
    <w:rsid w:val="00911CAD"/>
    <w:rsid w:val="0091405C"/>
    <w:rsid w:val="0091518B"/>
    <w:rsid w:val="0091577D"/>
    <w:rsid w:val="0091618C"/>
    <w:rsid w:val="00916B34"/>
    <w:rsid w:val="009171E6"/>
    <w:rsid w:val="009175BC"/>
    <w:rsid w:val="0092018E"/>
    <w:rsid w:val="00920340"/>
    <w:rsid w:val="009213F6"/>
    <w:rsid w:val="0092184E"/>
    <w:rsid w:val="00921B7E"/>
    <w:rsid w:val="00921BE8"/>
    <w:rsid w:val="0092205B"/>
    <w:rsid w:val="009223BF"/>
    <w:rsid w:val="00922704"/>
    <w:rsid w:val="00923013"/>
    <w:rsid w:val="0092356A"/>
    <w:rsid w:val="009240D6"/>
    <w:rsid w:val="0092491F"/>
    <w:rsid w:val="00924D49"/>
    <w:rsid w:val="009251AF"/>
    <w:rsid w:val="00925B7F"/>
    <w:rsid w:val="00926E51"/>
    <w:rsid w:val="00927BCB"/>
    <w:rsid w:val="00927F9F"/>
    <w:rsid w:val="009302C8"/>
    <w:rsid w:val="0093185B"/>
    <w:rsid w:val="00931B89"/>
    <w:rsid w:val="00931F29"/>
    <w:rsid w:val="009327B4"/>
    <w:rsid w:val="009327DF"/>
    <w:rsid w:val="00932E55"/>
    <w:rsid w:val="0093363A"/>
    <w:rsid w:val="00933684"/>
    <w:rsid w:val="00933B50"/>
    <w:rsid w:val="00934427"/>
    <w:rsid w:val="009348F3"/>
    <w:rsid w:val="00934C06"/>
    <w:rsid w:val="009351CE"/>
    <w:rsid w:val="00935DD9"/>
    <w:rsid w:val="00936552"/>
    <w:rsid w:val="00936745"/>
    <w:rsid w:val="00936A5D"/>
    <w:rsid w:val="0093782B"/>
    <w:rsid w:val="00940BF5"/>
    <w:rsid w:val="00941474"/>
    <w:rsid w:val="009417E6"/>
    <w:rsid w:val="00941F58"/>
    <w:rsid w:val="00941FF0"/>
    <w:rsid w:val="00942107"/>
    <w:rsid w:val="00942218"/>
    <w:rsid w:val="00942FEF"/>
    <w:rsid w:val="00943DCA"/>
    <w:rsid w:val="00944272"/>
    <w:rsid w:val="0094456B"/>
    <w:rsid w:val="0094612C"/>
    <w:rsid w:val="009466AF"/>
    <w:rsid w:val="00951406"/>
    <w:rsid w:val="00952C45"/>
    <w:rsid w:val="009531C5"/>
    <w:rsid w:val="00953BC4"/>
    <w:rsid w:val="00954632"/>
    <w:rsid w:val="009561FF"/>
    <w:rsid w:val="00957F0D"/>
    <w:rsid w:val="00960264"/>
    <w:rsid w:val="0096050E"/>
    <w:rsid w:val="00961C97"/>
    <w:rsid w:val="009629C6"/>
    <w:rsid w:val="00962E30"/>
    <w:rsid w:val="00963468"/>
    <w:rsid w:val="00967086"/>
    <w:rsid w:val="0097043F"/>
    <w:rsid w:val="00970D23"/>
    <w:rsid w:val="0097143E"/>
    <w:rsid w:val="009715F3"/>
    <w:rsid w:val="009728AC"/>
    <w:rsid w:val="009732F3"/>
    <w:rsid w:val="0097484B"/>
    <w:rsid w:val="00974E6C"/>
    <w:rsid w:val="00974EA6"/>
    <w:rsid w:val="009761B1"/>
    <w:rsid w:val="00980673"/>
    <w:rsid w:val="0098098F"/>
    <w:rsid w:val="00980BF5"/>
    <w:rsid w:val="00980DDA"/>
    <w:rsid w:val="00981240"/>
    <w:rsid w:val="009816FD"/>
    <w:rsid w:val="009817BA"/>
    <w:rsid w:val="009838EF"/>
    <w:rsid w:val="00983E10"/>
    <w:rsid w:val="00984443"/>
    <w:rsid w:val="009858A4"/>
    <w:rsid w:val="009864DD"/>
    <w:rsid w:val="009867B0"/>
    <w:rsid w:val="00991204"/>
    <w:rsid w:val="00991A22"/>
    <w:rsid w:val="00991B41"/>
    <w:rsid w:val="00992529"/>
    <w:rsid w:val="00994A78"/>
    <w:rsid w:val="00995525"/>
    <w:rsid w:val="009955B2"/>
    <w:rsid w:val="00996BA2"/>
    <w:rsid w:val="00996ECD"/>
    <w:rsid w:val="00997CE5"/>
    <w:rsid w:val="009A07B9"/>
    <w:rsid w:val="009A255B"/>
    <w:rsid w:val="009A2CCE"/>
    <w:rsid w:val="009A2E8D"/>
    <w:rsid w:val="009A39DC"/>
    <w:rsid w:val="009A3AC5"/>
    <w:rsid w:val="009A3F03"/>
    <w:rsid w:val="009A510F"/>
    <w:rsid w:val="009A556B"/>
    <w:rsid w:val="009A6B8C"/>
    <w:rsid w:val="009A74DC"/>
    <w:rsid w:val="009B12FB"/>
    <w:rsid w:val="009B2002"/>
    <w:rsid w:val="009B3767"/>
    <w:rsid w:val="009B4E3D"/>
    <w:rsid w:val="009B6991"/>
    <w:rsid w:val="009B6B39"/>
    <w:rsid w:val="009B6DEC"/>
    <w:rsid w:val="009C0406"/>
    <w:rsid w:val="009C12CC"/>
    <w:rsid w:val="009C2585"/>
    <w:rsid w:val="009C27B5"/>
    <w:rsid w:val="009C3947"/>
    <w:rsid w:val="009C428A"/>
    <w:rsid w:val="009C5D66"/>
    <w:rsid w:val="009C6804"/>
    <w:rsid w:val="009C6A33"/>
    <w:rsid w:val="009C75AD"/>
    <w:rsid w:val="009C786F"/>
    <w:rsid w:val="009D1628"/>
    <w:rsid w:val="009D1754"/>
    <w:rsid w:val="009D277B"/>
    <w:rsid w:val="009D44B0"/>
    <w:rsid w:val="009D4708"/>
    <w:rsid w:val="009E0AC7"/>
    <w:rsid w:val="009E15E0"/>
    <w:rsid w:val="009E1E7B"/>
    <w:rsid w:val="009E39F1"/>
    <w:rsid w:val="009E43B1"/>
    <w:rsid w:val="009E4A18"/>
    <w:rsid w:val="009E5453"/>
    <w:rsid w:val="009E54D7"/>
    <w:rsid w:val="009E5B5A"/>
    <w:rsid w:val="009E6A50"/>
    <w:rsid w:val="009E6F51"/>
    <w:rsid w:val="009F348B"/>
    <w:rsid w:val="009F3CE9"/>
    <w:rsid w:val="009F4DD0"/>
    <w:rsid w:val="009F528D"/>
    <w:rsid w:val="009F58DE"/>
    <w:rsid w:val="009F6358"/>
    <w:rsid w:val="009F6C23"/>
    <w:rsid w:val="009F715B"/>
    <w:rsid w:val="009F743C"/>
    <w:rsid w:val="009F74C8"/>
    <w:rsid w:val="009F79C3"/>
    <w:rsid w:val="009F7C93"/>
    <w:rsid w:val="00A00A07"/>
    <w:rsid w:val="00A00B18"/>
    <w:rsid w:val="00A0115D"/>
    <w:rsid w:val="00A01AE2"/>
    <w:rsid w:val="00A01EB7"/>
    <w:rsid w:val="00A031ED"/>
    <w:rsid w:val="00A0679D"/>
    <w:rsid w:val="00A0725B"/>
    <w:rsid w:val="00A07E58"/>
    <w:rsid w:val="00A11E2A"/>
    <w:rsid w:val="00A12F65"/>
    <w:rsid w:val="00A12FD1"/>
    <w:rsid w:val="00A131B8"/>
    <w:rsid w:val="00A138CA"/>
    <w:rsid w:val="00A144F5"/>
    <w:rsid w:val="00A150D7"/>
    <w:rsid w:val="00A15BF9"/>
    <w:rsid w:val="00A163CA"/>
    <w:rsid w:val="00A164CC"/>
    <w:rsid w:val="00A207E9"/>
    <w:rsid w:val="00A21B8D"/>
    <w:rsid w:val="00A21E89"/>
    <w:rsid w:val="00A23138"/>
    <w:rsid w:val="00A2331E"/>
    <w:rsid w:val="00A2351F"/>
    <w:rsid w:val="00A23E04"/>
    <w:rsid w:val="00A256CA"/>
    <w:rsid w:val="00A25AA8"/>
    <w:rsid w:val="00A25E97"/>
    <w:rsid w:val="00A266E1"/>
    <w:rsid w:val="00A26765"/>
    <w:rsid w:val="00A268BF"/>
    <w:rsid w:val="00A27A83"/>
    <w:rsid w:val="00A30A58"/>
    <w:rsid w:val="00A30A7B"/>
    <w:rsid w:val="00A313A9"/>
    <w:rsid w:val="00A32457"/>
    <w:rsid w:val="00A32D5C"/>
    <w:rsid w:val="00A3332C"/>
    <w:rsid w:val="00A33CEA"/>
    <w:rsid w:val="00A34058"/>
    <w:rsid w:val="00A345A6"/>
    <w:rsid w:val="00A34986"/>
    <w:rsid w:val="00A34A79"/>
    <w:rsid w:val="00A34C8D"/>
    <w:rsid w:val="00A356D6"/>
    <w:rsid w:val="00A35E2E"/>
    <w:rsid w:val="00A362D3"/>
    <w:rsid w:val="00A36DB8"/>
    <w:rsid w:val="00A37FE6"/>
    <w:rsid w:val="00A42330"/>
    <w:rsid w:val="00A42B2F"/>
    <w:rsid w:val="00A432F0"/>
    <w:rsid w:val="00A43B88"/>
    <w:rsid w:val="00A43D69"/>
    <w:rsid w:val="00A4459B"/>
    <w:rsid w:val="00A45244"/>
    <w:rsid w:val="00A45A05"/>
    <w:rsid w:val="00A45A12"/>
    <w:rsid w:val="00A45CB2"/>
    <w:rsid w:val="00A45EB4"/>
    <w:rsid w:val="00A463CD"/>
    <w:rsid w:val="00A46BC6"/>
    <w:rsid w:val="00A474B2"/>
    <w:rsid w:val="00A47B37"/>
    <w:rsid w:val="00A503E8"/>
    <w:rsid w:val="00A512B0"/>
    <w:rsid w:val="00A513EB"/>
    <w:rsid w:val="00A51C82"/>
    <w:rsid w:val="00A522A9"/>
    <w:rsid w:val="00A53076"/>
    <w:rsid w:val="00A53821"/>
    <w:rsid w:val="00A53952"/>
    <w:rsid w:val="00A53A90"/>
    <w:rsid w:val="00A5418F"/>
    <w:rsid w:val="00A5443C"/>
    <w:rsid w:val="00A54E35"/>
    <w:rsid w:val="00A54F0D"/>
    <w:rsid w:val="00A55306"/>
    <w:rsid w:val="00A574B9"/>
    <w:rsid w:val="00A576EC"/>
    <w:rsid w:val="00A6078B"/>
    <w:rsid w:val="00A60FBE"/>
    <w:rsid w:val="00A611E0"/>
    <w:rsid w:val="00A627E7"/>
    <w:rsid w:val="00A646BA"/>
    <w:rsid w:val="00A673F0"/>
    <w:rsid w:val="00A67515"/>
    <w:rsid w:val="00A7015B"/>
    <w:rsid w:val="00A70E7C"/>
    <w:rsid w:val="00A72CB4"/>
    <w:rsid w:val="00A72FAF"/>
    <w:rsid w:val="00A73B0B"/>
    <w:rsid w:val="00A7447E"/>
    <w:rsid w:val="00A74561"/>
    <w:rsid w:val="00A75213"/>
    <w:rsid w:val="00A75698"/>
    <w:rsid w:val="00A75844"/>
    <w:rsid w:val="00A76328"/>
    <w:rsid w:val="00A76D7E"/>
    <w:rsid w:val="00A77409"/>
    <w:rsid w:val="00A775E2"/>
    <w:rsid w:val="00A80594"/>
    <w:rsid w:val="00A80794"/>
    <w:rsid w:val="00A80A9A"/>
    <w:rsid w:val="00A810AE"/>
    <w:rsid w:val="00A81DFB"/>
    <w:rsid w:val="00A825BE"/>
    <w:rsid w:val="00A82D38"/>
    <w:rsid w:val="00A83639"/>
    <w:rsid w:val="00A84475"/>
    <w:rsid w:val="00A861C1"/>
    <w:rsid w:val="00A867AB"/>
    <w:rsid w:val="00A900EF"/>
    <w:rsid w:val="00A901F0"/>
    <w:rsid w:val="00A91350"/>
    <w:rsid w:val="00A91EC3"/>
    <w:rsid w:val="00A926DF"/>
    <w:rsid w:val="00A92A91"/>
    <w:rsid w:val="00A935F2"/>
    <w:rsid w:val="00A93F24"/>
    <w:rsid w:val="00A94210"/>
    <w:rsid w:val="00A94E97"/>
    <w:rsid w:val="00A96A3C"/>
    <w:rsid w:val="00A97905"/>
    <w:rsid w:val="00AA0916"/>
    <w:rsid w:val="00AA0EB2"/>
    <w:rsid w:val="00AA1E76"/>
    <w:rsid w:val="00AA24AD"/>
    <w:rsid w:val="00AA3137"/>
    <w:rsid w:val="00AA34BC"/>
    <w:rsid w:val="00AA3DC7"/>
    <w:rsid w:val="00AA599C"/>
    <w:rsid w:val="00AA67DF"/>
    <w:rsid w:val="00AA6AB3"/>
    <w:rsid w:val="00AA7458"/>
    <w:rsid w:val="00AA7D9E"/>
    <w:rsid w:val="00AB070B"/>
    <w:rsid w:val="00AB0A11"/>
    <w:rsid w:val="00AB297D"/>
    <w:rsid w:val="00AB2E90"/>
    <w:rsid w:val="00AB32B3"/>
    <w:rsid w:val="00AB359B"/>
    <w:rsid w:val="00AB428F"/>
    <w:rsid w:val="00AB6CAB"/>
    <w:rsid w:val="00AB77C5"/>
    <w:rsid w:val="00AC0398"/>
    <w:rsid w:val="00AC088D"/>
    <w:rsid w:val="00AC2910"/>
    <w:rsid w:val="00AC4222"/>
    <w:rsid w:val="00AC5164"/>
    <w:rsid w:val="00AC51AA"/>
    <w:rsid w:val="00AC54FA"/>
    <w:rsid w:val="00AD018B"/>
    <w:rsid w:val="00AD0387"/>
    <w:rsid w:val="00AD1340"/>
    <w:rsid w:val="00AD2639"/>
    <w:rsid w:val="00AD2CE5"/>
    <w:rsid w:val="00AD33EC"/>
    <w:rsid w:val="00AD4591"/>
    <w:rsid w:val="00AD5C20"/>
    <w:rsid w:val="00AD5C81"/>
    <w:rsid w:val="00AD6011"/>
    <w:rsid w:val="00AD642D"/>
    <w:rsid w:val="00AD695D"/>
    <w:rsid w:val="00AD6F03"/>
    <w:rsid w:val="00AD6FFE"/>
    <w:rsid w:val="00AE0616"/>
    <w:rsid w:val="00AE0903"/>
    <w:rsid w:val="00AE1241"/>
    <w:rsid w:val="00AE18D1"/>
    <w:rsid w:val="00AE22F2"/>
    <w:rsid w:val="00AE49FB"/>
    <w:rsid w:val="00AE57C3"/>
    <w:rsid w:val="00AE762D"/>
    <w:rsid w:val="00AE7C51"/>
    <w:rsid w:val="00AF0038"/>
    <w:rsid w:val="00AF1229"/>
    <w:rsid w:val="00AF2D52"/>
    <w:rsid w:val="00AF37F7"/>
    <w:rsid w:val="00AF4E4D"/>
    <w:rsid w:val="00AF5695"/>
    <w:rsid w:val="00AF5952"/>
    <w:rsid w:val="00AF5E6E"/>
    <w:rsid w:val="00AF62F1"/>
    <w:rsid w:val="00AF65A8"/>
    <w:rsid w:val="00AF7642"/>
    <w:rsid w:val="00B00EEF"/>
    <w:rsid w:val="00B0178A"/>
    <w:rsid w:val="00B01C95"/>
    <w:rsid w:val="00B03F90"/>
    <w:rsid w:val="00B070AC"/>
    <w:rsid w:val="00B11012"/>
    <w:rsid w:val="00B11C52"/>
    <w:rsid w:val="00B12D6C"/>
    <w:rsid w:val="00B13D3A"/>
    <w:rsid w:val="00B15165"/>
    <w:rsid w:val="00B1632F"/>
    <w:rsid w:val="00B168B4"/>
    <w:rsid w:val="00B175F7"/>
    <w:rsid w:val="00B17666"/>
    <w:rsid w:val="00B17705"/>
    <w:rsid w:val="00B2070F"/>
    <w:rsid w:val="00B20A60"/>
    <w:rsid w:val="00B20BB2"/>
    <w:rsid w:val="00B21B10"/>
    <w:rsid w:val="00B23C2C"/>
    <w:rsid w:val="00B24821"/>
    <w:rsid w:val="00B25356"/>
    <w:rsid w:val="00B265B9"/>
    <w:rsid w:val="00B268FF"/>
    <w:rsid w:val="00B26D4A"/>
    <w:rsid w:val="00B307FA"/>
    <w:rsid w:val="00B30E4C"/>
    <w:rsid w:val="00B31554"/>
    <w:rsid w:val="00B322DC"/>
    <w:rsid w:val="00B32C1B"/>
    <w:rsid w:val="00B332C9"/>
    <w:rsid w:val="00B345BF"/>
    <w:rsid w:val="00B35489"/>
    <w:rsid w:val="00B367B0"/>
    <w:rsid w:val="00B36B97"/>
    <w:rsid w:val="00B375BB"/>
    <w:rsid w:val="00B40E82"/>
    <w:rsid w:val="00B418EF"/>
    <w:rsid w:val="00B421B4"/>
    <w:rsid w:val="00B4354E"/>
    <w:rsid w:val="00B4380C"/>
    <w:rsid w:val="00B46203"/>
    <w:rsid w:val="00B4671D"/>
    <w:rsid w:val="00B50FDF"/>
    <w:rsid w:val="00B51610"/>
    <w:rsid w:val="00B52961"/>
    <w:rsid w:val="00B5360E"/>
    <w:rsid w:val="00B54983"/>
    <w:rsid w:val="00B551AC"/>
    <w:rsid w:val="00B55284"/>
    <w:rsid w:val="00B573CD"/>
    <w:rsid w:val="00B57D74"/>
    <w:rsid w:val="00B634EA"/>
    <w:rsid w:val="00B63FEF"/>
    <w:rsid w:val="00B6418F"/>
    <w:rsid w:val="00B64451"/>
    <w:rsid w:val="00B64FE5"/>
    <w:rsid w:val="00B6625F"/>
    <w:rsid w:val="00B66A98"/>
    <w:rsid w:val="00B67657"/>
    <w:rsid w:val="00B70A43"/>
    <w:rsid w:val="00B70ED1"/>
    <w:rsid w:val="00B711B4"/>
    <w:rsid w:val="00B72615"/>
    <w:rsid w:val="00B72E36"/>
    <w:rsid w:val="00B741A0"/>
    <w:rsid w:val="00B762AC"/>
    <w:rsid w:val="00B76B56"/>
    <w:rsid w:val="00B76DF1"/>
    <w:rsid w:val="00B82024"/>
    <w:rsid w:val="00B82707"/>
    <w:rsid w:val="00B847DE"/>
    <w:rsid w:val="00B84CBB"/>
    <w:rsid w:val="00B85880"/>
    <w:rsid w:val="00B86C55"/>
    <w:rsid w:val="00B877C1"/>
    <w:rsid w:val="00B9376C"/>
    <w:rsid w:val="00B949FD"/>
    <w:rsid w:val="00B957C3"/>
    <w:rsid w:val="00B968BA"/>
    <w:rsid w:val="00B97491"/>
    <w:rsid w:val="00BA0035"/>
    <w:rsid w:val="00BA0672"/>
    <w:rsid w:val="00BA2027"/>
    <w:rsid w:val="00BA2866"/>
    <w:rsid w:val="00BA39E1"/>
    <w:rsid w:val="00BA3A1F"/>
    <w:rsid w:val="00BA5DCA"/>
    <w:rsid w:val="00BA686B"/>
    <w:rsid w:val="00BA6F06"/>
    <w:rsid w:val="00BA7222"/>
    <w:rsid w:val="00BA7CD0"/>
    <w:rsid w:val="00BB0506"/>
    <w:rsid w:val="00BB1100"/>
    <w:rsid w:val="00BB148A"/>
    <w:rsid w:val="00BB15C2"/>
    <w:rsid w:val="00BB2654"/>
    <w:rsid w:val="00BB33A0"/>
    <w:rsid w:val="00BB38C7"/>
    <w:rsid w:val="00BB515B"/>
    <w:rsid w:val="00BB5C6C"/>
    <w:rsid w:val="00BC0889"/>
    <w:rsid w:val="00BC0CFB"/>
    <w:rsid w:val="00BC1E76"/>
    <w:rsid w:val="00BC218D"/>
    <w:rsid w:val="00BC2C1E"/>
    <w:rsid w:val="00BC41A9"/>
    <w:rsid w:val="00BC4A83"/>
    <w:rsid w:val="00BC4EC3"/>
    <w:rsid w:val="00BC5BA8"/>
    <w:rsid w:val="00BC67E3"/>
    <w:rsid w:val="00BC743F"/>
    <w:rsid w:val="00BC76B9"/>
    <w:rsid w:val="00BC778A"/>
    <w:rsid w:val="00BC7ED2"/>
    <w:rsid w:val="00BC7EF0"/>
    <w:rsid w:val="00BD0BAF"/>
    <w:rsid w:val="00BD3024"/>
    <w:rsid w:val="00BD591E"/>
    <w:rsid w:val="00BD768B"/>
    <w:rsid w:val="00BD7F67"/>
    <w:rsid w:val="00BE1744"/>
    <w:rsid w:val="00BE176E"/>
    <w:rsid w:val="00BE24C2"/>
    <w:rsid w:val="00BE3F13"/>
    <w:rsid w:val="00BE437E"/>
    <w:rsid w:val="00BE59AB"/>
    <w:rsid w:val="00BE5C3B"/>
    <w:rsid w:val="00BE7838"/>
    <w:rsid w:val="00BF01DF"/>
    <w:rsid w:val="00BF0593"/>
    <w:rsid w:val="00BF0C1B"/>
    <w:rsid w:val="00BF0D2E"/>
    <w:rsid w:val="00BF2EC9"/>
    <w:rsid w:val="00BF407D"/>
    <w:rsid w:val="00BF4F5C"/>
    <w:rsid w:val="00BF63D3"/>
    <w:rsid w:val="00BF7897"/>
    <w:rsid w:val="00BF7F9A"/>
    <w:rsid w:val="00C00C08"/>
    <w:rsid w:val="00C02245"/>
    <w:rsid w:val="00C0269A"/>
    <w:rsid w:val="00C03088"/>
    <w:rsid w:val="00C03F3D"/>
    <w:rsid w:val="00C0505B"/>
    <w:rsid w:val="00C05208"/>
    <w:rsid w:val="00C057A9"/>
    <w:rsid w:val="00C058E6"/>
    <w:rsid w:val="00C069AD"/>
    <w:rsid w:val="00C10192"/>
    <w:rsid w:val="00C11EF5"/>
    <w:rsid w:val="00C12C1B"/>
    <w:rsid w:val="00C13493"/>
    <w:rsid w:val="00C13EEA"/>
    <w:rsid w:val="00C1469A"/>
    <w:rsid w:val="00C147EB"/>
    <w:rsid w:val="00C14B2A"/>
    <w:rsid w:val="00C15156"/>
    <w:rsid w:val="00C157B1"/>
    <w:rsid w:val="00C165E2"/>
    <w:rsid w:val="00C175CF"/>
    <w:rsid w:val="00C17B3D"/>
    <w:rsid w:val="00C202BD"/>
    <w:rsid w:val="00C20979"/>
    <w:rsid w:val="00C22EC7"/>
    <w:rsid w:val="00C23E9F"/>
    <w:rsid w:val="00C24301"/>
    <w:rsid w:val="00C244D5"/>
    <w:rsid w:val="00C24D4F"/>
    <w:rsid w:val="00C25433"/>
    <w:rsid w:val="00C254A3"/>
    <w:rsid w:val="00C269D2"/>
    <w:rsid w:val="00C27518"/>
    <w:rsid w:val="00C304A4"/>
    <w:rsid w:val="00C30FA4"/>
    <w:rsid w:val="00C31653"/>
    <w:rsid w:val="00C32A68"/>
    <w:rsid w:val="00C33939"/>
    <w:rsid w:val="00C34A0F"/>
    <w:rsid w:val="00C34C1E"/>
    <w:rsid w:val="00C34DC1"/>
    <w:rsid w:val="00C351B4"/>
    <w:rsid w:val="00C35214"/>
    <w:rsid w:val="00C3543C"/>
    <w:rsid w:val="00C3745A"/>
    <w:rsid w:val="00C37666"/>
    <w:rsid w:val="00C376B0"/>
    <w:rsid w:val="00C4110E"/>
    <w:rsid w:val="00C41C69"/>
    <w:rsid w:val="00C42E7B"/>
    <w:rsid w:val="00C4311A"/>
    <w:rsid w:val="00C45A3B"/>
    <w:rsid w:val="00C46296"/>
    <w:rsid w:val="00C472D9"/>
    <w:rsid w:val="00C4789A"/>
    <w:rsid w:val="00C51501"/>
    <w:rsid w:val="00C51666"/>
    <w:rsid w:val="00C5453B"/>
    <w:rsid w:val="00C549B2"/>
    <w:rsid w:val="00C54CB0"/>
    <w:rsid w:val="00C56064"/>
    <w:rsid w:val="00C609A3"/>
    <w:rsid w:val="00C61998"/>
    <w:rsid w:val="00C62C4A"/>
    <w:rsid w:val="00C62E2F"/>
    <w:rsid w:val="00C66082"/>
    <w:rsid w:val="00C67CEF"/>
    <w:rsid w:val="00C729F5"/>
    <w:rsid w:val="00C72C72"/>
    <w:rsid w:val="00C740E2"/>
    <w:rsid w:val="00C74178"/>
    <w:rsid w:val="00C74786"/>
    <w:rsid w:val="00C751FD"/>
    <w:rsid w:val="00C7526D"/>
    <w:rsid w:val="00C80D61"/>
    <w:rsid w:val="00C81311"/>
    <w:rsid w:val="00C81DF0"/>
    <w:rsid w:val="00C83196"/>
    <w:rsid w:val="00C83292"/>
    <w:rsid w:val="00C8336B"/>
    <w:rsid w:val="00C84EF1"/>
    <w:rsid w:val="00C8544E"/>
    <w:rsid w:val="00C85837"/>
    <w:rsid w:val="00C86685"/>
    <w:rsid w:val="00C9115F"/>
    <w:rsid w:val="00C91D19"/>
    <w:rsid w:val="00C930C3"/>
    <w:rsid w:val="00C94E9C"/>
    <w:rsid w:val="00C95267"/>
    <w:rsid w:val="00C95C0E"/>
    <w:rsid w:val="00C96DC3"/>
    <w:rsid w:val="00CA013F"/>
    <w:rsid w:val="00CA03D0"/>
    <w:rsid w:val="00CA1647"/>
    <w:rsid w:val="00CA216C"/>
    <w:rsid w:val="00CA3C15"/>
    <w:rsid w:val="00CA4A35"/>
    <w:rsid w:val="00CA58CA"/>
    <w:rsid w:val="00CA5FE2"/>
    <w:rsid w:val="00CA6539"/>
    <w:rsid w:val="00CB0839"/>
    <w:rsid w:val="00CB09E8"/>
    <w:rsid w:val="00CB140F"/>
    <w:rsid w:val="00CB1B23"/>
    <w:rsid w:val="00CB255F"/>
    <w:rsid w:val="00CB3016"/>
    <w:rsid w:val="00CB3424"/>
    <w:rsid w:val="00CB3DBA"/>
    <w:rsid w:val="00CB3EAC"/>
    <w:rsid w:val="00CB40DA"/>
    <w:rsid w:val="00CB4B53"/>
    <w:rsid w:val="00CB517E"/>
    <w:rsid w:val="00CB5B8D"/>
    <w:rsid w:val="00CB7107"/>
    <w:rsid w:val="00CB7134"/>
    <w:rsid w:val="00CB754C"/>
    <w:rsid w:val="00CC0449"/>
    <w:rsid w:val="00CC0C0E"/>
    <w:rsid w:val="00CC0F02"/>
    <w:rsid w:val="00CC13E8"/>
    <w:rsid w:val="00CC167E"/>
    <w:rsid w:val="00CC191B"/>
    <w:rsid w:val="00CC232C"/>
    <w:rsid w:val="00CC32C8"/>
    <w:rsid w:val="00CC4050"/>
    <w:rsid w:val="00CC52AD"/>
    <w:rsid w:val="00CC7E3B"/>
    <w:rsid w:val="00CD0560"/>
    <w:rsid w:val="00CD16AE"/>
    <w:rsid w:val="00CD1B89"/>
    <w:rsid w:val="00CD279D"/>
    <w:rsid w:val="00CD387E"/>
    <w:rsid w:val="00CD38B0"/>
    <w:rsid w:val="00CD3CA4"/>
    <w:rsid w:val="00CD498D"/>
    <w:rsid w:val="00CD6E47"/>
    <w:rsid w:val="00CD7A67"/>
    <w:rsid w:val="00CE05FB"/>
    <w:rsid w:val="00CE0670"/>
    <w:rsid w:val="00CE0F70"/>
    <w:rsid w:val="00CE2A41"/>
    <w:rsid w:val="00CE3404"/>
    <w:rsid w:val="00CE4469"/>
    <w:rsid w:val="00CE7256"/>
    <w:rsid w:val="00CF002F"/>
    <w:rsid w:val="00CF0953"/>
    <w:rsid w:val="00CF0B14"/>
    <w:rsid w:val="00CF0B76"/>
    <w:rsid w:val="00CF14A7"/>
    <w:rsid w:val="00CF2731"/>
    <w:rsid w:val="00CF3C7F"/>
    <w:rsid w:val="00CF6929"/>
    <w:rsid w:val="00CF784D"/>
    <w:rsid w:val="00CF7C47"/>
    <w:rsid w:val="00D01843"/>
    <w:rsid w:val="00D01942"/>
    <w:rsid w:val="00D0240D"/>
    <w:rsid w:val="00D03598"/>
    <w:rsid w:val="00D0425B"/>
    <w:rsid w:val="00D05013"/>
    <w:rsid w:val="00D0560B"/>
    <w:rsid w:val="00D073DB"/>
    <w:rsid w:val="00D1014C"/>
    <w:rsid w:val="00D10B2F"/>
    <w:rsid w:val="00D10CB6"/>
    <w:rsid w:val="00D12B9A"/>
    <w:rsid w:val="00D13F78"/>
    <w:rsid w:val="00D15A3A"/>
    <w:rsid w:val="00D16746"/>
    <w:rsid w:val="00D16BF2"/>
    <w:rsid w:val="00D1752F"/>
    <w:rsid w:val="00D1785D"/>
    <w:rsid w:val="00D17ACD"/>
    <w:rsid w:val="00D17B15"/>
    <w:rsid w:val="00D20957"/>
    <w:rsid w:val="00D22EF3"/>
    <w:rsid w:val="00D2303B"/>
    <w:rsid w:val="00D254AA"/>
    <w:rsid w:val="00D25CA8"/>
    <w:rsid w:val="00D269BE"/>
    <w:rsid w:val="00D273A9"/>
    <w:rsid w:val="00D27C77"/>
    <w:rsid w:val="00D30527"/>
    <w:rsid w:val="00D308F3"/>
    <w:rsid w:val="00D31087"/>
    <w:rsid w:val="00D310FA"/>
    <w:rsid w:val="00D31899"/>
    <w:rsid w:val="00D331AB"/>
    <w:rsid w:val="00D3326E"/>
    <w:rsid w:val="00D33745"/>
    <w:rsid w:val="00D351F7"/>
    <w:rsid w:val="00D363E5"/>
    <w:rsid w:val="00D36801"/>
    <w:rsid w:val="00D36D04"/>
    <w:rsid w:val="00D37FFA"/>
    <w:rsid w:val="00D41100"/>
    <w:rsid w:val="00D4127D"/>
    <w:rsid w:val="00D41FCB"/>
    <w:rsid w:val="00D431D5"/>
    <w:rsid w:val="00D43C90"/>
    <w:rsid w:val="00D448BD"/>
    <w:rsid w:val="00D452FC"/>
    <w:rsid w:val="00D453B4"/>
    <w:rsid w:val="00D4582E"/>
    <w:rsid w:val="00D45B9A"/>
    <w:rsid w:val="00D464ED"/>
    <w:rsid w:val="00D50459"/>
    <w:rsid w:val="00D51A10"/>
    <w:rsid w:val="00D52375"/>
    <w:rsid w:val="00D52E61"/>
    <w:rsid w:val="00D55243"/>
    <w:rsid w:val="00D55869"/>
    <w:rsid w:val="00D56737"/>
    <w:rsid w:val="00D6090F"/>
    <w:rsid w:val="00D60EDF"/>
    <w:rsid w:val="00D615E2"/>
    <w:rsid w:val="00D61E45"/>
    <w:rsid w:val="00D62B1D"/>
    <w:rsid w:val="00D6329D"/>
    <w:rsid w:val="00D633BE"/>
    <w:rsid w:val="00D63DF3"/>
    <w:rsid w:val="00D63FEF"/>
    <w:rsid w:val="00D6458F"/>
    <w:rsid w:val="00D64656"/>
    <w:rsid w:val="00D65264"/>
    <w:rsid w:val="00D65E7A"/>
    <w:rsid w:val="00D67318"/>
    <w:rsid w:val="00D67616"/>
    <w:rsid w:val="00D67AA0"/>
    <w:rsid w:val="00D67D28"/>
    <w:rsid w:val="00D70649"/>
    <w:rsid w:val="00D70AC1"/>
    <w:rsid w:val="00D712A7"/>
    <w:rsid w:val="00D72C70"/>
    <w:rsid w:val="00D7324B"/>
    <w:rsid w:val="00D743ED"/>
    <w:rsid w:val="00D745F2"/>
    <w:rsid w:val="00D7517E"/>
    <w:rsid w:val="00D7574A"/>
    <w:rsid w:val="00D763DA"/>
    <w:rsid w:val="00D77085"/>
    <w:rsid w:val="00D77500"/>
    <w:rsid w:val="00D775A0"/>
    <w:rsid w:val="00D80324"/>
    <w:rsid w:val="00D808B8"/>
    <w:rsid w:val="00D80DBE"/>
    <w:rsid w:val="00D816CD"/>
    <w:rsid w:val="00D8180F"/>
    <w:rsid w:val="00D82ADC"/>
    <w:rsid w:val="00D82C4D"/>
    <w:rsid w:val="00D832E8"/>
    <w:rsid w:val="00D84CC1"/>
    <w:rsid w:val="00D8590F"/>
    <w:rsid w:val="00D8698E"/>
    <w:rsid w:val="00D86E0D"/>
    <w:rsid w:val="00D87738"/>
    <w:rsid w:val="00D879E7"/>
    <w:rsid w:val="00D903BC"/>
    <w:rsid w:val="00D92247"/>
    <w:rsid w:val="00D92D73"/>
    <w:rsid w:val="00D954FA"/>
    <w:rsid w:val="00D9626E"/>
    <w:rsid w:val="00D96662"/>
    <w:rsid w:val="00D96EAB"/>
    <w:rsid w:val="00D973C4"/>
    <w:rsid w:val="00D97E81"/>
    <w:rsid w:val="00DA046A"/>
    <w:rsid w:val="00DA1676"/>
    <w:rsid w:val="00DA35B7"/>
    <w:rsid w:val="00DA4162"/>
    <w:rsid w:val="00DA4269"/>
    <w:rsid w:val="00DA6007"/>
    <w:rsid w:val="00DA6223"/>
    <w:rsid w:val="00DA6EE3"/>
    <w:rsid w:val="00DA707D"/>
    <w:rsid w:val="00DB0F9D"/>
    <w:rsid w:val="00DB1AED"/>
    <w:rsid w:val="00DB36FD"/>
    <w:rsid w:val="00DB39DC"/>
    <w:rsid w:val="00DB3B62"/>
    <w:rsid w:val="00DB3E8D"/>
    <w:rsid w:val="00DC14A4"/>
    <w:rsid w:val="00DC193F"/>
    <w:rsid w:val="00DC1C0E"/>
    <w:rsid w:val="00DC1CB2"/>
    <w:rsid w:val="00DC1FB1"/>
    <w:rsid w:val="00DC36C6"/>
    <w:rsid w:val="00DC3D93"/>
    <w:rsid w:val="00DC3E0B"/>
    <w:rsid w:val="00DC495D"/>
    <w:rsid w:val="00DC61B6"/>
    <w:rsid w:val="00DC70C9"/>
    <w:rsid w:val="00DC710A"/>
    <w:rsid w:val="00DD0512"/>
    <w:rsid w:val="00DD1597"/>
    <w:rsid w:val="00DD1E02"/>
    <w:rsid w:val="00DD2B30"/>
    <w:rsid w:val="00DD3D29"/>
    <w:rsid w:val="00DD3F53"/>
    <w:rsid w:val="00DD4BFC"/>
    <w:rsid w:val="00DD4E56"/>
    <w:rsid w:val="00DD5C3F"/>
    <w:rsid w:val="00DD5F53"/>
    <w:rsid w:val="00DD6A32"/>
    <w:rsid w:val="00DD74AA"/>
    <w:rsid w:val="00DD7923"/>
    <w:rsid w:val="00DE07D5"/>
    <w:rsid w:val="00DE1AF4"/>
    <w:rsid w:val="00DE2964"/>
    <w:rsid w:val="00DE2A26"/>
    <w:rsid w:val="00DE3C2E"/>
    <w:rsid w:val="00DE60C6"/>
    <w:rsid w:val="00DE6191"/>
    <w:rsid w:val="00DE64B7"/>
    <w:rsid w:val="00DE6994"/>
    <w:rsid w:val="00DE7084"/>
    <w:rsid w:val="00DF051B"/>
    <w:rsid w:val="00DF2058"/>
    <w:rsid w:val="00DF2150"/>
    <w:rsid w:val="00DF226C"/>
    <w:rsid w:val="00DF2B5E"/>
    <w:rsid w:val="00DF332F"/>
    <w:rsid w:val="00DF4A87"/>
    <w:rsid w:val="00DF72FA"/>
    <w:rsid w:val="00DF7D37"/>
    <w:rsid w:val="00E004D5"/>
    <w:rsid w:val="00E00DEC"/>
    <w:rsid w:val="00E019F2"/>
    <w:rsid w:val="00E01E49"/>
    <w:rsid w:val="00E024B0"/>
    <w:rsid w:val="00E03AC7"/>
    <w:rsid w:val="00E04E8C"/>
    <w:rsid w:val="00E052E9"/>
    <w:rsid w:val="00E06A0C"/>
    <w:rsid w:val="00E06D00"/>
    <w:rsid w:val="00E07143"/>
    <w:rsid w:val="00E07204"/>
    <w:rsid w:val="00E07431"/>
    <w:rsid w:val="00E07C18"/>
    <w:rsid w:val="00E10739"/>
    <w:rsid w:val="00E13012"/>
    <w:rsid w:val="00E1365B"/>
    <w:rsid w:val="00E14AE7"/>
    <w:rsid w:val="00E14BED"/>
    <w:rsid w:val="00E15B32"/>
    <w:rsid w:val="00E16801"/>
    <w:rsid w:val="00E16924"/>
    <w:rsid w:val="00E16E86"/>
    <w:rsid w:val="00E20AAC"/>
    <w:rsid w:val="00E20DF2"/>
    <w:rsid w:val="00E21A78"/>
    <w:rsid w:val="00E21C05"/>
    <w:rsid w:val="00E23641"/>
    <w:rsid w:val="00E23AD2"/>
    <w:rsid w:val="00E23CC5"/>
    <w:rsid w:val="00E23E0C"/>
    <w:rsid w:val="00E270A1"/>
    <w:rsid w:val="00E303AF"/>
    <w:rsid w:val="00E314EC"/>
    <w:rsid w:val="00E3235F"/>
    <w:rsid w:val="00E32634"/>
    <w:rsid w:val="00E33C5B"/>
    <w:rsid w:val="00E348C8"/>
    <w:rsid w:val="00E351F8"/>
    <w:rsid w:val="00E35890"/>
    <w:rsid w:val="00E35DF9"/>
    <w:rsid w:val="00E36422"/>
    <w:rsid w:val="00E37944"/>
    <w:rsid w:val="00E41A02"/>
    <w:rsid w:val="00E437C3"/>
    <w:rsid w:val="00E43ED8"/>
    <w:rsid w:val="00E456EE"/>
    <w:rsid w:val="00E45B3A"/>
    <w:rsid w:val="00E4648C"/>
    <w:rsid w:val="00E46730"/>
    <w:rsid w:val="00E46832"/>
    <w:rsid w:val="00E473FE"/>
    <w:rsid w:val="00E475DD"/>
    <w:rsid w:val="00E51C65"/>
    <w:rsid w:val="00E546C6"/>
    <w:rsid w:val="00E5487C"/>
    <w:rsid w:val="00E55E3F"/>
    <w:rsid w:val="00E60713"/>
    <w:rsid w:val="00E60A71"/>
    <w:rsid w:val="00E60E27"/>
    <w:rsid w:val="00E61562"/>
    <w:rsid w:val="00E61A06"/>
    <w:rsid w:val="00E624DC"/>
    <w:rsid w:val="00E62666"/>
    <w:rsid w:val="00E62F11"/>
    <w:rsid w:val="00E63476"/>
    <w:rsid w:val="00E64D88"/>
    <w:rsid w:val="00E65D3A"/>
    <w:rsid w:val="00E66B83"/>
    <w:rsid w:val="00E67919"/>
    <w:rsid w:val="00E679A2"/>
    <w:rsid w:val="00E67AEA"/>
    <w:rsid w:val="00E67D7F"/>
    <w:rsid w:val="00E70E2D"/>
    <w:rsid w:val="00E718B1"/>
    <w:rsid w:val="00E719EA"/>
    <w:rsid w:val="00E72439"/>
    <w:rsid w:val="00E739E3"/>
    <w:rsid w:val="00E74E5F"/>
    <w:rsid w:val="00E74F0C"/>
    <w:rsid w:val="00E7666E"/>
    <w:rsid w:val="00E76CE3"/>
    <w:rsid w:val="00E8078A"/>
    <w:rsid w:val="00E80CA1"/>
    <w:rsid w:val="00E8223F"/>
    <w:rsid w:val="00E829C6"/>
    <w:rsid w:val="00E834F8"/>
    <w:rsid w:val="00E848A4"/>
    <w:rsid w:val="00E84CB2"/>
    <w:rsid w:val="00E853AA"/>
    <w:rsid w:val="00E85BF2"/>
    <w:rsid w:val="00E87B2C"/>
    <w:rsid w:val="00E903C7"/>
    <w:rsid w:val="00E90632"/>
    <w:rsid w:val="00E914FA"/>
    <w:rsid w:val="00E91F1F"/>
    <w:rsid w:val="00E9288E"/>
    <w:rsid w:val="00E94A89"/>
    <w:rsid w:val="00E94E22"/>
    <w:rsid w:val="00E96885"/>
    <w:rsid w:val="00E97EE6"/>
    <w:rsid w:val="00EA01A5"/>
    <w:rsid w:val="00EA0F0E"/>
    <w:rsid w:val="00EA4430"/>
    <w:rsid w:val="00EA4C5E"/>
    <w:rsid w:val="00EA4FAF"/>
    <w:rsid w:val="00EA558B"/>
    <w:rsid w:val="00EA6619"/>
    <w:rsid w:val="00EB08D1"/>
    <w:rsid w:val="00EB12B4"/>
    <w:rsid w:val="00EB1BFF"/>
    <w:rsid w:val="00EB27AB"/>
    <w:rsid w:val="00EB2BFD"/>
    <w:rsid w:val="00EB3358"/>
    <w:rsid w:val="00EB3606"/>
    <w:rsid w:val="00EB37B3"/>
    <w:rsid w:val="00EB40D2"/>
    <w:rsid w:val="00EB4B28"/>
    <w:rsid w:val="00EB4DEF"/>
    <w:rsid w:val="00EB6460"/>
    <w:rsid w:val="00EB7A2F"/>
    <w:rsid w:val="00EC015B"/>
    <w:rsid w:val="00EC185B"/>
    <w:rsid w:val="00EC263C"/>
    <w:rsid w:val="00EC32B5"/>
    <w:rsid w:val="00EC3694"/>
    <w:rsid w:val="00EC42E4"/>
    <w:rsid w:val="00EC5863"/>
    <w:rsid w:val="00EC624F"/>
    <w:rsid w:val="00EC686A"/>
    <w:rsid w:val="00EC68DD"/>
    <w:rsid w:val="00EC691F"/>
    <w:rsid w:val="00EC7FF3"/>
    <w:rsid w:val="00ED03B9"/>
    <w:rsid w:val="00ED0760"/>
    <w:rsid w:val="00ED1251"/>
    <w:rsid w:val="00ED2C4F"/>
    <w:rsid w:val="00ED2FE2"/>
    <w:rsid w:val="00ED3CED"/>
    <w:rsid w:val="00ED5416"/>
    <w:rsid w:val="00ED6574"/>
    <w:rsid w:val="00ED7BB2"/>
    <w:rsid w:val="00ED7BDC"/>
    <w:rsid w:val="00EE002E"/>
    <w:rsid w:val="00EE03FA"/>
    <w:rsid w:val="00EE0A03"/>
    <w:rsid w:val="00EE0B61"/>
    <w:rsid w:val="00EE1ED9"/>
    <w:rsid w:val="00EE2BEA"/>
    <w:rsid w:val="00EE32A1"/>
    <w:rsid w:val="00EE34E9"/>
    <w:rsid w:val="00EE35B1"/>
    <w:rsid w:val="00EE43E1"/>
    <w:rsid w:val="00EE4DD8"/>
    <w:rsid w:val="00EE504A"/>
    <w:rsid w:val="00EE50E9"/>
    <w:rsid w:val="00EE6E7B"/>
    <w:rsid w:val="00EE7980"/>
    <w:rsid w:val="00EE7EBC"/>
    <w:rsid w:val="00EF09D1"/>
    <w:rsid w:val="00EF0FD6"/>
    <w:rsid w:val="00EF188C"/>
    <w:rsid w:val="00EF21C4"/>
    <w:rsid w:val="00EF2372"/>
    <w:rsid w:val="00EF35A4"/>
    <w:rsid w:val="00EF46F9"/>
    <w:rsid w:val="00EF746F"/>
    <w:rsid w:val="00EF7EBD"/>
    <w:rsid w:val="00F00E7A"/>
    <w:rsid w:val="00F00F38"/>
    <w:rsid w:val="00F014C0"/>
    <w:rsid w:val="00F03F51"/>
    <w:rsid w:val="00F045C3"/>
    <w:rsid w:val="00F045CC"/>
    <w:rsid w:val="00F04742"/>
    <w:rsid w:val="00F06298"/>
    <w:rsid w:val="00F06C11"/>
    <w:rsid w:val="00F11864"/>
    <w:rsid w:val="00F119E5"/>
    <w:rsid w:val="00F12046"/>
    <w:rsid w:val="00F1276A"/>
    <w:rsid w:val="00F12C88"/>
    <w:rsid w:val="00F1385D"/>
    <w:rsid w:val="00F140EC"/>
    <w:rsid w:val="00F1571B"/>
    <w:rsid w:val="00F179DD"/>
    <w:rsid w:val="00F22CCC"/>
    <w:rsid w:val="00F23706"/>
    <w:rsid w:val="00F25430"/>
    <w:rsid w:val="00F26036"/>
    <w:rsid w:val="00F268CF"/>
    <w:rsid w:val="00F3121E"/>
    <w:rsid w:val="00F3180B"/>
    <w:rsid w:val="00F338AB"/>
    <w:rsid w:val="00F3555D"/>
    <w:rsid w:val="00F35A2E"/>
    <w:rsid w:val="00F36081"/>
    <w:rsid w:val="00F37DC1"/>
    <w:rsid w:val="00F40632"/>
    <w:rsid w:val="00F40D05"/>
    <w:rsid w:val="00F40E3E"/>
    <w:rsid w:val="00F41C7A"/>
    <w:rsid w:val="00F42221"/>
    <w:rsid w:val="00F4231D"/>
    <w:rsid w:val="00F42872"/>
    <w:rsid w:val="00F43117"/>
    <w:rsid w:val="00F43C9E"/>
    <w:rsid w:val="00F44410"/>
    <w:rsid w:val="00F45787"/>
    <w:rsid w:val="00F46F2B"/>
    <w:rsid w:val="00F470FF"/>
    <w:rsid w:val="00F503E9"/>
    <w:rsid w:val="00F518F1"/>
    <w:rsid w:val="00F52659"/>
    <w:rsid w:val="00F53828"/>
    <w:rsid w:val="00F549A7"/>
    <w:rsid w:val="00F54FAE"/>
    <w:rsid w:val="00F55709"/>
    <w:rsid w:val="00F576F7"/>
    <w:rsid w:val="00F57ABE"/>
    <w:rsid w:val="00F57C26"/>
    <w:rsid w:val="00F61ED9"/>
    <w:rsid w:val="00F62E09"/>
    <w:rsid w:val="00F64ECE"/>
    <w:rsid w:val="00F6551F"/>
    <w:rsid w:val="00F65A14"/>
    <w:rsid w:val="00F65D00"/>
    <w:rsid w:val="00F66524"/>
    <w:rsid w:val="00F716F1"/>
    <w:rsid w:val="00F71F88"/>
    <w:rsid w:val="00F72CF8"/>
    <w:rsid w:val="00F7417B"/>
    <w:rsid w:val="00F747CD"/>
    <w:rsid w:val="00F765E5"/>
    <w:rsid w:val="00F77C06"/>
    <w:rsid w:val="00F77CC9"/>
    <w:rsid w:val="00F80828"/>
    <w:rsid w:val="00F81132"/>
    <w:rsid w:val="00F816A7"/>
    <w:rsid w:val="00F81E0B"/>
    <w:rsid w:val="00F82836"/>
    <w:rsid w:val="00F82A83"/>
    <w:rsid w:val="00F832FB"/>
    <w:rsid w:val="00F841DE"/>
    <w:rsid w:val="00F84FA4"/>
    <w:rsid w:val="00F87F65"/>
    <w:rsid w:val="00F90DBB"/>
    <w:rsid w:val="00F92169"/>
    <w:rsid w:val="00F92692"/>
    <w:rsid w:val="00F927DA"/>
    <w:rsid w:val="00F938CB"/>
    <w:rsid w:val="00F93B9B"/>
    <w:rsid w:val="00F960CB"/>
    <w:rsid w:val="00F96AE8"/>
    <w:rsid w:val="00F96C4A"/>
    <w:rsid w:val="00F96F3B"/>
    <w:rsid w:val="00F97A3B"/>
    <w:rsid w:val="00FA0345"/>
    <w:rsid w:val="00FA07DD"/>
    <w:rsid w:val="00FA0DA4"/>
    <w:rsid w:val="00FA0F79"/>
    <w:rsid w:val="00FA1D44"/>
    <w:rsid w:val="00FA25DB"/>
    <w:rsid w:val="00FA3592"/>
    <w:rsid w:val="00FA3C8C"/>
    <w:rsid w:val="00FA4C98"/>
    <w:rsid w:val="00FA4D75"/>
    <w:rsid w:val="00FA51E0"/>
    <w:rsid w:val="00FA55A4"/>
    <w:rsid w:val="00FA708A"/>
    <w:rsid w:val="00FA76E4"/>
    <w:rsid w:val="00FA776C"/>
    <w:rsid w:val="00FB0A91"/>
    <w:rsid w:val="00FB15B6"/>
    <w:rsid w:val="00FB1E7C"/>
    <w:rsid w:val="00FB22C1"/>
    <w:rsid w:val="00FB34C3"/>
    <w:rsid w:val="00FB521F"/>
    <w:rsid w:val="00FB5773"/>
    <w:rsid w:val="00FB6678"/>
    <w:rsid w:val="00FB6C09"/>
    <w:rsid w:val="00FB7188"/>
    <w:rsid w:val="00FB7770"/>
    <w:rsid w:val="00FC0211"/>
    <w:rsid w:val="00FC0FC7"/>
    <w:rsid w:val="00FC1297"/>
    <w:rsid w:val="00FC1D2C"/>
    <w:rsid w:val="00FC3766"/>
    <w:rsid w:val="00FC588F"/>
    <w:rsid w:val="00FC5B3D"/>
    <w:rsid w:val="00FC7279"/>
    <w:rsid w:val="00FC75FE"/>
    <w:rsid w:val="00FD02D7"/>
    <w:rsid w:val="00FD1E8C"/>
    <w:rsid w:val="00FD1F6B"/>
    <w:rsid w:val="00FD2E2C"/>
    <w:rsid w:val="00FD38C7"/>
    <w:rsid w:val="00FD3DB2"/>
    <w:rsid w:val="00FD408C"/>
    <w:rsid w:val="00FD482B"/>
    <w:rsid w:val="00FD5859"/>
    <w:rsid w:val="00FD5DFB"/>
    <w:rsid w:val="00FD6762"/>
    <w:rsid w:val="00FD72AB"/>
    <w:rsid w:val="00FD7A28"/>
    <w:rsid w:val="00FD7C7E"/>
    <w:rsid w:val="00FD7DFA"/>
    <w:rsid w:val="00FE11A2"/>
    <w:rsid w:val="00FE3258"/>
    <w:rsid w:val="00FE37AF"/>
    <w:rsid w:val="00FE4B83"/>
    <w:rsid w:val="00FE566E"/>
    <w:rsid w:val="00FE579F"/>
    <w:rsid w:val="00FE7A3A"/>
    <w:rsid w:val="00FE7AD5"/>
    <w:rsid w:val="00FF00AC"/>
    <w:rsid w:val="00FF13F2"/>
    <w:rsid w:val="00FF187C"/>
    <w:rsid w:val="00FF28B9"/>
    <w:rsid w:val="00FF32D1"/>
    <w:rsid w:val="00FF3552"/>
    <w:rsid w:val="00FF37C4"/>
    <w:rsid w:val="00FF54D0"/>
    <w:rsid w:val="00FF584F"/>
    <w:rsid w:val="00FF5EC8"/>
    <w:rsid w:val="00FF6D6F"/>
    <w:rsid w:val="00FF7129"/>
    <w:rsid w:val="00FF7809"/>
    <w:rsid w:val="09A47762"/>
    <w:rsid w:val="1E640224"/>
    <w:rsid w:val="296D7A53"/>
    <w:rsid w:val="3527671D"/>
    <w:rsid w:val="502C28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qFormat="1" w:uiPriority="39" w:semiHidden="0" w:name="toc 2"/>
    <w:lsdException w:qFormat="1"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qFormat="1" w:uiPriority="99" w:semiHidden="0"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27">
    <w:name w:val="Default Paragraph Font"/>
    <w:semiHidden/>
    <w:unhideWhenUsed/>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unhideWhenUsed/>
    <w:uiPriority w:val="39"/>
    <w:pPr>
      <w:ind w:left="2520" w:leftChars="1200"/>
    </w:pPr>
  </w:style>
  <w:style w:type="paragraph" w:styleId="5">
    <w:name w:val="table of authorities"/>
    <w:basedOn w:val="1"/>
    <w:next w:val="1"/>
    <w:link w:val="46"/>
    <w:semiHidden/>
    <w:unhideWhenUsed/>
    <w:uiPriority w:val="99"/>
    <w:pPr>
      <w:ind w:left="420" w:leftChars="200"/>
    </w:pPr>
  </w:style>
  <w:style w:type="paragraph" w:styleId="6">
    <w:name w:val="Normal Indent"/>
    <w:basedOn w:val="1"/>
    <w:unhideWhenUsed/>
    <w:qFormat/>
    <w:uiPriority w:val="99"/>
    <w:pPr>
      <w:ind w:firstLine="420" w:firstLineChars="200"/>
    </w:pPr>
  </w:style>
  <w:style w:type="paragraph" w:styleId="7">
    <w:name w:val="Body Text Indent"/>
    <w:basedOn w:val="1"/>
    <w:link w:val="64"/>
    <w:unhideWhenUsed/>
    <w:qFormat/>
    <w:uiPriority w:val="0"/>
    <w:pPr>
      <w:spacing w:after="120"/>
      <w:ind w:left="420" w:leftChars="200"/>
    </w:pPr>
  </w:style>
  <w:style w:type="paragraph" w:styleId="8">
    <w:name w:val="toc 5"/>
    <w:basedOn w:val="1"/>
    <w:next w:val="1"/>
    <w:unhideWhenUsed/>
    <w:uiPriority w:val="39"/>
    <w:pPr>
      <w:ind w:left="1680" w:leftChars="800"/>
    </w:pPr>
  </w:style>
  <w:style w:type="paragraph" w:styleId="9">
    <w:name w:val="toc 3"/>
    <w:basedOn w:val="10"/>
    <w:next w:val="1"/>
    <w:unhideWhenUsed/>
    <w:qFormat/>
    <w:uiPriority w:val="39"/>
    <w:pPr>
      <w:widowControl/>
      <w:tabs>
        <w:tab w:val="right" w:leader="dot" w:pos="8296"/>
      </w:tabs>
      <w:spacing w:after="100" w:line="276" w:lineRule="auto"/>
      <w:ind w:left="442"/>
    </w:pPr>
    <w:rPr>
      <w:b w:val="0"/>
      <w:kern w:val="0"/>
    </w:rPr>
  </w:style>
  <w:style w:type="paragraph" w:customStyle="1" w:styleId="10">
    <w:name w:val="3标题"/>
    <w:basedOn w:val="11"/>
    <w:link w:val="38"/>
    <w:qFormat/>
    <w:uiPriority w:val="0"/>
    <w:pPr>
      <w:snapToGrid w:val="0"/>
      <w:spacing w:before="0" w:after="0" w:line="440" w:lineRule="exact"/>
      <w:ind w:firstLine="200" w:firstLineChars="200"/>
      <w:jc w:val="left"/>
      <w:outlineLvl w:val="2"/>
    </w:pPr>
    <w:rPr>
      <w:rFonts w:ascii="Times New Roman" w:hAnsi="Times New Roman" w:eastAsia="宋体"/>
      <w:sz w:val="24"/>
      <w:szCs w:val="21"/>
    </w:rPr>
  </w:style>
  <w:style w:type="paragraph" w:styleId="11">
    <w:name w:val="Title"/>
    <w:basedOn w:val="1"/>
    <w:next w:val="1"/>
    <w:link w:val="35"/>
    <w:qFormat/>
    <w:uiPriority w:val="10"/>
    <w:pPr>
      <w:spacing w:before="240" w:after="60"/>
      <w:jc w:val="center"/>
      <w:outlineLvl w:val="0"/>
    </w:pPr>
    <w:rPr>
      <w:rFonts w:asciiTheme="majorHAnsi" w:hAnsiTheme="majorHAnsi" w:eastAsiaTheme="majorEastAsia" w:cstheme="majorBidi"/>
      <w:b/>
      <w:bCs/>
      <w:sz w:val="32"/>
      <w:szCs w:val="32"/>
    </w:rPr>
  </w:style>
  <w:style w:type="paragraph" w:styleId="12">
    <w:name w:val="toc 8"/>
    <w:basedOn w:val="1"/>
    <w:next w:val="1"/>
    <w:unhideWhenUsed/>
    <w:uiPriority w:val="39"/>
    <w:pPr>
      <w:ind w:left="2940" w:leftChars="1400"/>
    </w:pPr>
  </w:style>
  <w:style w:type="paragraph" w:styleId="13">
    <w:name w:val="Balloon Text"/>
    <w:basedOn w:val="1"/>
    <w:link w:val="51"/>
    <w:semiHidden/>
    <w:unhideWhenUsed/>
    <w:uiPriority w:val="99"/>
    <w:rPr>
      <w:sz w:val="18"/>
      <w:szCs w:val="18"/>
    </w:rPr>
  </w:style>
  <w:style w:type="paragraph" w:styleId="14">
    <w:name w:val="footer"/>
    <w:basedOn w:val="1"/>
    <w:link w:val="32"/>
    <w:unhideWhenUsed/>
    <w:qFormat/>
    <w:uiPriority w:val="0"/>
    <w:pPr>
      <w:tabs>
        <w:tab w:val="center" w:pos="4153"/>
        <w:tab w:val="right" w:pos="8306"/>
      </w:tabs>
      <w:snapToGrid w:val="0"/>
      <w:jc w:val="left"/>
    </w:pPr>
    <w:rPr>
      <w:sz w:val="18"/>
      <w:szCs w:val="18"/>
    </w:rPr>
  </w:style>
  <w:style w:type="paragraph" w:styleId="15">
    <w:name w:val="header"/>
    <w:basedOn w:val="1"/>
    <w:link w:val="31"/>
    <w:unhideWhenUsed/>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7"/>
    <w:next w:val="1"/>
    <w:unhideWhenUsed/>
    <w:uiPriority w:val="39"/>
    <w:pPr>
      <w:widowControl/>
      <w:spacing w:line="276" w:lineRule="auto"/>
    </w:pPr>
    <w:rPr>
      <w:b w:val="0"/>
      <w:snapToGrid w:val="0"/>
      <w:kern w:val="0"/>
    </w:rPr>
  </w:style>
  <w:style w:type="paragraph" w:customStyle="1" w:styleId="17">
    <w:name w:val="1标题"/>
    <w:basedOn w:val="18"/>
    <w:link w:val="36"/>
    <w:qFormat/>
    <w:uiPriority w:val="0"/>
    <w:pPr>
      <w:snapToGrid/>
      <w:spacing w:line="288" w:lineRule="auto"/>
      <w:ind w:firstLine="562"/>
    </w:pPr>
    <w:rPr>
      <w:sz w:val="30"/>
    </w:rPr>
  </w:style>
  <w:style w:type="paragraph" w:customStyle="1" w:styleId="18">
    <w:name w:val="2标题"/>
    <w:basedOn w:val="11"/>
    <w:link w:val="37"/>
    <w:qFormat/>
    <w:uiPriority w:val="0"/>
    <w:pPr>
      <w:snapToGrid w:val="0"/>
      <w:spacing w:before="0" w:after="0" w:line="440" w:lineRule="exact"/>
      <w:ind w:firstLine="200" w:firstLineChars="200"/>
      <w:jc w:val="left"/>
      <w:outlineLvl w:val="1"/>
    </w:pPr>
    <w:rPr>
      <w:rFonts w:ascii="Times New Roman" w:hAnsi="Times New Roman" w:eastAsia="宋体"/>
      <w:sz w:val="28"/>
      <w:szCs w:val="24"/>
    </w:rPr>
  </w:style>
  <w:style w:type="paragraph" w:styleId="19">
    <w:name w:val="toc 4"/>
    <w:basedOn w:val="1"/>
    <w:next w:val="1"/>
    <w:unhideWhenUsed/>
    <w:uiPriority w:val="39"/>
    <w:pPr>
      <w:ind w:left="1260" w:leftChars="600"/>
    </w:pPr>
  </w:style>
  <w:style w:type="paragraph" w:styleId="20">
    <w:name w:val="toc 6"/>
    <w:basedOn w:val="1"/>
    <w:next w:val="1"/>
    <w:unhideWhenUsed/>
    <w:uiPriority w:val="39"/>
    <w:pPr>
      <w:ind w:left="2100" w:leftChars="1000"/>
    </w:pPr>
  </w:style>
  <w:style w:type="paragraph" w:styleId="21">
    <w:name w:val="toc 2"/>
    <w:basedOn w:val="18"/>
    <w:next w:val="1"/>
    <w:unhideWhenUsed/>
    <w:qFormat/>
    <w:uiPriority w:val="39"/>
    <w:pPr>
      <w:widowControl/>
      <w:tabs>
        <w:tab w:val="right" w:leader="dot" w:pos="8296"/>
      </w:tabs>
      <w:spacing w:line="276" w:lineRule="auto"/>
      <w:ind w:left="221"/>
    </w:pPr>
    <w:rPr>
      <w:b w:val="0"/>
      <w:kern w:val="0"/>
    </w:rPr>
  </w:style>
  <w:style w:type="paragraph" w:styleId="22">
    <w:name w:val="toc 9"/>
    <w:basedOn w:val="1"/>
    <w:next w:val="1"/>
    <w:unhideWhenUsed/>
    <w:uiPriority w:val="39"/>
    <w:pPr>
      <w:ind w:left="3360" w:leftChars="1600"/>
    </w:pPr>
  </w:style>
  <w:style w:type="paragraph" w:styleId="23">
    <w:name w:val="Normal (Web)"/>
    <w:basedOn w:val="1"/>
    <w:qFormat/>
    <w:uiPriority w:val="0"/>
    <w:pPr>
      <w:widowControl/>
      <w:shd w:val="clear" w:color="auto" w:fill="FFFFFF"/>
      <w:snapToGrid w:val="0"/>
      <w:spacing w:line="520" w:lineRule="exact"/>
      <w:ind w:firstLine="320" w:firstLineChars="100"/>
      <w:jc w:val="left"/>
    </w:pPr>
    <w:rPr>
      <w:rFonts w:ascii="微软雅黑" w:hAnsi="微软雅黑" w:eastAsia="微软雅黑" w:cs="微软雅黑"/>
      <w:color w:val="000000"/>
      <w:kern w:val="0"/>
      <w:sz w:val="32"/>
      <w:szCs w:val="32"/>
    </w:rPr>
  </w:style>
  <w:style w:type="paragraph" w:styleId="24">
    <w:name w:val="Body Text First Indent 2"/>
    <w:basedOn w:val="7"/>
    <w:link w:val="65"/>
    <w:unhideWhenUsed/>
    <w:qFormat/>
    <w:uiPriority w:val="99"/>
    <w:pPr>
      <w:ind w:firstLine="420" w:firstLineChars="200"/>
    </w:pPr>
  </w:style>
  <w:style w:type="table" w:styleId="26">
    <w:name w:val="Table Grid"/>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Hyperlink"/>
    <w:basedOn w:val="27"/>
    <w:unhideWhenUsed/>
    <w:uiPriority w:val="99"/>
    <w:rPr>
      <w:color w:val="0563C1" w:themeColor="hyperlink"/>
      <w:u w:val="single"/>
      <w14:textFill>
        <w14:solidFill>
          <w14:schemeClr w14:val="hlink"/>
        </w14:solidFill>
      </w14:textFill>
    </w:rPr>
  </w:style>
  <w:style w:type="character" w:customStyle="1" w:styleId="29">
    <w:name w:val="标题 1 字符"/>
    <w:basedOn w:val="27"/>
    <w:link w:val="2"/>
    <w:qFormat/>
    <w:uiPriority w:val="9"/>
    <w:rPr>
      <w:b/>
      <w:bCs/>
      <w:kern w:val="44"/>
      <w:sz w:val="44"/>
      <w:szCs w:val="44"/>
    </w:rPr>
  </w:style>
  <w:style w:type="character" w:customStyle="1" w:styleId="30">
    <w:name w:val="标题 2 字符"/>
    <w:basedOn w:val="27"/>
    <w:link w:val="3"/>
    <w:qFormat/>
    <w:uiPriority w:val="0"/>
    <w:rPr>
      <w:rFonts w:asciiTheme="majorHAnsi" w:hAnsiTheme="majorHAnsi" w:eastAsiaTheme="majorEastAsia" w:cstheme="majorBidi"/>
      <w:b/>
      <w:bCs/>
      <w:sz w:val="32"/>
      <w:szCs w:val="32"/>
    </w:rPr>
  </w:style>
  <w:style w:type="character" w:customStyle="1" w:styleId="31">
    <w:name w:val="页眉 字符"/>
    <w:basedOn w:val="27"/>
    <w:link w:val="15"/>
    <w:qFormat/>
    <w:uiPriority w:val="0"/>
    <w:rPr>
      <w:sz w:val="18"/>
      <w:szCs w:val="18"/>
    </w:rPr>
  </w:style>
  <w:style w:type="character" w:customStyle="1" w:styleId="32">
    <w:name w:val="页脚 字符"/>
    <w:basedOn w:val="27"/>
    <w:link w:val="14"/>
    <w:qFormat/>
    <w:uiPriority w:val="0"/>
    <w:rPr>
      <w:sz w:val="18"/>
      <w:szCs w:val="18"/>
    </w:rPr>
  </w:style>
  <w:style w:type="table" w:customStyle="1" w:styleId="33">
    <w:name w:val="TableGrid"/>
    <w:qFormat/>
    <w:uiPriority w:val="0"/>
    <w:tblPr>
      <w:tblCellMar>
        <w:top w:w="0" w:type="dxa"/>
        <w:left w:w="0" w:type="dxa"/>
        <w:bottom w:w="0" w:type="dxa"/>
        <w:right w:w="0" w:type="dxa"/>
      </w:tblCellMar>
    </w:tblPr>
  </w:style>
  <w:style w:type="paragraph" w:styleId="34">
    <w:name w:val="List Paragraph"/>
    <w:basedOn w:val="1"/>
    <w:qFormat/>
    <w:uiPriority w:val="34"/>
    <w:pPr>
      <w:ind w:firstLine="420" w:firstLineChars="200"/>
    </w:pPr>
  </w:style>
  <w:style w:type="character" w:customStyle="1" w:styleId="35">
    <w:name w:val="标题 字符"/>
    <w:basedOn w:val="27"/>
    <w:link w:val="11"/>
    <w:uiPriority w:val="10"/>
    <w:rPr>
      <w:rFonts w:asciiTheme="majorHAnsi" w:hAnsiTheme="majorHAnsi" w:eastAsiaTheme="majorEastAsia" w:cstheme="majorBidi"/>
      <w:b/>
      <w:bCs/>
      <w:sz w:val="32"/>
      <w:szCs w:val="32"/>
    </w:rPr>
  </w:style>
  <w:style w:type="character" w:customStyle="1" w:styleId="36">
    <w:name w:val="1标题 字符"/>
    <w:basedOn w:val="27"/>
    <w:link w:val="17"/>
    <w:uiPriority w:val="0"/>
    <w:rPr>
      <w:rFonts w:ascii="Times New Roman" w:hAnsi="Times New Roman" w:eastAsia="宋体" w:cstheme="majorBidi"/>
      <w:b/>
      <w:bCs/>
      <w:sz w:val="30"/>
      <w:szCs w:val="24"/>
    </w:rPr>
  </w:style>
  <w:style w:type="character" w:customStyle="1" w:styleId="37">
    <w:name w:val="2标题 字符"/>
    <w:basedOn w:val="27"/>
    <w:link w:val="18"/>
    <w:uiPriority w:val="0"/>
    <w:rPr>
      <w:rFonts w:ascii="Times New Roman" w:hAnsi="Times New Roman" w:eastAsia="宋体" w:cstheme="majorBidi"/>
      <w:b/>
      <w:bCs/>
      <w:sz w:val="28"/>
      <w:szCs w:val="24"/>
    </w:rPr>
  </w:style>
  <w:style w:type="character" w:customStyle="1" w:styleId="38">
    <w:name w:val="3标题 字符"/>
    <w:basedOn w:val="37"/>
    <w:link w:val="10"/>
    <w:uiPriority w:val="0"/>
    <w:rPr>
      <w:rFonts w:ascii="Times New Roman" w:hAnsi="Times New Roman" w:eastAsia="宋体" w:cstheme="majorBidi"/>
      <w:sz w:val="24"/>
      <w:szCs w:val="21"/>
    </w:rPr>
  </w:style>
  <w:style w:type="paragraph" w:customStyle="1" w:styleId="39">
    <w:name w:val="4正文"/>
    <w:basedOn w:val="1"/>
    <w:link w:val="40"/>
    <w:qFormat/>
    <w:uiPriority w:val="0"/>
    <w:pPr>
      <w:snapToGrid w:val="0"/>
      <w:spacing w:line="440" w:lineRule="exact"/>
      <w:ind w:firstLine="200" w:firstLineChars="200"/>
    </w:pPr>
    <w:rPr>
      <w:rFonts w:ascii="Times New Roman" w:hAnsi="Times New Roman" w:eastAsia="宋体"/>
      <w:sz w:val="24"/>
    </w:rPr>
  </w:style>
  <w:style w:type="character" w:customStyle="1" w:styleId="40">
    <w:name w:val="4正文 字符"/>
    <w:basedOn w:val="27"/>
    <w:link w:val="39"/>
    <w:qFormat/>
    <w:uiPriority w:val="0"/>
    <w:rPr>
      <w:rFonts w:ascii="Times New Roman" w:hAnsi="Times New Roman" w:eastAsia="宋体"/>
      <w:sz w:val="24"/>
    </w:rPr>
  </w:style>
  <w:style w:type="paragraph" w:customStyle="1" w:styleId="41">
    <w:name w:val="5表格内标题"/>
    <w:basedOn w:val="1"/>
    <w:link w:val="42"/>
    <w:qFormat/>
    <w:uiPriority w:val="0"/>
    <w:pPr>
      <w:snapToGrid w:val="0"/>
      <w:spacing w:line="440" w:lineRule="exact"/>
      <w:ind w:firstLine="200" w:firstLineChars="200"/>
      <w:jc w:val="center"/>
    </w:pPr>
    <w:rPr>
      <w:rFonts w:ascii="Times New Roman" w:hAnsi="Times New Roman" w:eastAsia="宋体"/>
    </w:rPr>
  </w:style>
  <w:style w:type="character" w:customStyle="1" w:styleId="42">
    <w:name w:val="5表格内标题 字符"/>
    <w:basedOn w:val="27"/>
    <w:link w:val="41"/>
    <w:uiPriority w:val="0"/>
    <w:rPr>
      <w:rFonts w:ascii="Times New Roman" w:hAnsi="Times New Roman" w:eastAsia="宋体"/>
    </w:rPr>
  </w:style>
  <w:style w:type="paragraph" w:customStyle="1" w:styleId="43">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F5597" w:themeColor="accent1" w:themeShade="BF"/>
      <w:kern w:val="0"/>
      <w:sz w:val="28"/>
      <w:szCs w:val="28"/>
    </w:rPr>
  </w:style>
  <w:style w:type="paragraph" w:customStyle="1" w:styleId="44">
    <w:name w:val="我的笔记目录"/>
    <w:basedOn w:val="16"/>
    <w:link w:val="45"/>
    <w:qFormat/>
    <w:uiPriority w:val="0"/>
    <w:pPr>
      <w:tabs>
        <w:tab w:val="right" w:leader="dot" w:pos="8296"/>
      </w:tabs>
    </w:pPr>
    <w:rPr>
      <w:szCs w:val="21"/>
    </w:rPr>
  </w:style>
  <w:style w:type="character" w:customStyle="1" w:styleId="45">
    <w:name w:val="我的笔记目录 字符"/>
    <w:basedOn w:val="46"/>
    <w:link w:val="44"/>
    <w:uiPriority w:val="0"/>
    <w:rPr>
      <w:rFonts w:ascii="微软雅黑" w:hAnsi="微软雅黑" w:eastAsia="微软雅黑"/>
      <w:snapToGrid w:val="0"/>
      <w:kern w:val="0"/>
      <w:szCs w:val="21"/>
    </w:rPr>
  </w:style>
  <w:style w:type="character" w:customStyle="1" w:styleId="46">
    <w:name w:val="引文目录 字符"/>
    <w:basedOn w:val="27"/>
    <w:link w:val="5"/>
    <w:semiHidden/>
    <w:uiPriority w:val="99"/>
  </w:style>
  <w:style w:type="table" w:customStyle="1" w:styleId="47">
    <w:name w:val="网格型1"/>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
    <w:name w:val="网格型2"/>
    <w:basedOn w:val="25"/>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
    <w:name w:val="TableGrid1"/>
    <w:qFormat/>
    <w:uiPriority w:val="0"/>
    <w:rPr>
      <w:kern w:val="0"/>
      <w:sz w:val="20"/>
      <w:szCs w:val="20"/>
    </w:rPr>
    <w:tblPr>
      <w:tblCellMar>
        <w:top w:w="0" w:type="dxa"/>
        <w:left w:w="0" w:type="dxa"/>
        <w:bottom w:w="0" w:type="dxa"/>
        <w:right w:w="0" w:type="dxa"/>
      </w:tblCellMar>
    </w:tblPr>
  </w:style>
  <w:style w:type="character" w:customStyle="1" w:styleId="50">
    <w:name w:val="Unresolved Mention"/>
    <w:basedOn w:val="27"/>
    <w:semiHidden/>
    <w:unhideWhenUsed/>
    <w:uiPriority w:val="99"/>
    <w:rPr>
      <w:color w:val="808080"/>
      <w:shd w:val="clear" w:color="auto" w:fill="E6E6E6"/>
    </w:rPr>
  </w:style>
  <w:style w:type="character" w:customStyle="1" w:styleId="51">
    <w:name w:val="批注框文本 字符"/>
    <w:basedOn w:val="27"/>
    <w:link w:val="13"/>
    <w:semiHidden/>
    <w:uiPriority w:val="99"/>
    <w:rPr>
      <w:sz w:val="18"/>
      <w:szCs w:val="18"/>
    </w:rPr>
  </w:style>
  <w:style w:type="paragraph" w:customStyle="1" w:styleId="52">
    <w:name w:val="Bibliography"/>
    <w:basedOn w:val="1"/>
    <w:next w:val="1"/>
    <w:unhideWhenUsed/>
    <w:uiPriority w:val="37"/>
    <w:pPr>
      <w:tabs>
        <w:tab w:val="left" w:pos="384"/>
      </w:tabs>
      <w:ind w:left="384" w:hanging="384"/>
    </w:pPr>
  </w:style>
  <w:style w:type="character" w:customStyle="1" w:styleId="53">
    <w:name w:val="fontstyle01"/>
    <w:basedOn w:val="27"/>
    <w:uiPriority w:val="0"/>
    <w:rPr>
      <w:rFonts w:hint="eastAsia" w:ascii="宋体" w:hAnsi="宋体" w:eastAsia="宋体"/>
      <w:color w:val="242021"/>
      <w:sz w:val="20"/>
      <w:szCs w:val="20"/>
    </w:rPr>
  </w:style>
  <w:style w:type="character" w:customStyle="1" w:styleId="54">
    <w:name w:val="fontstyle11"/>
    <w:basedOn w:val="27"/>
    <w:uiPriority w:val="0"/>
    <w:rPr>
      <w:color w:val="242021"/>
      <w:sz w:val="20"/>
      <w:szCs w:val="20"/>
    </w:rPr>
  </w:style>
  <w:style w:type="character" w:customStyle="1" w:styleId="55">
    <w:name w:val="fontstyle21"/>
    <w:basedOn w:val="27"/>
    <w:uiPriority w:val="0"/>
    <w:rPr>
      <w:rFonts w:hint="default" w:ascii="DLF-3-0-1061508550+ZLTFEy-360" w:hAnsi="DLF-3-0-1061508550+ZLTFEy-360"/>
      <w:color w:val="242021"/>
      <w:sz w:val="22"/>
      <w:szCs w:val="22"/>
    </w:rPr>
  </w:style>
  <w:style w:type="paragraph" w:customStyle="1" w:styleId="56">
    <w:name w:val="正文缩进1"/>
    <w:basedOn w:val="1"/>
    <w:next w:val="6"/>
    <w:unhideWhenUsed/>
    <w:qFormat/>
    <w:uiPriority w:val="99"/>
    <w:pPr>
      <w:widowControl/>
      <w:ind w:firstLine="420" w:firstLineChars="200"/>
      <w:jc w:val="left"/>
    </w:pPr>
    <w:rPr>
      <w:sz w:val="24"/>
      <w:szCs w:val="24"/>
    </w:rPr>
  </w:style>
  <w:style w:type="paragraph" w:customStyle="1" w:styleId="57">
    <w:name w:val="正文文本缩进1"/>
    <w:basedOn w:val="1"/>
    <w:next w:val="7"/>
    <w:link w:val="58"/>
    <w:unhideWhenUsed/>
    <w:qFormat/>
    <w:uiPriority w:val="0"/>
    <w:pPr>
      <w:widowControl/>
      <w:ind w:firstLine="640" w:firstLineChars="200"/>
      <w:jc w:val="left"/>
    </w:pPr>
    <w:rPr>
      <w:sz w:val="32"/>
      <w:szCs w:val="24"/>
    </w:rPr>
  </w:style>
  <w:style w:type="character" w:customStyle="1" w:styleId="58">
    <w:name w:val="正文文本缩进 字符"/>
    <w:basedOn w:val="27"/>
    <w:link w:val="57"/>
    <w:uiPriority w:val="0"/>
    <w:rPr>
      <w:kern w:val="2"/>
      <w:sz w:val="32"/>
      <w:szCs w:val="24"/>
    </w:rPr>
  </w:style>
  <w:style w:type="paragraph" w:customStyle="1" w:styleId="59">
    <w:name w:val="正文文本首行缩进 21"/>
    <w:basedOn w:val="7"/>
    <w:next w:val="24"/>
    <w:link w:val="60"/>
    <w:unhideWhenUsed/>
    <w:qFormat/>
    <w:uiPriority w:val="99"/>
    <w:pPr>
      <w:widowControl/>
      <w:spacing w:after="0"/>
      <w:ind w:left="0" w:leftChars="0" w:firstLine="420" w:firstLineChars="200"/>
      <w:jc w:val="left"/>
    </w:pPr>
    <w:rPr>
      <w:sz w:val="32"/>
      <w:szCs w:val="24"/>
    </w:rPr>
  </w:style>
  <w:style w:type="character" w:customStyle="1" w:styleId="60">
    <w:name w:val="正文文本首行缩进 2 字符"/>
    <w:basedOn w:val="58"/>
    <w:link w:val="59"/>
    <w:uiPriority w:val="99"/>
    <w:rPr>
      <w:kern w:val="2"/>
      <w:sz w:val="32"/>
      <w:szCs w:val="24"/>
    </w:rPr>
  </w:style>
  <w:style w:type="paragraph" w:customStyle="1" w:styleId="61">
    <w:name w:val="标题1总标题"/>
    <w:basedOn w:val="10"/>
    <w:qFormat/>
    <w:uiPriority w:val="0"/>
    <w:pPr>
      <w:spacing w:line="360" w:lineRule="auto"/>
      <w:ind w:firstLine="0" w:firstLineChars="0"/>
      <w:jc w:val="center"/>
    </w:pPr>
    <w:rPr>
      <w:sz w:val="36"/>
    </w:rPr>
  </w:style>
  <w:style w:type="paragraph" w:customStyle="1" w:styleId="62">
    <w:name w:val="首行缩进"/>
    <w:basedOn w:val="1"/>
    <w:qFormat/>
    <w:uiPriority w:val="0"/>
    <w:pPr>
      <w:widowControl/>
      <w:ind w:firstLine="480" w:firstLineChars="200"/>
      <w:jc w:val="left"/>
    </w:pPr>
    <w:rPr>
      <w:sz w:val="24"/>
      <w:szCs w:val="24"/>
      <w:lang w:val="zh-CN"/>
    </w:rPr>
  </w:style>
  <w:style w:type="paragraph" w:styleId="63">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64">
    <w:name w:val="正文文本缩进 字符1"/>
    <w:basedOn w:val="27"/>
    <w:link w:val="7"/>
    <w:semiHidden/>
    <w:uiPriority w:val="99"/>
  </w:style>
  <w:style w:type="character" w:customStyle="1" w:styleId="65">
    <w:name w:val="正文文本首行缩进 2 字符1"/>
    <w:basedOn w:val="64"/>
    <w:link w:val="24"/>
    <w:semiHidden/>
    <w:uiPriority w:val="99"/>
  </w:style>
  <w:style w:type="paragraph" w:customStyle="1" w:styleId="66">
    <w:name w:val="总标题"/>
    <w:basedOn w:val="39"/>
    <w:link w:val="67"/>
    <w:uiPriority w:val="0"/>
    <w:pPr>
      <w:ind w:firstLine="480"/>
    </w:pPr>
    <w:rPr>
      <w:rFonts w:cs="方正仿宋简体"/>
      <w:bCs/>
    </w:rPr>
  </w:style>
  <w:style w:type="character" w:customStyle="1" w:styleId="67">
    <w:name w:val="总标题 字符"/>
    <w:basedOn w:val="40"/>
    <w:link w:val="66"/>
    <w:uiPriority w:val="0"/>
    <w:rPr>
      <w:rFonts w:ascii="Times New Roman" w:hAnsi="Times New Roman" w:eastAsia="宋体" w:cs="方正仿宋简体"/>
      <w:bCs/>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2A1DBF-7589-4005-AA8F-948146895898}">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1256</Words>
  <Characters>7164</Characters>
  <Lines>59</Lines>
  <Paragraphs>16</Paragraphs>
  <TotalTime>82</TotalTime>
  <ScaleCrop>false</ScaleCrop>
  <LinksUpToDate>false</LinksUpToDate>
  <CharactersWithSpaces>8404</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2024-07-25T10:56:00Z</dcterms:created>
  <dc:creator>Administrator</dc:creator>
  <cp:lastModifiedBy>Administrator</cp:lastModifiedBy>
  <cp:lastPrinted>2018-04-17T08:16:00Z</cp:lastPrinted>
  <dcterms:modified xsi:type="dcterms:W3CDTF">2024-07-30T01:32:39Z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id="LcMjNekG"/&gt;&lt;style id="http://www.zotero.org/styles/china-national-standard-gb-t-7714-2015-numeric" hasBibliography="1" bibliographyStyleHasBeenSet="1"/&gt;&lt;prefs&gt;&lt;pref name="fieldType" value="Field"</vt:lpwstr>
  </property>
  <property fmtid="{D5CDD505-2E9C-101B-9397-08002B2CF9AE}" pid="3" name="ZOTERO_PREF_2">
    <vt:lpwstr>/&gt;&lt;/prefs&gt;&lt;/data&gt;</vt:lpwstr>
  </property>
  <property fmtid="{D5CDD505-2E9C-101B-9397-08002B2CF9AE}" pid="4" name="KSOProductBuildVer">
    <vt:lpwstr>2052-11.1.0.9740</vt:lpwstr>
  </property>
</Properties>
</file>