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39"/>
        <w:ind w:firstLine="480"/>
        <w:jc w:val="left"/>
      </w:pPr>
      <w:r>
        <w:rPr>
          <w:rFonts w:hint="eastAsia"/>
        </w:rPr>
        <w:t>附件2</w:t>
      </w:r>
    </w:p>
    <w:p>
      <w:pPr>
        <w:shd w:val="clear" w:color="auto" w:fill="FFFFFF"/>
        <w:snapToGrid w:val="0"/>
        <w:spacing w:line="570" w:lineRule="exact"/>
        <w:rPr>
          <w:rFonts w:ascii="仿宋_GB2312" w:hAnsi="仿宋_GB2312" w:eastAsia="仿宋_GB2312" w:cs="仿宋_GB2312"/>
          <w:bCs/>
          <w:kern w:val="0"/>
          <w:sz w:val="32"/>
          <w:szCs w:val="32"/>
        </w:rPr>
      </w:pPr>
    </w:p>
    <w:p>
      <w:pPr>
        <w:pStyle w:val="61"/>
      </w:pPr>
      <w:r>
        <w:rPr>
          <w:rFonts w:hint="eastAsia"/>
        </w:rPr>
        <w:t>湖南省怀化市人民政府驻北京联络处</w:t>
      </w:r>
    </w:p>
    <w:p>
      <w:pPr>
        <w:pStyle w:val="61"/>
      </w:pPr>
      <w:r>
        <w:rPr>
          <w:rFonts w:hint="eastAsia"/>
        </w:rPr>
        <w:t>项目支出绩效自评报告</w:t>
      </w:r>
    </w:p>
    <w:p>
      <w:pPr>
        <w:shd w:val="clear" w:color="auto" w:fill="FFFFFF"/>
        <w:snapToGrid w:val="0"/>
        <w:spacing w:line="570" w:lineRule="exact"/>
        <w:rPr>
          <w:rFonts w:ascii="仿宋_GB2312" w:hAnsi="仿宋_GB2312" w:eastAsia="仿宋_GB2312" w:cs="仿宋_GB2312"/>
          <w:bCs/>
          <w:kern w:val="0"/>
          <w:sz w:val="32"/>
          <w:szCs w:val="32"/>
        </w:rPr>
      </w:pPr>
    </w:p>
    <w:p>
      <w:pPr>
        <w:pStyle w:val="17"/>
        <w:ind w:firstLine="602"/>
      </w:pPr>
      <w:r>
        <w:rPr>
          <w:rFonts w:hint="eastAsia"/>
        </w:rPr>
        <w:t>一、项目基本情况</w:t>
      </w:r>
    </w:p>
    <w:p>
      <w:pPr>
        <w:pStyle w:val="18"/>
        <w:ind w:firstLine="562"/>
      </w:pPr>
      <w:r>
        <w:rPr>
          <w:rFonts w:hint="eastAsia"/>
        </w:rPr>
        <w:t>（一）项目概况</w:t>
      </w:r>
    </w:p>
    <w:p>
      <w:pPr>
        <w:pStyle w:val="10"/>
        <w:ind w:firstLine="482"/>
      </w:pPr>
      <w:r>
        <w:rPr>
          <w:rFonts w:hint="eastAsia"/>
        </w:rPr>
        <w:t>1.项目决策背景</w:t>
      </w:r>
    </w:p>
    <w:p>
      <w:pPr>
        <w:pStyle w:val="39"/>
        <w:ind w:firstLine="480"/>
      </w:pPr>
      <w:r>
        <w:rPr>
          <w:rFonts w:hint="eastAsia"/>
        </w:rPr>
        <w:t>为切实加强财政专项支出预算绩效管理，进一步提高财政资金使用效益，根据《中共湖南省委办公厅 湖南省人民政府办公厅关于全面实施预算绩效管理的实施意见》（湘办发〔2019〕10号）、《湖南省财政厅关于印发〈湖南省预算支出绩效评价管理办法〉的通知》（湘财绩〔2020〕7号）等有关规定，随着单位对外政务联络、招商引资、接待服务、搜集与传输信息、对外宣传、维权维稳工作的深入与发展，本项目旨在保证开展政务联络、招商引资、接待服务、搜集与传输信息、对外宣传工作、信访事项的化解、维护首都稳定等工作的开支，同时确保资金使用效益最大化。</w:t>
      </w:r>
    </w:p>
    <w:p>
      <w:pPr>
        <w:pStyle w:val="10"/>
        <w:ind w:firstLine="482"/>
      </w:pPr>
      <w:r>
        <w:rPr>
          <w:rFonts w:hint="eastAsia"/>
        </w:rPr>
        <w:t>2.项目主要内容</w:t>
      </w:r>
    </w:p>
    <w:p>
      <w:pPr>
        <w:pStyle w:val="39"/>
        <w:ind w:firstLine="480"/>
        <w:rPr>
          <w:bCs/>
        </w:rPr>
      </w:pPr>
      <w:r>
        <w:rPr>
          <w:rFonts w:hint="eastAsia"/>
          <w:bCs/>
        </w:rPr>
        <w:t>项目主要包括</w:t>
      </w:r>
      <w:bookmarkStart w:id="0" w:name="_Hlk169295051"/>
      <w:r>
        <w:rPr>
          <w:rFonts w:hint="eastAsia"/>
          <w:bCs/>
        </w:rPr>
        <w:t>专项业务（工作）经费</w:t>
      </w:r>
      <w:bookmarkEnd w:id="0"/>
      <w:r>
        <w:rPr>
          <w:rFonts w:hint="eastAsia"/>
          <w:bCs/>
        </w:rPr>
        <w:t>62.34万元、</w:t>
      </w:r>
      <w:bookmarkStart w:id="1" w:name="_Hlk169295062"/>
      <w:r>
        <w:rPr>
          <w:rFonts w:hint="eastAsia"/>
          <w:bCs/>
        </w:rPr>
        <w:t>维权维稳（工作）经费</w:t>
      </w:r>
      <w:bookmarkEnd w:id="1"/>
      <w:r>
        <w:rPr>
          <w:rFonts w:hint="eastAsia"/>
          <w:bCs/>
        </w:rPr>
        <w:t>10万元，工作经费60万元，专项业务（工作）经费和维权维稳（工作）经费是由市委、市政府批示的延续专项业务工作经费，工作经费是财政预算追加工作经费。</w:t>
      </w:r>
    </w:p>
    <w:p>
      <w:pPr>
        <w:pStyle w:val="10"/>
        <w:ind w:firstLine="482"/>
      </w:pPr>
      <w:r>
        <w:rPr>
          <w:rFonts w:hint="eastAsia"/>
        </w:rPr>
        <w:t>3.项目组织管理机构</w:t>
      </w:r>
    </w:p>
    <w:p>
      <w:pPr>
        <w:pStyle w:val="39"/>
        <w:ind w:firstLine="480"/>
        <w:rPr>
          <w:bCs/>
        </w:rPr>
      </w:pPr>
      <w:r>
        <w:rPr>
          <w:rFonts w:hint="eastAsia"/>
          <w:bCs/>
        </w:rPr>
        <w:t>项目都为怀化市政府驻北京联络处项目，项目组织机构为湖南省怀化市政府驻北京联络处。</w:t>
      </w:r>
    </w:p>
    <w:p>
      <w:pPr>
        <w:pStyle w:val="18"/>
        <w:ind w:firstLine="562"/>
      </w:pPr>
      <w:r>
        <w:rPr>
          <w:rFonts w:hint="eastAsia"/>
        </w:rPr>
        <w:t>（二）预算资金使用管理情况</w:t>
      </w:r>
    </w:p>
    <w:p>
      <w:pPr>
        <w:pStyle w:val="10"/>
        <w:ind w:firstLine="482"/>
      </w:pPr>
      <w:bookmarkStart w:id="2" w:name="_Toc10810"/>
      <w:r>
        <w:rPr>
          <w:rFonts w:hint="eastAsia"/>
        </w:rPr>
        <w:t>1.预算资金安排及管理情况</w:t>
      </w:r>
      <w:bookmarkEnd w:id="2"/>
    </w:p>
    <w:p>
      <w:pPr>
        <w:pStyle w:val="39"/>
        <w:ind w:firstLine="480"/>
        <w:rPr>
          <w:bCs/>
        </w:rPr>
      </w:pPr>
      <w:r>
        <w:rPr>
          <w:rFonts w:hint="eastAsia"/>
          <w:bCs/>
        </w:rPr>
        <w:t>（1）资金来源及拨付流程</w:t>
      </w:r>
    </w:p>
    <w:p>
      <w:pPr>
        <w:pStyle w:val="39"/>
        <w:ind w:firstLine="480"/>
        <w:rPr>
          <w:bCs/>
        </w:rPr>
      </w:pPr>
      <w:r>
        <w:rPr>
          <w:rFonts w:hint="eastAsia"/>
          <w:bCs/>
        </w:rPr>
        <w:t>项目资金全年到位数106.06万元，均由一般公共预算财政拨款，单位无政府基金预算拨款，无纳入财政专户管理的非税收入拨款，无国有资本经营预算拨款。实施流程由综合科进行项目相关资料收集审核，分管领导复核，单位主要负责人终审。资金支付由报账人填报—综合科科长审核—财务审核—财务分管领导审核。</w:t>
      </w:r>
    </w:p>
    <w:p>
      <w:pPr>
        <w:pStyle w:val="39"/>
        <w:ind w:firstLine="480"/>
      </w:pPr>
      <w:r>
        <w:rPr>
          <w:rFonts w:hint="eastAsia"/>
        </w:rPr>
        <w:t>（2）资金到位情况</w:t>
      </w:r>
    </w:p>
    <w:p>
      <w:pPr>
        <w:pStyle w:val="39"/>
        <w:ind w:firstLine="480"/>
        <w:rPr>
          <w:bCs/>
        </w:rPr>
      </w:pPr>
      <w:r>
        <w:rPr>
          <w:rFonts w:hint="eastAsia"/>
          <w:bCs/>
        </w:rPr>
        <w:t>项目支出年初预算数72.34万元，实际到位106.06万元，其中：专项业务（工作）经费实际到位46.78万元，维权维稳（工作）经费到位7.49万元，年中追加工作经费51.79万元。</w:t>
      </w:r>
    </w:p>
    <w:p>
      <w:pPr>
        <w:pStyle w:val="41"/>
        <w:ind w:firstLine="420"/>
        <w:rPr>
          <w:rFonts w:eastAsia="新宋体"/>
        </w:rPr>
      </w:pPr>
      <w:r>
        <w:rPr>
          <w:rFonts w:hint="eastAsia"/>
        </w:rPr>
        <w:t>项目</w:t>
      </w:r>
      <w:r>
        <w:t>资金</w:t>
      </w:r>
      <w:r>
        <w:rPr>
          <w:rFonts w:hint="eastAsia"/>
        </w:rPr>
        <w:t>到位</w:t>
      </w:r>
      <w:r>
        <w:t>情况</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3"/>
        <w:gridCol w:w="2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3793" w:type="pct"/>
            <w:shd w:val="clear" w:color="auto" w:fill="FFFFFF"/>
            <w:noWrap/>
            <w:vAlign w:val="center"/>
          </w:tcPr>
          <w:p>
            <w:pPr>
              <w:pStyle w:val="41"/>
              <w:ind w:firstLine="420"/>
              <w:rPr>
                <w:rFonts w:eastAsia="新宋体"/>
              </w:rPr>
            </w:pPr>
            <w:r>
              <w:rPr>
                <w:rFonts w:hint="eastAsia"/>
              </w:rPr>
              <w:t>一级项目名称</w:t>
            </w:r>
          </w:p>
        </w:tc>
        <w:tc>
          <w:tcPr>
            <w:tcW w:w="1207" w:type="pct"/>
            <w:shd w:val="clear" w:color="auto" w:fill="FFFFFF"/>
            <w:noWrap/>
            <w:vAlign w:val="center"/>
          </w:tcPr>
          <w:p>
            <w:pPr>
              <w:pStyle w:val="41"/>
              <w:ind w:firstLine="420"/>
              <w:rPr>
                <w:rFonts w:eastAsia="新宋体"/>
              </w:rPr>
            </w:pPr>
            <w:r>
              <w:rPr>
                <w:rFonts w:hint="eastAsia"/>
              </w:rPr>
              <w:t>资金（万元）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3793" w:type="pct"/>
            <w:shd w:val="clear" w:color="auto" w:fill="FFFFFF"/>
            <w:noWrap/>
            <w:vAlign w:val="center"/>
          </w:tcPr>
          <w:p>
            <w:pPr>
              <w:pStyle w:val="41"/>
              <w:ind w:firstLine="420"/>
              <w:rPr>
                <w:rFonts w:eastAsia="新宋体"/>
              </w:rPr>
            </w:pPr>
            <w:r>
              <w:rPr>
                <w:rFonts w:hint="eastAsia"/>
              </w:rPr>
              <w:t>专项业务（工作）经费</w:t>
            </w:r>
          </w:p>
        </w:tc>
        <w:tc>
          <w:tcPr>
            <w:tcW w:w="1207" w:type="pct"/>
            <w:shd w:val="clear" w:color="auto" w:fill="FFFFFF"/>
            <w:noWrap/>
            <w:vAlign w:val="center"/>
          </w:tcPr>
          <w:p>
            <w:pPr>
              <w:pStyle w:val="41"/>
              <w:ind w:firstLine="420"/>
              <w:rPr>
                <w:rFonts w:eastAsia="新宋体"/>
              </w:rPr>
            </w:pPr>
            <w:r>
              <w:rPr>
                <w:rFonts w:hint="eastAsia"/>
              </w:rPr>
              <w:t>4</w:t>
            </w:r>
            <w:r>
              <w:t>6.78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3793" w:type="pct"/>
            <w:shd w:val="clear" w:color="auto" w:fill="FFFFFF"/>
            <w:noWrap/>
            <w:vAlign w:val="center"/>
          </w:tcPr>
          <w:p>
            <w:pPr>
              <w:pStyle w:val="41"/>
              <w:ind w:firstLine="420"/>
              <w:rPr>
                <w:rFonts w:eastAsia="新宋体"/>
              </w:rPr>
            </w:pPr>
            <w:r>
              <w:rPr>
                <w:rFonts w:hint="eastAsia"/>
              </w:rPr>
              <w:t>维权维稳（工作）经费</w:t>
            </w:r>
          </w:p>
        </w:tc>
        <w:tc>
          <w:tcPr>
            <w:tcW w:w="1207" w:type="pct"/>
            <w:shd w:val="clear" w:color="auto" w:fill="FFFFFF"/>
            <w:noWrap/>
            <w:vAlign w:val="center"/>
          </w:tcPr>
          <w:p>
            <w:pPr>
              <w:pStyle w:val="41"/>
              <w:ind w:firstLine="420"/>
              <w:rPr>
                <w:rFonts w:eastAsia="新宋体"/>
              </w:rPr>
            </w:pPr>
            <w:r>
              <w:rPr>
                <w:rFonts w:hint="eastAsia"/>
              </w:rPr>
              <w:t>7</w:t>
            </w:r>
            <w: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3793" w:type="pct"/>
            <w:shd w:val="clear" w:color="auto" w:fill="FFFFFF"/>
            <w:noWrap/>
            <w:vAlign w:val="center"/>
          </w:tcPr>
          <w:p>
            <w:pPr>
              <w:pStyle w:val="41"/>
              <w:ind w:firstLine="420"/>
              <w:rPr>
                <w:rFonts w:eastAsia="新宋体"/>
              </w:rPr>
            </w:pPr>
            <w:r>
              <w:rPr>
                <w:rFonts w:hint="eastAsia"/>
              </w:rPr>
              <w:t>工作经费</w:t>
            </w:r>
          </w:p>
        </w:tc>
        <w:tc>
          <w:tcPr>
            <w:tcW w:w="1207" w:type="pct"/>
            <w:shd w:val="clear" w:color="auto" w:fill="FFFFFF"/>
            <w:noWrap/>
            <w:vAlign w:val="center"/>
          </w:tcPr>
          <w:p>
            <w:pPr>
              <w:pStyle w:val="41"/>
              <w:ind w:firstLine="420"/>
              <w:rPr>
                <w:rFonts w:eastAsia="新宋体"/>
              </w:rPr>
            </w:pPr>
            <w:r>
              <w:rPr>
                <w:rFonts w:hint="eastAsia"/>
              </w:rPr>
              <w:t>5</w:t>
            </w:r>
            <w:r>
              <w:t>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3793" w:type="pct"/>
            <w:shd w:val="clear" w:color="auto" w:fill="FFFFFF"/>
            <w:noWrap/>
            <w:vAlign w:val="center"/>
          </w:tcPr>
          <w:p>
            <w:pPr>
              <w:pStyle w:val="41"/>
              <w:ind w:firstLine="420"/>
              <w:rPr>
                <w:rFonts w:eastAsia="新宋体"/>
              </w:rPr>
            </w:pPr>
            <w:r>
              <w:rPr>
                <w:rFonts w:hint="eastAsia"/>
              </w:rPr>
              <w:t>合计</w:t>
            </w:r>
          </w:p>
        </w:tc>
        <w:tc>
          <w:tcPr>
            <w:tcW w:w="1207" w:type="pct"/>
            <w:shd w:val="clear" w:color="auto" w:fill="FFFFFF"/>
            <w:noWrap/>
            <w:vAlign w:val="center"/>
          </w:tcPr>
          <w:p>
            <w:pPr>
              <w:pStyle w:val="41"/>
              <w:ind w:firstLine="420"/>
              <w:rPr>
                <w:rFonts w:eastAsia="新宋体"/>
              </w:rPr>
            </w:pPr>
            <w:r>
              <w:rPr>
                <w:rFonts w:hint="eastAsia"/>
              </w:rPr>
              <w:t>1</w:t>
            </w:r>
            <w:r>
              <w:t>06.06</w:t>
            </w:r>
          </w:p>
        </w:tc>
      </w:tr>
    </w:tbl>
    <w:p>
      <w:pPr>
        <w:pStyle w:val="39"/>
        <w:ind w:firstLine="480"/>
      </w:pPr>
      <w:r>
        <w:rPr>
          <w:rFonts w:hint="eastAsia"/>
        </w:rPr>
        <w:t>（3）资金使用情况</w:t>
      </w:r>
    </w:p>
    <w:p>
      <w:pPr>
        <w:pStyle w:val="39"/>
        <w:ind w:firstLine="480"/>
      </w:pPr>
      <w:r>
        <w:rPr>
          <w:rFonts w:hint="eastAsia"/>
        </w:rPr>
        <w:t>项目支出年初预算数72.34万元，实际拨款106.06万元。实际支出106.06万元，保持收支平衡。</w:t>
      </w:r>
    </w:p>
    <w:p>
      <w:pPr>
        <w:pStyle w:val="39"/>
        <w:ind w:firstLine="480"/>
      </w:pPr>
      <w:r>
        <w:rPr>
          <w:rFonts w:hint="eastAsia"/>
        </w:rPr>
        <w:t>（4）资金管理制度及执行情况</w:t>
      </w:r>
    </w:p>
    <w:p>
      <w:pPr>
        <w:pStyle w:val="39"/>
        <w:ind w:firstLine="480"/>
      </w:pPr>
      <w:r>
        <w:rPr>
          <w:rFonts w:hint="eastAsia"/>
        </w:rPr>
        <w:t>在资金使用和管理方面，我单位严格按照财政制度相关要求，坚持专款专用，按项目核算，严格按照规定的范围、标准和程序，加强专项资金的使用管理，确保了专项资金使用管理的规范性、安全性和有效性。</w:t>
      </w:r>
    </w:p>
    <w:p>
      <w:pPr>
        <w:pStyle w:val="10"/>
        <w:ind w:firstLine="482"/>
      </w:pPr>
      <w:r>
        <w:rPr>
          <w:rFonts w:hint="eastAsia"/>
        </w:rPr>
        <w:t>2.项目组织实施管理情况</w:t>
      </w:r>
    </w:p>
    <w:p>
      <w:pPr>
        <w:pStyle w:val="39"/>
        <w:ind w:firstLine="480"/>
      </w:pPr>
      <w:r>
        <w:rPr>
          <w:rFonts w:hint="eastAsia"/>
        </w:rPr>
        <w:t>我单位在项目组织实施管理方面取得了显著成效。通过构建完善的项目组织体系、明确职责分工与协调机制、加强进度管理和质量管理等措施，确保了项目的顺利实施和高效推进。同时，我单位也将不断优化和完善项目实施管理的各个环节，增强政府驻京办专项业务（工作）经费、维权维稳（工作）经费、工作经费项目资金使用效率。</w:t>
      </w:r>
    </w:p>
    <w:p>
      <w:pPr>
        <w:pStyle w:val="18"/>
        <w:ind w:firstLine="562"/>
      </w:pPr>
      <w:r>
        <w:rPr>
          <w:rFonts w:hint="eastAsia"/>
        </w:rPr>
        <w:t>（三）预算绩效目标情况</w:t>
      </w:r>
    </w:p>
    <w:p>
      <w:pPr>
        <w:pStyle w:val="10"/>
        <w:ind w:firstLine="482"/>
      </w:pPr>
      <w:r>
        <w:rPr>
          <w:rFonts w:hint="eastAsia"/>
        </w:rPr>
        <w:t>1.绩效目标</w:t>
      </w:r>
    </w:p>
    <w:p>
      <w:pPr>
        <w:pStyle w:val="39"/>
        <w:ind w:firstLine="480"/>
      </w:pPr>
      <w:r>
        <w:rPr>
          <w:rFonts w:hint="eastAsia"/>
        </w:rPr>
        <w:t>（1）突出政治建设，强化忠诚履职。一是深入学习宣传贯彻党的二十大会议精神。二是建设坚强有力政治机关。三是推动决策部署落地见效。（2）突出业务建设，强化高效履职。一是当好接待员。二是当好信息员。三是当好宣传员。四是当好服务员。（3）突出自身建设，强化充分履职。一是班子建设高标准。二是队伍建设高素质。三是制度建设高效能。（4）突出作风建设，强化廉洁履职。一是强化教育管理。二是持续纠治“四风”。三是加强监督执纪。</w:t>
      </w:r>
    </w:p>
    <w:p>
      <w:pPr>
        <w:pStyle w:val="10"/>
        <w:ind w:firstLine="482"/>
      </w:pPr>
      <w:r>
        <w:rPr>
          <w:rFonts w:hint="eastAsia"/>
        </w:rPr>
        <w:t>2.绩效指标</w:t>
      </w:r>
    </w:p>
    <w:p>
      <w:pPr>
        <w:pStyle w:val="39"/>
        <w:ind w:firstLine="480"/>
      </w:pPr>
      <w:r>
        <w:rPr>
          <w:rFonts w:hint="eastAsia"/>
        </w:rPr>
        <w:t>我单位项目支出绩效的绩效指标涵盖了预算执行与控制、项目完成情况、资金使用效率、成本控制效果、资产管理状况、公共服务质量、经济效益和社会效益等方面。通过对这些指标的综合评估和分析，我单位能够全面了解项目支出的绩效情况，为未来的项目管理和决策提供有力支持。</w:t>
      </w:r>
    </w:p>
    <w:p>
      <w:pPr>
        <w:pStyle w:val="17"/>
        <w:ind w:firstLine="602"/>
      </w:pPr>
      <w:r>
        <w:rPr>
          <w:rFonts w:hint="eastAsia"/>
        </w:rPr>
        <w:t>二、绩效评价工作情况</w:t>
      </w:r>
    </w:p>
    <w:p>
      <w:pPr>
        <w:pStyle w:val="18"/>
        <w:ind w:firstLine="562"/>
      </w:pPr>
      <w:r>
        <w:rPr>
          <w:rFonts w:hint="eastAsia"/>
        </w:rPr>
        <w:t>（一）绩效评价目的</w:t>
      </w:r>
    </w:p>
    <w:p>
      <w:pPr>
        <w:pStyle w:val="39"/>
        <w:ind w:firstLine="480"/>
      </w:pPr>
      <w:r>
        <w:rPr>
          <w:rFonts w:hint="eastAsia"/>
        </w:rPr>
        <w:t>通过对我单位2023年度项目支出进行绩效自评，了解本单位项目支出资金使用情况及取得的成果，及时发现资金管理和项目实施过程中存在的问题，提出相关建议和采取相应的措施，从而为加强财政预算的规范化管理，提高专项资金的使用效益，强化预算约束提供重要的参考依据。</w:t>
      </w:r>
    </w:p>
    <w:p>
      <w:pPr>
        <w:pStyle w:val="18"/>
        <w:ind w:firstLine="562"/>
      </w:pPr>
      <w:bookmarkStart w:id="3" w:name="_Toc11844"/>
      <w:r>
        <w:rPr>
          <w:rFonts w:hint="eastAsia"/>
        </w:rPr>
        <w:t>（二）被评价单位、绩效评价范围与时段</w:t>
      </w:r>
      <w:bookmarkEnd w:id="3"/>
    </w:p>
    <w:p>
      <w:pPr>
        <w:pStyle w:val="39"/>
        <w:ind w:firstLine="480"/>
      </w:pPr>
      <w:r>
        <w:rPr>
          <w:rFonts w:hint="eastAsia"/>
        </w:rPr>
        <w:t>本单位项目支出绩效自评评价范围为2023年度项目支出，内容：专项业务（工作）经费、维权维稳（工作）经费、工作经费。</w:t>
      </w:r>
    </w:p>
    <w:p>
      <w:pPr>
        <w:pStyle w:val="18"/>
        <w:ind w:firstLine="562"/>
      </w:pPr>
      <w:bookmarkStart w:id="4" w:name="_Toc31835"/>
      <w:r>
        <w:rPr>
          <w:rFonts w:hint="eastAsia"/>
        </w:rPr>
        <w:t>（三）绩效评价原则、评价指标体系、评价方法</w:t>
      </w:r>
      <w:bookmarkEnd w:id="4"/>
    </w:p>
    <w:p>
      <w:pPr>
        <w:pStyle w:val="39"/>
        <w:ind w:firstLine="480"/>
      </w:pPr>
      <w:r>
        <w:rPr>
          <w:rFonts w:hint="eastAsia"/>
        </w:rPr>
        <w:t>按照《湖南省财政厅关于印发湖南省预算支出绩效评价管理办法的通知》（湘财绩〔2020〕7号）要求，本单位结合专项具体情况，设计了该项目的评价指标体系。指标体系分为共性指标和个性指标两部分，主要包括决策、过程、产出和效益四个维度，每个维度由一级、二级、三级指标构成，满分100分。绩效评价结果分为四个等级：90分（含）—100分为优，80分（含）—90分为良，60分（含）—80分为中，60分以下为差。</w:t>
      </w:r>
    </w:p>
    <w:p>
      <w:pPr>
        <w:pStyle w:val="17"/>
        <w:ind w:firstLine="602"/>
      </w:pPr>
      <w:bookmarkStart w:id="5" w:name="_Toc7615"/>
      <w:bookmarkStart w:id="6" w:name="_Toc32076"/>
      <w:r>
        <w:rPr>
          <w:rFonts w:hint="eastAsia"/>
        </w:rPr>
        <w:t>三、主要绩效及评价结论</w:t>
      </w:r>
      <w:bookmarkEnd w:id="5"/>
      <w:bookmarkEnd w:id="6"/>
    </w:p>
    <w:p>
      <w:pPr>
        <w:pStyle w:val="18"/>
        <w:ind w:firstLine="562"/>
      </w:pPr>
      <w:r>
        <w:rPr>
          <w:rFonts w:hint="eastAsia"/>
        </w:rPr>
        <w:t>（一）社会效益</w:t>
      </w:r>
    </w:p>
    <w:p>
      <w:pPr>
        <w:pStyle w:val="39"/>
        <w:ind w:firstLine="480"/>
      </w:pPr>
      <w:r>
        <w:rPr>
          <w:rFonts w:hint="eastAsia"/>
        </w:rPr>
        <w:t>我单位项目实施进一步保障提升了联络手段，提高了联络功效，加强了与中央有关部委和重点司局的联络工作。不断改善和提高了接待服务水平，完成了市委市政府领导交办的接待任务，积极开展了招商引资工作，拓展了招商路径和渠道，化解了信访事项，全力促进了大稳定。</w:t>
      </w:r>
    </w:p>
    <w:p>
      <w:pPr>
        <w:pStyle w:val="18"/>
        <w:ind w:firstLine="562"/>
      </w:pPr>
      <w:r>
        <w:rPr>
          <w:rFonts w:hint="eastAsia"/>
        </w:rPr>
        <w:t>（二）可持续影响</w:t>
      </w:r>
    </w:p>
    <w:p>
      <w:pPr>
        <w:pStyle w:val="39"/>
        <w:ind w:firstLine="480"/>
      </w:pPr>
      <w:r>
        <w:rPr>
          <w:rFonts w:hint="eastAsia"/>
        </w:rPr>
        <w:t>我单位项目支出对于</w:t>
      </w:r>
      <w:bookmarkStart w:id="7" w:name="_Hlk169378070"/>
      <w:r>
        <w:rPr>
          <w:rFonts w:hint="eastAsia"/>
        </w:rPr>
        <w:t>对外联络、招商引资、社会稳定</w:t>
      </w:r>
      <w:bookmarkEnd w:id="7"/>
      <w:r>
        <w:rPr>
          <w:rFonts w:hint="eastAsia"/>
        </w:rPr>
        <w:t>具有积极作用。</w:t>
      </w:r>
    </w:p>
    <w:p>
      <w:pPr>
        <w:pStyle w:val="18"/>
        <w:ind w:firstLine="562"/>
      </w:pPr>
      <w:r>
        <w:rPr>
          <w:rFonts w:hint="eastAsia"/>
        </w:rPr>
        <w:t>（三）满意度情况</w:t>
      </w:r>
    </w:p>
    <w:p>
      <w:pPr>
        <w:pStyle w:val="39"/>
        <w:ind w:firstLine="480"/>
      </w:pPr>
      <w:r>
        <w:rPr>
          <w:rFonts w:hint="eastAsia"/>
        </w:rPr>
        <w:t>我单位在项目支出上的满意度情况较好，主要体现对外联络、招商引资、社会稳定等工作方面、项目执行效率和效果、资金使用的透明度和合理性以及沟通互动与反馈机制等方面。然而，也需要注意到仍有提升的空间，我单位将继续加强项目管理，优化服务流程，提高资金使用效率，加强与市民和单位的沟通互动，以进一步提升满意度水平。</w:t>
      </w:r>
    </w:p>
    <w:p>
      <w:pPr>
        <w:pStyle w:val="18"/>
        <w:ind w:firstLine="562"/>
      </w:pPr>
      <w:r>
        <w:rPr>
          <w:rFonts w:hint="eastAsia"/>
        </w:rPr>
        <w:t>（四）评价结论</w:t>
      </w:r>
    </w:p>
    <w:p>
      <w:pPr>
        <w:pStyle w:val="39"/>
        <w:ind w:firstLine="480"/>
      </w:pPr>
      <w:r>
        <w:rPr>
          <w:rFonts w:hint="eastAsia"/>
        </w:rPr>
        <w:t>我单位在项目支出方面总体表现良好，但仍需继续努力改进和完善。我们相信在怀化市政府驻北京联络处2023年预算绩效自评工作的积极推动下，未来项目支出将会更加科学、规范、有效。评分结果为优。</w:t>
      </w:r>
    </w:p>
    <w:p>
      <w:pPr>
        <w:pStyle w:val="17"/>
        <w:ind w:firstLine="602"/>
      </w:pPr>
      <w:bookmarkStart w:id="8" w:name="_Toc16332"/>
      <w:bookmarkStart w:id="9" w:name="_Toc27541"/>
      <w:r>
        <w:rPr>
          <w:rFonts w:hint="eastAsia"/>
        </w:rPr>
        <w:t>四、绩效评价指标分析</w:t>
      </w:r>
      <w:bookmarkEnd w:id="8"/>
      <w:bookmarkEnd w:id="9"/>
    </w:p>
    <w:p>
      <w:pPr>
        <w:pStyle w:val="18"/>
        <w:ind w:firstLine="562"/>
      </w:pPr>
      <w:bookmarkStart w:id="10" w:name="_Toc17679"/>
      <w:r>
        <w:rPr>
          <w:rFonts w:hint="eastAsia"/>
        </w:rPr>
        <w:t>（一）项目决策情况</w:t>
      </w:r>
      <w:bookmarkEnd w:id="10"/>
    </w:p>
    <w:p>
      <w:pPr>
        <w:pStyle w:val="39"/>
        <w:ind w:firstLine="480"/>
      </w:pPr>
      <w:r>
        <w:rPr>
          <w:rFonts w:hint="eastAsia"/>
        </w:rPr>
        <w:t>1.项目立项。项目立项依据充分，立项程序规范。</w:t>
      </w:r>
    </w:p>
    <w:p>
      <w:pPr>
        <w:pStyle w:val="39"/>
        <w:ind w:firstLine="480"/>
      </w:pPr>
      <w:r>
        <w:rPr>
          <w:rFonts w:hint="eastAsia"/>
        </w:rPr>
        <w:t>2.绩效目标。我单位2023年度所实施的项目年初编制预算绩效目标，绩效目标指标值部分细化、量化。</w:t>
      </w:r>
    </w:p>
    <w:p>
      <w:pPr>
        <w:pStyle w:val="39"/>
        <w:ind w:firstLine="480"/>
      </w:pPr>
      <w:r>
        <w:rPr>
          <w:rFonts w:hint="eastAsia"/>
        </w:rPr>
        <w:t>3.资金投入。项目目标根据年度工作计划制定，按照《中华人民共和国预算法》的相关规定编制项目预算，经集体讨论研究，确保项目目标与实际工作相匹配。项目的预算金额及资金的分配按照年度重点工作计划进行分配，确保资金用在刀刃上。二是项目绩效指标提交第三方评审专家审核，对绩效目标审核不通过的项目不纳入预算，强化事前绩效目标管理的理念，在项目实施前期明确项目实施的目标及实施效果，压减无效低效的支出，提高资金使用效能。三是完善项目的管理制度，全面规范项目的实施，针对各项目的实施内容制定个别月度检查规定，定期通报项目资金的执行情况，确保项目按照既定的目标执行。</w:t>
      </w:r>
    </w:p>
    <w:p>
      <w:pPr>
        <w:pStyle w:val="18"/>
        <w:ind w:firstLine="562"/>
      </w:pPr>
      <w:bookmarkStart w:id="11" w:name="_Toc28411"/>
      <w:r>
        <w:rPr>
          <w:rFonts w:hint="eastAsia"/>
        </w:rPr>
        <w:t>（二）项目过程情况</w:t>
      </w:r>
      <w:bookmarkEnd w:id="11"/>
    </w:p>
    <w:p>
      <w:pPr>
        <w:pStyle w:val="10"/>
        <w:ind w:firstLine="482"/>
      </w:pPr>
      <w:bookmarkStart w:id="12" w:name="_Toc10140"/>
      <w:r>
        <w:rPr>
          <w:rFonts w:hint="eastAsia"/>
        </w:rPr>
        <w:t>1.资金管理</w:t>
      </w:r>
      <w:bookmarkEnd w:id="12"/>
    </w:p>
    <w:p>
      <w:pPr>
        <w:pStyle w:val="39"/>
        <w:ind w:firstLine="480"/>
      </w:pPr>
      <w:r>
        <w:rPr>
          <w:rFonts w:hint="eastAsia"/>
        </w:rPr>
        <w:t>为做好专项资金管理，我单位规定了项目申报流程，资金拨付程序，资金拨付填写报账申请表，专项资金拨付审批表等，并经相关负责领导审核后再拨付资金，专项资金专款专用。</w:t>
      </w:r>
    </w:p>
    <w:p>
      <w:pPr>
        <w:pStyle w:val="10"/>
        <w:ind w:firstLine="482"/>
      </w:pPr>
      <w:bookmarkStart w:id="13" w:name="_Toc1210"/>
      <w:r>
        <w:rPr>
          <w:rFonts w:hint="eastAsia"/>
        </w:rPr>
        <w:t>2.项目实施</w:t>
      </w:r>
      <w:bookmarkEnd w:id="13"/>
    </w:p>
    <w:p>
      <w:pPr>
        <w:pStyle w:val="39"/>
        <w:ind w:firstLine="480"/>
      </w:pPr>
      <w:r>
        <w:rPr>
          <w:rFonts w:hint="eastAsia"/>
        </w:rPr>
        <w:t>为了加强项目实施，我单位确定各业务部门、专职干部与相关部门汇报、沟通和衔接，争取更多资金，切实对项目实施实行跟踪式服务，从项目的联系洽谈、项目跟进、资金投入等环节实行全程专人负责，确保项目落地实施。</w:t>
      </w:r>
    </w:p>
    <w:p>
      <w:pPr>
        <w:pStyle w:val="18"/>
        <w:ind w:firstLine="562"/>
      </w:pPr>
      <w:bookmarkStart w:id="14" w:name="_Toc6604"/>
      <w:r>
        <w:rPr>
          <w:rFonts w:hint="eastAsia"/>
        </w:rPr>
        <w:t>（三）项目产出情况</w:t>
      </w:r>
      <w:bookmarkEnd w:id="14"/>
    </w:p>
    <w:p>
      <w:pPr>
        <w:pStyle w:val="10"/>
        <w:ind w:firstLine="482"/>
      </w:pPr>
      <w:bookmarkStart w:id="15" w:name="_Toc20742"/>
      <w:r>
        <w:rPr>
          <w:rFonts w:hint="eastAsia"/>
        </w:rPr>
        <w:t>1.产出数量</w:t>
      </w:r>
      <w:bookmarkEnd w:id="15"/>
    </w:p>
    <w:p>
      <w:pPr>
        <w:pStyle w:val="39"/>
        <w:ind w:firstLine="480"/>
      </w:pPr>
      <w:r>
        <w:rPr>
          <w:rFonts w:hint="eastAsia"/>
        </w:rPr>
        <w:t>我单位2个项目年初填报项目绩效目标表，项目完成情况均为100%。</w:t>
      </w:r>
    </w:p>
    <w:p>
      <w:pPr>
        <w:pStyle w:val="10"/>
        <w:ind w:firstLine="482"/>
      </w:pPr>
      <w:bookmarkStart w:id="16" w:name="_Toc5372"/>
      <w:r>
        <w:rPr>
          <w:rFonts w:hint="eastAsia"/>
        </w:rPr>
        <w:t>2.产出质量</w:t>
      </w:r>
      <w:bookmarkEnd w:id="16"/>
    </w:p>
    <w:p>
      <w:pPr>
        <w:pStyle w:val="39"/>
        <w:ind w:firstLine="480"/>
      </w:pPr>
      <w:r>
        <w:rPr>
          <w:rFonts w:hint="eastAsia"/>
        </w:rPr>
        <w:t>我单位设定了明确且务实的预期目标。这些目标旨在确保经费的高效、合理和可持续使用，以推动各项工作的顺利进行，并最终实现预期的社会效益、经济效益和可持续效益。为实现这些目标，项目支出保障部门将发挥至关重要的作用，确保经费的及时、准确和有效投入。</w:t>
      </w:r>
    </w:p>
    <w:p>
      <w:pPr>
        <w:pStyle w:val="10"/>
        <w:ind w:firstLine="482"/>
      </w:pPr>
      <w:bookmarkStart w:id="17" w:name="_Toc25948"/>
      <w:r>
        <w:rPr>
          <w:rFonts w:hint="eastAsia"/>
        </w:rPr>
        <w:t>3.产出成本</w:t>
      </w:r>
      <w:bookmarkEnd w:id="17"/>
    </w:p>
    <w:p>
      <w:pPr>
        <w:pStyle w:val="39"/>
        <w:ind w:firstLine="480"/>
      </w:pPr>
      <w:r>
        <w:rPr>
          <w:rFonts w:hint="eastAsia"/>
        </w:rPr>
        <w:t>项目支出均未超出年初预算，年初预算72.34万元，年中追加60万元工作经费，2023年项目支出106.06万元。</w:t>
      </w:r>
    </w:p>
    <w:p>
      <w:pPr>
        <w:pStyle w:val="10"/>
        <w:ind w:firstLine="482"/>
      </w:pPr>
      <w:r>
        <w:rPr>
          <w:rFonts w:hint="eastAsia"/>
        </w:rPr>
        <w:t>4.产出时效</w:t>
      </w:r>
    </w:p>
    <w:p>
      <w:pPr>
        <w:pStyle w:val="39"/>
        <w:ind w:firstLine="480"/>
      </w:pPr>
      <w:r>
        <w:rPr>
          <w:rFonts w:hint="eastAsia"/>
        </w:rPr>
        <w:t>项目的完成均在2023年度完成，未超出时效。</w:t>
      </w:r>
    </w:p>
    <w:p>
      <w:pPr>
        <w:pStyle w:val="18"/>
        <w:ind w:firstLine="562"/>
      </w:pPr>
      <w:bookmarkStart w:id="18" w:name="_Toc3072"/>
      <w:bookmarkStart w:id="19" w:name="_Toc12690"/>
      <w:r>
        <w:rPr>
          <w:rFonts w:hint="eastAsia"/>
        </w:rPr>
        <w:t>（四）项目效益情况</w:t>
      </w:r>
      <w:bookmarkEnd w:id="18"/>
      <w:bookmarkEnd w:id="19"/>
    </w:p>
    <w:p>
      <w:pPr>
        <w:pStyle w:val="10"/>
        <w:ind w:firstLine="482"/>
      </w:pPr>
      <w:r>
        <w:rPr>
          <w:rFonts w:hint="eastAsia"/>
        </w:rPr>
        <w:t>1.社会效益</w:t>
      </w:r>
    </w:p>
    <w:p>
      <w:pPr>
        <w:pStyle w:val="39"/>
        <w:ind w:firstLine="480"/>
      </w:pPr>
      <w:r>
        <w:rPr>
          <w:rFonts w:hint="eastAsia"/>
        </w:rPr>
        <w:t>提升政府形象与公信力：我单位通过高效、透明的项目管理和预算使用，对</w:t>
      </w:r>
      <w:bookmarkStart w:id="20" w:name="_Hlk169379775"/>
      <w:r>
        <w:rPr>
          <w:rFonts w:hint="eastAsia"/>
        </w:rPr>
        <w:t>维护首都稳定，维护怀化形象做出了贡献</w:t>
      </w:r>
      <w:bookmarkEnd w:id="20"/>
      <w:r>
        <w:rPr>
          <w:rFonts w:hint="eastAsia"/>
        </w:rPr>
        <w:t>。</w:t>
      </w:r>
    </w:p>
    <w:p>
      <w:pPr>
        <w:pStyle w:val="10"/>
        <w:ind w:firstLine="482"/>
      </w:pPr>
      <w:r>
        <w:rPr>
          <w:rFonts w:hint="eastAsia"/>
        </w:rPr>
        <w:t>2.经济效益</w:t>
      </w:r>
    </w:p>
    <w:p>
      <w:pPr>
        <w:pStyle w:val="39"/>
        <w:ind w:firstLine="480"/>
      </w:pPr>
      <w:r>
        <w:rPr>
          <w:rFonts w:hint="eastAsia"/>
        </w:rPr>
        <w:t>降低行政成本：通过制定科学合理的预算方案，我单位合理分配资源，避免浪费，有效降低行政成本。</w:t>
      </w:r>
    </w:p>
    <w:p>
      <w:pPr>
        <w:pStyle w:val="39"/>
        <w:ind w:firstLine="480"/>
      </w:pPr>
      <w:r>
        <w:rPr>
          <w:rFonts w:hint="eastAsia"/>
        </w:rPr>
        <w:t>提高资金使用效率：我单位加强项目执行与监督，确保资金按计划使用，能够最大限度地发挥资金的效益，实现经费的有效利用。</w:t>
      </w:r>
    </w:p>
    <w:p>
      <w:pPr>
        <w:pStyle w:val="10"/>
        <w:ind w:firstLine="482"/>
      </w:pPr>
      <w:r>
        <w:rPr>
          <w:rFonts w:hint="eastAsia"/>
        </w:rPr>
        <w:t>3.可持续效益</w:t>
      </w:r>
    </w:p>
    <w:p>
      <w:pPr>
        <w:pStyle w:val="39"/>
        <w:ind w:firstLine="480"/>
      </w:pPr>
      <w:r>
        <w:rPr>
          <w:rFonts w:hint="eastAsia"/>
        </w:rPr>
        <w:t>可持续管理制度建立：我单位在项目实施过程中，注重风险管理与应对，建立起一套可持续的管理制度，为未来的项目实施提供了可借鉴的经验和模式。</w:t>
      </w:r>
    </w:p>
    <w:p>
      <w:pPr>
        <w:pStyle w:val="39"/>
        <w:ind w:firstLine="480"/>
      </w:pPr>
      <w:r>
        <w:rPr>
          <w:rFonts w:hint="eastAsia"/>
        </w:rPr>
        <w:t>综上所述，我单位通过一系列的操作和策略，实现了社会效益、经济效益和可持续效益的多重提升，为怀化的招商引资、维护首都稳定，维护怀化形象做出了积极的贡献。</w:t>
      </w:r>
    </w:p>
    <w:p>
      <w:pPr>
        <w:pStyle w:val="17"/>
        <w:ind w:firstLine="602"/>
      </w:pPr>
      <w:bookmarkStart w:id="21" w:name="_Toc390096931"/>
      <w:bookmarkStart w:id="22" w:name="_Toc390267055"/>
      <w:bookmarkStart w:id="23" w:name="_Toc24241"/>
      <w:bookmarkStart w:id="24" w:name="_Toc12414"/>
      <w:r>
        <w:rPr>
          <w:rFonts w:hint="eastAsia"/>
        </w:rPr>
        <w:t>五、项目主要经验、存在的问题</w:t>
      </w:r>
      <w:bookmarkEnd w:id="21"/>
      <w:bookmarkEnd w:id="22"/>
      <w:r>
        <w:rPr>
          <w:rFonts w:hint="eastAsia"/>
        </w:rPr>
        <w:t>及建议</w:t>
      </w:r>
      <w:bookmarkEnd w:id="23"/>
      <w:bookmarkEnd w:id="24"/>
    </w:p>
    <w:p>
      <w:pPr>
        <w:pStyle w:val="18"/>
        <w:ind w:firstLine="562"/>
      </w:pPr>
      <w:bookmarkStart w:id="25" w:name="_Toc23434"/>
      <w:bookmarkStart w:id="26" w:name="_Toc5316"/>
      <w:r>
        <w:rPr>
          <w:rFonts w:hint="eastAsia"/>
        </w:rPr>
        <w:t>（一）项目主要经验</w:t>
      </w:r>
      <w:bookmarkEnd w:id="25"/>
      <w:r>
        <w:rPr>
          <w:rFonts w:hint="eastAsia"/>
        </w:rPr>
        <w:t>及做法</w:t>
      </w:r>
      <w:bookmarkEnd w:id="26"/>
    </w:p>
    <w:p>
      <w:pPr>
        <w:pStyle w:val="39"/>
        <w:ind w:firstLine="480"/>
      </w:pPr>
      <w:r>
        <w:rPr>
          <w:rFonts w:hint="eastAsia"/>
        </w:rPr>
        <w:t>1.明确的评价目标与指标体系：在项目绩效评价过程中，我单位始终坚持以目标为导向，结合怀化项目支出绩效自评的实际情况，明确了具体的评价目标，并构建了全面、科学的指标体系。这确保了评价工作能够准确反映项目的实际成果，同时也为后续的改进措施提供了明确的方向。</w:t>
      </w:r>
    </w:p>
    <w:p>
      <w:pPr>
        <w:pStyle w:val="39"/>
        <w:ind w:firstLine="480"/>
      </w:pPr>
      <w:r>
        <w:rPr>
          <w:rFonts w:hint="eastAsia"/>
        </w:rPr>
        <w:t>2.数据驱动的决策分析：我单位注重数据的收集、整理和分析，通过客观的数据来反映项目的实际运行情况。在评价过程中，我们充分利用了现有的信息系统和数据资源，通过数据挖掘和统计分析，揭示了项目运行中的关键问题和改进空间。</w:t>
      </w:r>
    </w:p>
    <w:p>
      <w:pPr>
        <w:pStyle w:val="18"/>
        <w:ind w:firstLine="562"/>
      </w:pPr>
      <w:bookmarkStart w:id="27" w:name="_Toc6772"/>
      <w:bookmarkStart w:id="28" w:name="_Toc2597"/>
      <w:r>
        <w:rPr>
          <w:rFonts w:hint="eastAsia"/>
        </w:rPr>
        <w:t>（二）存在的问题</w:t>
      </w:r>
      <w:bookmarkEnd w:id="27"/>
      <w:bookmarkEnd w:id="28"/>
    </w:p>
    <w:p>
      <w:pPr>
        <w:pStyle w:val="10"/>
        <w:ind w:firstLine="482"/>
      </w:pPr>
      <w:r>
        <w:rPr>
          <w:rFonts w:hint="eastAsia"/>
        </w:rPr>
        <w:t>1.评价体系有待完善</w:t>
      </w:r>
    </w:p>
    <w:p>
      <w:pPr>
        <w:pStyle w:val="39"/>
        <w:ind w:firstLine="480"/>
      </w:pPr>
      <w:r>
        <w:rPr>
          <w:rFonts w:hint="eastAsia"/>
        </w:rPr>
        <w:t>尽管我单位在项目绩效评价过程中已经构建了较为全面的指标体系，但在实际操作中仍发现存在一些不足。例如，部分指标设置过于笼统，未能充分反映项目的具体特点和实际情况；同时，一些关键绩效指标的权重分配也可能不够合理，导致评价结果不能准确反映项目的真实绩效。</w:t>
      </w:r>
    </w:p>
    <w:p>
      <w:pPr>
        <w:pStyle w:val="10"/>
        <w:ind w:firstLine="482"/>
      </w:pPr>
      <w:r>
        <w:rPr>
          <w:rFonts w:hint="eastAsia"/>
        </w:rPr>
        <w:t>2.数据收集与分析存在局限性</w:t>
      </w:r>
    </w:p>
    <w:p>
      <w:pPr>
        <w:pStyle w:val="39"/>
        <w:ind w:firstLine="480"/>
      </w:pPr>
      <w:r>
        <w:rPr>
          <w:rFonts w:hint="eastAsia"/>
        </w:rPr>
        <w:t>在数据收集方面，我单位虽然注重数据的真实性和准确性，但由于数据来源的多样性和复杂性，仍存在数据收集不全、数据质量参差不齐的问题。此外，在数据分析方面，我们目前主要依赖于传统的统计分析方法，对于更高级的数据挖掘和机器学习技术运用不足，这也在一定程度上限制了评价结果的深度和广度。</w:t>
      </w:r>
    </w:p>
    <w:p>
      <w:pPr>
        <w:pStyle w:val="10"/>
        <w:ind w:firstLine="482"/>
      </w:pPr>
      <w:r>
        <w:rPr>
          <w:rFonts w:hint="eastAsia"/>
        </w:rPr>
        <w:t>3.部门间协作与沟通不够顺畅</w:t>
      </w:r>
    </w:p>
    <w:p>
      <w:pPr>
        <w:pStyle w:val="39"/>
        <w:ind w:firstLine="480"/>
      </w:pPr>
      <w:r>
        <w:rPr>
          <w:rFonts w:hint="eastAsia"/>
        </w:rPr>
        <w:t>尽管我单位加强了部门间的沟通与协作，但在实际操作中仍存在一些问题。例如，部分部门对项目绩效评价工作的重要性认识不足，参与度和配合度有待提高；同时，部门间信息共享和沟通渠道不畅通，也影响了评价工作的效率和准确性。</w:t>
      </w:r>
    </w:p>
    <w:p>
      <w:pPr>
        <w:pStyle w:val="10"/>
        <w:ind w:firstLine="482"/>
      </w:pPr>
      <w:r>
        <w:rPr>
          <w:rFonts w:hint="eastAsia"/>
        </w:rPr>
        <w:t>4.反馈与改进机制尚需加强</w:t>
      </w:r>
    </w:p>
    <w:p>
      <w:pPr>
        <w:pStyle w:val="39"/>
        <w:ind w:firstLine="480"/>
      </w:pPr>
      <w:r>
        <w:rPr>
          <w:rFonts w:hint="eastAsia"/>
        </w:rPr>
        <w:t>虽然我单位建立了持续改进和反馈机制，但在实际操作中，这一机制的执行力度和效果还有待加强。例如，对于评价结果的反馈和改进措施的实施缺乏有效的监督和评估机制；同时，部分部门和人员对改进措施的重视程度不够，导致改进措施难以得到有效落实。</w:t>
      </w:r>
    </w:p>
    <w:p>
      <w:pPr>
        <w:pStyle w:val="18"/>
        <w:ind w:firstLine="562"/>
      </w:pPr>
      <w:bookmarkStart w:id="29" w:name="_Toc29278"/>
      <w:bookmarkStart w:id="30" w:name="_Toc16271"/>
      <w:r>
        <w:rPr>
          <w:rFonts w:hint="eastAsia"/>
        </w:rPr>
        <w:t>（三）有关建议</w:t>
      </w:r>
      <w:bookmarkEnd w:id="29"/>
      <w:bookmarkEnd w:id="30"/>
    </w:p>
    <w:p>
      <w:pPr>
        <w:pStyle w:val="10"/>
        <w:ind w:firstLine="482"/>
      </w:pPr>
      <w:r>
        <w:rPr>
          <w:rFonts w:hint="eastAsia"/>
        </w:rPr>
        <w:t>1.完善评价体系</w:t>
      </w:r>
    </w:p>
    <w:p>
      <w:pPr>
        <w:pStyle w:val="39"/>
        <w:ind w:firstLine="480"/>
      </w:pPr>
      <w:r>
        <w:rPr>
          <w:rFonts w:hint="eastAsia"/>
        </w:rPr>
        <w:t>①细化指标设置：对现有的绩效指标进行进一步的细化和分类，确保每个指标都能准确反映项目的特定方面和实际情况。</w:t>
      </w:r>
    </w:p>
    <w:p>
      <w:pPr>
        <w:pStyle w:val="39"/>
        <w:ind w:firstLine="480"/>
      </w:pPr>
      <w:r>
        <w:rPr>
          <w:rFonts w:hint="eastAsia"/>
        </w:rPr>
        <w:t>合理分配权重：根据项目的核心目标和关键成功因素，重新评估和调整各项指标的权重，确保权重分配更加合理和科学。</w:t>
      </w:r>
    </w:p>
    <w:p>
      <w:pPr>
        <w:pStyle w:val="39"/>
        <w:ind w:firstLine="480"/>
      </w:pPr>
      <w:r>
        <w:rPr>
          <w:rFonts w:hint="eastAsia"/>
        </w:rPr>
        <w:t>②引入专家评审：邀请行业专家和学者参与评价体系的制定和完善过程，借鉴他们的专业知识和经验，提升评价体系的权威性和准确性。</w:t>
      </w:r>
    </w:p>
    <w:p>
      <w:pPr>
        <w:pStyle w:val="10"/>
        <w:ind w:firstLine="482"/>
      </w:pPr>
      <w:r>
        <w:rPr>
          <w:rFonts w:hint="eastAsia"/>
        </w:rPr>
        <w:t>2.加强数据收集与分析能力</w:t>
      </w:r>
    </w:p>
    <w:p>
      <w:pPr>
        <w:pStyle w:val="39"/>
        <w:ind w:firstLine="480"/>
      </w:pPr>
      <w:r>
        <w:rPr>
          <w:rFonts w:hint="eastAsia"/>
        </w:rPr>
        <w:t>①完善数据收集机制：建立统一的数据收集标准和流程，确保数据来源的可靠性和一致性。同时，加强对数据质量的监控和审核，确保数据的真实性和准确性。</w:t>
      </w:r>
    </w:p>
    <w:p>
      <w:pPr>
        <w:pStyle w:val="39"/>
        <w:ind w:firstLine="480"/>
      </w:pPr>
      <w:r>
        <w:rPr>
          <w:rFonts w:hint="eastAsia"/>
        </w:rPr>
        <w:t>②引入先进分析方法：在数据分析方面，可以引入更高级的数据挖掘和机器学习技术，对大量数据进行深度挖掘和分析，以发现隐藏在数据背后的规律和问题。</w:t>
      </w:r>
    </w:p>
    <w:p>
      <w:pPr>
        <w:pStyle w:val="39"/>
        <w:ind w:firstLine="480"/>
      </w:pPr>
      <w:r>
        <w:rPr>
          <w:rFonts w:hint="eastAsia"/>
        </w:rPr>
        <w:t>③加强数据培训：针对部门内部人员对数据分析技术的掌握程度不同，可以开展相关的数据分析和技术培训，提升整体的数据分析能力。</w:t>
      </w:r>
    </w:p>
    <w:p>
      <w:pPr>
        <w:pStyle w:val="10"/>
        <w:ind w:firstLine="482"/>
      </w:pPr>
      <w:r>
        <w:rPr>
          <w:rFonts w:hint="eastAsia"/>
        </w:rPr>
        <w:t>3.加强部门间协作与沟通</w:t>
      </w:r>
    </w:p>
    <w:p>
      <w:pPr>
        <w:pStyle w:val="39"/>
        <w:ind w:firstLine="480"/>
      </w:pPr>
      <w:r>
        <w:rPr>
          <w:rFonts w:hint="eastAsia"/>
        </w:rPr>
        <w:t>①提高认识与参与度：通过组织培训和宣传活动，提高各部门对项目绩效评价工作的认识和重视程度，鼓励各部门积极参与评价工作。</w:t>
      </w:r>
    </w:p>
    <w:p>
      <w:pPr>
        <w:pStyle w:val="39"/>
        <w:ind w:firstLine="480"/>
      </w:pPr>
      <w:r>
        <w:rPr>
          <w:rFonts w:hint="eastAsia"/>
        </w:rPr>
        <w:t>②建立信息共享平台：搭建一个部门间信息共享和交流的平台，方便各部门及时获取项目绩效评价的相关信息和数据，促进部门间的协作和沟通。</w:t>
      </w:r>
    </w:p>
    <w:p>
      <w:pPr>
        <w:pStyle w:val="39"/>
        <w:ind w:firstLine="480"/>
      </w:pPr>
      <w:r>
        <w:rPr>
          <w:rFonts w:hint="eastAsia"/>
        </w:rPr>
        <w:t>③定期召开协调会议：定期召开项目绩效评价工作的协调会议，听取各部门的意见和建议，解决工作中出现的问题和困难，推动评价工作的顺利进行。</w:t>
      </w:r>
    </w:p>
    <w:p>
      <w:pPr>
        <w:pStyle w:val="10"/>
        <w:ind w:firstLine="482"/>
      </w:pPr>
      <w:r>
        <w:rPr>
          <w:rFonts w:hint="eastAsia"/>
        </w:rPr>
        <w:t>4.强化反馈与改进机制</w:t>
      </w:r>
    </w:p>
    <w:p>
      <w:pPr>
        <w:pStyle w:val="39"/>
        <w:ind w:firstLine="480"/>
      </w:pPr>
      <w:r>
        <w:rPr>
          <w:rFonts w:hint="eastAsia"/>
        </w:rPr>
        <w:t>①建立反馈渠道：设立专门的反馈渠道或热线，方便各部门和项目团队对评价结果进行反馈和提出改进建议。</w:t>
      </w:r>
    </w:p>
    <w:p>
      <w:pPr>
        <w:pStyle w:val="39"/>
        <w:ind w:firstLine="480"/>
      </w:pPr>
      <w:r>
        <w:rPr>
          <w:rFonts w:hint="eastAsia"/>
        </w:rPr>
        <w:t>②加强监督与评估：对改进措施的实施情况进行定期监督和评估，确保改进措施得到有效落实。同时，对未达到预期效果的改进措施进行调整和完善。</w:t>
      </w:r>
    </w:p>
    <w:p>
      <w:pPr>
        <w:pStyle w:val="39"/>
        <w:ind w:firstLine="480"/>
      </w:pPr>
      <w:r>
        <w:rPr>
          <w:rFonts w:hint="eastAsia"/>
        </w:rPr>
        <w:t>③鼓励创新与实践：鼓励各部门和项目团队在实践中积极探索和创新，对有效的改进措施进行总结和推广，以不断提升项目绩效评价工作的质量和水平。</w:t>
      </w:r>
    </w:p>
    <w:p>
      <w:pPr>
        <w:pStyle w:val="39"/>
        <w:ind w:firstLine="0" w:firstLineChars="0"/>
        <w:jc w:val="left"/>
      </w:pPr>
    </w:p>
    <w:p>
      <w:pPr>
        <w:pStyle w:val="39"/>
        <w:ind w:firstLine="0" w:firstLineChars="0"/>
        <w:jc w:val="left"/>
      </w:pPr>
      <w:r>
        <w:t>报告包括以下附件：</w:t>
      </w:r>
    </w:p>
    <w:p>
      <w:pPr>
        <w:widowControl/>
        <w:jc w:val="left"/>
        <w:rPr>
          <w:rFonts w:ascii="Times New Roman" w:hAnsi="Times New Roman" w:eastAsia="宋体"/>
          <w:sz w:val="24"/>
        </w:rPr>
      </w:pPr>
      <w:r>
        <w:br w:type="page"/>
      </w:r>
    </w:p>
    <w:p>
      <w:pPr>
        <w:pStyle w:val="39"/>
        <w:ind w:firstLine="0" w:firstLineChars="0"/>
        <w:jc w:val="left"/>
      </w:pPr>
      <w:r>
        <w:rPr>
          <w:rFonts w:hint="eastAsia"/>
        </w:rPr>
        <w:t>附件2-1</w:t>
      </w:r>
    </w:p>
    <w:p>
      <w:pPr>
        <w:widowControl/>
        <w:spacing w:line="360" w:lineRule="exact"/>
        <w:jc w:val="center"/>
        <w:rPr>
          <w:rFonts w:ascii="宋体" w:hAnsi="宋体" w:eastAsia="宋体" w:cs="方正小标宋简体"/>
          <w:bCs/>
          <w:szCs w:val="21"/>
          <w:shd w:val="clear" w:color="auto" w:fill="FFFFFF"/>
        </w:rPr>
      </w:pPr>
      <w:r>
        <w:rPr>
          <w:rFonts w:hint="eastAsia" w:ascii="宋体" w:hAnsi="宋体" w:eastAsia="宋体" w:cs="方正小标宋简体"/>
          <w:bCs/>
          <w:szCs w:val="21"/>
          <w:shd w:val="clear" w:color="auto" w:fill="FFFFFF"/>
        </w:rPr>
        <w:t>项目支出绩效自评表</w:t>
      </w:r>
    </w:p>
    <w:tbl>
      <w:tblPr>
        <w:tblStyle w:val="25"/>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Align w:val="center"/>
          </w:tcPr>
          <w:p>
            <w:pPr>
              <w:widowControl/>
              <w:spacing w:line="360" w:lineRule="exact"/>
              <w:jc w:val="left"/>
              <w:rPr>
                <w:rFonts w:ascii="宋体" w:hAnsi="宋体" w:eastAsia="宋体" w:cs="Times New Roman"/>
                <w:bCs/>
                <w:szCs w:val="21"/>
              </w:rPr>
            </w:pPr>
            <w:r>
              <w:rPr>
                <w:rFonts w:hint="eastAsia" w:ascii="宋体" w:hAnsi="宋体" w:eastAsia="宋体" w:cs="Times New Roman"/>
                <w:bCs/>
                <w:szCs w:val="21"/>
              </w:rPr>
              <w:t>项目支出名称</w:t>
            </w:r>
          </w:p>
        </w:tc>
        <w:tc>
          <w:tcPr>
            <w:tcW w:w="8771" w:type="dxa"/>
            <w:gridSpan w:val="8"/>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专项业务（工作）经费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主管部门</w:t>
            </w:r>
          </w:p>
        </w:tc>
        <w:tc>
          <w:tcPr>
            <w:tcW w:w="4518" w:type="dxa"/>
            <w:gridSpan w:val="4"/>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怀化市人民政府</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实施单位</w:t>
            </w:r>
          </w:p>
        </w:tc>
        <w:tc>
          <w:tcPr>
            <w:tcW w:w="3119" w:type="dxa"/>
            <w:gridSpan w:val="3"/>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湖南省怀化市政府驻北京联络处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pPr>
              <w:widowControl/>
              <w:spacing w:line="360" w:lineRule="exact"/>
              <w:jc w:val="left"/>
              <w:rPr>
                <w:rFonts w:ascii="宋体" w:hAnsi="宋体" w:eastAsia="宋体" w:cs="Times New Roman"/>
                <w:bCs/>
                <w:szCs w:val="21"/>
              </w:rPr>
            </w:pPr>
            <w:r>
              <w:rPr>
                <w:rFonts w:hint="eastAsia" w:ascii="宋体" w:hAnsi="宋体" w:eastAsia="宋体" w:cs="Times New Roman"/>
                <w:bCs/>
                <w:szCs w:val="21"/>
              </w:rPr>
              <w:t>项目资金</w:t>
            </w:r>
          </w:p>
          <w:p>
            <w:pPr>
              <w:widowControl/>
              <w:spacing w:line="360" w:lineRule="exact"/>
              <w:jc w:val="left"/>
              <w:rPr>
                <w:rFonts w:ascii="宋体" w:hAnsi="宋体" w:eastAsia="宋体" w:cs="Times New Roman"/>
                <w:bCs/>
                <w:szCs w:val="21"/>
              </w:rPr>
            </w:pPr>
            <w:r>
              <w:rPr>
                <w:rFonts w:hint="eastAsia" w:ascii="宋体" w:hAnsi="宋体" w:eastAsia="宋体" w:cs="Times New Roman"/>
                <w:bCs/>
                <w:szCs w:val="21"/>
              </w:rPr>
              <w:t>（万元）</w:t>
            </w:r>
          </w:p>
        </w:tc>
        <w:tc>
          <w:tcPr>
            <w:tcW w:w="2160" w:type="dxa"/>
            <w:gridSpan w:val="2"/>
            <w:vAlign w:val="center"/>
          </w:tcPr>
          <w:p>
            <w:pPr>
              <w:widowControl/>
              <w:spacing w:line="360" w:lineRule="exact"/>
              <w:jc w:val="left"/>
              <w:rPr>
                <w:rFonts w:ascii="宋体" w:hAnsi="宋体" w:eastAsia="宋体" w:cs="Times New Roman"/>
                <w:bCs/>
                <w:szCs w:val="21"/>
              </w:rPr>
            </w:pP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年初预算</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数</w:t>
            </w:r>
          </w:p>
        </w:tc>
        <w:tc>
          <w:tcPr>
            <w:tcW w:w="120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全年预</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算数</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全年执行数</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数</w:t>
            </w:r>
          </w:p>
        </w:tc>
        <w:tc>
          <w:tcPr>
            <w:tcW w:w="82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分值</w:t>
            </w:r>
          </w:p>
        </w:tc>
        <w:tc>
          <w:tcPr>
            <w:tcW w:w="873"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执行率</w:t>
            </w:r>
          </w:p>
        </w:tc>
        <w:tc>
          <w:tcPr>
            <w:tcW w:w="141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left"/>
              <w:rPr>
                <w:rFonts w:ascii="宋体" w:hAnsi="宋体" w:eastAsia="宋体" w:cs="Times New Roman"/>
                <w:bCs/>
                <w:szCs w:val="21"/>
              </w:rPr>
            </w:pPr>
          </w:p>
        </w:tc>
        <w:tc>
          <w:tcPr>
            <w:tcW w:w="2160" w:type="dxa"/>
            <w:gridSpan w:val="2"/>
            <w:vAlign w:val="center"/>
          </w:tcPr>
          <w:p>
            <w:pPr>
              <w:widowControl/>
              <w:spacing w:line="360" w:lineRule="exact"/>
              <w:jc w:val="left"/>
              <w:rPr>
                <w:rFonts w:ascii="宋体" w:hAnsi="宋体" w:eastAsia="宋体" w:cs="Times New Roman"/>
                <w:bCs/>
                <w:szCs w:val="21"/>
              </w:rPr>
            </w:pPr>
            <w:r>
              <w:rPr>
                <w:rFonts w:hint="eastAsia" w:ascii="宋体" w:hAnsi="宋体" w:eastAsia="宋体" w:cs="Times New Roman"/>
                <w:bCs/>
                <w:szCs w:val="21"/>
              </w:rPr>
              <w:t>年年度资金总额</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6</w:t>
            </w:r>
            <w:r>
              <w:rPr>
                <w:rFonts w:ascii="宋体" w:hAnsi="宋体" w:eastAsia="宋体" w:cs="Times New Roman"/>
                <w:bCs/>
                <w:szCs w:val="21"/>
              </w:rPr>
              <w:t>2.34</w:t>
            </w:r>
          </w:p>
        </w:tc>
        <w:tc>
          <w:tcPr>
            <w:tcW w:w="1209"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46.78</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4</w:t>
            </w:r>
            <w:r>
              <w:rPr>
                <w:rFonts w:ascii="宋体" w:hAnsi="宋体" w:eastAsia="宋体" w:cs="Times New Roman"/>
                <w:bCs/>
                <w:szCs w:val="21"/>
              </w:rPr>
              <w:t>6.78</w:t>
            </w:r>
          </w:p>
        </w:tc>
        <w:tc>
          <w:tcPr>
            <w:tcW w:w="82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10</w:t>
            </w:r>
          </w:p>
        </w:tc>
        <w:tc>
          <w:tcPr>
            <w:tcW w:w="873"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100</w:t>
            </w:r>
            <w:r>
              <w:rPr>
                <w:rFonts w:hint="eastAsia" w:ascii="宋体" w:hAnsi="宋体" w:eastAsia="宋体" w:cs="Times New Roman"/>
                <w:bCs/>
                <w:szCs w:val="21"/>
              </w:rPr>
              <w:t>%</w:t>
            </w:r>
          </w:p>
        </w:tc>
        <w:tc>
          <w:tcPr>
            <w:tcW w:w="1418"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left"/>
              <w:rPr>
                <w:rFonts w:ascii="宋体" w:hAnsi="宋体" w:eastAsia="宋体" w:cs="Times New Roman"/>
                <w:bCs/>
                <w:szCs w:val="21"/>
              </w:rPr>
            </w:pPr>
          </w:p>
        </w:tc>
        <w:tc>
          <w:tcPr>
            <w:tcW w:w="2160" w:type="dxa"/>
            <w:gridSpan w:val="2"/>
            <w:vAlign w:val="center"/>
          </w:tcPr>
          <w:p>
            <w:pPr>
              <w:widowControl/>
              <w:spacing w:line="360" w:lineRule="exact"/>
              <w:jc w:val="left"/>
              <w:rPr>
                <w:rFonts w:ascii="宋体" w:hAnsi="宋体" w:eastAsia="宋体" w:cs="Times New Roman"/>
                <w:bCs/>
                <w:szCs w:val="21"/>
              </w:rPr>
            </w:pPr>
            <w:r>
              <w:rPr>
                <w:rFonts w:hint="eastAsia" w:ascii="宋体" w:hAnsi="宋体" w:eastAsia="宋体" w:cs="Times New Roman"/>
                <w:bCs/>
                <w:szCs w:val="21"/>
              </w:rPr>
              <w:t>其中：当年财政拨款</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6</w:t>
            </w:r>
            <w:r>
              <w:rPr>
                <w:rFonts w:ascii="宋体" w:hAnsi="宋体" w:eastAsia="宋体" w:cs="Times New Roman"/>
                <w:bCs/>
                <w:szCs w:val="21"/>
              </w:rPr>
              <w:t>2.34</w:t>
            </w:r>
          </w:p>
        </w:tc>
        <w:tc>
          <w:tcPr>
            <w:tcW w:w="1209"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46.78</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4</w:t>
            </w:r>
            <w:r>
              <w:rPr>
                <w:rFonts w:ascii="宋体" w:hAnsi="宋体" w:eastAsia="宋体" w:cs="Times New Roman"/>
                <w:bCs/>
                <w:szCs w:val="21"/>
              </w:rPr>
              <w:t>6.78</w:t>
            </w:r>
          </w:p>
        </w:tc>
        <w:tc>
          <w:tcPr>
            <w:tcW w:w="828" w:type="dxa"/>
            <w:vAlign w:val="center"/>
          </w:tcPr>
          <w:p>
            <w:pPr>
              <w:widowControl/>
              <w:spacing w:line="360" w:lineRule="exact"/>
              <w:jc w:val="center"/>
              <w:rPr>
                <w:rFonts w:ascii="宋体" w:hAnsi="宋体" w:eastAsia="宋体" w:cs="Times New Roman"/>
                <w:bCs/>
                <w:szCs w:val="21"/>
              </w:rPr>
            </w:pPr>
          </w:p>
        </w:tc>
        <w:tc>
          <w:tcPr>
            <w:tcW w:w="873" w:type="dxa"/>
            <w:vAlign w:val="center"/>
          </w:tcPr>
          <w:p>
            <w:pPr>
              <w:widowControl/>
              <w:spacing w:line="360" w:lineRule="exact"/>
              <w:jc w:val="center"/>
              <w:rPr>
                <w:rFonts w:ascii="宋体" w:hAnsi="宋体" w:eastAsia="宋体" w:cs="Times New Roman"/>
                <w:bCs/>
                <w:szCs w:val="21"/>
              </w:rPr>
            </w:pP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left"/>
              <w:rPr>
                <w:rFonts w:ascii="宋体" w:hAnsi="宋体" w:eastAsia="宋体" w:cs="Times New Roman"/>
                <w:bCs/>
                <w:szCs w:val="21"/>
              </w:rPr>
            </w:pPr>
          </w:p>
        </w:tc>
        <w:tc>
          <w:tcPr>
            <w:tcW w:w="2160" w:type="dxa"/>
            <w:gridSpan w:val="2"/>
            <w:vAlign w:val="center"/>
          </w:tcPr>
          <w:p>
            <w:pPr>
              <w:widowControl/>
              <w:spacing w:line="360" w:lineRule="exact"/>
              <w:jc w:val="left"/>
              <w:rPr>
                <w:rFonts w:ascii="宋体" w:hAnsi="宋体" w:eastAsia="宋体" w:cs="Times New Roman"/>
                <w:bCs/>
                <w:szCs w:val="21"/>
              </w:rPr>
            </w:pPr>
            <w:r>
              <w:rPr>
                <w:rFonts w:hint="eastAsia" w:ascii="宋体" w:hAnsi="宋体" w:eastAsia="宋体" w:cs="Times New Roman"/>
                <w:bCs/>
                <w:szCs w:val="21"/>
              </w:rPr>
              <w:t>上上年结转资金</w:t>
            </w:r>
          </w:p>
        </w:tc>
        <w:tc>
          <w:tcPr>
            <w:tcW w:w="1149" w:type="dxa"/>
            <w:vAlign w:val="center"/>
          </w:tcPr>
          <w:p>
            <w:pPr>
              <w:widowControl/>
              <w:spacing w:line="360" w:lineRule="exact"/>
              <w:jc w:val="center"/>
              <w:rPr>
                <w:rFonts w:ascii="宋体" w:hAnsi="宋体" w:eastAsia="宋体" w:cs="Times New Roman"/>
                <w:bCs/>
                <w:szCs w:val="21"/>
              </w:rPr>
            </w:pPr>
          </w:p>
        </w:tc>
        <w:tc>
          <w:tcPr>
            <w:tcW w:w="1209" w:type="dxa"/>
            <w:vAlign w:val="center"/>
          </w:tcPr>
          <w:p>
            <w:pPr>
              <w:widowControl/>
              <w:spacing w:line="360" w:lineRule="exact"/>
              <w:jc w:val="center"/>
              <w:rPr>
                <w:rFonts w:ascii="宋体" w:hAnsi="宋体" w:eastAsia="宋体" w:cs="Times New Roman"/>
                <w:bCs/>
                <w:szCs w:val="21"/>
              </w:rPr>
            </w:pPr>
          </w:p>
        </w:tc>
        <w:tc>
          <w:tcPr>
            <w:tcW w:w="1134" w:type="dxa"/>
            <w:vAlign w:val="center"/>
          </w:tcPr>
          <w:p>
            <w:pPr>
              <w:widowControl/>
              <w:spacing w:line="360" w:lineRule="exact"/>
              <w:jc w:val="center"/>
              <w:rPr>
                <w:rFonts w:ascii="宋体" w:hAnsi="宋体" w:eastAsia="宋体" w:cs="Times New Roman"/>
                <w:bCs/>
                <w:szCs w:val="21"/>
              </w:rPr>
            </w:pPr>
          </w:p>
        </w:tc>
        <w:tc>
          <w:tcPr>
            <w:tcW w:w="828" w:type="dxa"/>
            <w:vAlign w:val="center"/>
          </w:tcPr>
          <w:p>
            <w:pPr>
              <w:widowControl/>
              <w:spacing w:line="360" w:lineRule="exact"/>
              <w:jc w:val="center"/>
              <w:rPr>
                <w:rFonts w:ascii="宋体" w:hAnsi="宋体" w:eastAsia="宋体" w:cs="Times New Roman"/>
                <w:bCs/>
                <w:szCs w:val="21"/>
              </w:rPr>
            </w:pPr>
          </w:p>
        </w:tc>
        <w:tc>
          <w:tcPr>
            <w:tcW w:w="873" w:type="dxa"/>
            <w:vAlign w:val="center"/>
          </w:tcPr>
          <w:p>
            <w:pPr>
              <w:widowControl/>
              <w:spacing w:line="360" w:lineRule="exact"/>
              <w:jc w:val="center"/>
              <w:rPr>
                <w:rFonts w:ascii="宋体" w:hAnsi="宋体" w:eastAsia="宋体" w:cs="Times New Roman"/>
                <w:bCs/>
                <w:szCs w:val="21"/>
              </w:rPr>
            </w:pP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widowControl/>
              <w:spacing w:line="360" w:lineRule="exact"/>
              <w:jc w:val="left"/>
              <w:rPr>
                <w:rFonts w:ascii="宋体" w:hAnsi="宋体" w:eastAsia="宋体" w:cs="Times New Roman"/>
                <w:bCs/>
                <w:szCs w:val="21"/>
              </w:rPr>
            </w:pPr>
          </w:p>
        </w:tc>
        <w:tc>
          <w:tcPr>
            <w:tcW w:w="2160" w:type="dxa"/>
            <w:gridSpan w:val="2"/>
            <w:vAlign w:val="center"/>
          </w:tcPr>
          <w:p>
            <w:pPr>
              <w:widowControl/>
              <w:spacing w:line="360" w:lineRule="exact"/>
              <w:jc w:val="left"/>
              <w:rPr>
                <w:rFonts w:ascii="宋体" w:hAnsi="宋体" w:eastAsia="宋体" w:cs="Times New Roman"/>
                <w:bCs/>
                <w:szCs w:val="21"/>
              </w:rPr>
            </w:pPr>
            <w:r>
              <w:rPr>
                <w:rFonts w:hint="eastAsia" w:ascii="宋体" w:hAnsi="宋体" w:eastAsia="宋体" w:cs="Times New Roman"/>
                <w:bCs/>
                <w:szCs w:val="21"/>
              </w:rPr>
              <w:t>其其他资金</w:t>
            </w:r>
          </w:p>
        </w:tc>
        <w:tc>
          <w:tcPr>
            <w:tcW w:w="1149" w:type="dxa"/>
            <w:vAlign w:val="center"/>
          </w:tcPr>
          <w:p>
            <w:pPr>
              <w:widowControl/>
              <w:spacing w:line="360" w:lineRule="exact"/>
              <w:jc w:val="center"/>
              <w:rPr>
                <w:rFonts w:ascii="宋体" w:hAnsi="宋体" w:eastAsia="宋体" w:cs="Times New Roman"/>
                <w:bCs/>
                <w:szCs w:val="21"/>
              </w:rPr>
            </w:pPr>
          </w:p>
        </w:tc>
        <w:tc>
          <w:tcPr>
            <w:tcW w:w="1209" w:type="dxa"/>
            <w:vAlign w:val="center"/>
          </w:tcPr>
          <w:p>
            <w:pPr>
              <w:widowControl/>
              <w:spacing w:line="360" w:lineRule="exact"/>
              <w:jc w:val="center"/>
              <w:rPr>
                <w:rFonts w:ascii="宋体" w:hAnsi="宋体" w:eastAsia="宋体" w:cs="Times New Roman"/>
                <w:bCs/>
                <w:szCs w:val="21"/>
              </w:rPr>
            </w:pPr>
          </w:p>
        </w:tc>
        <w:tc>
          <w:tcPr>
            <w:tcW w:w="1134" w:type="dxa"/>
            <w:vAlign w:val="center"/>
          </w:tcPr>
          <w:p>
            <w:pPr>
              <w:widowControl/>
              <w:spacing w:line="360" w:lineRule="exact"/>
              <w:jc w:val="center"/>
              <w:rPr>
                <w:rFonts w:ascii="宋体" w:hAnsi="宋体" w:eastAsia="宋体" w:cs="Times New Roman"/>
                <w:bCs/>
                <w:szCs w:val="21"/>
              </w:rPr>
            </w:pPr>
          </w:p>
        </w:tc>
        <w:tc>
          <w:tcPr>
            <w:tcW w:w="828" w:type="dxa"/>
            <w:vAlign w:val="center"/>
          </w:tcPr>
          <w:p>
            <w:pPr>
              <w:widowControl/>
              <w:spacing w:line="360" w:lineRule="exact"/>
              <w:jc w:val="center"/>
              <w:rPr>
                <w:rFonts w:ascii="宋体" w:hAnsi="宋体" w:eastAsia="宋体" w:cs="Times New Roman"/>
                <w:bCs/>
                <w:szCs w:val="21"/>
              </w:rPr>
            </w:pPr>
          </w:p>
        </w:tc>
        <w:tc>
          <w:tcPr>
            <w:tcW w:w="873" w:type="dxa"/>
            <w:vAlign w:val="center"/>
          </w:tcPr>
          <w:p>
            <w:pPr>
              <w:widowControl/>
              <w:spacing w:line="360" w:lineRule="exact"/>
              <w:jc w:val="center"/>
              <w:rPr>
                <w:rFonts w:ascii="宋体" w:hAnsi="宋体" w:eastAsia="宋体" w:cs="Times New Roman"/>
                <w:bCs/>
                <w:szCs w:val="21"/>
              </w:rPr>
            </w:pP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pPr>
              <w:widowControl/>
              <w:spacing w:line="360" w:lineRule="exact"/>
              <w:jc w:val="left"/>
              <w:rPr>
                <w:rFonts w:ascii="宋体" w:hAnsi="宋体" w:eastAsia="宋体" w:cs="Times New Roman"/>
                <w:bCs/>
                <w:szCs w:val="21"/>
              </w:rPr>
            </w:pPr>
            <w:r>
              <w:rPr>
                <w:rFonts w:hint="eastAsia" w:ascii="宋体" w:hAnsi="宋体" w:eastAsia="宋体" w:cs="Times New Roman"/>
                <w:bCs/>
                <w:szCs w:val="21"/>
              </w:rPr>
              <w:t>年度总体目标</w:t>
            </w:r>
          </w:p>
        </w:tc>
        <w:tc>
          <w:tcPr>
            <w:tcW w:w="4518" w:type="dxa"/>
            <w:gridSpan w:val="4"/>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预期目标</w:t>
            </w:r>
          </w:p>
        </w:tc>
        <w:tc>
          <w:tcPr>
            <w:tcW w:w="4253" w:type="dxa"/>
            <w:gridSpan w:val="4"/>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5" w:hRule="atLeast"/>
          <w:jc w:val="center"/>
        </w:trPr>
        <w:tc>
          <w:tcPr>
            <w:tcW w:w="1080" w:type="dxa"/>
            <w:vMerge w:val="continue"/>
            <w:vAlign w:val="center"/>
          </w:tcPr>
          <w:p>
            <w:pPr>
              <w:widowControl/>
              <w:spacing w:line="360" w:lineRule="exact"/>
              <w:jc w:val="left"/>
              <w:rPr>
                <w:rFonts w:ascii="宋体" w:hAnsi="宋体" w:eastAsia="宋体" w:cs="Times New Roman"/>
                <w:bCs/>
                <w:szCs w:val="21"/>
              </w:rPr>
            </w:pPr>
          </w:p>
        </w:tc>
        <w:tc>
          <w:tcPr>
            <w:tcW w:w="4518" w:type="dxa"/>
            <w:gridSpan w:val="4"/>
            <w:vAlign w:val="center"/>
          </w:tcPr>
          <w:p>
            <w:pPr>
              <w:widowControl/>
              <w:spacing w:line="360" w:lineRule="exact"/>
              <w:rPr>
                <w:rFonts w:ascii="宋体" w:hAnsi="宋体" w:eastAsia="宋体" w:cs="Times New Roman"/>
                <w:bCs/>
                <w:szCs w:val="21"/>
              </w:rPr>
            </w:pPr>
            <w:r>
              <w:rPr>
                <w:rFonts w:hint="eastAsia" w:ascii="宋体" w:hAnsi="宋体" w:eastAsia="宋体" w:cs="Times New Roman"/>
                <w:bCs/>
                <w:szCs w:val="21"/>
              </w:rPr>
              <w:t>一、突出政治建设，强化忠诚履职。一是深入学习宣传贯彻党的二十大会议精神。二是建设坚强有力政治机关。三是推动决策部署落地见效。</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二、突出业务建设，强化高效履职。一是当好接待员。二是当好信息员。三、是当好宣传员。四是当好服务员。</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三、突出自身建设，强化充分履职。一是班子建设高标准。二是队伍建设高素质。三是制度建设高效能。</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四、突出作风建设，强化廉洁履职。一是强化教育管理。二是持续纠治“四风”。三是加强监督执纪。</w:t>
            </w:r>
          </w:p>
          <w:p>
            <w:pPr>
              <w:widowControl/>
              <w:spacing w:line="360" w:lineRule="exact"/>
              <w:rPr>
                <w:rFonts w:ascii="宋体" w:hAnsi="宋体" w:eastAsia="宋体" w:cs="Times New Roman"/>
                <w:bCs/>
                <w:szCs w:val="21"/>
              </w:rPr>
            </w:pPr>
            <w:r>
              <w:rPr>
                <w:rFonts w:ascii="宋体" w:hAnsi="宋体" w:eastAsia="宋体" w:cs="Times New Roman"/>
                <w:bCs/>
                <w:szCs w:val="21"/>
              </w:rPr>
              <w:t xml:space="preserve">          </w:t>
            </w:r>
          </w:p>
        </w:tc>
        <w:tc>
          <w:tcPr>
            <w:tcW w:w="4253" w:type="dxa"/>
            <w:gridSpan w:val="4"/>
            <w:vAlign w:val="center"/>
          </w:tcPr>
          <w:p>
            <w:pPr>
              <w:widowControl/>
              <w:spacing w:line="360" w:lineRule="exact"/>
              <w:rPr>
                <w:rFonts w:ascii="宋体" w:hAnsi="宋体" w:eastAsia="宋体" w:cs="Times New Roman"/>
                <w:bCs/>
                <w:szCs w:val="21"/>
              </w:rPr>
            </w:pPr>
            <w:r>
              <w:rPr>
                <w:rFonts w:hint="eastAsia" w:ascii="宋体" w:hAnsi="宋体" w:eastAsia="宋体" w:cs="Times New Roman"/>
                <w:bCs/>
                <w:szCs w:val="21"/>
              </w:rPr>
              <w:t>1.强化政治引领，筑牢政治忠诚</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1）把党的政治建设摆在首位。认真学习贯彻党的二十大精神，扎实推进政治机关建设，深刻领悟“两个确立”的决定性意义，不断增强“四个意识”，坚定“四个自信”，做到“两个维护”，始终牢记“国之大者,”精准把握“省之大计”，忠诚履行驻京使命，严明政治纪律。严肃党内政治生活，强化政治监督，涵养风清气正、干事创业的政治生态。</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2）认真开展好主题教育活动。2023年，按照党中央、省委和市委的统一部署，驻京联络处深入开展主题教育活动，坚持学思用贯通、知信行统一，全面、系统、深入学习习近平新时代中国特色社会主义思想，深刻领悟“两个确立”的决定性意义，突出实践导向，真抓实干、务求实效，牢固树立以人民为中心的发展思想，严格落实中央八项规定及其实施细则精神和省委实施意见、市委相关规定，深入推进清廉驻京建设，积极做好“两带头五整治”纠风防腐专项行动，常态化推进“三整顿两提升”干部作风建设，与深化清廉驻京建设、推进作风建设专项行动、巩固模范机关创建成果等工作结合起来，同中心工作结合起来，做到两手抓、两促进。</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3）加强意识形态工作。认真落实意识形态工作责任制，围绕重要时间节点，认真分析研判意识形态领域情况，牢牢把握主导权和话语权。驻京联络处切实把讲政治贯穿驻京工作全过程，要求联络处每一位党员干部都要站稳政治立场，维护党中央的核心领导地位。坚持开展经常性谈心谈话和干部职工思想动态调研分析，规范全体党员干部工作时间内外、网上网下言行，把握好正确的舆论导向。</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2.守正创新促发展，增强服务效能</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1）信息工作打开新局面。主动对接国家部委，第一时间获取政策信息，全力打造常态化、多元化、立体化的信息收集报送体系，定期参加湖南省驻京办央企对接暨重大招商工作调度会议，全力配合省驻京办创建“共建、共赢、共享”的信息网络平台。</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（2）人才信息工作起收效。5月，配合市委组织部在清华大学开展“智汇潇湘 才聚五溪”怀化市招才引才恳谈会。6月，完成专项信息采集工作，收集整理和更新了怀化籍及在怀化工作过的中央机关、国家部委、央企、在京科研院校正处级以上206名在职人士信息。及时掌握了解怀化籍在京人士信息，确保精准对接。协助市委组织部、市人社局在京开展招才引才活动，发动在京怀籍企业家和高校师生为怀化招才引才做好宣传推介工作，进一步扩大知晓度和参与度，形成招才引智的良好氛围。</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3）全力推进湘商回归。今年，成立了北京怀化企业商会，注重以商招商和亲情招商，积极与央企北京怀化商会，兄弟地市驻京联络处，怀化籍在京乡贤企业走访联系，掌握信息。3月，参加了华北地区湖南商会联席会议暨湘商回归座谈会，以商会为载体、以亲情为纽带、创新推动商会招商、以商引商各项工作。利亚德集团与芷江城建投公司合作在芷江艺术中心建设利亚德元宇宙文旅项目。走访怀化籍北京企业，通过实地察看、座谈交流等方式，结合“走、找、想、促”活动，助力湘商回归。在座谈会上积极宣传《怀化市湘商回归和返乡创业工作实施方案》和“智慧怀商项目平台”，在各种公共场合宣传怀化“湘商回归”优惠政策。1.开展平台招商。通过驻京联络处和北京怀化企业商会平台，构建常态化联系怀商、新生代怀商和怀化籍专家学者制度，定期走访商协会，积极为湘商回归“铺路、架桥、搭台”，在京召开湘商座谈会，倾听湘商声音。9月3日，我市在北京利亚德集团举行“湘商回归”对接座谈会。 9月下旬，由芷江县委、县政府与利亚德集团共同打造的和平艺术中心“元宇宙”科技体验馆正式开馆。2.创新大使招商。聘请23名重点企业家和商协会会长作为招商大使，助力怀化招大引强。北京招商大使、北京潇湘曾府酒店董事长曾峥已计划投资洪江市黔阳古城的民宿项目。3.依托资源招商。整合光伏、风力等资源，谋划风光水储新能源项目，引入中电国际赴怀建设新能源项目，其中合同外资1.8亿美元，现已累积到资4084万美元。4.推动资本招商。设立总规模50亿元的怀化国际陆港产业发展基金，与湘投基金合作管理，采取母“基金子+基金”和直投方式，助力国际陆港产业项目招商。</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4）政务服务有质效。贯彻市委、市政府工作要求，协调陪同市级领导在京对接国家发展改革委、水利部、财政部、商务部及铁道部，将“湖南省蟒塘溪（怀化市）水资源配置工程”增列进入全国“十四五”水安全保障规划和全国“十四五”重大水利项目建设库、在国家《抽水蓄能中长期发展规划（2021-2035年）》中期调整时，将怀化高新区用户侧抽水蓄能项目调整纳入规划、会同石煤综合利用项目所需火电建设指标、湖南省怀化市创建全国生态产品价值实现机制试点（国家目前已停止试点工作，以案例形式推广此项工作）、将怀化市纳入国家现代流通战略支点城市、怀化至桂林铁路列入国家“十四五”铁路发展规划等工作，助推怀化“五新四城”建设。突出重点对接，协调陪同市级领导在京对接重点项目，促成中国供销集团怀化产业园项目、中电国际储能集成设备生产线项目、东旭集团怀化高新标载板项目、中林集团竹缠绕复合压力管道生产基地项目等一批重大项目纷纷落户。靖州县通过茯苓产业引进修正药业集团投资13亿元布局建设生物医药项目和大健康产业。中储粮集团公司党组书记、董事长表示，中储粮集团公司将积极支持怀化直属库退城进园项目建设，进一步提升粮食储备安全保障能力。全年共计为市级领导和市直部门，各县、市（区）来京汇报对接工作联络服务400余人次。</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5）宣传工作开新局面。强化与媒体的联系，统筹市宣传资源，宣传怀化讲好怀化故事。3月，积极协助市委宣传部、洪江市市委宣传部、湖南广播电视台新闻中心赴京对接宣传片。铺路搭桥，为更好地让怀化土特产走出去，通过线上和线下多种渠道宣传推介怀化农产品。同时，等条件成熟，计划对新办公楼进行装修，划分专门区域作为宣传怀化土特产的阵地和窗口。全力为了“一粒种子 改变世界”原创民族音乐会和怀化市文化旅游推介大会提供服务保障工作。9月4日，“一粒种子 改变世界”原创民族音乐会在京首演，扩大怀化“一粒种子 改变世界”城市形象品牌影响力，着力打造湖南农耕文化旅游名片。同时，易烊千玺受邀担任怀化形象大使，通过视频向全世界朋友发出邀约，邀请大家走进怀化，来到怀化。9月23日，怀化举办第二届旅发大会，邀请利亚德集团董事长等十余名在京怀籍企业家出席会议，以旅发大会为契机，推动全市文旅招商项目落地怀化。</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6）整体形象有新面貌。深入推进“清廉机关”的建设。把清廉文化建设同党风廉政建设工作一并部署，一并落实，制定《市驻京联络处清廉文化建设实施方案》，组织联络处全体干部职工开展党纪条规、廉政法律法规学习及廉洁文化宣传教育活动4次。充分利用联络处现有阵地，在办公室制作清廉文化宣传墙,不断提升清廉文化的认同感。清廉文化建设与班子成员履职党支部建设相结合，加强党员干部的教育管理和监督服务，督促党员干部带头守纪律讲规矩，遵守党纪国法，充分发挥政治引领、廉洁奉公示范作用；将清廉建设纳入班子成员履职评价，对违纪违规、违背政令，受到纪律处分、组织处理、责任追究的班子成员，实行履职评价“一票否决”。</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7）全力促进大稳定。驻京联络处坚持把维护首都稳定作为驻京工作的重要政治任务，全国“两会”、北戴河暑期值班等特护期，同时抓好全年重点节日确保驻京信访维稳零滞留、零倒流、零滋事、零违纪、零炒作目标，实现了“三个确保”，的预期目标：既没有发生进京规模聚访事件，没有发生影响怀化形象的恶性个案，进京非正常上访的批次和人次均有下降，为维护首都稳定，维护怀化形象做出了怀化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绩</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效</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指</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标</w:t>
            </w: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一级指标</w:t>
            </w: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二级指标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三级指标</w:t>
            </w:r>
          </w:p>
        </w:tc>
        <w:tc>
          <w:tcPr>
            <w:tcW w:w="120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年度指</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指标值</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实际完</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完成值</w:t>
            </w:r>
          </w:p>
        </w:tc>
        <w:tc>
          <w:tcPr>
            <w:tcW w:w="82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分值</w:t>
            </w:r>
          </w:p>
        </w:tc>
        <w:tc>
          <w:tcPr>
            <w:tcW w:w="873"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得分</w:t>
            </w:r>
          </w:p>
        </w:tc>
        <w:tc>
          <w:tcPr>
            <w:tcW w:w="141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偏差原因</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分析及改</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Merge w:val="restart"/>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产出指标</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（50分）</w:t>
            </w: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数量指标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招</w:t>
            </w:r>
            <w:r>
              <w:rPr>
                <w:rFonts w:ascii="宋体" w:hAnsi="宋体" w:eastAsia="宋体" w:cs="Times New Roman"/>
                <w:bCs/>
                <w:szCs w:val="21"/>
              </w:rPr>
              <w:t>商引资项目数量</w:t>
            </w:r>
          </w:p>
        </w:tc>
        <w:tc>
          <w:tcPr>
            <w:tcW w:w="120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6项</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6项</w:t>
            </w:r>
          </w:p>
        </w:tc>
        <w:tc>
          <w:tcPr>
            <w:tcW w:w="82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5</w:t>
            </w:r>
          </w:p>
        </w:tc>
        <w:tc>
          <w:tcPr>
            <w:tcW w:w="873"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5</w:t>
            </w: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质量指标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项目验收合格率</w:t>
            </w:r>
          </w:p>
        </w:tc>
        <w:tc>
          <w:tcPr>
            <w:tcW w:w="120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00</w:t>
            </w:r>
            <w:r>
              <w:rPr>
                <w:rFonts w:hint="eastAsia" w:ascii="宋体" w:hAnsi="宋体" w:eastAsia="宋体" w:cs="Times New Roman"/>
                <w:bCs/>
                <w:szCs w:val="21"/>
              </w:rPr>
              <w:t>%</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00</w:t>
            </w:r>
            <w:r>
              <w:rPr>
                <w:rFonts w:hint="eastAsia" w:ascii="宋体" w:hAnsi="宋体" w:eastAsia="宋体" w:cs="Times New Roman"/>
                <w:bCs/>
                <w:szCs w:val="21"/>
              </w:rPr>
              <w:t>%</w:t>
            </w:r>
          </w:p>
        </w:tc>
        <w:tc>
          <w:tcPr>
            <w:tcW w:w="828"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873"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时效指标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完成及时性</w:t>
            </w:r>
          </w:p>
        </w:tc>
        <w:tc>
          <w:tcPr>
            <w:tcW w:w="120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023</w:t>
            </w:r>
            <w:r>
              <w:rPr>
                <w:rFonts w:hint="eastAsia" w:ascii="宋体" w:hAnsi="宋体" w:eastAsia="宋体" w:cs="Times New Roman"/>
                <w:bCs/>
                <w:szCs w:val="21"/>
              </w:rPr>
              <w:t>年1</w:t>
            </w:r>
            <w:r>
              <w:rPr>
                <w:rFonts w:ascii="宋体" w:hAnsi="宋体" w:eastAsia="宋体" w:cs="Times New Roman"/>
                <w:bCs/>
                <w:szCs w:val="21"/>
              </w:rPr>
              <w:t>2</w:t>
            </w:r>
            <w:r>
              <w:rPr>
                <w:rFonts w:hint="eastAsia" w:ascii="宋体" w:hAnsi="宋体" w:eastAsia="宋体" w:cs="Times New Roman"/>
                <w:bCs/>
                <w:szCs w:val="21"/>
              </w:rPr>
              <w:t>月之前完成</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023</w:t>
            </w:r>
            <w:r>
              <w:rPr>
                <w:rFonts w:hint="eastAsia" w:ascii="宋体" w:hAnsi="宋体" w:eastAsia="宋体" w:cs="Times New Roman"/>
                <w:bCs/>
                <w:szCs w:val="21"/>
              </w:rPr>
              <w:t>年1</w:t>
            </w:r>
            <w:r>
              <w:rPr>
                <w:rFonts w:ascii="宋体" w:hAnsi="宋体" w:eastAsia="宋体" w:cs="Times New Roman"/>
                <w:bCs/>
                <w:szCs w:val="21"/>
              </w:rPr>
              <w:t>2</w:t>
            </w:r>
            <w:r>
              <w:rPr>
                <w:rFonts w:hint="eastAsia" w:ascii="宋体" w:hAnsi="宋体" w:eastAsia="宋体" w:cs="Times New Roman"/>
                <w:bCs/>
                <w:szCs w:val="21"/>
              </w:rPr>
              <w:t>月之前完成</w:t>
            </w:r>
          </w:p>
        </w:tc>
        <w:tc>
          <w:tcPr>
            <w:tcW w:w="82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5</w:t>
            </w:r>
          </w:p>
        </w:tc>
        <w:tc>
          <w:tcPr>
            <w:tcW w:w="873"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5</w:t>
            </w: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成本指标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项目标成本控制</w:t>
            </w:r>
          </w:p>
        </w:tc>
        <w:tc>
          <w:tcPr>
            <w:tcW w:w="120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≤6</w:t>
            </w:r>
            <w:r>
              <w:rPr>
                <w:rFonts w:ascii="宋体" w:hAnsi="宋体" w:eastAsia="宋体" w:cs="Times New Roman"/>
                <w:bCs/>
                <w:szCs w:val="21"/>
              </w:rPr>
              <w:t>2.34</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4</w:t>
            </w:r>
            <w:r>
              <w:rPr>
                <w:rFonts w:ascii="宋体" w:hAnsi="宋体" w:eastAsia="宋体" w:cs="Times New Roman"/>
                <w:bCs/>
                <w:szCs w:val="21"/>
              </w:rPr>
              <w:t>6.78</w:t>
            </w:r>
          </w:p>
        </w:tc>
        <w:tc>
          <w:tcPr>
            <w:tcW w:w="828"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873"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Merge w:val="restart"/>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效益指标</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（30分）</w:t>
            </w: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经济效益</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推动怀化经济发展</w:t>
            </w:r>
          </w:p>
        </w:tc>
        <w:tc>
          <w:tcPr>
            <w:tcW w:w="120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82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w:t>
            </w:r>
          </w:p>
        </w:tc>
        <w:tc>
          <w:tcPr>
            <w:tcW w:w="873"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8</w:t>
            </w: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社会效益</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社会效益情况</w:t>
            </w:r>
          </w:p>
        </w:tc>
        <w:tc>
          <w:tcPr>
            <w:tcW w:w="120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82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w:t>
            </w:r>
          </w:p>
        </w:tc>
        <w:tc>
          <w:tcPr>
            <w:tcW w:w="873"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w:t>
            </w: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生态效益</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益指标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无</w:t>
            </w:r>
          </w:p>
        </w:tc>
        <w:tc>
          <w:tcPr>
            <w:tcW w:w="1209" w:type="dxa"/>
            <w:vAlign w:val="center"/>
          </w:tcPr>
          <w:p>
            <w:pPr>
              <w:widowControl/>
              <w:spacing w:line="360" w:lineRule="exact"/>
              <w:jc w:val="center"/>
              <w:rPr>
                <w:rFonts w:ascii="宋体" w:hAnsi="宋体" w:eastAsia="宋体" w:cs="Times New Roman"/>
                <w:bCs/>
                <w:szCs w:val="21"/>
              </w:rPr>
            </w:pPr>
          </w:p>
        </w:tc>
        <w:tc>
          <w:tcPr>
            <w:tcW w:w="1134" w:type="dxa"/>
            <w:vAlign w:val="center"/>
          </w:tcPr>
          <w:p>
            <w:pPr>
              <w:widowControl/>
              <w:spacing w:line="360" w:lineRule="exact"/>
              <w:jc w:val="center"/>
              <w:rPr>
                <w:rFonts w:ascii="宋体" w:hAnsi="宋体" w:eastAsia="宋体" w:cs="Times New Roman"/>
                <w:bCs/>
                <w:szCs w:val="21"/>
              </w:rPr>
            </w:pPr>
          </w:p>
        </w:tc>
        <w:tc>
          <w:tcPr>
            <w:tcW w:w="828" w:type="dxa"/>
            <w:vAlign w:val="center"/>
          </w:tcPr>
          <w:p>
            <w:pPr>
              <w:widowControl/>
              <w:spacing w:line="360" w:lineRule="exact"/>
              <w:jc w:val="center"/>
              <w:rPr>
                <w:rFonts w:ascii="宋体" w:hAnsi="宋体" w:eastAsia="宋体" w:cs="Times New Roman"/>
                <w:bCs/>
                <w:szCs w:val="21"/>
              </w:rPr>
            </w:pPr>
          </w:p>
        </w:tc>
        <w:tc>
          <w:tcPr>
            <w:tcW w:w="873" w:type="dxa"/>
            <w:vAlign w:val="center"/>
          </w:tcPr>
          <w:p>
            <w:pPr>
              <w:widowControl/>
              <w:spacing w:line="360" w:lineRule="exact"/>
              <w:jc w:val="center"/>
              <w:rPr>
                <w:rFonts w:ascii="宋体" w:hAnsi="宋体" w:eastAsia="宋体" w:cs="Times New Roman"/>
                <w:bCs/>
                <w:szCs w:val="21"/>
              </w:rPr>
            </w:pP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可持续影响指标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持续影响情况</w:t>
            </w:r>
          </w:p>
        </w:tc>
        <w:tc>
          <w:tcPr>
            <w:tcW w:w="120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828"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873"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满意度指标（10分）</w:t>
            </w: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服务对象满意度指标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服务对象满意度</w:t>
            </w:r>
          </w:p>
        </w:tc>
        <w:tc>
          <w:tcPr>
            <w:tcW w:w="1209" w:type="dxa"/>
            <w:vAlign w:val="center"/>
          </w:tcPr>
          <w:p>
            <w:pPr>
              <w:widowControl/>
              <w:spacing w:line="360" w:lineRule="exact"/>
              <w:jc w:val="center"/>
              <w:rPr>
                <w:rFonts w:ascii="宋体" w:hAnsi="宋体" w:eastAsia="宋体" w:cs="Times New Roman"/>
                <w:bCs/>
                <w:kern w:val="0"/>
                <w:szCs w:val="21"/>
              </w:rPr>
            </w:pPr>
            <w:r>
              <w:rPr>
                <w:rFonts w:ascii="宋体" w:hAnsi="宋体" w:eastAsia="宋体" w:cs="Times New Roman"/>
                <w:bCs/>
                <w:szCs w:val="21"/>
              </w:rPr>
              <w:t>≥90</w:t>
            </w:r>
            <w:r>
              <w:rPr>
                <w:rFonts w:hint="eastAsia" w:ascii="宋体" w:hAnsi="宋体" w:eastAsia="宋体" w:cs="Times New Roman"/>
                <w:bCs/>
                <w:szCs w:val="21"/>
              </w:rPr>
              <w:t>%</w:t>
            </w:r>
          </w:p>
        </w:tc>
        <w:tc>
          <w:tcPr>
            <w:tcW w:w="1134" w:type="dxa"/>
            <w:vAlign w:val="center"/>
          </w:tcPr>
          <w:p>
            <w:pPr>
              <w:widowControl/>
              <w:spacing w:line="360" w:lineRule="exact"/>
              <w:jc w:val="center"/>
              <w:rPr>
                <w:rFonts w:ascii="宋体" w:hAnsi="宋体" w:eastAsia="宋体" w:cs="Times New Roman"/>
                <w:bCs/>
                <w:kern w:val="0"/>
                <w:szCs w:val="21"/>
              </w:rPr>
            </w:pPr>
            <w:r>
              <w:rPr>
                <w:rFonts w:ascii="宋体" w:hAnsi="宋体" w:eastAsia="宋体" w:cs="Times New Roman"/>
                <w:bCs/>
                <w:szCs w:val="21"/>
              </w:rPr>
              <w:t>≥90</w:t>
            </w:r>
            <w:r>
              <w:rPr>
                <w:rFonts w:hint="eastAsia" w:ascii="宋体" w:hAnsi="宋体" w:eastAsia="宋体" w:cs="Times New Roman"/>
                <w:bCs/>
                <w:szCs w:val="21"/>
              </w:rPr>
              <w:t>%</w:t>
            </w:r>
          </w:p>
        </w:tc>
        <w:tc>
          <w:tcPr>
            <w:tcW w:w="82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w:t>
            </w:r>
          </w:p>
        </w:tc>
        <w:tc>
          <w:tcPr>
            <w:tcW w:w="873"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w:t>
            </w: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总分</w:t>
            </w:r>
          </w:p>
        </w:tc>
        <w:tc>
          <w:tcPr>
            <w:tcW w:w="828"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100</w:t>
            </w:r>
          </w:p>
        </w:tc>
        <w:tc>
          <w:tcPr>
            <w:tcW w:w="873"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9</w:t>
            </w:r>
            <w:r>
              <w:rPr>
                <w:rFonts w:ascii="宋体" w:hAnsi="宋体" w:eastAsia="宋体" w:cs="Times New Roman"/>
                <w:bCs/>
                <w:szCs w:val="21"/>
              </w:rPr>
              <w:t>8</w:t>
            </w:r>
          </w:p>
        </w:tc>
        <w:tc>
          <w:tcPr>
            <w:tcW w:w="1418" w:type="dxa"/>
            <w:vAlign w:val="center"/>
          </w:tcPr>
          <w:p>
            <w:pPr>
              <w:widowControl/>
              <w:spacing w:line="360" w:lineRule="exact"/>
              <w:jc w:val="center"/>
              <w:rPr>
                <w:rFonts w:ascii="宋体" w:hAnsi="宋体" w:eastAsia="宋体" w:cs="Times New Roman"/>
                <w:bCs/>
                <w:szCs w:val="21"/>
              </w:rPr>
            </w:pPr>
          </w:p>
        </w:tc>
      </w:tr>
    </w:tbl>
    <w:p>
      <w:pPr>
        <w:widowControl/>
        <w:spacing w:line="360" w:lineRule="exact"/>
        <w:jc w:val="left"/>
        <w:rPr>
          <w:rFonts w:ascii="宋体" w:hAnsi="宋体" w:eastAsia="宋体" w:cs="Times New Roman"/>
          <w:bCs/>
          <w:szCs w:val="21"/>
        </w:rPr>
      </w:pPr>
      <w:r>
        <w:rPr>
          <w:rFonts w:hint="eastAsia" w:ascii="宋体" w:hAnsi="宋体" w:eastAsia="宋体" w:cs="Times New Roman"/>
          <w:bCs/>
          <w:szCs w:val="21"/>
        </w:rPr>
        <w:t>填表人：   向芳     填报日期：2024年6月6日       联系电话： 13611355776</w:t>
      </w:r>
    </w:p>
    <w:p>
      <w:pPr>
        <w:widowControl/>
        <w:spacing w:line="360" w:lineRule="exact"/>
        <w:jc w:val="left"/>
        <w:rPr>
          <w:rFonts w:ascii="宋体" w:hAnsi="宋体" w:eastAsia="宋体" w:cs="Times New Roman"/>
          <w:bCs/>
          <w:szCs w:val="21"/>
        </w:rPr>
      </w:pPr>
      <w:r>
        <w:rPr>
          <w:rFonts w:ascii="宋体" w:hAnsi="宋体" w:eastAsia="宋体" w:cs="Times New Roman"/>
          <w:bCs/>
          <w:szCs w:val="21"/>
        </w:rPr>
        <w:t> </w:t>
      </w:r>
    </w:p>
    <w:p>
      <w:pPr>
        <w:widowControl/>
        <w:spacing w:line="360" w:lineRule="exact"/>
        <w:jc w:val="left"/>
        <w:rPr>
          <w:rFonts w:ascii="宋体" w:hAnsi="宋体" w:eastAsia="宋体" w:cs="Times New Roman"/>
          <w:bCs/>
          <w:szCs w:val="21"/>
        </w:rPr>
      </w:pPr>
    </w:p>
    <w:p>
      <w:pPr>
        <w:widowControl/>
        <w:spacing w:line="360" w:lineRule="exact"/>
        <w:jc w:val="left"/>
        <w:rPr>
          <w:rFonts w:ascii="宋体" w:hAnsi="宋体" w:eastAsia="宋体" w:cs="Times New Roman"/>
          <w:bCs/>
          <w:szCs w:val="21"/>
        </w:rPr>
      </w:pPr>
    </w:p>
    <w:p>
      <w:pPr>
        <w:widowControl/>
        <w:spacing w:line="360" w:lineRule="exact"/>
        <w:jc w:val="left"/>
        <w:rPr>
          <w:rFonts w:ascii="宋体" w:hAnsi="宋体" w:eastAsia="宋体" w:cs="Times New Roman"/>
          <w:bCs/>
          <w:szCs w:val="21"/>
        </w:rPr>
      </w:pPr>
    </w:p>
    <w:p>
      <w:pPr>
        <w:widowControl/>
        <w:spacing w:line="360" w:lineRule="exact"/>
        <w:jc w:val="left"/>
        <w:rPr>
          <w:rFonts w:ascii="宋体" w:hAnsi="宋体" w:eastAsia="宋体" w:cs="Times New Roman"/>
          <w:bCs/>
          <w:szCs w:val="21"/>
        </w:rPr>
      </w:pPr>
    </w:p>
    <w:p>
      <w:pPr>
        <w:widowControl/>
        <w:spacing w:line="360" w:lineRule="exact"/>
        <w:jc w:val="left"/>
        <w:rPr>
          <w:rFonts w:ascii="宋体" w:hAnsi="宋体" w:eastAsia="宋体" w:cs="Times New Roman"/>
          <w:bCs/>
          <w:szCs w:val="21"/>
        </w:rPr>
      </w:pPr>
    </w:p>
    <w:p>
      <w:pPr>
        <w:widowControl/>
        <w:spacing w:line="360" w:lineRule="exact"/>
        <w:jc w:val="left"/>
        <w:rPr>
          <w:rFonts w:ascii="宋体" w:hAnsi="宋体" w:eastAsia="宋体" w:cs="Times New Roman"/>
          <w:bCs/>
          <w:szCs w:val="21"/>
        </w:rPr>
      </w:pPr>
    </w:p>
    <w:p>
      <w:pPr>
        <w:widowControl/>
        <w:spacing w:line="360" w:lineRule="exact"/>
        <w:jc w:val="left"/>
        <w:rPr>
          <w:rFonts w:ascii="宋体" w:hAnsi="宋体" w:eastAsia="宋体" w:cs="Times New Roman"/>
          <w:bCs/>
          <w:szCs w:val="21"/>
        </w:rPr>
      </w:pPr>
    </w:p>
    <w:p>
      <w:pPr>
        <w:widowControl/>
        <w:spacing w:line="360" w:lineRule="exact"/>
        <w:jc w:val="left"/>
        <w:rPr>
          <w:rFonts w:ascii="宋体" w:hAnsi="宋体" w:eastAsia="宋体" w:cs="Times New Roman"/>
          <w:bCs/>
          <w:szCs w:val="21"/>
        </w:rPr>
      </w:pPr>
      <w:r>
        <w:rPr>
          <w:rFonts w:hint="eastAsia" w:ascii="宋体" w:hAnsi="宋体" w:eastAsia="宋体" w:cs="Times New Roman"/>
          <w:bCs/>
          <w:szCs w:val="21"/>
        </w:rPr>
        <w:br w:type="page"/>
      </w:r>
    </w:p>
    <w:p>
      <w:pPr>
        <w:widowControl/>
        <w:spacing w:line="360" w:lineRule="exact"/>
        <w:jc w:val="left"/>
        <w:rPr>
          <w:rFonts w:ascii="宋体" w:hAnsi="宋体" w:eastAsia="宋体" w:cs="黑体"/>
          <w:bCs/>
          <w:szCs w:val="21"/>
        </w:rPr>
      </w:pPr>
      <w:r>
        <w:rPr>
          <w:rFonts w:hint="eastAsia" w:ascii="宋体" w:hAnsi="宋体" w:eastAsia="宋体" w:cs="黑体"/>
          <w:bCs/>
          <w:szCs w:val="21"/>
        </w:rPr>
        <w:t>附件2-2</w:t>
      </w:r>
    </w:p>
    <w:p>
      <w:pPr>
        <w:widowControl/>
        <w:spacing w:line="360" w:lineRule="exact"/>
        <w:jc w:val="center"/>
        <w:rPr>
          <w:rFonts w:ascii="宋体" w:hAnsi="宋体" w:eastAsia="宋体" w:cs="方正小标宋简体"/>
          <w:bCs/>
          <w:szCs w:val="21"/>
        </w:rPr>
      </w:pPr>
      <w:r>
        <w:rPr>
          <w:rFonts w:hint="eastAsia" w:ascii="宋体" w:hAnsi="宋体" w:eastAsia="宋体" w:cs="方正小标宋简体"/>
          <w:bCs/>
          <w:szCs w:val="21"/>
        </w:rPr>
        <w:t>项目支出绩效自评表</w:t>
      </w:r>
    </w:p>
    <w:tbl>
      <w:tblPr>
        <w:tblStyle w:val="25"/>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项目支出名称</w:t>
            </w:r>
          </w:p>
        </w:tc>
        <w:tc>
          <w:tcPr>
            <w:tcW w:w="8771" w:type="dxa"/>
            <w:gridSpan w:val="8"/>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维权维稳（</w:t>
            </w:r>
            <w:r>
              <w:rPr>
                <w:rFonts w:ascii="宋体" w:hAnsi="宋体" w:eastAsia="宋体" w:cs="Times New Roman"/>
                <w:bCs/>
                <w:szCs w:val="21"/>
              </w:rPr>
              <w:t>工作</w:t>
            </w:r>
            <w:r>
              <w:rPr>
                <w:rFonts w:hint="eastAsia" w:ascii="宋体" w:hAnsi="宋体" w:eastAsia="宋体" w:cs="Times New Roman"/>
                <w:bCs/>
                <w:szCs w:val="21"/>
              </w:rPr>
              <w:t>）</w:t>
            </w:r>
            <w:r>
              <w:rPr>
                <w:rFonts w:ascii="宋体" w:hAnsi="宋体" w:eastAsia="宋体" w:cs="Times New Roman"/>
                <w:bCs/>
                <w:szCs w:val="21"/>
              </w:rPr>
              <w:t>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主管部门</w:t>
            </w:r>
          </w:p>
        </w:tc>
        <w:tc>
          <w:tcPr>
            <w:tcW w:w="4518" w:type="dxa"/>
            <w:gridSpan w:val="4"/>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怀化市人民政府</w:t>
            </w:r>
          </w:p>
        </w:tc>
        <w:tc>
          <w:tcPr>
            <w:tcW w:w="1134"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实实施单位</w:t>
            </w:r>
          </w:p>
        </w:tc>
        <w:tc>
          <w:tcPr>
            <w:tcW w:w="3119" w:type="dxa"/>
            <w:gridSpan w:val="3"/>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湖南省怀化市政府驻北京联络处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4" w:hRule="atLeast"/>
          <w:jc w:val="center"/>
        </w:trPr>
        <w:tc>
          <w:tcPr>
            <w:tcW w:w="1080" w:type="dxa"/>
            <w:vMerge w:val="restart"/>
            <w:vAlign w:val="center"/>
          </w:tcPr>
          <w:p>
            <w:pPr>
              <w:spacing w:line="360" w:lineRule="exact"/>
              <w:jc w:val="left"/>
              <w:rPr>
                <w:rFonts w:ascii="宋体" w:hAnsi="宋体" w:eastAsia="宋体" w:cs="Times New Roman"/>
                <w:bCs/>
                <w:szCs w:val="21"/>
              </w:rPr>
            </w:pPr>
            <w:r>
              <w:rPr>
                <w:rFonts w:hint="eastAsia" w:ascii="宋体" w:hAnsi="宋体" w:eastAsia="宋体" w:cs="Times New Roman"/>
                <w:bCs/>
                <w:szCs w:val="21"/>
              </w:rPr>
              <w:t>项目资金</w:t>
            </w:r>
          </w:p>
          <w:p>
            <w:pPr>
              <w:spacing w:line="360" w:lineRule="exact"/>
              <w:jc w:val="left"/>
              <w:rPr>
                <w:rFonts w:ascii="宋体" w:hAnsi="宋体" w:eastAsia="宋体" w:cs="Times New Roman"/>
                <w:bCs/>
                <w:szCs w:val="21"/>
              </w:rPr>
            </w:pPr>
            <w:r>
              <w:rPr>
                <w:rFonts w:hint="eastAsia" w:ascii="宋体" w:hAnsi="宋体" w:eastAsia="宋体" w:cs="Times New Roman"/>
                <w:bCs/>
                <w:szCs w:val="21"/>
              </w:rPr>
              <w:t>（万元）</w:t>
            </w:r>
          </w:p>
        </w:tc>
        <w:tc>
          <w:tcPr>
            <w:tcW w:w="2160" w:type="dxa"/>
            <w:gridSpan w:val="2"/>
            <w:vAlign w:val="center"/>
          </w:tcPr>
          <w:p>
            <w:pPr>
              <w:spacing w:line="360" w:lineRule="exact"/>
              <w:jc w:val="left"/>
              <w:rPr>
                <w:rFonts w:ascii="宋体" w:hAnsi="宋体" w:eastAsia="宋体" w:cs="Times New Roman"/>
                <w:bCs/>
                <w:szCs w:val="21"/>
              </w:rPr>
            </w:pPr>
          </w:p>
        </w:tc>
        <w:tc>
          <w:tcPr>
            <w:tcW w:w="114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年初预</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预算数</w:t>
            </w:r>
          </w:p>
        </w:tc>
        <w:tc>
          <w:tcPr>
            <w:tcW w:w="120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全年预</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预算数</w:t>
            </w:r>
          </w:p>
        </w:tc>
        <w:tc>
          <w:tcPr>
            <w:tcW w:w="1134"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全年执</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执行数</w:t>
            </w:r>
          </w:p>
        </w:tc>
        <w:tc>
          <w:tcPr>
            <w:tcW w:w="828"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分值</w:t>
            </w:r>
          </w:p>
        </w:tc>
        <w:tc>
          <w:tcPr>
            <w:tcW w:w="873"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执行率</w:t>
            </w:r>
          </w:p>
        </w:tc>
        <w:tc>
          <w:tcPr>
            <w:tcW w:w="1418"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spacing w:line="360" w:lineRule="exact"/>
              <w:jc w:val="left"/>
              <w:rPr>
                <w:rFonts w:ascii="宋体" w:hAnsi="宋体" w:eastAsia="宋体" w:cs="Times New Roman"/>
                <w:bCs/>
                <w:szCs w:val="21"/>
              </w:rPr>
            </w:pPr>
          </w:p>
        </w:tc>
        <w:tc>
          <w:tcPr>
            <w:tcW w:w="2160" w:type="dxa"/>
            <w:gridSpan w:val="2"/>
            <w:vAlign w:val="center"/>
          </w:tcPr>
          <w:p>
            <w:pPr>
              <w:spacing w:line="360" w:lineRule="exact"/>
              <w:jc w:val="left"/>
              <w:rPr>
                <w:rFonts w:ascii="宋体" w:hAnsi="宋体" w:eastAsia="宋体" w:cs="Times New Roman"/>
                <w:bCs/>
                <w:szCs w:val="21"/>
              </w:rPr>
            </w:pPr>
            <w:r>
              <w:rPr>
                <w:rFonts w:hint="eastAsia" w:ascii="宋体" w:hAnsi="宋体" w:eastAsia="宋体" w:cs="Times New Roman"/>
                <w:bCs/>
                <w:szCs w:val="21"/>
              </w:rPr>
              <w:t>年度资金总额</w:t>
            </w:r>
          </w:p>
        </w:tc>
        <w:tc>
          <w:tcPr>
            <w:tcW w:w="1149"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1209"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7.49</w:t>
            </w:r>
          </w:p>
        </w:tc>
        <w:tc>
          <w:tcPr>
            <w:tcW w:w="1134"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7.49</w:t>
            </w:r>
          </w:p>
        </w:tc>
        <w:tc>
          <w:tcPr>
            <w:tcW w:w="828"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10</w:t>
            </w:r>
          </w:p>
        </w:tc>
        <w:tc>
          <w:tcPr>
            <w:tcW w:w="873"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100</w:t>
            </w:r>
            <w:r>
              <w:rPr>
                <w:rFonts w:hint="eastAsia" w:ascii="宋体" w:hAnsi="宋体" w:eastAsia="宋体" w:cs="Times New Roman"/>
                <w:bCs/>
                <w:szCs w:val="21"/>
              </w:rPr>
              <w:t>%</w:t>
            </w:r>
          </w:p>
        </w:tc>
        <w:tc>
          <w:tcPr>
            <w:tcW w:w="1418"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spacing w:line="360" w:lineRule="exact"/>
              <w:jc w:val="left"/>
              <w:rPr>
                <w:rFonts w:ascii="宋体" w:hAnsi="宋体" w:eastAsia="宋体" w:cs="Times New Roman"/>
                <w:bCs/>
                <w:szCs w:val="21"/>
              </w:rPr>
            </w:pPr>
          </w:p>
        </w:tc>
        <w:tc>
          <w:tcPr>
            <w:tcW w:w="2160" w:type="dxa"/>
            <w:gridSpan w:val="2"/>
            <w:vAlign w:val="center"/>
          </w:tcPr>
          <w:p>
            <w:pPr>
              <w:spacing w:line="360" w:lineRule="exact"/>
              <w:jc w:val="left"/>
              <w:rPr>
                <w:rFonts w:ascii="宋体" w:hAnsi="宋体" w:eastAsia="宋体" w:cs="Times New Roman"/>
                <w:bCs/>
                <w:szCs w:val="21"/>
              </w:rPr>
            </w:pPr>
            <w:r>
              <w:rPr>
                <w:rFonts w:hint="eastAsia" w:ascii="宋体" w:hAnsi="宋体" w:eastAsia="宋体" w:cs="Times New Roman"/>
                <w:bCs/>
                <w:szCs w:val="21"/>
              </w:rPr>
              <w:t>其中：当年财政拨款</w:t>
            </w:r>
          </w:p>
        </w:tc>
        <w:tc>
          <w:tcPr>
            <w:tcW w:w="1149"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1209"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7.49</w:t>
            </w:r>
          </w:p>
        </w:tc>
        <w:tc>
          <w:tcPr>
            <w:tcW w:w="1134"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7.49</w:t>
            </w:r>
          </w:p>
        </w:tc>
        <w:tc>
          <w:tcPr>
            <w:tcW w:w="828" w:type="dxa"/>
            <w:vAlign w:val="center"/>
          </w:tcPr>
          <w:p>
            <w:pPr>
              <w:spacing w:line="360" w:lineRule="exact"/>
              <w:jc w:val="center"/>
              <w:rPr>
                <w:rFonts w:ascii="宋体" w:hAnsi="宋体" w:eastAsia="宋体" w:cs="Times New Roman"/>
                <w:bCs/>
                <w:szCs w:val="21"/>
              </w:rPr>
            </w:pPr>
          </w:p>
        </w:tc>
        <w:tc>
          <w:tcPr>
            <w:tcW w:w="873" w:type="dxa"/>
            <w:vAlign w:val="center"/>
          </w:tcPr>
          <w:p>
            <w:pPr>
              <w:spacing w:line="360" w:lineRule="exact"/>
              <w:jc w:val="center"/>
              <w:rPr>
                <w:rFonts w:ascii="宋体" w:hAnsi="宋体" w:eastAsia="宋体" w:cs="Times New Roman"/>
                <w:bCs/>
                <w:szCs w:val="21"/>
              </w:rPr>
            </w:pPr>
          </w:p>
        </w:tc>
        <w:tc>
          <w:tcPr>
            <w:tcW w:w="1418" w:type="dxa"/>
            <w:vAlign w:val="center"/>
          </w:tcPr>
          <w:p>
            <w:pPr>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spacing w:line="360" w:lineRule="exact"/>
              <w:jc w:val="left"/>
              <w:rPr>
                <w:rFonts w:ascii="宋体" w:hAnsi="宋体" w:eastAsia="宋体" w:cs="Times New Roman"/>
                <w:bCs/>
                <w:szCs w:val="21"/>
              </w:rPr>
            </w:pPr>
          </w:p>
        </w:tc>
        <w:tc>
          <w:tcPr>
            <w:tcW w:w="2160" w:type="dxa"/>
            <w:gridSpan w:val="2"/>
            <w:vAlign w:val="center"/>
          </w:tcPr>
          <w:p>
            <w:pPr>
              <w:spacing w:line="360" w:lineRule="exact"/>
              <w:jc w:val="left"/>
              <w:rPr>
                <w:rFonts w:ascii="宋体" w:hAnsi="宋体" w:eastAsia="宋体" w:cs="Times New Roman"/>
                <w:bCs/>
                <w:szCs w:val="21"/>
              </w:rPr>
            </w:pPr>
            <w:r>
              <w:rPr>
                <w:rFonts w:hint="eastAsia" w:ascii="宋体" w:hAnsi="宋体" w:eastAsia="宋体" w:cs="Times New Roman"/>
                <w:bCs/>
                <w:szCs w:val="21"/>
              </w:rPr>
              <w:t>上年结转资金</w:t>
            </w:r>
          </w:p>
        </w:tc>
        <w:tc>
          <w:tcPr>
            <w:tcW w:w="1149" w:type="dxa"/>
            <w:vAlign w:val="center"/>
          </w:tcPr>
          <w:p>
            <w:pPr>
              <w:spacing w:line="360" w:lineRule="exact"/>
              <w:jc w:val="center"/>
              <w:rPr>
                <w:rFonts w:ascii="宋体" w:hAnsi="宋体" w:eastAsia="宋体" w:cs="Times New Roman"/>
                <w:bCs/>
                <w:szCs w:val="21"/>
              </w:rPr>
            </w:pPr>
          </w:p>
        </w:tc>
        <w:tc>
          <w:tcPr>
            <w:tcW w:w="1209" w:type="dxa"/>
            <w:vAlign w:val="center"/>
          </w:tcPr>
          <w:p>
            <w:pPr>
              <w:spacing w:line="360" w:lineRule="exact"/>
              <w:jc w:val="center"/>
              <w:rPr>
                <w:rFonts w:ascii="宋体" w:hAnsi="宋体" w:eastAsia="宋体" w:cs="Times New Roman"/>
                <w:bCs/>
                <w:szCs w:val="21"/>
              </w:rPr>
            </w:pPr>
          </w:p>
        </w:tc>
        <w:tc>
          <w:tcPr>
            <w:tcW w:w="1134" w:type="dxa"/>
            <w:vAlign w:val="center"/>
          </w:tcPr>
          <w:p>
            <w:pPr>
              <w:spacing w:line="360" w:lineRule="exact"/>
              <w:jc w:val="center"/>
              <w:rPr>
                <w:rFonts w:ascii="宋体" w:hAnsi="宋体" w:eastAsia="宋体" w:cs="Times New Roman"/>
                <w:bCs/>
                <w:szCs w:val="21"/>
              </w:rPr>
            </w:pPr>
          </w:p>
        </w:tc>
        <w:tc>
          <w:tcPr>
            <w:tcW w:w="828" w:type="dxa"/>
            <w:vAlign w:val="center"/>
          </w:tcPr>
          <w:p>
            <w:pPr>
              <w:spacing w:line="360" w:lineRule="exact"/>
              <w:jc w:val="center"/>
              <w:rPr>
                <w:rFonts w:ascii="宋体" w:hAnsi="宋体" w:eastAsia="宋体" w:cs="Times New Roman"/>
                <w:bCs/>
                <w:szCs w:val="21"/>
              </w:rPr>
            </w:pPr>
          </w:p>
        </w:tc>
        <w:tc>
          <w:tcPr>
            <w:tcW w:w="873" w:type="dxa"/>
            <w:vAlign w:val="center"/>
          </w:tcPr>
          <w:p>
            <w:pPr>
              <w:spacing w:line="360" w:lineRule="exact"/>
              <w:jc w:val="center"/>
              <w:rPr>
                <w:rFonts w:ascii="宋体" w:hAnsi="宋体" w:eastAsia="宋体" w:cs="Times New Roman"/>
                <w:bCs/>
                <w:szCs w:val="21"/>
              </w:rPr>
            </w:pPr>
          </w:p>
        </w:tc>
        <w:tc>
          <w:tcPr>
            <w:tcW w:w="1418" w:type="dxa"/>
            <w:vAlign w:val="center"/>
          </w:tcPr>
          <w:p>
            <w:pPr>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spacing w:line="360" w:lineRule="exact"/>
              <w:jc w:val="left"/>
              <w:rPr>
                <w:rFonts w:ascii="宋体" w:hAnsi="宋体" w:eastAsia="宋体" w:cs="Times New Roman"/>
                <w:bCs/>
                <w:szCs w:val="21"/>
              </w:rPr>
            </w:pPr>
          </w:p>
        </w:tc>
        <w:tc>
          <w:tcPr>
            <w:tcW w:w="2160" w:type="dxa"/>
            <w:gridSpan w:val="2"/>
            <w:vAlign w:val="center"/>
          </w:tcPr>
          <w:p>
            <w:pPr>
              <w:spacing w:line="360" w:lineRule="exact"/>
              <w:jc w:val="left"/>
              <w:rPr>
                <w:rFonts w:ascii="宋体" w:hAnsi="宋体" w:eastAsia="宋体" w:cs="Times New Roman"/>
                <w:bCs/>
                <w:szCs w:val="21"/>
              </w:rPr>
            </w:pPr>
            <w:r>
              <w:rPr>
                <w:rFonts w:hint="eastAsia" w:ascii="宋体" w:hAnsi="宋体" w:eastAsia="宋体" w:cs="Times New Roman"/>
                <w:bCs/>
                <w:szCs w:val="21"/>
              </w:rPr>
              <w:t>其他资金</w:t>
            </w:r>
          </w:p>
        </w:tc>
        <w:tc>
          <w:tcPr>
            <w:tcW w:w="1149" w:type="dxa"/>
            <w:vAlign w:val="center"/>
          </w:tcPr>
          <w:p>
            <w:pPr>
              <w:spacing w:line="360" w:lineRule="exact"/>
              <w:jc w:val="center"/>
              <w:rPr>
                <w:rFonts w:ascii="宋体" w:hAnsi="宋体" w:eastAsia="宋体" w:cs="Times New Roman"/>
                <w:bCs/>
                <w:szCs w:val="21"/>
              </w:rPr>
            </w:pPr>
          </w:p>
        </w:tc>
        <w:tc>
          <w:tcPr>
            <w:tcW w:w="1209" w:type="dxa"/>
            <w:vAlign w:val="center"/>
          </w:tcPr>
          <w:p>
            <w:pPr>
              <w:spacing w:line="360" w:lineRule="exact"/>
              <w:jc w:val="center"/>
              <w:rPr>
                <w:rFonts w:ascii="宋体" w:hAnsi="宋体" w:eastAsia="宋体" w:cs="Times New Roman"/>
                <w:bCs/>
                <w:szCs w:val="21"/>
              </w:rPr>
            </w:pPr>
          </w:p>
        </w:tc>
        <w:tc>
          <w:tcPr>
            <w:tcW w:w="1134" w:type="dxa"/>
            <w:vAlign w:val="center"/>
          </w:tcPr>
          <w:p>
            <w:pPr>
              <w:spacing w:line="360" w:lineRule="exact"/>
              <w:jc w:val="center"/>
              <w:rPr>
                <w:rFonts w:ascii="宋体" w:hAnsi="宋体" w:eastAsia="宋体" w:cs="Times New Roman"/>
                <w:bCs/>
                <w:szCs w:val="21"/>
              </w:rPr>
            </w:pPr>
          </w:p>
        </w:tc>
        <w:tc>
          <w:tcPr>
            <w:tcW w:w="828" w:type="dxa"/>
            <w:vAlign w:val="center"/>
          </w:tcPr>
          <w:p>
            <w:pPr>
              <w:spacing w:line="360" w:lineRule="exact"/>
              <w:jc w:val="center"/>
              <w:rPr>
                <w:rFonts w:ascii="宋体" w:hAnsi="宋体" w:eastAsia="宋体" w:cs="Times New Roman"/>
                <w:bCs/>
                <w:szCs w:val="21"/>
              </w:rPr>
            </w:pPr>
          </w:p>
        </w:tc>
        <w:tc>
          <w:tcPr>
            <w:tcW w:w="873" w:type="dxa"/>
            <w:vAlign w:val="center"/>
          </w:tcPr>
          <w:p>
            <w:pPr>
              <w:spacing w:line="360" w:lineRule="exact"/>
              <w:jc w:val="center"/>
              <w:rPr>
                <w:rFonts w:ascii="宋体" w:hAnsi="宋体" w:eastAsia="宋体" w:cs="Times New Roman"/>
                <w:bCs/>
                <w:szCs w:val="21"/>
              </w:rPr>
            </w:pPr>
          </w:p>
        </w:tc>
        <w:tc>
          <w:tcPr>
            <w:tcW w:w="1418" w:type="dxa"/>
            <w:vAlign w:val="center"/>
          </w:tcPr>
          <w:p>
            <w:pPr>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年度总体目标</w:t>
            </w:r>
          </w:p>
        </w:tc>
        <w:tc>
          <w:tcPr>
            <w:tcW w:w="4518" w:type="dxa"/>
            <w:gridSpan w:val="4"/>
            <w:vAlign w:val="center"/>
          </w:tcPr>
          <w:p>
            <w:pPr>
              <w:spacing w:line="360" w:lineRule="exact"/>
              <w:rPr>
                <w:rFonts w:ascii="宋体" w:hAnsi="宋体" w:eastAsia="宋体" w:cs="Times New Roman"/>
                <w:bCs/>
                <w:szCs w:val="21"/>
              </w:rPr>
            </w:pPr>
            <w:r>
              <w:rPr>
                <w:rFonts w:hint="eastAsia" w:ascii="宋体" w:hAnsi="宋体" w:eastAsia="宋体" w:cs="Times New Roman"/>
                <w:bCs/>
                <w:szCs w:val="21"/>
              </w:rPr>
              <w:t>预期目标</w:t>
            </w:r>
          </w:p>
        </w:tc>
        <w:tc>
          <w:tcPr>
            <w:tcW w:w="4253" w:type="dxa"/>
            <w:gridSpan w:val="4"/>
            <w:vAlign w:val="center"/>
          </w:tcPr>
          <w:p>
            <w:pPr>
              <w:spacing w:line="360" w:lineRule="exact"/>
              <w:jc w:val="left"/>
              <w:rPr>
                <w:rFonts w:ascii="宋体" w:hAnsi="宋体" w:eastAsia="宋体" w:cs="Times New Roman"/>
                <w:bCs/>
                <w:szCs w:val="21"/>
              </w:rPr>
            </w:pPr>
            <w:r>
              <w:rPr>
                <w:rFonts w:hint="eastAsia" w:ascii="宋体" w:hAnsi="宋体" w:eastAsia="宋体" w:cs="Times New Roman"/>
                <w:bCs/>
                <w:szCs w:val="21"/>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vAlign w:val="center"/>
          </w:tcPr>
          <w:p>
            <w:pPr>
              <w:spacing w:line="360" w:lineRule="exact"/>
              <w:jc w:val="left"/>
              <w:rPr>
                <w:rFonts w:ascii="宋体" w:hAnsi="宋体" w:eastAsia="宋体" w:cs="Times New Roman"/>
                <w:bCs/>
                <w:szCs w:val="21"/>
              </w:rPr>
            </w:pPr>
          </w:p>
        </w:tc>
        <w:tc>
          <w:tcPr>
            <w:tcW w:w="4518" w:type="dxa"/>
            <w:gridSpan w:val="4"/>
            <w:vAlign w:val="center"/>
          </w:tcPr>
          <w:p>
            <w:pPr>
              <w:spacing w:line="360" w:lineRule="exact"/>
              <w:rPr>
                <w:rFonts w:ascii="宋体" w:hAnsi="宋体" w:eastAsia="宋体" w:cs="Times New Roman"/>
                <w:bCs/>
                <w:szCs w:val="21"/>
              </w:rPr>
            </w:pPr>
            <w:r>
              <w:rPr>
                <w:rFonts w:hint="eastAsia" w:ascii="宋体" w:hAnsi="宋体" w:eastAsia="宋体" w:cs="Times New Roman"/>
                <w:bCs/>
                <w:szCs w:val="21"/>
              </w:rPr>
              <w:t>一、突出政治建设，强化忠诚履职。一是深入学习宣传贯彻党的二十大会议精神。二是建设坚强有力政治机关。三是推动决策部署落地见效。二、突出业务建设，强化高效履职。一是当好接待员。二是当好信息员。三、是当好宣传员。四是当好服务员。三、突出自身建设，强化充分履职。一是班子建设高标准。二是队伍建设高素质。三是制度建设高效能。四、突出作风建设，强化廉洁履职。一是强化教育管理。二是持续纠治“四风”。三是加强监督执纪。</w:t>
            </w:r>
          </w:p>
          <w:p>
            <w:pPr>
              <w:spacing w:line="360" w:lineRule="exact"/>
              <w:rPr>
                <w:rFonts w:ascii="宋体" w:hAnsi="宋体" w:eastAsia="宋体" w:cs="Times New Roman"/>
                <w:bCs/>
                <w:szCs w:val="21"/>
              </w:rPr>
            </w:pPr>
            <w:r>
              <w:rPr>
                <w:rFonts w:ascii="宋体" w:hAnsi="宋体" w:eastAsia="宋体" w:cs="Times New Roman"/>
                <w:bCs/>
                <w:szCs w:val="21"/>
              </w:rPr>
              <w:t xml:space="preserve">          </w:t>
            </w:r>
          </w:p>
        </w:tc>
        <w:tc>
          <w:tcPr>
            <w:tcW w:w="4253" w:type="dxa"/>
            <w:gridSpan w:val="4"/>
            <w:vAlign w:val="center"/>
          </w:tcPr>
          <w:p>
            <w:pPr>
              <w:spacing w:line="360" w:lineRule="exact"/>
              <w:rPr>
                <w:rFonts w:ascii="宋体" w:hAnsi="宋体" w:eastAsia="宋体" w:cs="Times New Roman"/>
                <w:bCs/>
                <w:szCs w:val="21"/>
              </w:rPr>
            </w:pPr>
            <w:r>
              <w:rPr>
                <w:rFonts w:hint="eastAsia" w:ascii="宋体" w:hAnsi="宋体" w:eastAsia="宋体" w:cs="Times New Roman"/>
                <w:bCs/>
                <w:szCs w:val="21"/>
              </w:rPr>
              <w:t>1.强化政治引领，筑牢政治忠诚</w:t>
            </w:r>
          </w:p>
          <w:p>
            <w:pPr>
              <w:spacing w:line="360" w:lineRule="exact"/>
              <w:rPr>
                <w:rFonts w:ascii="宋体" w:hAnsi="宋体" w:eastAsia="宋体" w:cs="Times New Roman"/>
                <w:bCs/>
                <w:szCs w:val="21"/>
              </w:rPr>
            </w:pPr>
            <w:r>
              <w:rPr>
                <w:rFonts w:hint="eastAsia" w:ascii="宋体" w:hAnsi="宋体" w:eastAsia="宋体" w:cs="Times New Roman"/>
                <w:bCs/>
                <w:szCs w:val="21"/>
              </w:rPr>
              <w:t>（1）把党的政治建设摆在首位。认真学习贯彻党的二十大精神，扎实推进政治机关建设，深刻领悟“两个确立”的决定性意义，不断增强“四个意识”，坚定“四个自信”，做到“两个维护”，始终牢记“国之大者,”精准把握“省之大计”，忠诚履行驻京使命，严明政治纪律。严肃党内政治生活，强化政治监督，涵养风清气正、干事创业的政治生态。</w:t>
            </w:r>
          </w:p>
          <w:p>
            <w:pPr>
              <w:spacing w:line="360" w:lineRule="exact"/>
              <w:rPr>
                <w:rFonts w:ascii="宋体" w:hAnsi="宋体" w:eastAsia="宋体" w:cs="Times New Roman"/>
                <w:bCs/>
                <w:szCs w:val="21"/>
              </w:rPr>
            </w:pPr>
            <w:r>
              <w:rPr>
                <w:rFonts w:hint="eastAsia" w:ascii="宋体" w:hAnsi="宋体" w:eastAsia="宋体" w:cs="Times New Roman"/>
                <w:bCs/>
                <w:szCs w:val="21"/>
              </w:rPr>
              <w:t>（2）认真开展好主题教育活动。2023年，按照党中央、省委和市委的统一部署，驻京联络处深入开展主题教育活动，坚持学思用贯通、知信行统一，全面、系统、深入学习习近平新时代中国特色社会主义思想，深刻领悟“两个确立”的决定性意义，突出实践导向，真抓实干、务求实效，牢固树立以人民为中心的发展思想，严格落实中央八项规定及其实施细则精神和省委实施意见、市委相关规定，深入推进清廉驻京建设，积极做好“两带头五整治”纠风防腐专项行动，常态化推进“三整顿两提升”干部作风建设，与深化清廉驻京建设、推进作风建设专项行动、巩固模范机关创建成果等工作结合起来，同中心工作结合起来，做到两手抓、两促进。</w:t>
            </w:r>
          </w:p>
          <w:p>
            <w:pPr>
              <w:spacing w:line="360" w:lineRule="exact"/>
              <w:rPr>
                <w:rFonts w:ascii="宋体" w:hAnsi="宋体" w:eastAsia="宋体" w:cs="Times New Roman"/>
                <w:bCs/>
                <w:szCs w:val="21"/>
              </w:rPr>
            </w:pPr>
            <w:r>
              <w:rPr>
                <w:rFonts w:hint="eastAsia" w:ascii="宋体" w:hAnsi="宋体" w:eastAsia="宋体" w:cs="Times New Roman"/>
                <w:bCs/>
                <w:szCs w:val="21"/>
              </w:rPr>
              <w:t>（3）加强意识形态工作。认真落实意识形态工作责任制，围绕重要时间节点，认真分析研判意识形态领域情况，牢牢把握主导权和话语权。驻京联络处切实把讲政治贯穿驻京工作全过程，要求联络处每一位党员干部都要站稳政治立场，维护党中央的核心领导地位。坚持开展经常性谈心谈话和干部职工思想动态调研分析，规范全体党员干部工作时间内外、网上网下言行，把握好正确的舆论导向。</w:t>
            </w:r>
          </w:p>
          <w:p>
            <w:pPr>
              <w:spacing w:line="360" w:lineRule="exact"/>
              <w:rPr>
                <w:rFonts w:ascii="宋体" w:hAnsi="宋体" w:eastAsia="宋体" w:cs="Times New Roman"/>
                <w:bCs/>
                <w:szCs w:val="21"/>
              </w:rPr>
            </w:pPr>
            <w:r>
              <w:rPr>
                <w:rFonts w:hint="eastAsia" w:ascii="宋体" w:hAnsi="宋体" w:eastAsia="宋体" w:cs="Times New Roman"/>
                <w:bCs/>
                <w:szCs w:val="21"/>
              </w:rPr>
              <w:t>2.守正创新促发展，增强服务效能</w:t>
            </w:r>
          </w:p>
          <w:p>
            <w:pPr>
              <w:spacing w:line="360" w:lineRule="exact"/>
              <w:rPr>
                <w:rFonts w:ascii="宋体" w:hAnsi="宋体" w:eastAsia="宋体" w:cs="Times New Roman"/>
                <w:bCs/>
                <w:szCs w:val="21"/>
              </w:rPr>
            </w:pPr>
            <w:r>
              <w:rPr>
                <w:rFonts w:hint="eastAsia" w:ascii="宋体" w:hAnsi="宋体" w:eastAsia="宋体" w:cs="Times New Roman"/>
                <w:bCs/>
                <w:szCs w:val="21"/>
              </w:rPr>
              <w:t>（1）信息工作打开新局面。主动对接国家部委，第一时间获取政策信息，全力打造常态化、多元化、立体化的信息收集报送体系，定期参加湖南省驻京办央企对接暨重大招商工作调度会议，全力配合省驻京办创建“共建、共赢、共享”的信息网络平台。</w:t>
            </w:r>
          </w:p>
          <w:p>
            <w:pPr>
              <w:spacing w:line="360" w:lineRule="exact"/>
              <w:rPr>
                <w:rFonts w:ascii="宋体" w:hAnsi="宋体" w:eastAsia="宋体" w:cs="Times New Roman"/>
                <w:bCs/>
                <w:szCs w:val="21"/>
              </w:rPr>
            </w:pPr>
            <w:r>
              <w:rPr>
                <w:rFonts w:hint="eastAsia" w:ascii="宋体" w:hAnsi="宋体" w:eastAsia="宋体" w:cs="Times New Roman"/>
                <w:bCs/>
                <w:szCs w:val="21"/>
              </w:rPr>
              <w:t>（2）人才信息工作起收效。5月，配合市委组织部在清华大学开展“智汇潇湘 才聚五溪”怀化市招才引才恳谈会。6月，完成专项信息采集工作，收集整理和更新了怀化籍及在怀化工作过的中央机关、国家部委、央企、在京科研院校正处级以上206名在职人士信息。及时掌握了解怀化籍在京人士信息，确保精准对接。协助市委组织部、市人社局在京开展招才引才活动，发动在京怀籍企业家和高校师生为怀化招才引才做好宣传推介工作，进一步扩大知晓度和参与度，形成招才引智的良好氛围。</w:t>
            </w:r>
          </w:p>
          <w:p>
            <w:pPr>
              <w:spacing w:line="360" w:lineRule="exact"/>
              <w:rPr>
                <w:rFonts w:ascii="宋体" w:hAnsi="宋体" w:eastAsia="宋体" w:cs="Times New Roman"/>
                <w:bCs/>
                <w:szCs w:val="21"/>
              </w:rPr>
            </w:pPr>
            <w:r>
              <w:rPr>
                <w:rFonts w:hint="eastAsia" w:ascii="宋体" w:hAnsi="宋体" w:eastAsia="宋体" w:cs="Times New Roman"/>
                <w:bCs/>
                <w:szCs w:val="21"/>
              </w:rPr>
              <w:t>（3）全力推进湘商回归。今年，成立了北京怀化企业商会，注重以商招商和亲情招商，积极与央企北京怀化商会，兄弟地市驻京联络处，怀化籍在京乡贤企业走访联系，掌握信息。3月，参加了华北地区湖南商会联席会议暨湘商回归座谈会，以商会为载体、以亲情为纽带、创新推动商会招商、以商引商各项工作。利亚德集团与芷江城建投公司合作在芷江艺术中心建设利亚德元宇宙文旅项目。走访怀化籍北京企业，通过实地察看、座谈交流等方式，结合“走、找、想、促”活动，助力湘商回归。在座谈会上积极宣传《怀化市湘商回归和返乡创业工作实施方案》和“智慧怀商项目平台”，在各种公共场合宣传怀化“湘商回归”优惠政策。1.开展平台招商。通过驻京联络处和北京怀化企业商会平台，构建常态化联系怀商、新生代怀商和怀化籍专家学者制度，定期走访商协会，积极为湘商回归“铺路、架桥、搭台”，在京召开湘商座谈会，倾听湘商声音。9月3日，我市在北京利亚德集团举行“湘商回归”对接座谈会。 9月下旬，由芷江县委、县政府与利亚德集团共同打造的和平艺术中心“元宇宙”科技体验馆正式开馆。2.创新大使招商。聘请23名重点企业家和商协会会长作为招商大使，助力怀化招大引强。北京招商大使、北京潇湘曾府酒店董事长曾峥已计划投资洪江市黔阳古城的民宿项目。3.依托资源招商。整合光伏、风力等资源，谋划风光水储新能源项目，引入中电国际赴怀建设新能源项目，其中合同外资1.8亿美元，现已累积到资4084万美元。4.推动资本招商。设立总规模50亿元的怀化国际陆港产业发展基金，与湘投基金合作管理，采取母“基金子+基金”和直投方式，助力国际陆港产业项目招商。</w:t>
            </w:r>
          </w:p>
          <w:p>
            <w:pPr>
              <w:spacing w:line="360" w:lineRule="exact"/>
              <w:rPr>
                <w:rFonts w:ascii="宋体" w:hAnsi="宋体" w:eastAsia="宋体" w:cs="Times New Roman"/>
                <w:bCs/>
                <w:szCs w:val="21"/>
              </w:rPr>
            </w:pPr>
            <w:r>
              <w:rPr>
                <w:rFonts w:hint="eastAsia" w:ascii="宋体" w:hAnsi="宋体" w:eastAsia="宋体" w:cs="Times New Roman"/>
                <w:bCs/>
                <w:szCs w:val="21"/>
              </w:rPr>
              <w:t>（4）政务服务有质效。贯彻市委、市政府工作要求，协调陪同市级领导在京对接国家发展改革委、水利部、财政部、商务部及铁道部，将“湖南省蟒塘溪（怀化市）水资源配置工程”增列进入全国“十四五”水安全保障规划和全国“十四五”重大水利项目建设库、在国家《抽水蓄能中长期发展规划（2021-2035年）》中期调整时，将怀化高新区用户侧抽水蓄能项目调整纳入规划、会同石煤综合利用项目所需火电建设指标、湖南省怀化市创建全国生态产品价值实现机制试点（国家目前已停止试点工作，以案例形式推广此项工作）、将怀化市纳入国家现代流通战略支点城市、怀化至桂林铁路列入国家“十四五”铁路发展规划等工作，助推怀化“五新四城”建设。突出重点对接，协调陪同市级领导在京对接重点项目，促成中国供销集团怀化产业园项目、中电国际储能集成设备生产线项目、东旭集团怀化高新标载板项目、中林集团竹缠绕复合压力管道生产基地项目等一批重大项目纷纷落户。靖州县通过茯苓产业引进修正药业集团投资13亿元布局建设生物医药项目和大健康产业。中储粮集团公司党组书记、董事长表示，中储粮集团公司将积极支持怀化直属库退城进园项目建设，进一步提升粮食储备安全保障能力。全年共计为市级领导和市直部门，各县、市（区）来京汇报对接工作联络服务400余人次。</w:t>
            </w:r>
          </w:p>
          <w:p>
            <w:pPr>
              <w:spacing w:line="360" w:lineRule="exact"/>
              <w:rPr>
                <w:rFonts w:ascii="宋体" w:hAnsi="宋体" w:eastAsia="宋体" w:cs="Times New Roman"/>
                <w:bCs/>
                <w:szCs w:val="21"/>
              </w:rPr>
            </w:pPr>
            <w:r>
              <w:rPr>
                <w:rFonts w:hint="eastAsia" w:ascii="宋体" w:hAnsi="宋体" w:eastAsia="宋体" w:cs="Times New Roman"/>
                <w:bCs/>
                <w:szCs w:val="21"/>
              </w:rPr>
              <w:t>（5）宣传工作开新局面。强化与媒体的联系，统筹市宣传资源，宣传怀化讲好怀化故事。3月，积极协助市委宣传部、洪江市市委宣传部、湖南广播电视台新闻中心赴京对接宣传片。铺路搭桥，为更好地让怀化土特产走出去，通过线上和线下多种渠道宣传推介怀化农产品。同时，等条件成熟，计划对新办公楼进行装修，划分专门区域作为宣传怀化土特产的阵地和窗口。全力为了“一粒种子 改变世界”原创民族音乐会和怀化市文化旅游推介大会提供服务保障工作。9月4日，“一粒种子 改变世界”原创民族音乐会在京首演，扩大怀化“一粒种子 改变世界”城市形象品牌影响力，着力打造湖南农耕文化旅游名片。同时，易烊千玺受邀担任怀化形象大使，通过视频向全世界朋友发出邀约，邀请大家走进怀化，来到怀化。9月23日，怀化举办第二届旅发大会，邀请利亚德集团董事长等十余名在京怀籍企业家出席会议，以旅发大会为契机，推动全市文旅招商项目落地怀化。</w:t>
            </w:r>
          </w:p>
          <w:p>
            <w:pPr>
              <w:spacing w:line="360" w:lineRule="exact"/>
              <w:rPr>
                <w:rFonts w:ascii="宋体" w:hAnsi="宋体" w:eastAsia="宋体" w:cs="Times New Roman"/>
                <w:bCs/>
                <w:szCs w:val="21"/>
              </w:rPr>
            </w:pPr>
            <w:r>
              <w:rPr>
                <w:rFonts w:hint="eastAsia" w:ascii="宋体" w:hAnsi="宋体" w:eastAsia="宋体" w:cs="Times New Roman"/>
                <w:bCs/>
                <w:szCs w:val="21"/>
              </w:rPr>
              <w:t>（6）整体形象有新面貌。深入推进“清廉机关”的建设。把清廉文化建设同党风廉政建设工作一并部署，一并落实，制定《市驻京联络处清廉文化建设实施方案》，组织联络处全体干部职工开展党纪条规、廉政法律法规学习及廉洁文化宣传教育活动4次。充分利用联络处现有阵地，在办公室制作清廉文化宣传墙,不断提升清廉文化的认同感。清廉文化建设与班子成员履职党支部建设相结合，加强党员干部的教育管理和监督服务，督促党员干部带头守纪律讲规矩，遵守党纪国法，充分发挥政治引领、廉洁奉公示范作用；将清廉建设纳入班子成员履职评价，对违纪违规、违背政令，受到纪律处分、组织处理、责任追究的班子成员，实行履职评价“一票否决”。</w:t>
            </w:r>
          </w:p>
          <w:p>
            <w:pPr>
              <w:spacing w:line="360" w:lineRule="exact"/>
              <w:rPr>
                <w:rFonts w:ascii="宋体" w:hAnsi="宋体" w:eastAsia="宋体" w:cs="Times New Roman"/>
                <w:bCs/>
                <w:szCs w:val="21"/>
              </w:rPr>
            </w:pPr>
            <w:r>
              <w:rPr>
                <w:rFonts w:hint="eastAsia" w:ascii="宋体" w:hAnsi="宋体" w:eastAsia="宋体" w:cs="Times New Roman"/>
                <w:bCs/>
                <w:szCs w:val="21"/>
              </w:rPr>
              <w:t>（7）全力促进大稳定。驻京联络处坚持把维护首都稳定作为驻京工作的重要政治任务，全国“两会”、北戴河暑期值班等特护期，同时抓好全年重点节日确保驻京信访维稳零滞留、零倒流、零滋事、零违纪、零炒作目标，实现了“三个确保”，的预期目标：既没有发生进京规模聚访事件，没有发生影响怀化形象的恶性个案，进京非正常上访的批次和人次均有下降，为维护首都稳定，维护怀化形象做出了怀化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绩</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效</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指</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标</w:t>
            </w:r>
          </w:p>
        </w:tc>
        <w:tc>
          <w:tcPr>
            <w:tcW w:w="1080"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一级指标</w:t>
            </w:r>
          </w:p>
        </w:tc>
        <w:tc>
          <w:tcPr>
            <w:tcW w:w="1080"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二级指标</w:t>
            </w:r>
          </w:p>
        </w:tc>
        <w:tc>
          <w:tcPr>
            <w:tcW w:w="114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三级指标</w:t>
            </w:r>
          </w:p>
        </w:tc>
        <w:tc>
          <w:tcPr>
            <w:tcW w:w="120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年度指</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指标值</w:t>
            </w:r>
          </w:p>
        </w:tc>
        <w:tc>
          <w:tcPr>
            <w:tcW w:w="1134"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实际完成值</w:t>
            </w:r>
          </w:p>
        </w:tc>
        <w:tc>
          <w:tcPr>
            <w:tcW w:w="828"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分值</w:t>
            </w:r>
          </w:p>
        </w:tc>
        <w:tc>
          <w:tcPr>
            <w:tcW w:w="873"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得分</w:t>
            </w:r>
          </w:p>
        </w:tc>
        <w:tc>
          <w:tcPr>
            <w:tcW w:w="1418"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偏差原因分</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分析及改进措施改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spacing w:line="360" w:lineRule="exact"/>
              <w:jc w:val="center"/>
              <w:rPr>
                <w:rFonts w:ascii="宋体" w:hAnsi="宋体" w:eastAsia="宋体" w:cs="Times New Roman"/>
                <w:bCs/>
                <w:szCs w:val="21"/>
              </w:rPr>
            </w:pPr>
          </w:p>
        </w:tc>
        <w:tc>
          <w:tcPr>
            <w:tcW w:w="1080" w:type="dxa"/>
            <w:vMerge w:val="restart"/>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产出指标</w:t>
            </w:r>
          </w:p>
          <w:p>
            <w:pPr>
              <w:spacing w:line="360" w:lineRule="exact"/>
              <w:rPr>
                <w:rFonts w:ascii="宋体" w:hAnsi="宋体" w:eastAsia="宋体" w:cs="Times New Roman"/>
                <w:bCs/>
                <w:szCs w:val="21"/>
              </w:rPr>
            </w:pPr>
            <w:r>
              <w:rPr>
                <w:rFonts w:hint="eastAsia" w:ascii="宋体" w:hAnsi="宋体" w:eastAsia="宋体" w:cs="Times New Roman"/>
                <w:bCs/>
                <w:szCs w:val="21"/>
              </w:rPr>
              <w:t>（50分）</w:t>
            </w:r>
          </w:p>
        </w:tc>
        <w:tc>
          <w:tcPr>
            <w:tcW w:w="1080"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数量指标</w:t>
            </w:r>
          </w:p>
        </w:tc>
        <w:tc>
          <w:tcPr>
            <w:tcW w:w="1149"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信访事件化解率</w:t>
            </w:r>
          </w:p>
        </w:tc>
        <w:tc>
          <w:tcPr>
            <w:tcW w:w="1209"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100</w:t>
            </w:r>
            <w:r>
              <w:rPr>
                <w:rFonts w:hint="eastAsia" w:ascii="宋体" w:hAnsi="宋体" w:eastAsia="宋体" w:cs="Times New Roman"/>
                <w:bCs/>
                <w:szCs w:val="21"/>
              </w:rPr>
              <w:t>%</w:t>
            </w:r>
          </w:p>
        </w:tc>
        <w:tc>
          <w:tcPr>
            <w:tcW w:w="1134"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100</w:t>
            </w:r>
            <w:r>
              <w:rPr>
                <w:rFonts w:hint="eastAsia" w:ascii="宋体" w:hAnsi="宋体" w:eastAsia="宋体" w:cs="Times New Roman"/>
                <w:bCs/>
                <w:szCs w:val="21"/>
              </w:rPr>
              <w:t>%</w:t>
            </w:r>
          </w:p>
        </w:tc>
        <w:tc>
          <w:tcPr>
            <w:tcW w:w="828"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5</w:t>
            </w:r>
          </w:p>
        </w:tc>
        <w:tc>
          <w:tcPr>
            <w:tcW w:w="873"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5</w:t>
            </w:r>
          </w:p>
        </w:tc>
        <w:tc>
          <w:tcPr>
            <w:tcW w:w="1418" w:type="dxa"/>
            <w:vAlign w:val="center"/>
          </w:tcPr>
          <w:p>
            <w:pPr>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spacing w:line="360" w:lineRule="exact"/>
              <w:jc w:val="center"/>
              <w:rPr>
                <w:rFonts w:ascii="宋体" w:hAnsi="宋体" w:eastAsia="宋体" w:cs="Times New Roman"/>
                <w:bCs/>
                <w:szCs w:val="21"/>
              </w:rPr>
            </w:pPr>
          </w:p>
        </w:tc>
        <w:tc>
          <w:tcPr>
            <w:tcW w:w="1080" w:type="dxa"/>
            <w:vMerge w:val="continue"/>
            <w:vAlign w:val="center"/>
          </w:tcPr>
          <w:p>
            <w:pPr>
              <w:spacing w:line="360" w:lineRule="exact"/>
              <w:jc w:val="center"/>
              <w:rPr>
                <w:rFonts w:ascii="宋体" w:hAnsi="宋体" w:eastAsia="宋体" w:cs="Times New Roman"/>
                <w:bCs/>
                <w:szCs w:val="21"/>
              </w:rPr>
            </w:pPr>
          </w:p>
        </w:tc>
        <w:tc>
          <w:tcPr>
            <w:tcW w:w="1080"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质量指标</w:t>
            </w:r>
          </w:p>
        </w:tc>
        <w:tc>
          <w:tcPr>
            <w:tcW w:w="114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项目验收合格率</w:t>
            </w:r>
          </w:p>
        </w:tc>
        <w:tc>
          <w:tcPr>
            <w:tcW w:w="120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00</w:t>
            </w:r>
            <w:r>
              <w:rPr>
                <w:rFonts w:hint="eastAsia" w:ascii="宋体" w:hAnsi="宋体" w:eastAsia="宋体" w:cs="Times New Roman"/>
                <w:bCs/>
                <w:szCs w:val="21"/>
              </w:rPr>
              <w:t>%</w:t>
            </w:r>
          </w:p>
        </w:tc>
        <w:tc>
          <w:tcPr>
            <w:tcW w:w="1134"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00</w:t>
            </w:r>
            <w:r>
              <w:rPr>
                <w:rFonts w:hint="eastAsia" w:ascii="宋体" w:hAnsi="宋体" w:eastAsia="宋体" w:cs="Times New Roman"/>
                <w:bCs/>
                <w:szCs w:val="21"/>
              </w:rPr>
              <w:t>%</w:t>
            </w:r>
          </w:p>
        </w:tc>
        <w:tc>
          <w:tcPr>
            <w:tcW w:w="828"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873"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1418" w:type="dxa"/>
            <w:vAlign w:val="center"/>
          </w:tcPr>
          <w:p>
            <w:pPr>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spacing w:line="360" w:lineRule="exact"/>
              <w:jc w:val="center"/>
              <w:rPr>
                <w:rFonts w:ascii="宋体" w:hAnsi="宋体" w:eastAsia="宋体" w:cs="Times New Roman"/>
                <w:bCs/>
                <w:szCs w:val="21"/>
              </w:rPr>
            </w:pPr>
          </w:p>
        </w:tc>
        <w:tc>
          <w:tcPr>
            <w:tcW w:w="1080" w:type="dxa"/>
            <w:vMerge w:val="continue"/>
            <w:vAlign w:val="center"/>
          </w:tcPr>
          <w:p>
            <w:pPr>
              <w:spacing w:line="360" w:lineRule="exact"/>
              <w:jc w:val="center"/>
              <w:rPr>
                <w:rFonts w:ascii="宋体" w:hAnsi="宋体" w:eastAsia="宋体" w:cs="Times New Roman"/>
                <w:bCs/>
                <w:szCs w:val="21"/>
              </w:rPr>
            </w:pPr>
          </w:p>
        </w:tc>
        <w:tc>
          <w:tcPr>
            <w:tcW w:w="1080"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时效指标</w:t>
            </w:r>
          </w:p>
        </w:tc>
        <w:tc>
          <w:tcPr>
            <w:tcW w:w="114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完成及时性</w:t>
            </w:r>
          </w:p>
        </w:tc>
        <w:tc>
          <w:tcPr>
            <w:tcW w:w="120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023</w:t>
            </w:r>
            <w:r>
              <w:rPr>
                <w:rFonts w:hint="eastAsia" w:ascii="宋体" w:hAnsi="宋体" w:eastAsia="宋体" w:cs="Times New Roman"/>
                <w:bCs/>
                <w:szCs w:val="21"/>
              </w:rPr>
              <w:t>年1</w:t>
            </w:r>
            <w:r>
              <w:rPr>
                <w:rFonts w:ascii="宋体" w:hAnsi="宋体" w:eastAsia="宋体" w:cs="Times New Roman"/>
                <w:bCs/>
                <w:szCs w:val="21"/>
              </w:rPr>
              <w:t>2</w:t>
            </w:r>
            <w:r>
              <w:rPr>
                <w:rFonts w:hint="eastAsia" w:ascii="宋体" w:hAnsi="宋体" w:eastAsia="宋体" w:cs="Times New Roman"/>
                <w:bCs/>
                <w:szCs w:val="21"/>
              </w:rPr>
              <w:t>月之前完成</w:t>
            </w:r>
          </w:p>
        </w:tc>
        <w:tc>
          <w:tcPr>
            <w:tcW w:w="1134"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023</w:t>
            </w:r>
            <w:r>
              <w:rPr>
                <w:rFonts w:hint="eastAsia" w:ascii="宋体" w:hAnsi="宋体" w:eastAsia="宋体" w:cs="Times New Roman"/>
                <w:bCs/>
                <w:szCs w:val="21"/>
              </w:rPr>
              <w:t>年1</w:t>
            </w:r>
            <w:r>
              <w:rPr>
                <w:rFonts w:ascii="宋体" w:hAnsi="宋体" w:eastAsia="宋体" w:cs="Times New Roman"/>
                <w:bCs/>
                <w:szCs w:val="21"/>
              </w:rPr>
              <w:t>2</w:t>
            </w:r>
            <w:r>
              <w:rPr>
                <w:rFonts w:hint="eastAsia" w:ascii="宋体" w:hAnsi="宋体" w:eastAsia="宋体" w:cs="Times New Roman"/>
                <w:bCs/>
                <w:szCs w:val="21"/>
              </w:rPr>
              <w:t>月之前完成</w:t>
            </w:r>
          </w:p>
        </w:tc>
        <w:tc>
          <w:tcPr>
            <w:tcW w:w="828"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5</w:t>
            </w:r>
          </w:p>
        </w:tc>
        <w:tc>
          <w:tcPr>
            <w:tcW w:w="873"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5</w:t>
            </w:r>
          </w:p>
        </w:tc>
        <w:tc>
          <w:tcPr>
            <w:tcW w:w="1418" w:type="dxa"/>
            <w:vAlign w:val="center"/>
          </w:tcPr>
          <w:p>
            <w:pPr>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spacing w:line="360" w:lineRule="exact"/>
              <w:jc w:val="center"/>
              <w:rPr>
                <w:rFonts w:ascii="宋体" w:hAnsi="宋体" w:eastAsia="宋体" w:cs="Times New Roman"/>
                <w:bCs/>
                <w:szCs w:val="21"/>
              </w:rPr>
            </w:pPr>
          </w:p>
        </w:tc>
        <w:tc>
          <w:tcPr>
            <w:tcW w:w="1080" w:type="dxa"/>
            <w:vMerge w:val="continue"/>
            <w:vAlign w:val="center"/>
          </w:tcPr>
          <w:p>
            <w:pPr>
              <w:spacing w:line="360" w:lineRule="exact"/>
              <w:jc w:val="center"/>
              <w:rPr>
                <w:rFonts w:ascii="宋体" w:hAnsi="宋体" w:eastAsia="宋体" w:cs="Times New Roman"/>
                <w:bCs/>
                <w:szCs w:val="21"/>
              </w:rPr>
            </w:pPr>
          </w:p>
        </w:tc>
        <w:tc>
          <w:tcPr>
            <w:tcW w:w="1080"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成本指标</w:t>
            </w:r>
          </w:p>
        </w:tc>
        <w:tc>
          <w:tcPr>
            <w:tcW w:w="114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项目成本控制</w:t>
            </w:r>
          </w:p>
        </w:tc>
        <w:tc>
          <w:tcPr>
            <w:tcW w:w="120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10</w:t>
            </w:r>
          </w:p>
        </w:tc>
        <w:tc>
          <w:tcPr>
            <w:tcW w:w="1134"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7.49</w:t>
            </w:r>
          </w:p>
        </w:tc>
        <w:tc>
          <w:tcPr>
            <w:tcW w:w="828"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873"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1418" w:type="dxa"/>
            <w:vAlign w:val="center"/>
          </w:tcPr>
          <w:p>
            <w:pPr>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spacing w:line="360" w:lineRule="exact"/>
              <w:jc w:val="center"/>
              <w:rPr>
                <w:rFonts w:ascii="宋体" w:hAnsi="宋体" w:eastAsia="宋体" w:cs="Times New Roman"/>
                <w:bCs/>
                <w:szCs w:val="21"/>
              </w:rPr>
            </w:pPr>
          </w:p>
        </w:tc>
        <w:tc>
          <w:tcPr>
            <w:tcW w:w="1080" w:type="dxa"/>
            <w:vMerge w:val="restart"/>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效益指标</w:t>
            </w:r>
          </w:p>
          <w:p>
            <w:pPr>
              <w:spacing w:line="360" w:lineRule="exact"/>
              <w:rPr>
                <w:rFonts w:ascii="宋体" w:hAnsi="宋体" w:eastAsia="宋体" w:cs="Times New Roman"/>
                <w:bCs/>
                <w:szCs w:val="21"/>
              </w:rPr>
            </w:pPr>
            <w:r>
              <w:rPr>
                <w:rFonts w:hint="eastAsia" w:ascii="宋体" w:hAnsi="宋体" w:eastAsia="宋体" w:cs="Times New Roman"/>
                <w:bCs/>
                <w:szCs w:val="21"/>
              </w:rPr>
              <w:t>（30分）</w:t>
            </w:r>
          </w:p>
        </w:tc>
        <w:tc>
          <w:tcPr>
            <w:tcW w:w="1080"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经济效益</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指标</w:t>
            </w:r>
          </w:p>
        </w:tc>
        <w:tc>
          <w:tcPr>
            <w:tcW w:w="114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维</w:t>
            </w:r>
            <w:r>
              <w:rPr>
                <w:rFonts w:ascii="宋体" w:hAnsi="宋体" w:eastAsia="宋体" w:cs="Times New Roman"/>
                <w:bCs/>
                <w:szCs w:val="21"/>
              </w:rPr>
              <w:t>护首都安全稳定和怀化良好形象</w:t>
            </w:r>
          </w:p>
        </w:tc>
        <w:tc>
          <w:tcPr>
            <w:tcW w:w="120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1134"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828"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w:t>
            </w:r>
          </w:p>
        </w:tc>
        <w:tc>
          <w:tcPr>
            <w:tcW w:w="873"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w:t>
            </w:r>
          </w:p>
        </w:tc>
        <w:tc>
          <w:tcPr>
            <w:tcW w:w="1418" w:type="dxa"/>
            <w:vAlign w:val="center"/>
          </w:tcPr>
          <w:p>
            <w:pPr>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spacing w:line="360" w:lineRule="exact"/>
              <w:jc w:val="center"/>
              <w:rPr>
                <w:rFonts w:ascii="宋体" w:hAnsi="宋体" w:eastAsia="宋体" w:cs="Times New Roman"/>
                <w:bCs/>
                <w:szCs w:val="21"/>
              </w:rPr>
            </w:pPr>
          </w:p>
        </w:tc>
        <w:tc>
          <w:tcPr>
            <w:tcW w:w="1080" w:type="dxa"/>
            <w:vMerge w:val="continue"/>
            <w:vAlign w:val="center"/>
          </w:tcPr>
          <w:p>
            <w:pPr>
              <w:spacing w:line="360" w:lineRule="exact"/>
              <w:jc w:val="center"/>
              <w:rPr>
                <w:rFonts w:ascii="宋体" w:hAnsi="宋体" w:eastAsia="宋体" w:cs="Times New Roman"/>
                <w:bCs/>
                <w:szCs w:val="21"/>
              </w:rPr>
            </w:pPr>
          </w:p>
        </w:tc>
        <w:tc>
          <w:tcPr>
            <w:tcW w:w="1080"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社会效益</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指标</w:t>
            </w:r>
          </w:p>
        </w:tc>
        <w:tc>
          <w:tcPr>
            <w:tcW w:w="114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社会效益情况</w:t>
            </w:r>
          </w:p>
        </w:tc>
        <w:tc>
          <w:tcPr>
            <w:tcW w:w="120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1134"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828"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w:t>
            </w:r>
          </w:p>
        </w:tc>
        <w:tc>
          <w:tcPr>
            <w:tcW w:w="873"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w:t>
            </w:r>
          </w:p>
        </w:tc>
        <w:tc>
          <w:tcPr>
            <w:tcW w:w="1418" w:type="dxa"/>
            <w:vAlign w:val="center"/>
          </w:tcPr>
          <w:p>
            <w:pPr>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spacing w:line="360" w:lineRule="exact"/>
              <w:jc w:val="center"/>
              <w:rPr>
                <w:rFonts w:ascii="宋体" w:hAnsi="宋体" w:eastAsia="宋体" w:cs="Times New Roman"/>
                <w:bCs/>
                <w:szCs w:val="21"/>
              </w:rPr>
            </w:pPr>
          </w:p>
        </w:tc>
        <w:tc>
          <w:tcPr>
            <w:tcW w:w="1080" w:type="dxa"/>
            <w:vMerge w:val="continue"/>
            <w:vAlign w:val="center"/>
          </w:tcPr>
          <w:p>
            <w:pPr>
              <w:spacing w:line="360" w:lineRule="exact"/>
              <w:jc w:val="center"/>
              <w:rPr>
                <w:rFonts w:ascii="宋体" w:hAnsi="宋体" w:eastAsia="宋体" w:cs="Times New Roman"/>
                <w:bCs/>
                <w:szCs w:val="21"/>
              </w:rPr>
            </w:pPr>
          </w:p>
        </w:tc>
        <w:tc>
          <w:tcPr>
            <w:tcW w:w="1080"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生态效</w:t>
            </w:r>
          </w:p>
          <w:p>
            <w:pPr>
              <w:spacing w:line="360" w:lineRule="exact"/>
              <w:jc w:val="center"/>
              <w:rPr>
                <w:rFonts w:ascii="宋体" w:hAnsi="宋体" w:eastAsia="宋体" w:cs="Times New Roman"/>
                <w:bCs/>
                <w:szCs w:val="21"/>
              </w:rPr>
            </w:pPr>
            <w:r>
              <w:rPr>
                <w:rFonts w:hint="eastAsia" w:ascii="宋体" w:hAnsi="宋体" w:eastAsia="宋体" w:cs="Times New Roman"/>
                <w:bCs/>
                <w:szCs w:val="21"/>
              </w:rPr>
              <w:t>益指标</w:t>
            </w:r>
          </w:p>
        </w:tc>
        <w:tc>
          <w:tcPr>
            <w:tcW w:w="114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生态效益情况</w:t>
            </w:r>
          </w:p>
        </w:tc>
        <w:tc>
          <w:tcPr>
            <w:tcW w:w="120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1134"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828"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5</w:t>
            </w:r>
          </w:p>
        </w:tc>
        <w:tc>
          <w:tcPr>
            <w:tcW w:w="873"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3</w:t>
            </w:r>
          </w:p>
        </w:tc>
        <w:tc>
          <w:tcPr>
            <w:tcW w:w="1418" w:type="dxa"/>
            <w:vAlign w:val="center"/>
          </w:tcPr>
          <w:p>
            <w:pPr>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spacing w:line="360" w:lineRule="exact"/>
              <w:jc w:val="center"/>
              <w:rPr>
                <w:rFonts w:ascii="宋体" w:hAnsi="宋体" w:eastAsia="宋体" w:cs="Times New Roman"/>
                <w:bCs/>
                <w:szCs w:val="21"/>
              </w:rPr>
            </w:pPr>
          </w:p>
        </w:tc>
        <w:tc>
          <w:tcPr>
            <w:tcW w:w="1080" w:type="dxa"/>
            <w:vMerge w:val="continue"/>
            <w:vAlign w:val="center"/>
          </w:tcPr>
          <w:p>
            <w:pPr>
              <w:spacing w:line="360" w:lineRule="exact"/>
              <w:jc w:val="center"/>
              <w:rPr>
                <w:rFonts w:ascii="宋体" w:hAnsi="宋体" w:eastAsia="宋体" w:cs="Times New Roman"/>
                <w:bCs/>
                <w:szCs w:val="21"/>
              </w:rPr>
            </w:pPr>
          </w:p>
        </w:tc>
        <w:tc>
          <w:tcPr>
            <w:tcW w:w="1080"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可持续影响指标</w:t>
            </w:r>
          </w:p>
        </w:tc>
        <w:tc>
          <w:tcPr>
            <w:tcW w:w="114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可持续影响情况</w:t>
            </w:r>
          </w:p>
        </w:tc>
        <w:tc>
          <w:tcPr>
            <w:tcW w:w="120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1134"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828"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5</w:t>
            </w:r>
          </w:p>
        </w:tc>
        <w:tc>
          <w:tcPr>
            <w:tcW w:w="873"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5</w:t>
            </w:r>
          </w:p>
        </w:tc>
        <w:tc>
          <w:tcPr>
            <w:tcW w:w="1418" w:type="dxa"/>
            <w:vAlign w:val="center"/>
          </w:tcPr>
          <w:p>
            <w:pPr>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spacing w:line="360" w:lineRule="exact"/>
              <w:jc w:val="center"/>
              <w:rPr>
                <w:rFonts w:ascii="宋体" w:hAnsi="宋体" w:eastAsia="宋体" w:cs="Times New Roman"/>
                <w:bCs/>
                <w:szCs w:val="21"/>
              </w:rPr>
            </w:pPr>
          </w:p>
        </w:tc>
        <w:tc>
          <w:tcPr>
            <w:tcW w:w="1080"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满意度指指标</w:t>
            </w:r>
          </w:p>
          <w:p>
            <w:pPr>
              <w:spacing w:line="360" w:lineRule="exact"/>
              <w:rPr>
                <w:rFonts w:ascii="宋体" w:hAnsi="宋体" w:eastAsia="宋体" w:cs="Times New Roman"/>
                <w:bCs/>
                <w:szCs w:val="21"/>
              </w:rPr>
            </w:pPr>
            <w:r>
              <w:rPr>
                <w:rFonts w:hint="eastAsia" w:ascii="宋体" w:hAnsi="宋体" w:eastAsia="宋体" w:cs="Times New Roman"/>
                <w:bCs/>
                <w:szCs w:val="21"/>
              </w:rPr>
              <w:t>（10分）</w:t>
            </w:r>
          </w:p>
        </w:tc>
        <w:tc>
          <w:tcPr>
            <w:tcW w:w="1080"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服务对象满意度指标</w:t>
            </w:r>
          </w:p>
        </w:tc>
        <w:tc>
          <w:tcPr>
            <w:tcW w:w="1149"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服务对象满意度</w:t>
            </w:r>
          </w:p>
        </w:tc>
        <w:tc>
          <w:tcPr>
            <w:tcW w:w="1209"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≥90</w:t>
            </w:r>
            <w:r>
              <w:rPr>
                <w:rFonts w:hint="eastAsia" w:ascii="宋体" w:hAnsi="宋体" w:eastAsia="宋体" w:cs="Times New Roman"/>
                <w:bCs/>
                <w:szCs w:val="21"/>
              </w:rPr>
              <w:t>%</w:t>
            </w:r>
          </w:p>
        </w:tc>
        <w:tc>
          <w:tcPr>
            <w:tcW w:w="1134"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≥95</w:t>
            </w:r>
            <w:r>
              <w:rPr>
                <w:rFonts w:hint="eastAsia" w:ascii="宋体" w:hAnsi="宋体" w:eastAsia="宋体" w:cs="Times New Roman"/>
                <w:bCs/>
                <w:szCs w:val="21"/>
              </w:rPr>
              <w:t>%</w:t>
            </w:r>
          </w:p>
        </w:tc>
        <w:tc>
          <w:tcPr>
            <w:tcW w:w="828"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w:t>
            </w:r>
          </w:p>
        </w:tc>
        <w:tc>
          <w:tcPr>
            <w:tcW w:w="873"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w:t>
            </w:r>
          </w:p>
        </w:tc>
        <w:tc>
          <w:tcPr>
            <w:tcW w:w="1418" w:type="dxa"/>
            <w:vAlign w:val="center"/>
          </w:tcPr>
          <w:p>
            <w:pPr>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总分</w:t>
            </w:r>
          </w:p>
        </w:tc>
        <w:tc>
          <w:tcPr>
            <w:tcW w:w="828" w:type="dxa"/>
            <w:vAlign w:val="center"/>
          </w:tcPr>
          <w:p>
            <w:pPr>
              <w:spacing w:line="360" w:lineRule="exact"/>
              <w:jc w:val="center"/>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00</w:t>
            </w:r>
          </w:p>
        </w:tc>
        <w:tc>
          <w:tcPr>
            <w:tcW w:w="873"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9</w:t>
            </w:r>
            <w:r>
              <w:rPr>
                <w:rFonts w:ascii="宋体" w:hAnsi="宋体" w:eastAsia="宋体" w:cs="Times New Roman"/>
                <w:bCs/>
                <w:szCs w:val="21"/>
              </w:rPr>
              <w:t>8</w:t>
            </w:r>
          </w:p>
        </w:tc>
        <w:tc>
          <w:tcPr>
            <w:tcW w:w="1418" w:type="dxa"/>
            <w:vAlign w:val="center"/>
          </w:tcPr>
          <w:p>
            <w:pPr>
              <w:spacing w:line="360" w:lineRule="exact"/>
              <w:jc w:val="center"/>
              <w:rPr>
                <w:rFonts w:ascii="宋体" w:hAnsi="宋体" w:eastAsia="宋体" w:cs="Times New Roman"/>
                <w:bCs/>
                <w:szCs w:val="21"/>
              </w:rPr>
            </w:pPr>
          </w:p>
        </w:tc>
      </w:tr>
    </w:tbl>
    <w:p>
      <w:pPr>
        <w:widowControl/>
        <w:spacing w:line="360" w:lineRule="exact"/>
        <w:jc w:val="left"/>
        <w:rPr>
          <w:rFonts w:ascii="宋体" w:hAnsi="宋体" w:eastAsia="宋体" w:cs="Times New Roman"/>
          <w:bCs/>
          <w:szCs w:val="21"/>
        </w:rPr>
      </w:pPr>
      <w:r>
        <w:rPr>
          <w:rFonts w:hint="eastAsia" w:ascii="宋体" w:hAnsi="宋体" w:eastAsia="宋体" w:cs="Times New Roman"/>
          <w:bCs/>
          <w:szCs w:val="21"/>
        </w:rPr>
        <w:t>填表人：   向芳     填报日期：2024年6月6日       联系电话： 13611355776</w:t>
      </w:r>
    </w:p>
    <w:p>
      <w:pPr>
        <w:widowControl/>
        <w:spacing w:line="360" w:lineRule="exact"/>
        <w:jc w:val="left"/>
        <w:rPr>
          <w:rFonts w:ascii="宋体" w:hAnsi="宋体" w:eastAsia="宋体" w:cs="Times New Roman"/>
          <w:bCs/>
          <w:szCs w:val="21"/>
        </w:rPr>
      </w:pPr>
      <w:r>
        <w:rPr>
          <w:rFonts w:ascii="宋体" w:hAnsi="宋体" w:eastAsia="宋体" w:cs="Times New Roman"/>
          <w:bCs/>
          <w:szCs w:val="21"/>
        </w:rPr>
        <w:t> </w:t>
      </w:r>
    </w:p>
    <w:p>
      <w:pPr>
        <w:widowControl/>
        <w:spacing w:line="360" w:lineRule="exact"/>
        <w:jc w:val="left"/>
        <w:rPr>
          <w:rFonts w:ascii="宋体" w:hAnsi="宋体" w:eastAsia="宋体" w:cs="Times New Roman"/>
          <w:bCs/>
          <w:szCs w:val="21"/>
        </w:rPr>
      </w:pPr>
    </w:p>
    <w:p>
      <w:pPr>
        <w:widowControl/>
        <w:spacing w:line="360" w:lineRule="exact"/>
        <w:jc w:val="left"/>
        <w:rPr>
          <w:rFonts w:ascii="宋体" w:hAnsi="宋体" w:eastAsia="宋体" w:cs="Times New Roman"/>
          <w:bCs/>
          <w:szCs w:val="21"/>
        </w:rPr>
      </w:pPr>
    </w:p>
    <w:p>
      <w:pPr>
        <w:widowControl/>
        <w:spacing w:line="360" w:lineRule="exact"/>
        <w:jc w:val="left"/>
        <w:rPr>
          <w:rFonts w:ascii="宋体" w:hAnsi="宋体" w:eastAsia="宋体" w:cs="Times New Roman"/>
          <w:bCs/>
          <w:szCs w:val="21"/>
        </w:rPr>
      </w:pPr>
      <w:r>
        <w:rPr>
          <w:rFonts w:hint="eastAsia" w:ascii="宋体" w:hAnsi="宋体" w:eastAsia="宋体" w:cs="Times New Roman"/>
          <w:bCs/>
          <w:szCs w:val="21"/>
        </w:rPr>
        <w:br w:type="page"/>
      </w:r>
    </w:p>
    <w:p>
      <w:pPr>
        <w:widowControl/>
        <w:spacing w:line="360" w:lineRule="exact"/>
        <w:jc w:val="left"/>
        <w:rPr>
          <w:rFonts w:ascii="宋体" w:hAnsi="宋体" w:eastAsia="宋体" w:cs="黑体"/>
          <w:bCs/>
          <w:szCs w:val="21"/>
        </w:rPr>
      </w:pPr>
      <w:r>
        <w:rPr>
          <w:rFonts w:hint="eastAsia" w:ascii="宋体" w:hAnsi="宋体" w:eastAsia="宋体" w:cs="黑体"/>
          <w:bCs/>
          <w:szCs w:val="21"/>
        </w:rPr>
        <w:t>附件2-3</w:t>
      </w:r>
    </w:p>
    <w:p>
      <w:pPr>
        <w:widowControl/>
        <w:spacing w:line="360" w:lineRule="exact"/>
        <w:jc w:val="center"/>
        <w:rPr>
          <w:rFonts w:ascii="宋体" w:hAnsi="宋体" w:eastAsia="宋体" w:cs="方正小标宋简体"/>
          <w:bCs/>
          <w:szCs w:val="21"/>
        </w:rPr>
      </w:pPr>
      <w:r>
        <w:rPr>
          <w:rFonts w:hint="eastAsia" w:ascii="宋体" w:hAnsi="宋体" w:eastAsia="宋体" w:cs="方正小标宋简体"/>
          <w:bCs/>
          <w:szCs w:val="21"/>
        </w:rPr>
        <w:t>项目支出绩效自评表</w:t>
      </w:r>
    </w:p>
    <w:tbl>
      <w:tblPr>
        <w:tblStyle w:val="25"/>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项目支出名称</w:t>
            </w:r>
          </w:p>
        </w:tc>
        <w:tc>
          <w:tcPr>
            <w:tcW w:w="8771" w:type="dxa"/>
            <w:gridSpan w:val="8"/>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工作经费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主管部门</w:t>
            </w:r>
          </w:p>
        </w:tc>
        <w:tc>
          <w:tcPr>
            <w:tcW w:w="4518" w:type="dxa"/>
            <w:gridSpan w:val="4"/>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怀化市人民政府</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实实施单位</w:t>
            </w:r>
          </w:p>
        </w:tc>
        <w:tc>
          <w:tcPr>
            <w:tcW w:w="3119" w:type="dxa"/>
            <w:gridSpan w:val="3"/>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湖南省怀化市政府驻北京联络处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9" w:hRule="atLeast"/>
          <w:jc w:val="center"/>
        </w:trPr>
        <w:tc>
          <w:tcPr>
            <w:tcW w:w="1080" w:type="dxa"/>
            <w:vMerge w:val="restart"/>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项目资金</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（万元）</w:t>
            </w:r>
          </w:p>
        </w:tc>
        <w:tc>
          <w:tcPr>
            <w:tcW w:w="2160" w:type="dxa"/>
            <w:gridSpan w:val="2"/>
            <w:vAlign w:val="center"/>
          </w:tcPr>
          <w:p>
            <w:pPr>
              <w:widowControl/>
              <w:spacing w:line="360" w:lineRule="exact"/>
              <w:jc w:val="center"/>
              <w:rPr>
                <w:rFonts w:ascii="宋体" w:hAnsi="宋体" w:eastAsia="宋体" w:cs="Times New Roman"/>
                <w:bCs/>
                <w:szCs w:val="21"/>
              </w:rPr>
            </w:pP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年初预</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预算数</w:t>
            </w:r>
          </w:p>
        </w:tc>
        <w:tc>
          <w:tcPr>
            <w:tcW w:w="120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全年预</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预算数</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全年执</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执行数</w:t>
            </w:r>
          </w:p>
        </w:tc>
        <w:tc>
          <w:tcPr>
            <w:tcW w:w="82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分值</w:t>
            </w:r>
          </w:p>
        </w:tc>
        <w:tc>
          <w:tcPr>
            <w:tcW w:w="873"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执行率</w:t>
            </w:r>
          </w:p>
        </w:tc>
        <w:tc>
          <w:tcPr>
            <w:tcW w:w="141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2160" w:type="dxa"/>
            <w:gridSpan w:val="2"/>
            <w:vAlign w:val="center"/>
          </w:tcPr>
          <w:p>
            <w:pPr>
              <w:widowControl/>
              <w:spacing w:line="360" w:lineRule="exact"/>
              <w:jc w:val="left"/>
              <w:rPr>
                <w:rFonts w:ascii="宋体" w:hAnsi="宋体" w:eastAsia="宋体" w:cs="Times New Roman"/>
                <w:bCs/>
                <w:szCs w:val="21"/>
              </w:rPr>
            </w:pPr>
            <w:r>
              <w:rPr>
                <w:rFonts w:hint="eastAsia" w:ascii="宋体" w:hAnsi="宋体" w:eastAsia="宋体" w:cs="Times New Roman"/>
                <w:bCs/>
                <w:szCs w:val="21"/>
              </w:rPr>
              <w:t>年度资金总额</w:t>
            </w:r>
          </w:p>
        </w:tc>
        <w:tc>
          <w:tcPr>
            <w:tcW w:w="1149" w:type="dxa"/>
            <w:vAlign w:val="center"/>
          </w:tcPr>
          <w:p>
            <w:pPr>
              <w:widowControl/>
              <w:spacing w:line="360" w:lineRule="exact"/>
              <w:jc w:val="center"/>
              <w:rPr>
                <w:rFonts w:ascii="宋体" w:hAnsi="宋体" w:eastAsia="宋体" w:cs="Times New Roman"/>
                <w:bCs/>
                <w:szCs w:val="21"/>
              </w:rPr>
            </w:pPr>
          </w:p>
        </w:tc>
        <w:tc>
          <w:tcPr>
            <w:tcW w:w="1209"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60</w:t>
            </w:r>
          </w:p>
        </w:tc>
        <w:tc>
          <w:tcPr>
            <w:tcW w:w="1134"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51.79</w:t>
            </w:r>
          </w:p>
        </w:tc>
        <w:tc>
          <w:tcPr>
            <w:tcW w:w="828"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873"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86.32</w:t>
            </w:r>
            <w:r>
              <w:rPr>
                <w:rFonts w:hint="eastAsia" w:ascii="宋体" w:hAnsi="宋体" w:eastAsia="宋体" w:cs="Times New Roman"/>
                <w:bCs/>
                <w:szCs w:val="21"/>
              </w:rPr>
              <w:t>%</w:t>
            </w:r>
          </w:p>
        </w:tc>
        <w:tc>
          <w:tcPr>
            <w:tcW w:w="1418"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8</w:t>
            </w:r>
            <w:r>
              <w:rPr>
                <w:rFonts w:hint="eastAsia" w:ascii="宋体" w:hAnsi="宋体" w:eastAsia="宋体" w:cs="Times New Roman"/>
                <w:bCs/>
                <w:szCs w:val="21"/>
              </w:rPr>
              <w:t>.63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2160" w:type="dxa"/>
            <w:gridSpan w:val="2"/>
            <w:vAlign w:val="center"/>
          </w:tcPr>
          <w:p>
            <w:pPr>
              <w:widowControl/>
              <w:spacing w:line="360" w:lineRule="exact"/>
              <w:jc w:val="left"/>
              <w:rPr>
                <w:rFonts w:ascii="宋体" w:hAnsi="宋体" w:eastAsia="宋体" w:cs="Times New Roman"/>
                <w:bCs/>
                <w:szCs w:val="21"/>
              </w:rPr>
            </w:pPr>
            <w:r>
              <w:rPr>
                <w:rFonts w:hint="eastAsia" w:ascii="宋体" w:hAnsi="宋体" w:eastAsia="宋体" w:cs="Times New Roman"/>
                <w:bCs/>
                <w:szCs w:val="21"/>
              </w:rPr>
              <w:t>其中：当年财政拨款</w:t>
            </w:r>
          </w:p>
        </w:tc>
        <w:tc>
          <w:tcPr>
            <w:tcW w:w="1149" w:type="dxa"/>
            <w:vAlign w:val="center"/>
          </w:tcPr>
          <w:p>
            <w:pPr>
              <w:widowControl/>
              <w:spacing w:line="360" w:lineRule="exact"/>
              <w:jc w:val="center"/>
              <w:rPr>
                <w:rFonts w:ascii="宋体" w:hAnsi="宋体" w:eastAsia="宋体" w:cs="Times New Roman"/>
                <w:bCs/>
                <w:szCs w:val="21"/>
              </w:rPr>
            </w:pPr>
          </w:p>
        </w:tc>
        <w:tc>
          <w:tcPr>
            <w:tcW w:w="1209"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60</w:t>
            </w:r>
          </w:p>
        </w:tc>
        <w:tc>
          <w:tcPr>
            <w:tcW w:w="1134"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51.79</w:t>
            </w:r>
          </w:p>
        </w:tc>
        <w:tc>
          <w:tcPr>
            <w:tcW w:w="828" w:type="dxa"/>
            <w:vAlign w:val="center"/>
          </w:tcPr>
          <w:p>
            <w:pPr>
              <w:widowControl/>
              <w:spacing w:line="360" w:lineRule="exact"/>
              <w:jc w:val="center"/>
              <w:rPr>
                <w:rFonts w:ascii="宋体" w:hAnsi="宋体" w:eastAsia="宋体" w:cs="Times New Roman"/>
                <w:bCs/>
                <w:szCs w:val="21"/>
              </w:rPr>
            </w:pPr>
          </w:p>
        </w:tc>
        <w:tc>
          <w:tcPr>
            <w:tcW w:w="873" w:type="dxa"/>
            <w:vAlign w:val="center"/>
          </w:tcPr>
          <w:p>
            <w:pPr>
              <w:widowControl/>
              <w:spacing w:line="360" w:lineRule="exact"/>
              <w:jc w:val="center"/>
              <w:rPr>
                <w:rFonts w:ascii="宋体" w:hAnsi="宋体" w:eastAsia="宋体" w:cs="Times New Roman"/>
                <w:bCs/>
                <w:szCs w:val="21"/>
              </w:rPr>
            </w:pP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2160" w:type="dxa"/>
            <w:gridSpan w:val="2"/>
            <w:vAlign w:val="center"/>
          </w:tcPr>
          <w:p>
            <w:pPr>
              <w:widowControl/>
              <w:spacing w:line="360" w:lineRule="exact"/>
              <w:jc w:val="left"/>
              <w:rPr>
                <w:rFonts w:ascii="宋体" w:hAnsi="宋体" w:eastAsia="宋体" w:cs="Times New Roman"/>
                <w:bCs/>
                <w:szCs w:val="21"/>
              </w:rPr>
            </w:pPr>
            <w:r>
              <w:rPr>
                <w:rFonts w:hint="eastAsia" w:ascii="宋体" w:hAnsi="宋体" w:eastAsia="宋体" w:cs="Times New Roman"/>
                <w:bCs/>
                <w:szCs w:val="21"/>
              </w:rPr>
              <w:t>上年结转资金</w:t>
            </w:r>
          </w:p>
        </w:tc>
        <w:tc>
          <w:tcPr>
            <w:tcW w:w="1149" w:type="dxa"/>
            <w:vAlign w:val="center"/>
          </w:tcPr>
          <w:p>
            <w:pPr>
              <w:widowControl/>
              <w:spacing w:line="360" w:lineRule="exact"/>
              <w:jc w:val="center"/>
              <w:rPr>
                <w:rFonts w:ascii="宋体" w:hAnsi="宋体" w:eastAsia="宋体" w:cs="Times New Roman"/>
                <w:bCs/>
                <w:szCs w:val="21"/>
              </w:rPr>
            </w:pPr>
          </w:p>
        </w:tc>
        <w:tc>
          <w:tcPr>
            <w:tcW w:w="1209" w:type="dxa"/>
            <w:vAlign w:val="center"/>
          </w:tcPr>
          <w:p>
            <w:pPr>
              <w:widowControl/>
              <w:spacing w:line="360" w:lineRule="exact"/>
              <w:jc w:val="center"/>
              <w:rPr>
                <w:rFonts w:ascii="宋体" w:hAnsi="宋体" w:eastAsia="宋体" w:cs="Times New Roman"/>
                <w:bCs/>
                <w:szCs w:val="21"/>
              </w:rPr>
            </w:pPr>
          </w:p>
        </w:tc>
        <w:tc>
          <w:tcPr>
            <w:tcW w:w="1134" w:type="dxa"/>
            <w:vAlign w:val="center"/>
          </w:tcPr>
          <w:p>
            <w:pPr>
              <w:widowControl/>
              <w:spacing w:line="360" w:lineRule="exact"/>
              <w:jc w:val="center"/>
              <w:rPr>
                <w:rFonts w:ascii="宋体" w:hAnsi="宋体" w:eastAsia="宋体" w:cs="Times New Roman"/>
                <w:bCs/>
                <w:szCs w:val="21"/>
              </w:rPr>
            </w:pPr>
          </w:p>
        </w:tc>
        <w:tc>
          <w:tcPr>
            <w:tcW w:w="828" w:type="dxa"/>
            <w:vAlign w:val="center"/>
          </w:tcPr>
          <w:p>
            <w:pPr>
              <w:widowControl/>
              <w:spacing w:line="360" w:lineRule="exact"/>
              <w:jc w:val="center"/>
              <w:rPr>
                <w:rFonts w:ascii="宋体" w:hAnsi="宋体" w:eastAsia="宋体" w:cs="Times New Roman"/>
                <w:bCs/>
                <w:szCs w:val="21"/>
              </w:rPr>
            </w:pPr>
          </w:p>
        </w:tc>
        <w:tc>
          <w:tcPr>
            <w:tcW w:w="873" w:type="dxa"/>
            <w:vAlign w:val="center"/>
          </w:tcPr>
          <w:p>
            <w:pPr>
              <w:widowControl/>
              <w:spacing w:line="360" w:lineRule="exact"/>
              <w:jc w:val="center"/>
              <w:rPr>
                <w:rFonts w:ascii="宋体" w:hAnsi="宋体" w:eastAsia="宋体" w:cs="Times New Roman"/>
                <w:bCs/>
                <w:szCs w:val="21"/>
              </w:rPr>
            </w:pP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2160" w:type="dxa"/>
            <w:gridSpan w:val="2"/>
            <w:vAlign w:val="center"/>
          </w:tcPr>
          <w:p>
            <w:pPr>
              <w:widowControl/>
              <w:spacing w:line="360" w:lineRule="exact"/>
              <w:jc w:val="left"/>
              <w:rPr>
                <w:rFonts w:ascii="宋体" w:hAnsi="宋体" w:eastAsia="宋体" w:cs="Times New Roman"/>
                <w:bCs/>
                <w:szCs w:val="21"/>
              </w:rPr>
            </w:pPr>
            <w:r>
              <w:rPr>
                <w:rFonts w:hint="eastAsia" w:ascii="宋体" w:hAnsi="宋体" w:eastAsia="宋体" w:cs="Times New Roman"/>
                <w:bCs/>
                <w:szCs w:val="21"/>
              </w:rPr>
              <w:t>其他资金</w:t>
            </w:r>
          </w:p>
        </w:tc>
        <w:tc>
          <w:tcPr>
            <w:tcW w:w="1149" w:type="dxa"/>
            <w:vAlign w:val="center"/>
          </w:tcPr>
          <w:p>
            <w:pPr>
              <w:widowControl/>
              <w:spacing w:line="360" w:lineRule="exact"/>
              <w:jc w:val="center"/>
              <w:rPr>
                <w:rFonts w:ascii="宋体" w:hAnsi="宋体" w:eastAsia="宋体" w:cs="Times New Roman"/>
                <w:bCs/>
                <w:szCs w:val="21"/>
              </w:rPr>
            </w:pPr>
          </w:p>
        </w:tc>
        <w:tc>
          <w:tcPr>
            <w:tcW w:w="1209" w:type="dxa"/>
            <w:vAlign w:val="center"/>
          </w:tcPr>
          <w:p>
            <w:pPr>
              <w:widowControl/>
              <w:spacing w:line="360" w:lineRule="exact"/>
              <w:jc w:val="center"/>
              <w:rPr>
                <w:rFonts w:ascii="宋体" w:hAnsi="宋体" w:eastAsia="宋体" w:cs="Times New Roman"/>
                <w:bCs/>
                <w:szCs w:val="21"/>
              </w:rPr>
            </w:pPr>
          </w:p>
        </w:tc>
        <w:tc>
          <w:tcPr>
            <w:tcW w:w="1134" w:type="dxa"/>
            <w:vAlign w:val="center"/>
          </w:tcPr>
          <w:p>
            <w:pPr>
              <w:widowControl/>
              <w:spacing w:line="360" w:lineRule="exact"/>
              <w:jc w:val="center"/>
              <w:rPr>
                <w:rFonts w:ascii="宋体" w:hAnsi="宋体" w:eastAsia="宋体" w:cs="Times New Roman"/>
                <w:bCs/>
                <w:szCs w:val="21"/>
              </w:rPr>
            </w:pPr>
          </w:p>
        </w:tc>
        <w:tc>
          <w:tcPr>
            <w:tcW w:w="828" w:type="dxa"/>
            <w:vAlign w:val="center"/>
          </w:tcPr>
          <w:p>
            <w:pPr>
              <w:widowControl/>
              <w:spacing w:line="360" w:lineRule="exact"/>
              <w:jc w:val="center"/>
              <w:rPr>
                <w:rFonts w:ascii="宋体" w:hAnsi="宋体" w:eastAsia="宋体" w:cs="Times New Roman"/>
                <w:bCs/>
                <w:szCs w:val="21"/>
              </w:rPr>
            </w:pPr>
          </w:p>
        </w:tc>
        <w:tc>
          <w:tcPr>
            <w:tcW w:w="873" w:type="dxa"/>
            <w:vAlign w:val="center"/>
          </w:tcPr>
          <w:p>
            <w:pPr>
              <w:widowControl/>
              <w:spacing w:line="360" w:lineRule="exact"/>
              <w:jc w:val="center"/>
              <w:rPr>
                <w:rFonts w:ascii="宋体" w:hAnsi="宋体" w:eastAsia="宋体" w:cs="Times New Roman"/>
                <w:bCs/>
                <w:szCs w:val="21"/>
              </w:rPr>
            </w:pP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年度总体目标</w:t>
            </w:r>
          </w:p>
        </w:tc>
        <w:tc>
          <w:tcPr>
            <w:tcW w:w="4518" w:type="dxa"/>
            <w:gridSpan w:val="4"/>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预期目标</w:t>
            </w:r>
          </w:p>
        </w:tc>
        <w:tc>
          <w:tcPr>
            <w:tcW w:w="4253" w:type="dxa"/>
            <w:gridSpan w:val="4"/>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2"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4518" w:type="dxa"/>
            <w:gridSpan w:val="4"/>
            <w:vAlign w:val="center"/>
          </w:tcPr>
          <w:p>
            <w:pPr>
              <w:widowControl/>
              <w:spacing w:line="360" w:lineRule="exact"/>
              <w:rPr>
                <w:rFonts w:ascii="宋体" w:hAnsi="宋体" w:eastAsia="宋体" w:cs="Times New Roman"/>
                <w:bCs/>
                <w:szCs w:val="21"/>
              </w:rPr>
            </w:pPr>
            <w:r>
              <w:rPr>
                <w:rFonts w:hint="eastAsia" w:ascii="宋体" w:hAnsi="宋体" w:eastAsia="宋体" w:cs="Times New Roman"/>
                <w:bCs/>
                <w:szCs w:val="21"/>
              </w:rPr>
              <w:t>一、突出政治建设，强化忠诚履职。一是深入学习宣传贯彻党的二十大会议精神。二是建设坚强有力政治机关。三是推动决策部署落地见效。二、突出业务建设，强化高效履职。一是当好接待员。二是当好信息员。三、是当好宣传员。四是当好服务员。三、突出自身建设，强化充分履职。一是班子建设高标准。二是队伍建设高素质。三是制度建设高效能。四、突出作风建设，强化廉洁履职。一是强化教育管理。二是持续纠治“四风”。三是加强监督执纪。</w:t>
            </w:r>
          </w:p>
          <w:p>
            <w:pPr>
              <w:widowControl/>
              <w:spacing w:line="360" w:lineRule="exact"/>
              <w:rPr>
                <w:rFonts w:ascii="宋体" w:hAnsi="宋体" w:eastAsia="宋体" w:cs="Times New Roman"/>
                <w:bCs/>
                <w:szCs w:val="21"/>
              </w:rPr>
            </w:pPr>
            <w:r>
              <w:rPr>
                <w:rFonts w:ascii="宋体" w:hAnsi="宋体" w:eastAsia="宋体" w:cs="Times New Roman"/>
                <w:bCs/>
                <w:szCs w:val="21"/>
              </w:rPr>
              <w:t xml:space="preserve">          </w:t>
            </w:r>
          </w:p>
        </w:tc>
        <w:tc>
          <w:tcPr>
            <w:tcW w:w="4253" w:type="dxa"/>
            <w:gridSpan w:val="4"/>
            <w:vAlign w:val="center"/>
          </w:tcPr>
          <w:p>
            <w:pPr>
              <w:widowControl/>
              <w:spacing w:line="360" w:lineRule="exact"/>
              <w:rPr>
                <w:rFonts w:ascii="宋体" w:hAnsi="宋体" w:eastAsia="宋体" w:cs="Times New Roman"/>
                <w:bCs/>
                <w:szCs w:val="21"/>
              </w:rPr>
            </w:pPr>
            <w:r>
              <w:rPr>
                <w:rFonts w:hint="eastAsia" w:ascii="宋体" w:hAnsi="宋体" w:eastAsia="宋体" w:cs="Times New Roman"/>
                <w:bCs/>
                <w:szCs w:val="21"/>
              </w:rPr>
              <w:t>1.强化政治引领，筑牢政治忠诚</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1）把党的政治建设摆在首位。认真学习贯彻党的二十大精神，扎实推进政治机关建设，深刻领悟“两个确立”的决定性意义，不断增强“四个意识”，坚定“四个自信”，做到“两个维护”，始终牢记“国之大者,”精准把握“省之大计”，忠诚履行驻京使命，严明政治纪律。严肃党内政治生活，强化政治监督，涵养风清气正、干事创业的政治生态。</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2）认真开展好主题教育活动。2023年，按照党中央、省委和市委的统一部署，驻京联络处深入开展主题教育活动，坚持学思用贯通、知信行统一，全面、系统、深入学习习近平新时代中国特色社会主义思想，深刻领悟“两个确立”的决定性意义，突出实践导向，真抓实干、务求实效，牢固树立以人民为中心的发展思想，严格落实中央八项规定及其实施细则精神和省委实施意见、市委相关规定，深入推进清廉驻京建设，积极做好“两带头五整治”纠风防腐专项行动，常态化推进“三整顿两提升”干部作风建设，与深化清廉驻京建设、推进作风建设专项行动、巩固模范机关创建成果等工作结合起来，同中心工作结合起来，做到两手抓、两促进。</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3）加强意识形态工作。认真落实意识形态工作责任制，围绕重要时间节点，认真分析研判意识形态领域情况，牢牢把握主导权和话语权。驻京联络处切实把讲政治贯穿驻京工作全过程，要求联络处每一位党员干部都要站稳政治立场，维护党中央的核心领导地位。坚持开展经常性谈心谈话和干部职工思想动态调研分析，规范全体党员干部工作时间内外、网上网下言行，把握好正确的舆论导向。</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2.守正创新促发展，增强服务效能</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1）信息工作打开新局面。主动对接国家部委，第一时间获取政策信息，全力打造常态化、多元化、立体化的信息收集报送体系，定期参加湖南省驻京办央企对接暨重大招商工作调度会议，全力配合省驻京办创建“共建、共赢、共享”的信息网络平台。</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（2）人才信息工作起收效。5月，配合市委组织部在清华大学开展“智汇潇湘 才聚五溪”怀化市招才引才恳谈会。6月，完成专项信息采集工作，收集整理和更新了怀化籍及在怀化工作过的中央机关、国家部委、央企、在京科研院校正处级以上206名在职人士信息。及时掌握了解怀化籍在京人士信息，确保精准对接。协助市委组织部、市人社局在京开展招才引才活动，发动在京怀籍企业家和高校师生为怀化招才引才做好宣传推介工作，进一步扩大知晓度和参与度，形成招才引智的良好氛围。</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3）全力推进湘商回归。今年，成立了北京怀化企业商会，注重以商招商和亲情招商，积极与央企北京怀化商会，兄弟地市驻京联络处，怀化籍在京乡贤企业走访联系，掌握信息。3月，参加了华北地区湖南商会联席会议暨湘商回归座谈会，以商会为载体、以亲情为纽带、创新推动商会招商、以商引商各项工作。利亚德集团与芷江城建投公司合作在芷江艺术中心建设利亚德元宇宙文旅项目。走访怀化籍北京企业，通过实地察看、座谈交流等方式，结合“走、找、想、促”活动，助力湘商回归。在座谈会上积极宣传《怀化市湘商回归和返乡创业工作实施方案》和“智慧怀商项目平台”，在各种公共场合宣传怀化“湘商回归”优惠政策。1.开展平台招商。通过驻京联络处和北京怀化企业商会平台，构建常态化联系怀商、新生代怀商和怀化籍专家学者制度，定期走访商协会，积极为湘商回归“铺路、架桥、搭台”，在京召开湘商座谈会，倾听湘商声音。9月3日，我市在北京利亚德集团举行“湘商回归”对接座谈会。 9月下旬，由芷江县委、县政府与利亚德集团共同打造的和平艺术中心“元宇宙”科技体验馆正式开馆。2.创新大使招商。聘请23名重点企业家和商协会会长作为招商大使，助力怀化招大引强。北京招商大使、北京潇湘曾府酒店董事长曾峥已计划投资洪江市黔阳古城的民宿项目。3.依托资源招商。整合光伏、风力等资源，谋划风光水储新能源项目，引入中电国际赴怀建设新能源项目，其中合同外资1.8亿美元，现已累积到资4084万美元。4.推动资本招商。设立总规模50亿元的怀化国际陆港产业发展基金，与湘投基金合作管理，采取母“基金子+基金”和直投方式，助力国际陆港产业项目招商。</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4）政务服务有质效。贯彻市委、市政府工作要求，协调陪同市级领导在京对接国家发展改革委、水利部、财政部、商务部及铁道部，将“湖南省蟒塘溪（怀化市）水资源配置工程”增列进入全国“十四五”水安全保障规划和全国“十四五”重大水利项目建设库、在国家《抽水蓄能中长期发展规划（2021-2035年）》中期调整时，将怀化高新区用户侧抽水蓄能项目调整纳入规划、会同石煤综合利用项目所需火电建设指标、湖南省怀化市创建全国生态产品价值实现机制试点（国家目前已停止试点工作，以案例形式推广此项工作）、将怀化市纳入国家现代流通战略支点城市、怀化至桂林铁路列入国家“十四五”铁路发展规划等工作，助推怀化“五新四城”建设。突出重点对接，协调陪同市级领导在京对接重点项目，促成中国供销集团怀化产业园项目、中电国际储能集成设备生产线项目、东旭集团怀化高新标载板项目、中林集团竹缠绕复合压力管道生产基地项目等一批重大项目纷纷落户。靖州县通过茯苓产业引进修正药业集团投资13亿元布局建设生物医药项目和大健康产业。中储粮集团公司党组书记、董事长表示，中储粮集团公司将积极支持怀化直属库退城进园项目建设，进一步提升粮食储备安全保障能力。全年共计为市级领导和市直部门，各县、市（区）来京汇报对接工作联络服务400余人次。</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5）宣传工作开新局面。强化与媒体的联系，统筹市宣传资源，宣传怀化讲好怀化故事。3月，积极协助市委宣传部、洪江市市委宣传部、湖南广播电视台新闻中心赴京对接宣传片。铺路搭桥，为更好地让怀化土特产走出去，通过线上和线下多种渠道宣传推介怀化农产品。同时，等条件成熟，计划对新办公楼进行装修，划分专门区域作为宣传怀化土特产的阵地和窗口。全力为了“一粒种子 改变世界”原创民族音乐会和怀化市文化旅游推介大会提供服务保障工作。9月4日，“一粒种子 改变世界”原创民族音乐会在京首演，扩大怀化“一粒种子 改变世界”城市形象品牌影响力，着力打造湖南农耕文化旅游名片。同时，易烊千玺受邀担任怀化形象大使，通过视频向全世界朋友发出邀约，邀请大家走进怀化，来到怀化。9月23日，怀化举办第二届旅发大会，邀请利亚德集团董事长等十余名在京怀籍企业家出席会议，以旅发大会为契机，推动全市文旅招商项目落地怀化。</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6）整体形象有新面貌。深入推进“清廉机关”的建设。把清廉文化建设同党风廉政建设工作一并部署，一并落实，制定《市驻京联络处清廉文化建设实施方案》，组织联络处全体干部职工开展党纪条规、廉政法律法规学习及廉洁文化宣传教育活动4次。充分利用联络处现有阵地，在办公室制作清廉文化宣传墙,不断提升清廉文化的认同感。清廉文化建设与班子成员履职党支部建设相结合，加强党员干部的教育管理和监督服务，督促党员干部带头守纪律讲规矩，遵守党纪国法，充分发挥政治引领、廉洁奉公示范作用；将清廉建设纳入班子成员履职评价，对违纪违规、违背政令，受到纪律处分、组织处理、责任追究的班子成员，实行履职评价“一票否决”。</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7）全力促进大稳定。驻京联络处坚持把维护首都稳定作为驻京工作的重要政治任务，全国“两会”、北戴河暑期值班等特护期，同时抓好全年重点节日确保驻京信访维稳零滞留、零倒流、零滋事、零违纪、零炒作目标，实现了“三个确保”，的预期目标：既没有发生进京规模聚访事件，没有发生影响怀化形象的恶性个案，进京非正常上访的批次和人次均有下降，为维护首都稳定，维护怀化形象做出了怀化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绩</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效</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指</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标</w:t>
            </w: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一级指标</w:t>
            </w: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二级指标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三级指标</w:t>
            </w:r>
          </w:p>
        </w:tc>
        <w:tc>
          <w:tcPr>
            <w:tcW w:w="120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年度指</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指标值</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实际完成值</w:t>
            </w:r>
          </w:p>
        </w:tc>
        <w:tc>
          <w:tcPr>
            <w:tcW w:w="82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分值</w:t>
            </w:r>
          </w:p>
        </w:tc>
        <w:tc>
          <w:tcPr>
            <w:tcW w:w="873"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得分</w:t>
            </w:r>
          </w:p>
        </w:tc>
        <w:tc>
          <w:tcPr>
            <w:tcW w:w="141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偏差原因分</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分析及改进措施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Merge w:val="restart"/>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产出指标</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（50分）</w:t>
            </w: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数量指标</w:t>
            </w:r>
          </w:p>
        </w:tc>
        <w:tc>
          <w:tcPr>
            <w:tcW w:w="1149"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信</w:t>
            </w:r>
            <w:r>
              <w:rPr>
                <w:rFonts w:hint="eastAsia" w:ascii="宋体" w:hAnsi="宋体" w:eastAsia="宋体" w:cs="Times New Roman"/>
                <w:bCs/>
                <w:szCs w:val="21"/>
              </w:rPr>
              <w:t>访接待人数</w:t>
            </w:r>
          </w:p>
        </w:tc>
        <w:tc>
          <w:tcPr>
            <w:tcW w:w="1209"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200</w:t>
            </w:r>
          </w:p>
        </w:tc>
        <w:tc>
          <w:tcPr>
            <w:tcW w:w="1134"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535</w:t>
            </w:r>
          </w:p>
        </w:tc>
        <w:tc>
          <w:tcPr>
            <w:tcW w:w="82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5</w:t>
            </w:r>
          </w:p>
        </w:tc>
        <w:tc>
          <w:tcPr>
            <w:tcW w:w="873"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5</w:t>
            </w: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质量指标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项目质量达标率</w:t>
            </w:r>
          </w:p>
        </w:tc>
        <w:tc>
          <w:tcPr>
            <w:tcW w:w="120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100%</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100%</w:t>
            </w:r>
          </w:p>
        </w:tc>
        <w:tc>
          <w:tcPr>
            <w:tcW w:w="828"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873"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时效指标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完成及时性</w:t>
            </w:r>
          </w:p>
        </w:tc>
        <w:tc>
          <w:tcPr>
            <w:tcW w:w="120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023</w:t>
            </w:r>
            <w:r>
              <w:rPr>
                <w:rFonts w:hint="eastAsia" w:ascii="宋体" w:hAnsi="宋体" w:eastAsia="宋体" w:cs="Times New Roman"/>
                <w:bCs/>
                <w:szCs w:val="21"/>
              </w:rPr>
              <w:t>年1</w:t>
            </w:r>
            <w:r>
              <w:rPr>
                <w:rFonts w:ascii="宋体" w:hAnsi="宋体" w:eastAsia="宋体" w:cs="Times New Roman"/>
                <w:bCs/>
                <w:szCs w:val="21"/>
              </w:rPr>
              <w:t>2</w:t>
            </w:r>
            <w:r>
              <w:rPr>
                <w:rFonts w:hint="eastAsia" w:ascii="宋体" w:hAnsi="宋体" w:eastAsia="宋体" w:cs="Times New Roman"/>
                <w:bCs/>
                <w:szCs w:val="21"/>
              </w:rPr>
              <w:t>月之前完成</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023</w:t>
            </w:r>
            <w:r>
              <w:rPr>
                <w:rFonts w:hint="eastAsia" w:ascii="宋体" w:hAnsi="宋体" w:eastAsia="宋体" w:cs="Times New Roman"/>
                <w:bCs/>
                <w:szCs w:val="21"/>
              </w:rPr>
              <w:t>年1</w:t>
            </w:r>
            <w:r>
              <w:rPr>
                <w:rFonts w:ascii="宋体" w:hAnsi="宋体" w:eastAsia="宋体" w:cs="Times New Roman"/>
                <w:bCs/>
                <w:szCs w:val="21"/>
              </w:rPr>
              <w:t>2</w:t>
            </w:r>
            <w:r>
              <w:rPr>
                <w:rFonts w:hint="eastAsia" w:ascii="宋体" w:hAnsi="宋体" w:eastAsia="宋体" w:cs="Times New Roman"/>
                <w:bCs/>
                <w:szCs w:val="21"/>
              </w:rPr>
              <w:t>月之前完成</w:t>
            </w:r>
          </w:p>
        </w:tc>
        <w:tc>
          <w:tcPr>
            <w:tcW w:w="82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5</w:t>
            </w:r>
          </w:p>
        </w:tc>
        <w:tc>
          <w:tcPr>
            <w:tcW w:w="873"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5</w:t>
            </w: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成本指标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项目成本控制</w:t>
            </w:r>
          </w:p>
        </w:tc>
        <w:tc>
          <w:tcPr>
            <w:tcW w:w="120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60</w:t>
            </w:r>
          </w:p>
        </w:tc>
        <w:tc>
          <w:tcPr>
            <w:tcW w:w="1134"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51.79</w:t>
            </w:r>
          </w:p>
        </w:tc>
        <w:tc>
          <w:tcPr>
            <w:tcW w:w="828"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873"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Merge w:val="restart"/>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效益指标</w:t>
            </w:r>
          </w:p>
          <w:p>
            <w:pPr>
              <w:widowControl/>
              <w:spacing w:line="360" w:lineRule="exact"/>
              <w:rPr>
                <w:rFonts w:ascii="宋体" w:hAnsi="宋体" w:eastAsia="宋体" w:cs="Times New Roman"/>
                <w:bCs/>
                <w:szCs w:val="21"/>
              </w:rPr>
            </w:pPr>
            <w:r>
              <w:rPr>
                <w:rFonts w:hint="eastAsia" w:ascii="宋体" w:hAnsi="宋体" w:eastAsia="宋体" w:cs="Times New Roman"/>
                <w:bCs/>
                <w:szCs w:val="21"/>
              </w:rPr>
              <w:t>（30分）</w:t>
            </w: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经济效益</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拓展招商路径和渠道</w:t>
            </w:r>
          </w:p>
        </w:tc>
        <w:tc>
          <w:tcPr>
            <w:tcW w:w="120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82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w:t>
            </w:r>
          </w:p>
        </w:tc>
        <w:tc>
          <w:tcPr>
            <w:tcW w:w="873"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w:t>
            </w: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社会效益</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提高接待水平</w:t>
            </w:r>
          </w:p>
        </w:tc>
        <w:tc>
          <w:tcPr>
            <w:tcW w:w="120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82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w:t>
            </w:r>
          </w:p>
        </w:tc>
        <w:tc>
          <w:tcPr>
            <w:tcW w:w="873"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w:t>
            </w: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生态效</w:t>
            </w:r>
          </w:p>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益指标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无</w:t>
            </w:r>
          </w:p>
        </w:tc>
        <w:tc>
          <w:tcPr>
            <w:tcW w:w="1209" w:type="dxa"/>
            <w:vAlign w:val="center"/>
          </w:tcPr>
          <w:p>
            <w:pPr>
              <w:widowControl/>
              <w:spacing w:line="360" w:lineRule="exact"/>
              <w:jc w:val="center"/>
              <w:rPr>
                <w:rFonts w:ascii="宋体" w:hAnsi="宋体" w:eastAsia="宋体" w:cs="Times New Roman"/>
                <w:bCs/>
                <w:szCs w:val="21"/>
              </w:rPr>
            </w:pPr>
          </w:p>
        </w:tc>
        <w:tc>
          <w:tcPr>
            <w:tcW w:w="1134" w:type="dxa"/>
            <w:vAlign w:val="center"/>
          </w:tcPr>
          <w:p>
            <w:pPr>
              <w:widowControl/>
              <w:spacing w:line="360" w:lineRule="exact"/>
              <w:jc w:val="center"/>
              <w:rPr>
                <w:rFonts w:ascii="宋体" w:hAnsi="宋体" w:eastAsia="宋体" w:cs="Times New Roman"/>
                <w:bCs/>
                <w:szCs w:val="21"/>
              </w:rPr>
            </w:pPr>
          </w:p>
        </w:tc>
        <w:tc>
          <w:tcPr>
            <w:tcW w:w="828" w:type="dxa"/>
            <w:vAlign w:val="center"/>
          </w:tcPr>
          <w:p>
            <w:pPr>
              <w:widowControl/>
              <w:spacing w:line="360" w:lineRule="exact"/>
              <w:jc w:val="center"/>
              <w:rPr>
                <w:rFonts w:ascii="宋体" w:hAnsi="宋体" w:eastAsia="宋体" w:cs="Times New Roman"/>
                <w:bCs/>
                <w:szCs w:val="21"/>
              </w:rPr>
            </w:pPr>
          </w:p>
        </w:tc>
        <w:tc>
          <w:tcPr>
            <w:tcW w:w="873" w:type="dxa"/>
            <w:vAlign w:val="center"/>
          </w:tcPr>
          <w:p>
            <w:pPr>
              <w:widowControl/>
              <w:spacing w:line="360" w:lineRule="exact"/>
              <w:jc w:val="center"/>
              <w:rPr>
                <w:rFonts w:ascii="宋体" w:hAnsi="宋体" w:eastAsia="宋体" w:cs="Times New Roman"/>
                <w:bCs/>
                <w:szCs w:val="21"/>
              </w:rPr>
            </w:pP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可持续影响指标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提升了联络手段，提高了联络功效</w:t>
            </w:r>
          </w:p>
        </w:tc>
        <w:tc>
          <w:tcPr>
            <w:tcW w:w="120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1134"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效果明显</w:t>
            </w:r>
          </w:p>
        </w:tc>
        <w:tc>
          <w:tcPr>
            <w:tcW w:w="828"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873"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10</w:t>
            </w: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pPr>
              <w:widowControl/>
              <w:spacing w:line="360" w:lineRule="exact"/>
              <w:jc w:val="center"/>
              <w:rPr>
                <w:rFonts w:ascii="宋体" w:hAnsi="宋体" w:eastAsia="宋体" w:cs="Times New Roman"/>
                <w:bCs/>
                <w:szCs w:val="21"/>
              </w:rPr>
            </w:pP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满意度指标（10分）</w:t>
            </w:r>
          </w:p>
        </w:tc>
        <w:tc>
          <w:tcPr>
            <w:tcW w:w="1080"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服务对象满意度指标</w:t>
            </w:r>
          </w:p>
        </w:tc>
        <w:tc>
          <w:tcPr>
            <w:tcW w:w="1149"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服务对象满意度</w:t>
            </w:r>
          </w:p>
        </w:tc>
        <w:tc>
          <w:tcPr>
            <w:tcW w:w="1209"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≥90</w:t>
            </w:r>
            <w:r>
              <w:rPr>
                <w:rFonts w:hint="eastAsia" w:ascii="宋体" w:hAnsi="宋体" w:eastAsia="宋体" w:cs="Times New Roman"/>
                <w:bCs/>
                <w:szCs w:val="21"/>
              </w:rPr>
              <w:t>%</w:t>
            </w:r>
          </w:p>
        </w:tc>
        <w:tc>
          <w:tcPr>
            <w:tcW w:w="1134"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≥95</w:t>
            </w:r>
            <w:r>
              <w:rPr>
                <w:rFonts w:hint="eastAsia" w:ascii="宋体" w:hAnsi="宋体" w:eastAsia="宋体" w:cs="Times New Roman"/>
                <w:bCs/>
                <w:szCs w:val="21"/>
              </w:rPr>
              <w:t>%</w:t>
            </w:r>
          </w:p>
        </w:tc>
        <w:tc>
          <w:tcPr>
            <w:tcW w:w="828"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w:t>
            </w:r>
          </w:p>
        </w:tc>
        <w:tc>
          <w:tcPr>
            <w:tcW w:w="873" w:type="dxa"/>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1</w:t>
            </w:r>
            <w:r>
              <w:rPr>
                <w:rFonts w:ascii="宋体" w:hAnsi="宋体" w:eastAsia="宋体" w:cs="Times New Roman"/>
                <w:bCs/>
                <w:szCs w:val="21"/>
              </w:rPr>
              <w:t>0</w:t>
            </w:r>
          </w:p>
        </w:tc>
        <w:tc>
          <w:tcPr>
            <w:tcW w:w="1418" w:type="dxa"/>
            <w:vAlign w:val="center"/>
          </w:tcPr>
          <w:p>
            <w:pPr>
              <w:widowControl/>
              <w:spacing w:line="360" w:lineRule="exact"/>
              <w:jc w:val="center"/>
              <w:rPr>
                <w:rFonts w:ascii="宋体" w:hAnsi="宋体"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pPr>
              <w:widowControl/>
              <w:spacing w:line="360" w:lineRule="exact"/>
              <w:jc w:val="center"/>
              <w:rPr>
                <w:rFonts w:ascii="宋体" w:hAnsi="宋体" w:eastAsia="宋体" w:cs="Times New Roman"/>
                <w:bCs/>
                <w:szCs w:val="21"/>
              </w:rPr>
            </w:pPr>
            <w:r>
              <w:rPr>
                <w:rFonts w:hint="eastAsia" w:ascii="宋体" w:hAnsi="宋体" w:eastAsia="宋体" w:cs="Times New Roman"/>
                <w:bCs/>
                <w:szCs w:val="21"/>
              </w:rPr>
              <w:t>总分</w:t>
            </w:r>
          </w:p>
        </w:tc>
        <w:tc>
          <w:tcPr>
            <w:tcW w:w="828" w:type="dxa"/>
            <w:vAlign w:val="center"/>
          </w:tcPr>
          <w:p>
            <w:pPr>
              <w:widowControl/>
              <w:spacing w:line="360" w:lineRule="exact"/>
              <w:jc w:val="center"/>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00</w:t>
            </w:r>
          </w:p>
        </w:tc>
        <w:tc>
          <w:tcPr>
            <w:tcW w:w="873" w:type="dxa"/>
            <w:vAlign w:val="center"/>
          </w:tcPr>
          <w:p>
            <w:pPr>
              <w:widowControl/>
              <w:spacing w:line="360" w:lineRule="exact"/>
              <w:jc w:val="center"/>
              <w:rPr>
                <w:rFonts w:hint="default" w:ascii="宋体" w:hAnsi="宋体" w:eastAsia="宋体" w:cs="Times New Roman"/>
                <w:bCs/>
                <w:szCs w:val="21"/>
                <w:lang w:val="en-US" w:eastAsia="zh-CN"/>
              </w:rPr>
            </w:pPr>
            <w:r>
              <w:rPr>
                <w:rFonts w:hint="eastAsia" w:ascii="宋体" w:hAnsi="宋体" w:eastAsia="宋体" w:cs="Times New Roman"/>
                <w:bCs/>
                <w:szCs w:val="21"/>
              </w:rPr>
              <w:t>9</w:t>
            </w:r>
            <w:r>
              <w:rPr>
                <w:rFonts w:ascii="宋体" w:hAnsi="宋体" w:eastAsia="宋体" w:cs="Times New Roman"/>
                <w:bCs/>
                <w:szCs w:val="21"/>
              </w:rPr>
              <w:t>8</w:t>
            </w:r>
            <w:r>
              <w:rPr>
                <w:rFonts w:hint="eastAsia" w:ascii="宋体" w:hAnsi="宋体" w:eastAsia="宋体" w:cs="Times New Roman"/>
                <w:bCs/>
                <w:szCs w:val="21"/>
                <w:lang w:val="en-US" w:eastAsia="zh-CN"/>
              </w:rPr>
              <w:t>.63</w:t>
            </w:r>
            <w:bookmarkStart w:id="31" w:name="_GoBack"/>
            <w:bookmarkEnd w:id="31"/>
          </w:p>
        </w:tc>
        <w:tc>
          <w:tcPr>
            <w:tcW w:w="1418" w:type="dxa"/>
            <w:vAlign w:val="center"/>
          </w:tcPr>
          <w:p>
            <w:pPr>
              <w:widowControl/>
              <w:spacing w:line="360" w:lineRule="exact"/>
              <w:jc w:val="center"/>
              <w:rPr>
                <w:rFonts w:ascii="宋体" w:hAnsi="宋体" w:eastAsia="宋体" w:cs="Times New Roman"/>
                <w:bCs/>
                <w:szCs w:val="21"/>
              </w:rPr>
            </w:pPr>
          </w:p>
        </w:tc>
      </w:tr>
    </w:tbl>
    <w:p>
      <w:pPr>
        <w:widowControl/>
        <w:spacing w:line="360" w:lineRule="exact"/>
        <w:jc w:val="left"/>
        <w:rPr>
          <w:rFonts w:ascii="宋体" w:hAnsi="宋体" w:eastAsia="宋体" w:cs="Times New Roman"/>
          <w:bCs/>
          <w:szCs w:val="21"/>
        </w:rPr>
      </w:pPr>
      <w:r>
        <w:rPr>
          <w:rFonts w:hint="eastAsia" w:ascii="宋体" w:hAnsi="宋体" w:eastAsia="宋体" w:cs="Times New Roman"/>
          <w:bCs/>
          <w:szCs w:val="21"/>
        </w:rPr>
        <w:t>填表人：   向芳     填报日期：2024年6月6日       联系电话： 13611355776</w:t>
      </w:r>
    </w:p>
    <w:p>
      <w:pPr>
        <w:spacing w:line="360" w:lineRule="exact"/>
        <w:rPr>
          <w:rFonts w:ascii="宋体" w:hAnsi="宋体" w:eastAsia="宋体"/>
          <w:bCs/>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0000000000000000000"/>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DLF-3-0-1061508550+ZLTFEy-360">
    <w:altName w:val="Cambria"/>
    <w:panose1 w:val="00000000000000000000"/>
    <w:charset w:val="00"/>
    <w:family w:val="roman"/>
    <w:pitch w:val="default"/>
    <w:sig w:usb0="00000000" w:usb1="00000000" w:usb2="00000000" w:usb3="00000000" w:csb0="00000000" w:csb1="00000000"/>
  </w:font>
  <w:font w:name="方正仿宋简体">
    <w:altName w:val="微软雅黑"/>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方正小标宋简体">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5771975"/>
      <w:docPartObj>
        <w:docPartGallery w:val="AutoText"/>
      </w:docPartObj>
    </w:sdtPr>
    <w:sdtContent>
      <w:p>
        <w:pPr>
          <w:pStyle w:val="14"/>
          <w:jc w:val="center"/>
        </w:pPr>
        <w:r>
          <w:fldChar w:fldCharType="begin"/>
        </w:r>
        <w:r>
          <w:instrText xml:space="preserve">PAGE   \* MERGEFORMAT</w:instrText>
        </w:r>
        <w:r>
          <w:fldChar w:fldCharType="separate"/>
        </w:r>
        <w:r>
          <w:rPr>
            <w:lang w:val="zh-CN"/>
          </w:rPr>
          <w:t>20</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val="1"/>
  <w:bordersDoNotSurroundHeader w:val="1"/>
  <w:bordersDoNotSurroundFooter w:val="1"/>
  <w:hideSpellingErrors/>
  <w:documentProtection w:enforcement="0"/>
  <w:defaultTabStop w:val="420"/>
  <w:drawingGridHorizontalSpacing w:val="18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444D6"/>
    <w:rsid w:val="000000E6"/>
    <w:rsid w:val="000001A6"/>
    <w:rsid w:val="00000F4E"/>
    <w:rsid w:val="00000F50"/>
    <w:rsid w:val="0000100A"/>
    <w:rsid w:val="00001614"/>
    <w:rsid w:val="00002995"/>
    <w:rsid w:val="00002FB6"/>
    <w:rsid w:val="000034F0"/>
    <w:rsid w:val="00003F09"/>
    <w:rsid w:val="0000532B"/>
    <w:rsid w:val="000058D0"/>
    <w:rsid w:val="00007088"/>
    <w:rsid w:val="000075AE"/>
    <w:rsid w:val="00007666"/>
    <w:rsid w:val="00007E74"/>
    <w:rsid w:val="00010441"/>
    <w:rsid w:val="00010AAF"/>
    <w:rsid w:val="00011C8D"/>
    <w:rsid w:val="0001239D"/>
    <w:rsid w:val="0001251D"/>
    <w:rsid w:val="00012F21"/>
    <w:rsid w:val="00012F55"/>
    <w:rsid w:val="00013F83"/>
    <w:rsid w:val="000143A5"/>
    <w:rsid w:val="0001514A"/>
    <w:rsid w:val="000155A4"/>
    <w:rsid w:val="00015DB2"/>
    <w:rsid w:val="00016BD1"/>
    <w:rsid w:val="0001726E"/>
    <w:rsid w:val="0001749E"/>
    <w:rsid w:val="00017A67"/>
    <w:rsid w:val="00017F83"/>
    <w:rsid w:val="00020E17"/>
    <w:rsid w:val="00021524"/>
    <w:rsid w:val="0002380D"/>
    <w:rsid w:val="00024953"/>
    <w:rsid w:val="00024C19"/>
    <w:rsid w:val="00024E55"/>
    <w:rsid w:val="00024EC5"/>
    <w:rsid w:val="00025855"/>
    <w:rsid w:val="000264B2"/>
    <w:rsid w:val="00027360"/>
    <w:rsid w:val="00027B50"/>
    <w:rsid w:val="00027CBD"/>
    <w:rsid w:val="000312DC"/>
    <w:rsid w:val="000315E9"/>
    <w:rsid w:val="00033C09"/>
    <w:rsid w:val="00033E5A"/>
    <w:rsid w:val="0003508D"/>
    <w:rsid w:val="00036493"/>
    <w:rsid w:val="0003652E"/>
    <w:rsid w:val="00036B19"/>
    <w:rsid w:val="0003700A"/>
    <w:rsid w:val="00037DFC"/>
    <w:rsid w:val="00040116"/>
    <w:rsid w:val="00040735"/>
    <w:rsid w:val="000407E6"/>
    <w:rsid w:val="0004274C"/>
    <w:rsid w:val="0004296C"/>
    <w:rsid w:val="00042A57"/>
    <w:rsid w:val="00042DD6"/>
    <w:rsid w:val="00042EEC"/>
    <w:rsid w:val="000431EA"/>
    <w:rsid w:val="000444D6"/>
    <w:rsid w:val="0004489F"/>
    <w:rsid w:val="0004577C"/>
    <w:rsid w:val="000460D1"/>
    <w:rsid w:val="000468A2"/>
    <w:rsid w:val="00046D79"/>
    <w:rsid w:val="00047101"/>
    <w:rsid w:val="00047C8C"/>
    <w:rsid w:val="000514EB"/>
    <w:rsid w:val="0005291D"/>
    <w:rsid w:val="0005304D"/>
    <w:rsid w:val="00053356"/>
    <w:rsid w:val="0005424B"/>
    <w:rsid w:val="00054851"/>
    <w:rsid w:val="00054986"/>
    <w:rsid w:val="00054F46"/>
    <w:rsid w:val="000555FB"/>
    <w:rsid w:val="00056C5D"/>
    <w:rsid w:val="00056D19"/>
    <w:rsid w:val="000612C8"/>
    <w:rsid w:val="0006133F"/>
    <w:rsid w:val="00062A8B"/>
    <w:rsid w:val="00063605"/>
    <w:rsid w:val="0006410F"/>
    <w:rsid w:val="00064155"/>
    <w:rsid w:val="00064793"/>
    <w:rsid w:val="00066433"/>
    <w:rsid w:val="00066F3E"/>
    <w:rsid w:val="00071096"/>
    <w:rsid w:val="00071305"/>
    <w:rsid w:val="00071F30"/>
    <w:rsid w:val="00073086"/>
    <w:rsid w:val="0007369A"/>
    <w:rsid w:val="00074188"/>
    <w:rsid w:val="000747B6"/>
    <w:rsid w:val="00074C51"/>
    <w:rsid w:val="000754AB"/>
    <w:rsid w:val="00075684"/>
    <w:rsid w:val="00075EE1"/>
    <w:rsid w:val="00076D96"/>
    <w:rsid w:val="0007700F"/>
    <w:rsid w:val="00077F3E"/>
    <w:rsid w:val="00082EF3"/>
    <w:rsid w:val="00083EBE"/>
    <w:rsid w:val="00083F5F"/>
    <w:rsid w:val="00085062"/>
    <w:rsid w:val="00085D3C"/>
    <w:rsid w:val="0008638C"/>
    <w:rsid w:val="00087092"/>
    <w:rsid w:val="000879C0"/>
    <w:rsid w:val="0009003E"/>
    <w:rsid w:val="00090534"/>
    <w:rsid w:val="00091055"/>
    <w:rsid w:val="00091300"/>
    <w:rsid w:val="0009233A"/>
    <w:rsid w:val="0009251B"/>
    <w:rsid w:val="00092654"/>
    <w:rsid w:val="000932B5"/>
    <w:rsid w:val="00093504"/>
    <w:rsid w:val="00093D91"/>
    <w:rsid w:val="00095B80"/>
    <w:rsid w:val="00095B8E"/>
    <w:rsid w:val="00095BBB"/>
    <w:rsid w:val="000962E2"/>
    <w:rsid w:val="00097CA7"/>
    <w:rsid w:val="00097F54"/>
    <w:rsid w:val="000A066E"/>
    <w:rsid w:val="000A1902"/>
    <w:rsid w:val="000A2743"/>
    <w:rsid w:val="000A2FAF"/>
    <w:rsid w:val="000A3C2A"/>
    <w:rsid w:val="000A4F87"/>
    <w:rsid w:val="000A52A8"/>
    <w:rsid w:val="000A546B"/>
    <w:rsid w:val="000A5482"/>
    <w:rsid w:val="000A596F"/>
    <w:rsid w:val="000A6B24"/>
    <w:rsid w:val="000A7EBA"/>
    <w:rsid w:val="000B3CE4"/>
    <w:rsid w:val="000B4DD5"/>
    <w:rsid w:val="000B4FC4"/>
    <w:rsid w:val="000B52E9"/>
    <w:rsid w:val="000B5520"/>
    <w:rsid w:val="000B64C1"/>
    <w:rsid w:val="000B72E5"/>
    <w:rsid w:val="000C072F"/>
    <w:rsid w:val="000C10BE"/>
    <w:rsid w:val="000C207E"/>
    <w:rsid w:val="000C21D1"/>
    <w:rsid w:val="000C3997"/>
    <w:rsid w:val="000C5778"/>
    <w:rsid w:val="000C6BA2"/>
    <w:rsid w:val="000C6CAA"/>
    <w:rsid w:val="000C7142"/>
    <w:rsid w:val="000C79A2"/>
    <w:rsid w:val="000C79D5"/>
    <w:rsid w:val="000C7D5A"/>
    <w:rsid w:val="000D0985"/>
    <w:rsid w:val="000D0B9D"/>
    <w:rsid w:val="000D2F37"/>
    <w:rsid w:val="000D3F8E"/>
    <w:rsid w:val="000D425B"/>
    <w:rsid w:val="000D4C92"/>
    <w:rsid w:val="000D5CBA"/>
    <w:rsid w:val="000D5DD9"/>
    <w:rsid w:val="000D67E9"/>
    <w:rsid w:val="000D6BBF"/>
    <w:rsid w:val="000D6C30"/>
    <w:rsid w:val="000E0641"/>
    <w:rsid w:val="000E0669"/>
    <w:rsid w:val="000E08B9"/>
    <w:rsid w:val="000E2136"/>
    <w:rsid w:val="000E2A0C"/>
    <w:rsid w:val="000E3EE0"/>
    <w:rsid w:val="000E4436"/>
    <w:rsid w:val="000E764F"/>
    <w:rsid w:val="000F03D5"/>
    <w:rsid w:val="000F0503"/>
    <w:rsid w:val="000F0B1D"/>
    <w:rsid w:val="000F1BF7"/>
    <w:rsid w:val="000F1CF8"/>
    <w:rsid w:val="000F2211"/>
    <w:rsid w:val="000F35D2"/>
    <w:rsid w:val="000F3768"/>
    <w:rsid w:val="000F440C"/>
    <w:rsid w:val="000F44D6"/>
    <w:rsid w:val="000F45C6"/>
    <w:rsid w:val="000F5156"/>
    <w:rsid w:val="000F53EA"/>
    <w:rsid w:val="000F554E"/>
    <w:rsid w:val="000F5645"/>
    <w:rsid w:val="000F665E"/>
    <w:rsid w:val="000F7A3D"/>
    <w:rsid w:val="000F7F10"/>
    <w:rsid w:val="00100088"/>
    <w:rsid w:val="001029D1"/>
    <w:rsid w:val="00103FE0"/>
    <w:rsid w:val="0010449F"/>
    <w:rsid w:val="001058EB"/>
    <w:rsid w:val="00105D9F"/>
    <w:rsid w:val="00106CD6"/>
    <w:rsid w:val="00110134"/>
    <w:rsid w:val="001109CA"/>
    <w:rsid w:val="00110F68"/>
    <w:rsid w:val="001120B4"/>
    <w:rsid w:val="0011252C"/>
    <w:rsid w:val="00112646"/>
    <w:rsid w:val="001129C8"/>
    <w:rsid w:val="00112FDC"/>
    <w:rsid w:val="001139B7"/>
    <w:rsid w:val="00113C14"/>
    <w:rsid w:val="00114994"/>
    <w:rsid w:val="00114ACE"/>
    <w:rsid w:val="00114E44"/>
    <w:rsid w:val="00115FD8"/>
    <w:rsid w:val="001161C1"/>
    <w:rsid w:val="001169E8"/>
    <w:rsid w:val="001209B7"/>
    <w:rsid w:val="00120EAF"/>
    <w:rsid w:val="001229C2"/>
    <w:rsid w:val="00123CA7"/>
    <w:rsid w:val="001248D7"/>
    <w:rsid w:val="001274C3"/>
    <w:rsid w:val="00127AEB"/>
    <w:rsid w:val="001302DA"/>
    <w:rsid w:val="00131040"/>
    <w:rsid w:val="00131842"/>
    <w:rsid w:val="00131ECC"/>
    <w:rsid w:val="001321CD"/>
    <w:rsid w:val="001333B7"/>
    <w:rsid w:val="00133B95"/>
    <w:rsid w:val="00135631"/>
    <w:rsid w:val="0013598D"/>
    <w:rsid w:val="00135E31"/>
    <w:rsid w:val="00135F75"/>
    <w:rsid w:val="00136B16"/>
    <w:rsid w:val="001371A9"/>
    <w:rsid w:val="00137F18"/>
    <w:rsid w:val="0014027C"/>
    <w:rsid w:val="001411A7"/>
    <w:rsid w:val="001415F5"/>
    <w:rsid w:val="00141D9B"/>
    <w:rsid w:val="001432A4"/>
    <w:rsid w:val="00143907"/>
    <w:rsid w:val="00146A8B"/>
    <w:rsid w:val="00147E2F"/>
    <w:rsid w:val="00151CE1"/>
    <w:rsid w:val="00151F19"/>
    <w:rsid w:val="001526C7"/>
    <w:rsid w:val="00152CD9"/>
    <w:rsid w:val="00152F4D"/>
    <w:rsid w:val="001543D6"/>
    <w:rsid w:val="00154CB1"/>
    <w:rsid w:val="00154DA5"/>
    <w:rsid w:val="00155094"/>
    <w:rsid w:val="0015732A"/>
    <w:rsid w:val="0015761C"/>
    <w:rsid w:val="00160F1C"/>
    <w:rsid w:val="00163065"/>
    <w:rsid w:val="00163272"/>
    <w:rsid w:val="00163709"/>
    <w:rsid w:val="00165FB4"/>
    <w:rsid w:val="001665B3"/>
    <w:rsid w:val="001679EF"/>
    <w:rsid w:val="00167B59"/>
    <w:rsid w:val="00167D27"/>
    <w:rsid w:val="00170145"/>
    <w:rsid w:val="00170D85"/>
    <w:rsid w:val="0017186F"/>
    <w:rsid w:val="00172561"/>
    <w:rsid w:val="001727DF"/>
    <w:rsid w:val="00173411"/>
    <w:rsid w:val="00173683"/>
    <w:rsid w:val="00173FED"/>
    <w:rsid w:val="00174B83"/>
    <w:rsid w:val="001758B8"/>
    <w:rsid w:val="00176781"/>
    <w:rsid w:val="0017683E"/>
    <w:rsid w:val="001769A5"/>
    <w:rsid w:val="0018032C"/>
    <w:rsid w:val="0018096A"/>
    <w:rsid w:val="00180ED3"/>
    <w:rsid w:val="00182D9C"/>
    <w:rsid w:val="00183BBB"/>
    <w:rsid w:val="00185D78"/>
    <w:rsid w:val="00186404"/>
    <w:rsid w:val="00186652"/>
    <w:rsid w:val="00186ADC"/>
    <w:rsid w:val="00186C7B"/>
    <w:rsid w:val="00186F5C"/>
    <w:rsid w:val="001872DD"/>
    <w:rsid w:val="0019012F"/>
    <w:rsid w:val="00190E7F"/>
    <w:rsid w:val="001913E6"/>
    <w:rsid w:val="00191989"/>
    <w:rsid w:val="001935AC"/>
    <w:rsid w:val="00194362"/>
    <w:rsid w:val="001A0069"/>
    <w:rsid w:val="001A0F77"/>
    <w:rsid w:val="001A107D"/>
    <w:rsid w:val="001A170C"/>
    <w:rsid w:val="001A187C"/>
    <w:rsid w:val="001A2F7B"/>
    <w:rsid w:val="001A3E4D"/>
    <w:rsid w:val="001A5B4F"/>
    <w:rsid w:val="001A674F"/>
    <w:rsid w:val="001A6CAE"/>
    <w:rsid w:val="001A7274"/>
    <w:rsid w:val="001A78AA"/>
    <w:rsid w:val="001B00D0"/>
    <w:rsid w:val="001B00FB"/>
    <w:rsid w:val="001B097A"/>
    <w:rsid w:val="001B1897"/>
    <w:rsid w:val="001B1E19"/>
    <w:rsid w:val="001B1E96"/>
    <w:rsid w:val="001B2E5D"/>
    <w:rsid w:val="001B4209"/>
    <w:rsid w:val="001B6215"/>
    <w:rsid w:val="001B70C5"/>
    <w:rsid w:val="001B727B"/>
    <w:rsid w:val="001C079B"/>
    <w:rsid w:val="001C0ADD"/>
    <w:rsid w:val="001C0B99"/>
    <w:rsid w:val="001C1CD5"/>
    <w:rsid w:val="001C2B46"/>
    <w:rsid w:val="001C3B31"/>
    <w:rsid w:val="001C4BD0"/>
    <w:rsid w:val="001C4F02"/>
    <w:rsid w:val="001C51AD"/>
    <w:rsid w:val="001C5A48"/>
    <w:rsid w:val="001C666A"/>
    <w:rsid w:val="001C6C61"/>
    <w:rsid w:val="001C78BA"/>
    <w:rsid w:val="001D0529"/>
    <w:rsid w:val="001D0F5D"/>
    <w:rsid w:val="001D1872"/>
    <w:rsid w:val="001D19CB"/>
    <w:rsid w:val="001D2819"/>
    <w:rsid w:val="001D2EE0"/>
    <w:rsid w:val="001D3E88"/>
    <w:rsid w:val="001D6A7A"/>
    <w:rsid w:val="001E0230"/>
    <w:rsid w:val="001E07BF"/>
    <w:rsid w:val="001E1930"/>
    <w:rsid w:val="001E39DD"/>
    <w:rsid w:val="001E3EF1"/>
    <w:rsid w:val="001E45D3"/>
    <w:rsid w:val="001E477E"/>
    <w:rsid w:val="001E4D56"/>
    <w:rsid w:val="001E5EB9"/>
    <w:rsid w:val="001E6391"/>
    <w:rsid w:val="001F04FF"/>
    <w:rsid w:val="001F293C"/>
    <w:rsid w:val="001F3CEC"/>
    <w:rsid w:val="001F567D"/>
    <w:rsid w:val="001F5D4B"/>
    <w:rsid w:val="001F7480"/>
    <w:rsid w:val="001F7686"/>
    <w:rsid w:val="001F7B4E"/>
    <w:rsid w:val="001F7CC6"/>
    <w:rsid w:val="00200607"/>
    <w:rsid w:val="002011E0"/>
    <w:rsid w:val="0020218D"/>
    <w:rsid w:val="00202F81"/>
    <w:rsid w:val="00204284"/>
    <w:rsid w:val="00206099"/>
    <w:rsid w:val="0020740C"/>
    <w:rsid w:val="0021069B"/>
    <w:rsid w:val="00210A6A"/>
    <w:rsid w:val="00210EA2"/>
    <w:rsid w:val="002112AF"/>
    <w:rsid w:val="002123B5"/>
    <w:rsid w:val="00212E6F"/>
    <w:rsid w:val="00214015"/>
    <w:rsid w:val="0021402B"/>
    <w:rsid w:val="002145E7"/>
    <w:rsid w:val="00215BE3"/>
    <w:rsid w:val="00220429"/>
    <w:rsid w:val="00220638"/>
    <w:rsid w:val="00221165"/>
    <w:rsid w:val="002211B7"/>
    <w:rsid w:val="002218FB"/>
    <w:rsid w:val="002226ED"/>
    <w:rsid w:val="00222E8B"/>
    <w:rsid w:val="00222FD4"/>
    <w:rsid w:val="00223256"/>
    <w:rsid w:val="00223547"/>
    <w:rsid w:val="002243C7"/>
    <w:rsid w:val="002243FA"/>
    <w:rsid w:val="00225DA0"/>
    <w:rsid w:val="00226167"/>
    <w:rsid w:val="00226177"/>
    <w:rsid w:val="00226B6D"/>
    <w:rsid w:val="002300E3"/>
    <w:rsid w:val="00231E5E"/>
    <w:rsid w:val="0023229C"/>
    <w:rsid w:val="0023321A"/>
    <w:rsid w:val="00234435"/>
    <w:rsid w:val="00234816"/>
    <w:rsid w:val="002366C2"/>
    <w:rsid w:val="00241D95"/>
    <w:rsid w:val="002423A1"/>
    <w:rsid w:val="00244353"/>
    <w:rsid w:val="00244B4C"/>
    <w:rsid w:val="00244C03"/>
    <w:rsid w:val="00244D2F"/>
    <w:rsid w:val="002454FB"/>
    <w:rsid w:val="00246D7D"/>
    <w:rsid w:val="00247507"/>
    <w:rsid w:val="00247AB3"/>
    <w:rsid w:val="00247B2F"/>
    <w:rsid w:val="0025027C"/>
    <w:rsid w:val="0025046B"/>
    <w:rsid w:val="00250FA4"/>
    <w:rsid w:val="002512B4"/>
    <w:rsid w:val="00253055"/>
    <w:rsid w:val="00253776"/>
    <w:rsid w:val="00253D3D"/>
    <w:rsid w:val="00254A1F"/>
    <w:rsid w:val="00254F58"/>
    <w:rsid w:val="0025550F"/>
    <w:rsid w:val="00256801"/>
    <w:rsid w:val="00257200"/>
    <w:rsid w:val="0025728F"/>
    <w:rsid w:val="00257F37"/>
    <w:rsid w:val="00260CF7"/>
    <w:rsid w:val="00260DFB"/>
    <w:rsid w:val="002612BC"/>
    <w:rsid w:val="002633D9"/>
    <w:rsid w:val="0026430E"/>
    <w:rsid w:val="00264B00"/>
    <w:rsid w:val="00266083"/>
    <w:rsid w:val="002668B6"/>
    <w:rsid w:val="00266AD9"/>
    <w:rsid w:val="00267851"/>
    <w:rsid w:val="0026798B"/>
    <w:rsid w:val="00267FBD"/>
    <w:rsid w:val="00270206"/>
    <w:rsid w:val="0027072C"/>
    <w:rsid w:val="00271B1B"/>
    <w:rsid w:val="00271B3D"/>
    <w:rsid w:val="002724D4"/>
    <w:rsid w:val="00272B70"/>
    <w:rsid w:val="002730C7"/>
    <w:rsid w:val="00274265"/>
    <w:rsid w:val="00275405"/>
    <w:rsid w:val="0027713B"/>
    <w:rsid w:val="00281777"/>
    <w:rsid w:val="00281818"/>
    <w:rsid w:val="00283BE3"/>
    <w:rsid w:val="0028525A"/>
    <w:rsid w:val="002860BC"/>
    <w:rsid w:val="00286685"/>
    <w:rsid w:val="002869C7"/>
    <w:rsid w:val="0028788A"/>
    <w:rsid w:val="00287920"/>
    <w:rsid w:val="002916B8"/>
    <w:rsid w:val="002919DA"/>
    <w:rsid w:val="0029247E"/>
    <w:rsid w:val="002931D6"/>
    <w:rsid w:val="00293E3D"/>
    <w:rsid w:val="002942B2"/>
    <w:rsid w:val="0029471A"/>
    <w:rsid w:val="00295BB9"/>
    <w:rsid w:val="002963E6"/>
    <w:rsid w:val="00296FC0"/>
    <w:rsid w:val="00297EA6"/>
    <w:rsid w:val="002A15DA"/>
    <w:rsid w:val="002A2130"/>
    <w:rsid w:val="002A2E26"/>
    <w:rsid w:val="002A4BF9"/>
    <w:rsid w:val="002A5165"/>
    <w:rsid w:val="002A5C09"/>
    <w:rsid w:val="002B0961"/>
    <w:rsid w:val="002B282A"/>
    <w:rsid w:val="002B2BBA"/>
    <w:rsid w:val="002B45E8"/>
    <w:rsid w:val="002B5ADF"/>
    <w:rsid w:val="002B67D4"/>
    <w:rsid w:val="002B6891"/>
    <w:rsid w:val="002B6BA2"/>
    <w:rsid w:val="002B77F4"/>
    <w:rsid w:val="002B798F"/>
    <w:rsid w:val="002C189A"/>
    <w:rsid w:val="002C3A5B"/>
    <w:rsid w:val="002C4531"/>
    <w:rsid w:val="002C543D"/>
    <w:rsid w:val="002C6060"/>
    <w:rsid w:val="002C6359"/>
    <w:rsid w:val="002C6D69"/>
    <w:rsid w:val="002C7019"/>
    <w:rsid w:val="002C775A"/>
    <w:rsid w:val="002D08FB"/>
    <w:rsid w:val="002D0A5A"/>
    <w:rsid w:val="002D0D87"/>
    <w:rsid w:val="002D0DBA"/>
    <w:rsid w:val="002D265E"/>
    <w:rsid w:val="002D288A"/>
    <w:rsid w:val="002D3552"/>
    <w:rsid w:val="002D39D5"/>
    <w:rsid w:val="002D42BE"/>
    <w:rsid w:val="002D438A"/>
    <w:rsid w:val="002D560D"/>
    <w:rsid w:val="002D5B46"/>
    <w:rsid w:val="002D6FF6"/>
    <w:rsid w:val="002D77A9"/>
    <w:rsid w:val="002E1770"/>
    <w:rsid w:val="002E3590"/>
    <w:rsid w:val="002E44ED"/>
    <w:rsid w:val="002E6CBC"/>
    <w:rsid w:val="002E730F"/>
    <w:rsid w:val="002E77FA"/>
    <w:rsid w:val="002E7E1F"/>
    <w:rsid w:val="002F1699"/>
    <w:rsid w:val="002F1BDA"/>
    <w:rsid w:val="002F2190"/>
    <w:rsid w:val="002F2745"/>
    <w:rsid w:val="002F2B8E"/>
    <w:rsid w:val="002F3764"/>
    <w:rsid w:val="002F41A8"/>
    <w:rsid w:val="002F58C7"/>
    <w:rsid w:val="002F5D8A"/>
    <w:rsid w:val="002F666D"/>
    <w:rsid w:val="002F7372"/>
    <w:rsid w:val="00300832"/>
    <w:rsid w:val="00301A72"/>
    <w:rsid w:val="003042D9"/>
    <w:rsid w:val="00304DB3"/>
    <w:rsid w:val="003057CA"/>
    <w:rsid w:val="00306561"/>
    <w:rsid w:val="00307647"/>
    <w:rsid w:val="00307F5D"/>
    <w:rsid w:val="00310688"/>
    <w:rsid w:val="003127C8"/>
    <w:rsid w:val="00312A57"/>
    <w:rsid w:val="00314821"/>
    <w:rsid w:val="00315044"/>
    <w:rsid w:val="003163C3"/>
    <w:rsid w:val="0031715B"/>
    <w:rsid w:val="00320703"/>
    <w:rsid w:val="00320FC5"/>
    <w:rsid w:val="003213E5"/>
    <w:rsid w:val="00321CFF"/>
    <w:rsid w:val="0032254D"/>
    <w:rsid w:val="00322942"/>
    <w:rsid w:val="00323B83"/>
    <w:rsid w:val="003244AC"/>
    <w:rsid w:val="003251DF"/>
    <w:rsid w:val="00325318"/>
    <w:rsid w:val="0032532C"/>
    <w:rsid w:val="00325486"/>
    <w:rsid w:val="00326C57"/>
    <w:rsid w:val="00326CD5"/>
    <w:rsid w:val="003271E6"/>
    <w:rsid w:val="00327F9F"/>
    <w:rsid w:val="0033060E"/>
    <w:rsid w:val="00330794"/>
    <w:rsid w:val="00332341"/>
    <w:rsid w:val="0033249D"/>
    <w:rsid w:val="00333CEC"/>
    <w:rsid w:val="00333E4C"/>
    <w:rsid w:val="00334344"/>
    <w:rsid w:val="00334F83"/>
    <w:rsid w:val="00336057"/>
    <w:rsid w:val="003364D1"/>
    <w:rsid w:val="003365A8"/>
    <w:rsid w:val="00337244"/>
    <w:rsid w:val="003373E4"/>
    <w:rsid w:val="00337743"/>
    <w:rsid w:val="003378F7"/>
    <w:rsid w:val="00337B18"/>
    <w:rsid w:val="00340C55"/>
    <w:rsid w:val="00341C02"/>
    <w:rsid w:val="00344339"/>
    <w:rsid w:val="0034475D"/>
    <w:rsid w:val="00344D9C"/>
    <w:rsid w:val="003455F5"/>
    <w:rsid w:val="003456D8"/>
    <w:rsid w:val="003469EC"/>
    <w:rsid w:val="003472D4"/>
    <w:rsid w:val="00347466"/>
    <w:rsid w:val="00347BE5"/>
    <w:rsid w:val="003503E8"/>
    <w:rsid w:val="003510C7"/>
    <w:rsid w:val="00351CEC"/>
    <w:rsid w:val="00352131"/>
    <w:rsid w:val="003524FD"/>
    <w:rsid w:val="003558E5"/>
    <w:rsid w:val="00355F99"/>
    <w:rsid w:val="00356514"/>
    <w:rsid w:val="003565E7"/>
    <w:rsid w:val="003565F6"/>
    <w:rsid w:val="003573C2"/>
    <w:rsid w:val="003578F2"/>
    <w:rsid w:val="00360FF1"/>
    <w:rsid w:val="00361EDE"/>
    <w:rsid w:val="00361F97"/>
    <w:rsid w:val="00362BE2"/>
    <w:rsid w:val="00363D81"/>
    <w:rsid w:val="00363F37"/>
    <w:rsid w:val="0036408D"/>
    <w:rsid w:val="00364EE3"/>
    <w:rsid w:val="00365086"/>
    <w:rsid w:val="003666D4"/>
    <w:rsid w:val="00367ABA"/>
    <w:rsid w:val="00372394"/>
    <w:rsid w:val="003729BF"/>
    <w:rsid w:val="003748AD"/>
    <w:rsid w:val="00374BAC"/>
    <w:rsid w:val="00375894"/>
    <w:rsid w:val="003768A3"/>
    <w:rsid w:val="003768A4"/>
    <w:rsid w:val="0037691C"/>
    <w:rsid w:val="00377D74"/>
    <w:rsid w:val="00377F15"/>
    <w:rsid w:val="0038187E"/>
    <w:rsid w:val="00383851"/>
    <w:rsid w:val="00384300"/>
    <w:rsid w:val="00384F71"/>
    <w:rsid w:val="00385F04"/>
    <w:rsid w:val="00385F43"/>
    <w:rsid w:val="00386007"/>
    <w:rsid w:val="00386F1E"/>
    <w:rsid w:val="00387DB6"/>
    <w:rsid w:val="00387F74"/>
    <w:rsid w:val="003906C3"/>
    <w:rsid w:val="00391704"/>
    <w:rsid w:val="00391785"/>
    <w:rsid w:val="00391C3B"/>
    <w:rsid w:val="0039249E"/>
    <w:rsid w:val="00392CE6"/>
    <w:rsid w:val="003936E0"/>
    <w:rsid w:val="00394957"/>
    <w:rsid w:val="0039605F"/>
    <w:rsid w:val="0039612F"/>
    <w:rsid w:val="003967C4"/>
    <w:rsid w:val="00397E29"/>
    <w:rsid w:val="003A033D"/>
    <w:rsid w:val="003A0852"/>
    <w:rsid w:val="003A0B2C"/>
    <w:rsid w:val="003A0D3B"/>
    <w:rsid w:val="003A2D9B"/>
    <w:rsid w:val="003A2E02"/>
    <w:rsid w:val="003A3033"/>
    <w:rsid w:val="003A4AFD"/>
    <w:rsid w:val="003A575C"/>
    <w:rsid w:val="003A73BF"/>
    <w:rsid w:val="003A7C3E"/>
    <w:rsid w:val="003B0298"/>
    <w:rsid w:val="003B08A9"/>
    <w:rsid w:val="003B0CA9"/>
    <w:rsid w:val="003B13C2"/>
    <w:rsid w:val="003B1740"/>
    <w:rsid w:val="003B1862"/>
    <w:rsid w:val="003B1C73"/>
    <w:rsid w:val="003B1F60"/>
    <w:rsid w:val="003B2827"/>
    <w:rsid w:val="003B40F2"/>
    <w:rsid w:val="003B458E"/>
    <w:rsid w:val="003B4BF0"/>
    <w:rsid w:val="003B4D36"/>
    <w:rsid w:val="003B5696"/>
    <w:rsid w:val="003B56A6"/>
    <w:rsid w:val="003B5EA9"/>
    <w:rsid w:val="003B6C28"/>
    <w:rsid w:val="003B7BBE"/>
    <w:rsid w:val="003B7C0D"/>
    <w:rsid w:val="003C0D62"/>
    <w:rsid w:val="003C1187"/>
    <w:rsid w:val="003C2AFE"/>
    <w:rsid w:val="003C2B67"/>
    <w:rsid w:val="003C702A"/>
    <w:rsid w:val="003C73EC"/>
    <w:rsid w:val="003D098B"/>
    <w:rsid w:val="003D1399"/>
    <w:rsid w:val="003D1478"/>
    <w:rsid w:val="003D16D2"/>
    <w:rsid w:val="003D1F5F"/>
    <w:rsid w:val="003D2A6D"/>
    <w:rsid w:val="003D2F64"/>
    <w:rsid w:val="003D304D"/>
    <w:rsid w:val="003D3439"/>
    <w:rsid w:val="003D43AE"/>
    <w:rsid w:val="003D4CD2"/>
    <w:rsid w:val="003D6A74"/>
    <w:rsid w:val="003D78FF"/>
    <w:rsid w:val="003E25DE"/>
    <w:rsid w:val="003E2AE0"/>
    <w:rsid w:val="003E308E"/>
    <w:rsid w:val="003E3E73"/>
    <w:rsid w:val="003E3F16"/>
    <w:rsid w:val="003E63A9"/>
    <w:rsid w:val="003E6653"/>
    <w:rsid w:val="003E6799"/>
    <w:rsid w:val="003E75A6"/>
    <w:rsid w:val="003E794D"/>
    <w:rsid w:val="003F1653"/>
    <w:rsid w:val="003F16E2"/>
    <w:rsid w:val="003F4D22"/>
    <w:rsid w:val="003F5A82"/>
    <w:rsid w:val="003F6A58"/>
    <w:rsid w:val="003F6D08"/>
    <w:rsid w:val="003F7B15"/>
    <w:rsid w:val="003F7F76"/>
    <w:rsid w:val="00400AA3"/>
    <w:rsid w:val="00401AAE"/>
    <w:rsid w:val="00401D78"/>
    <w:rsid w:val="00402D91"/>
    <w:rsid w:val="004030C8"/>
    <w:rsid w:val="00403EDD"/>
    <w:rsid w:val="004048DB"/>
    <w:rsid w:val="00404CDD"/>
    <w:rsid w:val="00404E3E"/>
    <w:rsid w:val="00405D13"/>
    <w:rsid w:val="00405D34"/>
    <w:rsid w:val="00406875"/>
    <w:rsid w:val="00406BB0"/>
    <w:rsid w:val="00407BD1"/>
    <w:rsid w:val="00407C6F"/>
    <w:rsid w:val="00407CD8"/>
    <w:rsid w:val="00407FE3"/>
    <w:rsid w:val="00410180"/>
    <w:rsid w:val="00411CDD"/>
    <w:rsid w:val="00412EA4"/>
    <w:rsid w:val="00412EE4"/>
    <w:rsid w:val="00413261"/>
    <w:rsid w:val="004138C9"/>
    <w:rsid w:val="004156C5"/>
    <w:rsid w:val="00415769"/>
    <w:rsid w:val="00417FF5"/>
    <w:rsid w:val="0042045A"/>
    <w:rsid w:val="00420755"/>
    <w:rsid w:val="00420DAB"/>
    <w:rsid w:val="00421883"/>
    <w:rsid w:val="00421B64"/>
    <w:rsid w:val="004232FA"/>
    <w:rsid w:val="0042356D"/>
    <w:rsid w:val="004238AB"/>
    <w:rsid w:val="00423BC7"/>
    <w:rsid w:val="00425C33"/>
    <w:rsid w:val="004266AF"/>
    <w:rsid w:val="00426A74"/>
    <w:rsid w:val="00426DE0"/>
    <w:rsid w:val="00427401"/>
    <w:rsid w:val="00430BB3"/>
    <w:rsid w:val="00430ED4"/>
    <w:rsid w:val="00431DC4"/>
    <w:rsid w:val="00432202"/>
    <w:rsid w:val="00432DDE"/>
    <w:rsid w:val="00432F9F"/>
    <w:rsid w:val="00433A98"/>
    <w:rsid w:val="004341C1"/>
    <w:rsid w:val="0043439F"/>
    <w:rsid w:val="00434B1C"/>
    <w:rsid w:val="00434B52"/>
    <w:rsid w:val="00435423"/>
    <w:rsid w:val="0043546C"/>
    <w:rsid w:val="00435552"/>
    <w:rsid w:val="00435970"/>
    <w:rsid w:val="00435F46"/>
    <w:rsid w:val="0043622D"/>
    <w:rsid w:val="004362B0"/>
    <w:rsid w:val="00437AB9"/>
    <w:rsid w:val="00437D0F"/>
    <w:rsid w:val="00440BAE"/>
    <w:rsid w:val="00440E56"/>
    <w:rsid w:val="00440E64"/>
    <w:rsid w:val="004413A3"/>
    <w:rsid w:val="0044181F"/>
    <w:rsid w:val="0044183D"/>
    <w:rsid w:val="0044254B"/>
    <w:rsid w:val="0044255F"/>
    <w:rsid w:val="00443A93"/>
    <w:rsid w:val="00444EFC"/>
    <w:rsid w:val="00444FFC"/>
    <w:rsid w:val="00446429"/>
    <w:rsid w:val="00447260"/>
    <w:rsid w:val="004473BA"/>
    <w:rsid w:val="004516C0"/>
    <w:rsid w:val="00452312"/>
    <w:rsid w:val="00453EB3"/>
    <w:rsid w:val="004567F4"/>
    <w:rsid w:val="00456AA2"/>
    <w:rsid w:val="004602E2"/>
    <w:rsid w:val="004606C2"/>
    <w:rsid w:val="004615A3"/>
    <w:rsid w:val="004615B4"/>
    <w:rsid w:val="004621EE"/>
    <w:rsid w:val="00463C0A"/>
    <w:rsid w:val="00464B29"/>
    <w:rsid w:val="00464D7E"/>
    <w:rsid w:val="00465F37"/>
    <w:rsid w:val="004663F2"/>
    <w:rsid w:val="00466676"/>
    <w:rsid w:val="00466D58"/>
    <w:rsid w:val="00467558"/>
    <w:rsid w:val="004675CC"/>
    <w:rsid w:val="00467A2D"/>
    <w:rsid w:val="004710C2"/>
    <w:rsid w:val="00471709"/>
    <w:rsid w:val="00471D7C"/>
    <w:rsid w:val="00472064"/>
    <w:rsid w:val="0047218F"/>
    <w:rsid w:val="004728BF"/>
    <w:rsid w:val="00472C0A"/>
    <w:rsid w:val="00472EA5"/>
    <w:rsid w:val="00474A65"/>
    <w:rsid w:val="004750D0"/>
    <w:rsid w:val="004758C1"/>
    <w:rsid w:val="00475940"/>
    <w:rsid w:val="00475A18"/>
    <w:rsid w:val="00476381"/>
    <w:rsid w:val="00476485"/>
    <w:rsid w:val="00476C9F"/>
    <w:rsid w:val="00481897"/>
    <w:rsid w:val="00482ACF"/>
    <w:rsid w:val="004833B7"/>
    <w:rsid w:val="00483555"/>
    <w:rsid w:val="00483FF2"/>
    <w:rsid w:val="00485181"/>
    <w:rsid w:val="00490492"/>
    <w:rsid w:val="004916AC"/>
    <w:rsid w:val="0049363B"/>
    <w:rsid w:val="004944B2"/>
    <w:rsid w:val="00494552"/>
    <w:rsid w:val="00495CF6"/>
    <w:rsid w:val="00497343"/>
    <w:rsid w:val="00497762"/>
    <w:rsid w:val="004A0502"/>
    <w:rsid w:val="004A0821"/>
    <w:rsid w:val="004A1214"/>
    <w:rsid w:val="004A1D37"/>
    <w:rsid w:val="004A269D"/>
    <w:rsid w:val="004A3DB1"/>
    <w:rsid w:val="004A3E2F"/>
    <w:rsid w:val="004A3EAA"/>
    <w:rsid w:val="004A450C"/>
    <w:rsid w:val="004A45EC"/>
    <w:rsid w:val="004A4F6E"/>
    <w:rsid w:val="004A6CBC"/>
    <w:rsid w:val="004B312B"/>
    <w:rsid w:val="004B3156"/>
    <w:rsid w:val="004B3A86"/>
    <w:rsid w:val="004B44FD"/>
    <w:rsid w:val="004B4658"/>
    <w:rsid w:val="004B5321"/>
    <w:rsid w:val="004B5CC9"/>
    <w:rsid w:val="004B5EC4"/>
    <w:rsid w:val="004B5F5F"/>
    <w:rsid w:val="004B6F97"/>
    <w:rsid w:val="004C0233"/>
    <w:rsid w:val="004C18DD"/>
    <w:rsid w:val="004C35E3"/>
    <w:rsid w:val="004C3A55"/>
    <w:rsid w:val="004C6123"/>
    <w:rsid w:val="004C69E1"/>
    <w:rsid w:val="004C7A06"/>
    <w:rsid w:val="004D12BD"/>
    <w:rsid w:val="004D1E60"/>
    <w:rsid w:val="004D2796"/>
    <w:rsid w:val="004D2C6F"/>
    <w:rsid w:val="004D2CF2"/>
    <w:rsid w:val="004D454D"/>
    <w:rsid w:val="004D464A"/>
    <w:rsid w:val="004D62AA"/>
    <w:rsid w:val="004D6B61"/>
    <w:rsid w:val="004D76BF"/>
    <w:rsid w:val="004D772B"/>
    <w:rsid w:val="004D7987"/>
    <w:rsid w:val="004D7E2A"/>
    <w:rsid w:val="004E0003"/>
    <w:rsid w:val="004E09C0"/>
    <w:rsid w:val="004E167E"/>
    <w:rsid w:val="004E18BA"/>
    <w:rsid w:val="004E2967"/>
    <w:rsid w:val="004E2E94"/>
    <w:rsid w:val="004E3264"/>
    <w:rsid w:val="004E3C1D"/>
    <w:rsid w:val="004E3C41"/>
    <w:rsid w:val="004E57BD"/>
    <w:rsid w:val="004E5B20"/>
    <w:rsid w:val="004E7B83"/>
    <w:rsid w:val="004F10FC"/>
    <w:rsid w:val="004F1E7B"/>
    <w:rsid w:val="004F4ED1"/>
    <w:rsid w:val="004F50D2"/>
    <w:rsid w:val="004F51B6"/>
    <w:rsid w:val="004F5805"/>
    <w:rsid w:val="004F6555"/>
    <w:rsid w:val="004F7B63"/>
    <w:rsid w:val="004F7D8E"/>
    <w:rsid w:val="00501236"/>
    <w:rsid w:val="00502A0C"/>
    <w:rsid w:val="00503354"/>
    <w:rsid w:val="00503DA7"/>
    <w:rsid w:val="0050429B"/>
    <w:rsid w:val="005042E0"/>
    <w:rsid w:val="00504E77"/>
    <w:rsid w:val="005065DD"/>
    <w:rsid w:val="00506641"/>
    <w:rsid w:val="005069F5"/>
    <w:rsid w:val="00506D07"/>
    <w:rsid w:val="00507E0F"/>
    <w:rsid w:val="005101C1"/>
    <w:rsid w:val="005112D7"/>
    <w:rsid w:val="00511B5E"/>
    <w:rsid w:val="005127B2"/>
    <w:rsid w:val="0051280D"/>
    <w:rsid w:val="00512DE4"/>
    <w:rsid w:val="005133D8"/>
    <w:rsid w:val="00513A4F"/>
    <w:rsid w:val="00515D82"/>
    <w:rsid w:val="00516762"/>
    <w:rsid w:val="005170F3"/>
    <w:rsid w:val="00517D19"/>
    <w:rsid w:val="005226FC"/>
    <w:rsid w:val="00522AC9"/>
    <w:rsid w:val="005230CE"/>
    <w:rsid w:val="0052371A"/>
    <w:rsid w:val="005237F8"/>
    <w:rsid w:val="00523C79"/>
    <w:rsid w:val="00524D62"/>
    <w:rsid w:val="005252D5"/>
    <w:rsid w:val="00525E2B"/>
    <w:rsid w:val="00526070"/>
    <w:rsid w:val="00526C42"/>
    <w:rsid w:val="00527486"/>
    <w:rsid w:val="00527683"/>
    <w:rsid w:val="005276AC"/>
    <w:rsid w:val="00527F74"/>
    <w:rsid w:val="0053002A"/>
    <w:rsid w:val="00531327"/>
    <w:rsid w:val="00531E86"/>
    <w:rsid w:val="00532601"/>
    <w:rsid w:val="00532C00"/>
    <w:rsid w:val="00533069"/>
    <w:rsid w:val="00533810"/>
    <w:rsid w:val="00533BB9"/>
    <w:rsid w:val="00534836"/>
    <w:rsid w:val="00535290"/>
    <w:rsid w:val="00535721"/>
    <w:rsid w:val="00535B7F"/>
    <w:rsid w:val="0054056D"/>
    <w:rsid w:val="00540699"/>
    <w:rsid w:val="0054299B"/>
    <w:rsid w:val="00543BBE"/>
    <w:rsid w:val="00544C10"/>
    <w:rsid w:val="00545658"/>
    <w:rsid w:val="00545A63"/>
    <w:rsid w:val="00545F0D"/>
    <w:rsid w:val="00546A9A"/>
    <w:rsid w:val="00546B04"/>
    <w:rsid w:val="005472FD"/>
    <w:rsid w:val="00547C3D"/>
    <w:rsid w:val="00550190"/>
    <w:rsid w:val="00550D85"/>
    <w:rsid w:val="0055271F"/>
    <w:rsid w:val="00552C65"/>
    <w:rsid w:val="00554476"/>
    <w:rsid w:val="00554481"/>
    <w:rsid w:val="00554DEC"/>
    <w:rsid w:val="005552B0"/>
    <w:rsid w:val="00555833"/>
    <w:rsid w:val="00555B2F"/>
    <w:rsid w:val="00556669"/>
    <w:rsid w:val="00556E08"/>
    <w:rsid w:val="0056001B"/>
    <w:rsid w:val="00560AE2"/>
    <w:rsid w:val="00562922"/>
    <w:rsid w:val="00563754"/>
    <w:rsid w:val="00564024"/>
    <w:rsid w:val="0056444C"/>
    <w:rsid w:val="0056452E"/>
    <w:rsid w:val="00564984"/>
    <w:rsid w:val="00564CC8"/>
    <w:rsid w:val="0056615F"/>
    <w:rsid w:val="00567270"/>
    <w:rsid w:val="0056756E"/>
    <w:rsid w:val="00567FAD"/>
    <w:rsid w:val="005735B6"/>
    <w:rsid w:val="00574968"/>
    <w:rsid w:val="00576B8D"/>
    <w:rsid w:val="0057749E"/>
    <w:rsid w:val="005818BC"/>
    <w:rsid w:val="005822E4"/>
    <w:rsid w:val="00582855"/>
    <w:rsid w:val="005843D6"/>
    <w:rsid w:val="00584587"/>
    <w:rsid w:val="00584AEA"/>
    <w:rsid w:val="00584D43"/>
    <w:rsid w:val="005859AE"/>
    <w:rsid w:val="00585BFC"/>
    <w:rsid w:val="0058672E"/>
    <w:rsid w:val="0058678C"/>
    <w:rsid w:val="00586955"/>
    <w:rsid w:val="00586C31"/>
    <w:rsid w:val="0058739C"/>
    <w:rsid w:val="0058750C"/>
    <w:rsid w:val="005875A7"/>
    <w:rsid w:val="005879C8"/>
    <w:rsid w:val="00587BC9"/>
    <w:rsid w:val="005915DA"/>
    <w:rsid w:val="00591E79"/>
    <w:rsid w:val="005926B9"/>
    <w:rsid w:val="0059286B"/>
    <w:rsid w:val="00592FE0"/>
    <w:rsid w:val="00595B51"/>
    <w:rsid w:val="00595FDD"/>
    <w:rsid w:val="005965FD"/>
    <w:rsid w:val="005A2243"/>
    <w:rsid w:val="005A2F5D"/>
    <w:rsid w:val="005A3D7F"/>
    <w:rsid w:val="005A4150"/>
    <w:rsid w:val="005A4477"/>
    <w:rsid w:val="005A56D8"/>
    <w:rsid w:val="005A6538"/>
    <w:rsid w:val="005A70B7"/>
    <w:rsid w:val="005B0AA6"/>
    <w:rsid w:val="005B0B03"/>
    <w:rsid w:val="005B1363"/>
    <w:rsid w:val="005B1A60"/>
    <w:rsid w:val="005B1B66"/>
    <w:rsid w:val="005B1E23"/>
    <w:rsid w:val="005B329F"/>
    <w:rsid w:val="005B33F1"/>
    <w:rsid w:val="005B4225"/>
    <w:rsid w:val="005B4E80"/>
    <w:rsid w:val="005B6707"/>
    <w:rsid w:val="005B7B13"/>
    <w:rsid w:val="005C016C"/>
    <w:rsid w:val="005C077A"/>
    <w:rsid w:val="005C183A"/>
    <w:rsid w:val="005C264A"/>
    <w:rsid w:val="005C2C9B"/>
    <w:rsid w:val="005C4FDB"/>
    <w:rsid w:val="005C5A34"/>
    <w:rsid w:val="005C74ED"/>
    <w:rsid w:val="005C7849"/>
    <w:rsid w:val="005D07C7"/>
    <w:rsid w:val="005D2776"/>
    <w:rsid w:val="005D4C1A"/>
    <w:rsid w:val="005D521E"/>
    <w:rsid w:val="005D5D48"/>
    <w:rsid w:val="005D6A19"/>
    <w:rsid w:val="005E1002"/>
    <w:rsid w:val="005E31F1"/>
    <w:rsid w:val="005E395C"/>
    <w:rsid w:val="005E3CB5"/>
    <w:rsid w:val="005E3CE0"/>
    <w:rsid w:val="005E41E8"/>
    <w:rsid w:val="005E4B35"/>
    <w:rsid w:val="005E59E5"/>
    <w:rsid w:val="005E5CB8"/>
    <w:rsid w:val="005E7388"/>
    <w:rsid w:val="005E7ABE"/>
    <w:rsid w:val="005F2CB6"/>
    <w:rsid w:val="005F2CD1"/>
    <w:rsid w:val="005F37CD"/>
    <w:rsid w:val="005F3921"/>
    <w:rsid w:val="005F68E3"/>
    <w:rsid w:val="005F7192"/>
    <w:rsid w:val="00600DC2"/>
    <w:rsid w:val="00601152"/>
    <w:rsid w:val="00601A48"/>
    <w:rsid w:val="00601DBA"/>
    <w:rsid w:val="006026E4"/>
    <w:rsid w:val="0060286D"/>
    <w:rsid w:val="00604C86"/>
    <w:rsid w:val="006061A1"/>
    <w:rsid w:val="006071D7"/>
    <w:rsid w:val="0060734C"/>
    <w:rsid w:val="00610B6D"/>
    <w:rsid w:val="00611A61"/>
    <w:rsid w:val="00614227"/>
    <w:rsid w:val="00614675"/>
    <w:rsid w:val="00614680"/>
    <w:rsid w:val="00615C9F"/>
    <w:rsid w:val="00616BD3"/>
    <w:rsid w:val="00621020"/>
    <w:rsid w:val="00621082"/>
    <w:rsid w:val="0062125D"/>
    <w:rsid w:val="00623694"/>
    <w:rsid w:val="00624295"/>
    <w:rsid w:val="006247DD"/>
    <w:rsid w:val="006251A3"/>
    <w:rsid w:val="0062541E"/>
    <w:rsid w:val="006257D0"/>
    <w:rsid w:val="00626FD1"/>
    <w:rsid w:val="00627C7C"/>
    <w:rsid w:val="00627F53"/>
    <w:rsid w:val="00630A9C"/>
    <w:rsid w:val="00631F6A"/>
    <w:rsid w:val="00632024"/>
    <w:rsid w:val="006328DA"/>
    <w:rsid w:val="00633965"/>
    <w:rsid w:val="00633E7E"/>
    <w:rsid w:val="00634176"/>
    <w:rsid w:val="0063486B"/>
    <w:rsid w:val="00637463"/>
    <w:rsid w:val="00640792"/>
    <w:rsid w:val="00640B49"/>
    <w:rsid w:val="00641EA0"/>
    <w:rsid w:val="00641FB2"/>
    <w:rsid w:val="00642062"/>
    <w:rsid w:val="006424D4"/>
    <w:rsid w:val="00645393"/>
    <w:rsid w:val="006455D0"/>
    <w:rsid w:val="00646327"/>
    <w:rsid w:val="00647062"/>
    <w:rsid w:val="006473F6"/>
    <w:rsid w:val="00647896"/>
    <w:rsid w:val="00650D62"/>
    <w:rsid w:val="00651BE7"/>
    <w:rsid w:val="00651D31"/>
    <w:rsid w:val="00651D3A"/>
    <w:rsid w:val="006527C5"/>
    <w:rsid w:val="00653252"/>
    <w:rsid w:val="006538B5"/>
    <w:rsid w:val="0065392C"/>
    <w:rsid w:val="00653DC4"/>
    <w:rsid w:val="00656165"/>
    <w:rsid w:val="00656841"/>
    <w:rsid w:val="006576FD"/>
    <w:rsid w:val="00662DDB"/>
    <w:rsid w:val="00665EBC"/>
    <w:rsid w:val="0066667A"/>
    <w:rsid w:val="00666876"/>
    <w:rsid w:val="006673A8"/>
    <w:rsid w:val="00667682"/>
    <w:rsid w:val="00667796"/>
    <w:rsid w:val="00667D52"/>
    <w:rsid w:val="006703F1"/>
    <w:rsid w:val="00671092"/>
    <w:rsid w:val="0067130D"/>
    <w:rsid w:val="00671C58"/>
    <w:rsid w:val="00671D97"/>
    <w:rsid w:val="00672B6C"/>
    <w:rsid w:val="006744C3"/>
    <w:rsid w:val="00674C23"/>
    <w:rsid w:val="006754AF"/>
    <w:rsid w:val="00677F9F"/>
    <w:rsid w:val="006807FE"/>
    <w:rsid w:val="0068265B"/>
    <w:rsid w:val="00682875"/>
    <w:rsid w:val="00683E6A"/>
    <w:rsid w:val="00685D55"/>
    <w:rsid w:val="006861F9"/>
    <w:rsid w:val="006869AA"/>
    <w:rsid w:val="006874FD"/>
    <w:rsid w:val="00687E86"/>
    <w:rsid w:val="0069139A"/>
    <w:rsid w:val="006913B4"/>
    <w:rsid w:val="00691D24"/>
    <w:rsid w:val="00691DED"/>
    <w:rsid w:val="0069297D"/>
    <w:rsid w:val="006934FF"/>
    <w:rsid w:val="006941DA"/>
    <w:rsid w:val="00694BB6"/>
    <w:rsid w:val="00695E65"/>
    <w:rsid w:val="00696BB8"/>
    <w:rsid w:val="00696EED"/>
    <w:rsid w:val="006A0277"/>
    <w:rsid w:val="006A0F5F"/>
    <w:rsid w:val="006A18BE"/>
    <w:rsid w:val="006A1D9F"/>
    <w:rsid w:val="006A211B"/>
    <w:rsid w:val="006A2AB7"/>
    <w:rsid w:val="006A2AC5"/>
    <w:rsid w:val="006A3A92"/>
    <w:rsid w:val="006A49BA"/>
    <w:rsid w:val="006A5031"/>
    <w:rsid w:val="006A5164"/>
    <w:rsid w:val="006A59E3"/>
    <w:rsid w:val="006A6598"/>
    <w:rsid w:val="006B0081"/>
    <w:rsid w:val="006B02F7"/>
    <w:rsid w:val="006B0BBB"/>
    <w:rsid w:val="006B1C82"/>
    <w:rsid w:val="006B1DF2"/>
    <w:rsid w:val="006B2392"/>
    <w:rsid w:val="006B3059"/>
    <w:rsid w:val="006B32A3"/>
    <w:rsid w:val="006B39EA"/>
    <w:rsid w:val="006B3D48"/>
    <w:rsid w:val="006B3DF6"/>
    <w:rsid w:val="006B4CB8"/>
    <w:rsid w:val="006B5080"/>
    <w:rsid w:val="006B5E49"/>
    <w:rsid w:val="006B70DA"/>
    <w:rsid w:val="006B7384"/>
    <w:rsid w:val="006C0161"/>
    <w:rsid w:val="006C2E3D"/>
    <w:rsid w:val="006C3D12"/>
    <w:rsid w:val="006C452B"/>
    <w:rsid w:val="006C4AD3"/>
    <w:rsid w:val="006C5153"/>
    <w:rsid w:val="006C529E"/>
    <w:rsid w:val="006C5448"/>
    <w:rsid w:val="006C64C9"/>
    <w:rsid w:val="006C6851"/>
    <w:rsid w:val="006C6C4D"/>
    <w:rsid w:val="006C6D11"/>
    <w:rsid w:val="006C723F"/>
    <w:rsid w:val="006C7A53"/>
    <w:rsid w:val="006D013D"/>
    <w:rsid w:val="006D044A"/>
    <w:rsid w:val="006D1A21"/>
    <w:rsid w:val="006D3278"/>
    <w:rsid w:val="006D366C"/>
    <w:rsid w:val="006D3C25"/>
    <w:rsid w:val="006D4403"/>
    <w:rsid w:val="006D454C"/>
    <w:rsid w:val="006D4E87"/>
    <w:rsid w:val="006D5398"/>
    <w:rsid w:val="006D5407"/>
    <w:rsid w:val="006D54A9"/>
    <w:rsid w:val="006D56C7"/>
    <w:rsid w:val="006D67B2"/>
    <w:rsid w:val="006D6C32"/>
    <w:rsid w:val="006E03A7"/>
    <w:rsid w:val="006E066B"/>
    <w:rsid w:val="006E2890"/>
    <w:rsid w:val="006E3B9E"/>
    <w:rsid w:val="006E418D"/>
    <w:rsid w:val="006E4930"/>
    <w:rsid w:val="006E4AED"/>
    <w:rsid w:val="006F0E4F"/>
    <w:rsid w:val="006F3034"/>
    <w:rsid w:val="006F50EC"/>
    <w:rsid w:val="006F74FD"/>
    <w:rsid w:val="006F7C1A"/>
    <w:rsid w:val="00700F4E"/>
    <w:rsid w:val="00700FA7"/>
    <w:rsid w:val="00701A81"/>
    <w:rsid w:val="007026B9"/>
    <w:rsid w:val="00703905"/>
    <w:rsid w:val="007051EF"/>
    <w:rsid w:val="00706D66"/>
    <w:rsid w:val="007073BE"/>
    <w:rsid w:val="00707C54"/>
    <w:rsid w:val="00707E26"/>
    <w:rsid w:val="007104AC"/>
    <w:rsid w:val="0071121E"/>
    <w:rsid w:val="00711300"/>
    <w:rsid w:val="007130AF"/>
    <w:rsid w:val="007130D9"/>
    <w:rsid w:val="007130EF"/>
    <w:rsid w:val="007135D3"/>
    <w:rsid w:val="00714918"/>
    <w:rsid w:val="00715EE9"/>
    <w:rsid w:val="0071683F"/>
    <w:rsid w:val="00716E0A"/>
    <w:rsid w:val="007178FB"/>
    <w:rsid w:val="00720293"/>
    <w:rsid w:val="00721025"/>
    <w:rsid w:val="007210BF"/>
    <w:rsid w:val="00721952"/>
    <w:rsid w:val="00721B22"/>
    <w:rsid w:val="007222AC"/>
    <w:rsid w:val="00722967"/>
    <w:rsid w:val="007229D1"/>
    <w:rsid w:val="00722F25"/>
    <w:rsid w:val="00723B8F"/>
    <w:rsid w:val="00723BD6"/>
    <w:rsid w:val="00724435"/>
    <w:rsid w:val="00724F96"/>
    <w:rsid w:val="00724FE5"/>
    <w:rsid w:val="00725121"/>
    <w:rsid w:val="00725648"/>
    <w:rsid w:val="007256EE"/>
    <w:rsid w:val="00725AA6"/>
    <w:rsid w:val="00727236"/>
    <w:rsid w:val="0072791A"/>
    <w:rsid w:val="007303C9"/>
    <w:rsid w:val="0073087F"/>
    <w:rsid w:val="0073143E"/>
    <w:rsid w:val="00732016"/>
    <w:rsid w:val="00733381"/>
    <w:rsid w:val="00733892"/>
    <w:rsid w:val="00733ACE"/>
    <w:rsid w:val="00734AE2"/>
    <w:rsid w:val="00734F12"/>
    <w:rsid w:val="00734F6D"/>
    <w:rsid w:val="007352A1"/>
    <w:rsid w:val="00735AC1"/>
    <w:rsid w:val="00735BB2"/>
    <w:rsid w:val="007376E5"/>
    <w:rsid w:val="007409A9"/>
    <w:rsid w:val="00743359"/>
    <w:rsid w:val="00743F7A"/>
    <w:rsid w:val="00744545"/>
    <w:rsid w:val="00744851"/>
    <w:rsid w:val="0074511E"/>
    <w:rsid w:val="00745ECB"/>
    <w:rsid w:val="00745F28"/>
    <w:rsid w:val="007479F8"/>
    <w:rsid w:val="00750018"/>
    <w:rsid w:val="0075076E"/>
    <w:rsid w:val="007508E2"/>
    <w:rsid w:val="007530F4"/>
    <w:rsid w:val="00753580"/>
    <w:rsid w:val="00753CAB"/>
    <w:rsid w:val="007545AE"/>
    <w:rsid w:val="00754676"/>
    <w:rsid w:val="00754A35"/>
    <w:rsid w:val="00754E69"/>
    <w:rsid w:val="00755048"/>
    <w:rsid w:val="00756DAA"/>
    <w:rsid w:val="00757C12"/>
    <w:rsid w:val="00760A07"/>
    <w:rsid w:val="0076145E"/>
    <w:rsid w:val="007616DA"/>
    <w:rsid w:val="00761B06"/>
    <w:rsid w:val="00762016"/>
    <w:rsid w:val="00762442"/>
    <w:rsid w:val="0076298E"/>
    <w:rsid w:val="00763084"/>
    <w:rsid w:val="00763BFE"/>
    <w:rsid w:val="0076455F"/>
    <w:rsid w:val="00765416"/>
    <w:rsid w:val="00765DD7"/>
    <w:rsid w:val="00765EC2"/>
    <w:rsid w:val="00765EDF"/>
    <w:rsid w:val="00766975"/>
    <w:rsid w:val="00767057"/>
    <w:rsid w:val="00770339"/>
    <w:rsid w:val="00771C9D"/>
    <w:rsid w:val="007754EB"/>
    <w:rsid w:val="007762AF"/>
    <w:rsid w:val="00780AFB"/>
    <w:rsid w:val="00780B1F"/>
    <w:rsid w:val="00781D86"/>
    <w:rsid w:val="007827CC"/>
    <w:rsid w:val="00782813"/>
    <w:rsid w:val="00783061"/>
    <w:rsid w:val="007834EF"/>
    <w:rsid w:val="00783C6C"/>
    <w:rsid w:val="00784EAA"/>
    <w:rsid w:val="007853A4"/>
    <w:rsid w:val="00785B11"/>
    <w:rsid w:val="00785CC9"/>
    <w:rsid w:val="00786B29"/>
    <w:rsid w:val="007871A2"/>
    <w:rsid w:val="00787A71"/>
    <w:rsid w:val="00790479"/>
    <w:rsid w:val="00790CF6"/>
    <w:rsid w:val="0079165F"/>
    <w:rsid w:val="00791862"/>
    <w:rsid w:val="007921E6"/>
    <w:rsid w:val="00792AC2"/>
    <w:rsid w:val="00794398"/>
    <w:rsid w:val="00794BC1"/>
    <w:rsid w:val="0079640B"/>
    <w:rsid w:val="00797831"/>
    <w:rsid w:val="007A0904"/>
    <w:rsid w:val="007A1EBA"/>
    <w:rsid w:val="007A2517"/>
    <w:rsid w:val="007A4862"/>
    <w:rsid w:val="007A59C2"/>
    <w:rsid w:val="007A5A20"/>
    <w:rsid w:val="007A5BC1"/>
    <w:rsid w:val="007A5D8C"/>
    <w:rsid w:val="007A6053"/>
    <w:rsid w:val="007A697D"/>
    <w:rsid w:val="007B0295"/>
    <w:rsid w:val="007B1AB0"/>
    <w:rsid w:val="007B24F7"/>
    <w:rsid w:val="007B31DA"/>
    <w:rsid w:val="007B3432"/>
    <w:rsid w:val="007B3D8C"/>
    <w:rsid w:val="007B3E85"/>
    <w:rsid w:val="007B5EA2"/>
    <w:rsid w:val="007C04AF"/>
    <w:rsid w:val="007C06C2"/>
    <w:rsid w:val="007C10D1"/>
    <w:rsid w:val="007C1F91"/>
    <w:rsid w:val="007C2886"/>
    <w:rsid w:val="007C2F66"/>
    <w:rsid w:val="007C3A77"/>
    <w:rsid w:val="007C6161"/>
    <w:rsid w:val="007C7212"/>
    <w:rsid w:val="007C7BF1"/>
    <w:rsid w:val="007D0C39"/>
    <w:rsid w:val="007D0D16"/>
    <w:rsid w:val="007D1499"/>
    <w:rsid w:val="007D1599"/>
    <w:rsid w:val="007D1D81"/>
    <w:rsid w:val="007D1E58"/>
    <w:rsid w:val="007D2080"/>
    <w:rsid w:val="007D2EB3"/>
    <w:rsid w:val="007D318F"/>
    <w:rsid w:val="007D3381"/>
    <w:rsid w:val="007D4026"/>
    <w:rsid w:val="007D4EDD"/>
    <w:rsid w:val="007D6089"/>
    <w:rsid w:val="007D64F5"/>
    <w:rsid w:val="007D7088"/>
    <w:rsid w:val="007D7D81"/>
    <w:rsid w:val="007E03CD"/>
    <w:rsid w:val="007E2D57"/>
    <w:rsid w:val="007E442D"/>
    <w:rsid w:val="007E6847"/>
    <w:rsid w:val="007E726C"/>
    <w:rsid w:val="007E7741"/>
    <w:rsid w:val="007F1652"/>
    <w:rsid w:val="007F19EB"/>
    <w:rsid w:val="007F2D13"/>
    <w:rsid w:val="007F48DF"/>
    <w:rsid w:val="007F4A1F"/>
    <w:rsid w:val="007F5E94"/>
    <w:rsid w:val="007F6AB9"/>
    <w:rsid w:val="007F6AE8"/>
    <w:rsid w:val="007F78D6"/>
    <w:rsid w:val="008006E8"/>
    <w:rsid w:val="00800738"/>
    <w:rsid w:val="00801124"/>
    <w:rsid w:val="008038FE"/>
    <w:rsid w:val="0080390F"/>
    <w:rsid w:val="00803F6B"/>
    <w:rsid w:val="0080799E"/>
    <w:rsid w:val="008101E7"/>
    <w:rsid w:val="008112F3"/>
    <w:rsid w:val="00812CFB"/>
    <w:rsid w:val="008137B0"/>
    <w:rsid w:val="00814F0F"/>
    <w:rsid w:val="008155AF"/>
    <w:rsid w:val="00815C83"/>
    <w:rsid w:val="0082171F"/>
    <w:rsid w:val="00821E8B"/>
    <w:rsid w:val="008233FD"/>
    <w:rsid w:val="00823C80"/>
    <w:rsid w:val="00823FE7"/>
    <w:rsid w:val="00824B7F"/>
    <w:rsid w:val="00826C6B"/>
    <w:rsid w:val="00827097"/>
    <w:rsid w:val="008270F8"/>
    <w:rsid w:val="008274EF"/>
    <w:rsid w:val="00827C81"/>
    <w:rsid w:val="00830FB2"/>
    <w:rsid w:val="00832014"/>
    <w:rsid w:val="00832E93"/>
    <w:rsid w:val="008335D3"/>
    <w:rsid w:val="008337CA"/>
    <w:rsid w:val="00833A21"/>
    <w:rsid w:val="00834345"/>
    <w:rsid w:val="00835364"/>
    <w:rsid w:val="0083600C"/>
    <w:rsid w:val="00836601"/>
    <w:rsid w:val="008369D4"/>
    <w:rsid w:val="00837DD3"/>
    <w:rsid w:val="008407DD"/>
    <w:rsid w:val="00841813"/>
    <w:rsid w:val="008423EE"/>
    <w:rsid w:val="00842D86"/>
    <w:rsid w:val="00843153"/>
    <w:rsid w:val="008436A8"/>
    <w:rsid w:val="00846399"/>
    <w:rsid w:val="00847005"/>
    <w:rsid w:val="008470AB"/>
    <w:rsid w:val="00850762"/>
    <w:rsid w:val="0085159E"/>
    <w:rsid w:val="00852558"/>
    <w:rsid w:val="00854482"/>
    <w:rsid w:val="008544EF"/>
    <w:rsid w:val="00855A45"/>
    <w:rsid w:val="00856EBC"/>
    <w:rsid w:val="00857F18"/>
    <w:rsid w:val="0086070F"/>
    <w:rsid w:val="0086097E"/>
    <w:rsid w:val="00861B84"/>
    <w:rsid w:val="008624E1"/>
    <w:rsid w:val="00863F48"/>
    <w:rsid w:val="0086467B"/>
    <w:rsid w:val="0086546A"/>
    <w:rsid w:val="00865FEF"/>
    <w:rsid w:val="00866736"/>
    <w:rsid w:val="00866BE0"/>
    <w:rsid w:val="008671DE"/>
    <w:rsid w:val="00867274"/>
    <w:rsid w:val="008673E7"/>
    <w:rsid w:val="008709C7"/>
    <w:rsid w:val="00871F6B"/>
    <w:rsid w:val="00872B4D"/>
    <w:rsid w:val="008730FA"/>
    <w:rsid w:val="0087393A"/>
    <w:rsid w:val="00875092"/>
    <w:rsid w:val="008759A3"/>
    <w:rsid w:val="00875B69"/>
    <w:rsid w:val="00876B52"/>
    <w:rsid w:val="00877560"/>
    <w:rsid w:val="00877924"/>
    <w:rsid w:val="008805C7"/>
    <w:rsid w:val="00880CAE"/>
    <w:rsid w:val="00881E51"/>
    <w:rsid w:val="00882802"/>
    <w:rsid w:val="00883124"/>
    <w:rsid w:val="00883358"/>
    <w:rsid w:val="008838CC"/>
    <w:rsid w:val="00884DEC"/>
    <w:rsid w:val="00885191"/>
    <w:rsid w:val="0088592F"/>
    <w:rsid w:val="00886AE9"/>
    <w:rsid w:val="00886C69"/>
    <w:rsid w:val="00886F73"/>
    <w:rsid w:val="008872C3"/>
    <w:rsid w:val="0088788F"/>
    <w:rsid w:val="0088794C"/>
    <w:rsid w:val="008879FF"/>
    <w:rsid w:val="00887FFC"/>
    <w:rsid w:val="00890314"/>
    <w:rsid w:val="0089049C"/>
    <w:rsid w:val="00891266"/>
    <w:rsid w:val="00891AEE"/>
    <w:rsid w:val="00892B21"/>
    <w:rsid w:val="0089319D"/>
    <w:rsid w:val="00895788"/>
    <w:rsid w:val="0089618C"/>
    <w:rsid w:val="008961CF"/>
    <w:rsid w:val="008963E4"/>
    <w:rsid w:val="00897531"/>
    <w:rsid w:val="008A05C6"/>
    <w:rsid w:val="008A0A3D"/>
    <w:rsid w:val="008A2ACE"/>
    <w:rsid w:val="008A3BC6"/>
    <w:rsid w:val="008A4990"/>
    <w:rsid w:val="008A4D17"/>
    <w:rsid w:val="008A56C8"/>
    <w:rsid w:val="008A63C3"/>
    <w:rsid w:val="008A7166"/>
    <w:rsid w:val="008A79FF"/>
    <w:rsid w:val="008B0E6E"/>
    <w:rsid w:val="008B104E"/>
    <w:rsid w:val="008B29EB"/>
    <w:rsid w:val="008B3093"/>
    <w:rsid w:val="008B3596"/>
    <w:rsid w:val="008B365D"/>
    <w:rsid w:val="008B41E5"/>
    <w:rsid w:val="008B6A5C"/>
    <w:rsid w:val="008C04E5"/>
    <w:rsid w:val="008C07EB"/>
    <w:rsid w:val="008C2856"/>
    <w:rsid w:val="008C3CED"/>
    <w:rsid w:val="008C3CF5"/>
    <w:rsid w:val="008C6D7E"/>
    <w:rsid w:val="008C7F83"/>
    <w:rsid w:val="008D06B5"/>
    <w:rsid w:val="008D0850"/>
    <w:rsid w:val="008D2ABF"/>
    <w:rsid w:val="008D2C20"/>
    <w:rsid w:val="008D35AA"/>
    <w:rsid w:val="008D37F8"/>
    <w:rsid w:val="008D4FF7"/>
    <w:rsid w:val="008D55B0"/>
    <w:rsid w:val="008D7343"/>
    <w:rsid w:val="008D73B2"/>
    <w:rsid w:val="008D7E67"/>
    <w:rsid w:val="008D7EC4"/>
    <w:rsid w:val="008E2045"/>
    <w:rsid w:val="008E23A2"/>
    <w:rsid w:val="008E2E30"/>
    <w:rsid w:val="008E464B"/>
    <w:rsid w:val="008E4FFA"/>
    <w:rsid w:val="008E53B8"/>
    <w:rsid w:val="008E6039"/>
    <w:rsid w:val="008E6AC7"/>
    <w:rsid w:val="008E6CED"/>
    <w:rsid w:val="008E7358"/>
    <w:rsid w:val="008E7807"/>
    <w:rsid w:val="008F06C5"/>
    <w:rsid w:val="008F0AD7"/>
    <w:rsid w:val="008F0D33"/>
    <w:rsid w:val="008F1B61"/>
    <w:rsid w:val="008F3963"/>
    <w:rsid w:val="008F3AD3"/>
    <w:rsid w:val="008F40E8"/>
    <w:rsid w:val="008F6722"/>
    <w:rsid w:val="008F6C20"/>
    <w:rsid w:val="008F73F1"/>
    <w:rsid w:val="008F7984"/>
    <w:rsid w:val="009000FC"/>
    <w:rsid w:val="0090102C"/>
    <w:rsid w:val="00901A36"/>
    <w:rsid w:val="00901A5C"/>
    <w:rsid w:val="00902291"/>
    <w:rsid w:val="0090397A"/>
    <w:rsid w:val="009053CA"/>
    <w:rsid w:val="0090561C"/>
    <w:rsid w:val="0090696F"/>
    <w:rsid w:val="00906A90"/>
    <w:rsid w:val="00906E35"/>
    <w:rsid w:val="00910537"/>
    <w:rsid w:val="00910FAD"/>
    <w:rsid w:val="00911957"/>
    <w:rsid w:val="00911CAD"/>
    <w:rsid w:val="0091405C"/>
    <w:rsid w:val="0091518B"/>
    <w:rsid w:val="0091577D"/>
    <w:rsid w:val="0091618C"/>
    <w:rsid w:val="00916B34"/>
    <w:rsid w:val="009171E6"/>
    <w:rsid w:val="009175BC"/>
    <w:rsid w:val="0092018E"/>
    <w:rsid w:val="00920340"/>
    <w:rsid w:val="009213F6"/>
    <w:rsid w:val="0092184E"/>
    <w:rsid w:val="00921B7E"/>
    <w:rsid w:val="00921BE8"/>
    <w:rsid w:val="0092205B"/>
    <w:rsid w:val="009223BF"/>
    <w:rsid w:val="00922704"/>
    <w:rsid w:val="00923013"/>
    <w:rsid w:val="0092356A"/>
    <w:rsid w:val="009240D6"/>
    <w:rsid w:val="0092491F"/>
    <w:rsid w:val="00924D49"/>
    <w:rsid w:val="009251AF"/>
    <w:rsid w:val="00925B7F"/>
    <w:rsid w:val="00926E51"/>
    <w:rsid w:val="00927BCB"/>
    <w:rsid w:val="00927F9F"/>
    <w:rsid w:val="009302C8"/>
    <w:rsid w:val="0093185B"/>
    <w:rsid w:val="00931B89"/>
    <w:rsid w:val="00931F29"/>
    <w:rsid w:val="009327B4"/>
    <w:rsid w:val="009327DF"/>
    <w:rsid w:val="00932E55"/>
    <w:rsid w:val="0093363A"/>
    <w:rsid w:val="00933684"/>
    <w:rsid w:val="00933B50"/>
    <w:rsid w:val="00934427"/>
    <w:rsid w:val="009348F3"/>
    <w:rsid w:val="00934C06"/>
    <w:rsid w:val="009351CE"/>
    <w:rsid w:val="00935DD9"/>
    <w:rsid w:val="00936552"/>
    <w:rsid w:val="00936745"/>
    <w:rsid w:val="00936A5D"/>
    <w:rsid w:val="0093782B"/>
    <w:rsid w:val="00940BF5"/>
    <w:rsid w:val="00941474"/>
    <w:rsid w:val="009417E6"/>
    <w:rsid w:val="00941F58"/>
    <w:rsid w:val="00941FF0"/>
    <w:rsid w:val="00942107"/>
    <w:rsid w:val="00942218"/>
    <w:rsid w:val="00942FEF"/>
    <w:rsid w:val="00943DCA"/>
    <w:rsid w:val="00944272"/>
    <w:rsid w:val="0094456B"/>
    <w:rsid w:val="0094612C"/>
    <w:rsid w:val="009466AF"/>
    <w:rsid w:val="00951406"/>
    <w:rsid w:val="00952C45"/>
    <w:rsid w:val="009531C5"/>
    <w:rsid w:val="00953BC4"/>
    <w:rsid w:val="00954632"/>
    <w:rsid w:val="009561FF"/>
    <w:rsid w:val="00957F0D"/>
    <w:rsid w:val="00960264"/>
    <w:rsid w:val="0096050E"/>
    <w:rsid w:val="00961C97"/>
    <w:rsid w:val="009629C6"/>
    <w:rsid w:val="00962E30"/>
    <w:rsid w:val="00963468"/>
    <w:rsid w:val="00967086"/>
    <w:rsid w:val="0097043F"/>
    <w:rsid w:val="00970D23"/>
    <w:rsid w:val="0097143E"/>
    <w:rsid w:val="009715F3"/>
    <w:rsid w:val="009728AC"/>
    <w:rsid w:val="009732F3"/>
    <w:rsid w:val="0097484B"/>
    <w:rsid w:val="00974E6C"/>
    <w:rsid w:val="00974EA6"/>
    <w:rsid w:val="009761B1"/>
    <w:rsid w:val="00980673"/>
    <w:rsid w:val="0098098F"/>
    <w:rsid w:val="00980BF5"/>
    <w:rsid w:val="00980DDA"/>
    <w:rsid w:val="00981240"/>
    <w:rsid w:val="009816FD"/>
    <w:rsid w:val="009817BA"/>
    <w:rsid w:val="009838EF"/>
    <w:rsid w:val="00983E10"/>
    <w:rsid w:val="00984443"/>
    <w:rsid w:val="009858A4"/>
    <w:rsid w:val="009864DD"/>
    <w:rsid w:val="009867B0"/>
    <w:rsid w:val="00991204"/>
    <w:rsid w:val="00991A22"/>
    <w:rsid w:val="00991B41"/>
    <w:rsid w:val="00992529"/>
    <w:rsid w:val="00994A78"/>
    <w:rsid w:val="00995525"/>
    <w:rsid w:val="009955B2"/>
    <w:rsid w:val="00996BA2"/>
    <w:rsid w:val="00996ECD"/>
    <w:rsid w:val="00997CE5"/>
    <w:rsid w:val="009A07B9"/>
    <w:rsid w:val="009A255B"/>
    <w:rsid w:val="009A2CCE"/>
    <w:rsid w:val="009A2E8D"/>
    <w:rsid w:val="009A39DC"/>
    <w:rsid w:val="009A3AC5"/>
    <w:rsid w:val="009A3F03"/>
    <w:rsid w:val="009A510F"/>
    <w:rsid w:val="009A556B"/>
    <w:rsid w:val="009A6B8C"/>
    <w:rsid w:val="009A74DC"/>
    <w:rsid w:val="009B12FB"/>
    <w:rsid w:val="009B2002"/>
    <w:rsid w:val="009B3767"/>
    <w:rsid w:val="009B4E3D"/>
    <w:rsid w:val="009B6991"/>
    <w:rsid w:val="009B6B39"/>
    <w:rsid w:val="009B6DEC"/>
    <w:rsid w:val="009C0406"/>
    <w:rsid w:val="009C12CC"/>
    <w:rsid w:val="009C2585"/>
    <w:rsid w:val="009C27B5"/>
    <w:rsid w:val="009C3947"/>
    <w:rsid w:val="009C428A"/>
    <w:rsid w:val="009C5D66"/>
    <w:rsid w:val="009C6804"/>
    <w:rsid w:val="009C6A33"/>
    <w:rsid w:val="009C75AD"/>
    <w:rsid w:val="009C786F"/>
    <w:rsid w:val="009D1628"/>
    <w:rsid w:val="009D1754"/>
    <w:rsid w:val="009D277B"/>
    <w:rsid w:val="009D44B0"/>
    <w:rsid w:val="009D4708"/>
    <w:rsid w:val="009E0AC7"/>
    <w:rsid w:val="009E15E0"/>
    <w:rsid w:val="009E1E7B"/>
    <w:rsid w:val="009E39F1"/>
    <w:rsid w:val="009E43B1"/>
    <w:rsid w:val="009E4A18"/>
    <w:rsid w:val="009E5453"/>
    <w:rsid w:val="009E54D7"/>
    <w:rsid w:val="009E5B5A"/>
    <w:rsid w:val="009E65B7"/>
    <w:rsid w:val="009E6A50"/>
    <w:rsid w:val="009E6F51"/>
    <w:rsid w:val="009F348B"/>
    <w:rsid w:val="009F3CE9"/>
    <w:rsid w:val="009F4DD0"/>
    <w:rsid w:val="009F528D"/>
    <w:rsid w:val="009F58DE"/>
    <w:rsid w:val="009F6358"/>
    <w:rsid w:val="009F6C23"/>
    <w:rsid w:val="009F715B"/>
    <w:rsid w:val="009F743C"/>
    <w:rsid w:val="009F74C8"/>
    <w:rsid w:val="009F79C3"/>
    <w:rsid w:val="009F7C93"/>
    <w:rsid w:val="00A00A07"/>
    <w:rsid w:val="00A00B18"/>
    <w:rsid w:val="00A0115D"/>
    <w:rsid w:val="00A01AE2"/>
    <w:rsid w:val="00A01EB7"/>
    <w:rsid w:val="00A031ED"/>
    <w:rsid w:val="00A0679D"/>
    <w:rsid w:val="00A0725B"/>
    <w:rsid w:val="00A07E58"/>
    <w:rsid w:val="00A109A0"/>
    <w:rsid w:val="00A11E2A"/>
    <w:rsid w:val="00A12F65"/>
    <w:rsid w:val="00A12FD1"/>
    <w:rsid w:val="00A131B8"/>
    <w:rsid w:val="00A138CA"/>
    <w:rsid w:val="00A144F5"/>
    <w:rsid w:val="00A150D7"/>
    <w:rsid w:val="00A15BF9"/>
    <w:rsid w:val="00A163CA"/>
    <w:rsid w:val="00A164CC"/>
    <w:rsid w:val="00A207E9"/>
    <w:rsid w:val="00A21B8D"/>
    <w:rsid w:val="00A21E89"/>
    <w:rsid w:val="00A23138"/>
    <w:rsid w:val="00A2331E"/>
    <w:rsid w:val="00A2351F"/>
    <w:rsid w:val="00A23E04"/>
    <w:rsid w:val="00A256CA"/>
    <w:rsid w:val="00A25AA8"/>
    <w:rsid w:val="00A25E97"/>
    <w:rsid w:val="00A266E1"/>
    <w:rsid w:val="00A26765"/>
    <w:rsid w:val="00A268BF"/>
    <w:rsid w:val="00A27A83"/>
    <w:rsid w:val="00A30A58"/>
    <w:rsid w:val="00A30A7B"/>
    <w:rsid w:val="00A313A9"/>
    <w:rsid w:val="00A32457"/>
    <w:rsid w:val="00A32D5C"/>
    <w:rsid w:val="00A3332C"/>
    <w:rsid w:val="00A33CEA"/>
    <w:rsid w:val="00A34058"/>
    <w:rsid w:val="00A345A6"/>
    <w:rsid w:val="00A34986"/>
    <w:rsid w:val="00A34A79"/>
    <w:rsid w:val="00A34C8D"/>
    <w:rsid w:val="00A356D6"/>
    <w:rsid w:val="00A35E2E"/>
    <w:rsid w:val="00A362D3"/>
    <w:rsid w:val="00A36DB8"/>
    <w:rsid w:val="00A37FE6"/>
    <w:rsid w:val="00A42330"/>
    <w:rsid w:val="00A42B2F"/>
    <w:rsid w:val="00A432F0"/>
    <w:rsid w:val="00A43B88"/>
    <w:rsid w:val="00A43D69"/>
    <w:rsid w:val="00A4459B"/>
    <w:rsid w:val="00A45244"/>
    <w:rsid w:val="00A45A05"/>
    <w:rsid w:val="00A45A12"/>
    <w:rsid w:val="00A45CB2"/>
    <w:rsid w:val="00A45EB4"/>
    <w:rsid w:val="00A463CD"/>
    <w:rsid w:val="00A46BC6"/>
    <w:rsid w:val="00A474B2"/>
    <w:rsid w:val="00A47B37"/>
    <w:rsid w:val="00A503E8"/>
    <w:rsid w:val="00A512B0"/>
    <w:rsid w:val="00A513EB"/>
    <w:rsid w:val="00A51C82"/>
    <w:rsid w:val="00A522A9"/>
    <w:rsid w:val="00A53076"/>
    <w:rsid w:val="00A53821"/>
    <w:rsid w:val="00A53952"/>
    <w:rsid w:val="00A53A90"/>
    <w:rsid w:val="00A5418F"/>
    <w:rsid w:val="00A5443C"/>
    <w:rsid w:val="00A54E35"/>
    <w:rsid w:val="00A54F0D"/>
    <w:rsid w:val="00A55306"/>
    <w:rsid w:val="00A574B9"/>
    <w:rsid w:val="00A576EC"/>
    <w:rsid w:val="00A6078B"/>
    <w:rsid w:val="00A60FBE"/>
    <w:rsid w:val="00A611E0"/>
    <w:rsid w:val="00A627E7"/>
    <w:rsid w:val="00A646BA"/>
    <w:rsid w:val="00A673F0"/>
    <w:rsid w:val="00A67515"/>
    <w:rsid w:val="00A7015B"/>
    <w:rsid w:val="00A70E7C"/>
    <w:rsid w:val="00A72CB4"/>
    <w:rsid w:val="00A72FAF"/>
    <w:rsid w:val="00A73B0B"/>
    <w:rsid w:val="00A7447E"/>
    <w:rsid w:val="00A74561"/>
    <w:rsid w:val="00A75213"/>
    <w:rsid w:val="00A75698"/>
    <w:rsid w:val="00A75844"/>
    <w:rsid w:val="00A76328"/>
    <w:rsid w:val="00A76D7E"/>
    <w:rsid w:val="00A77409"/>
    <w:rsid w:val="00A775E2"/>
    <w:rsid w:val="00A777CE"/>
    <w:rsid w:val="00A80594"/>
    <w:rsid w:val="00A80794"/>
    <w:rsid w:val="00A80A9A"/>
    <w:rsid w:val="00A810AE"/>
    <w:rsid w:val="00A81DFB"/>
    <w:rsid w:val="00A825BE"/>
    <w:rsid w:val="00A82D38"/>
    <w:rsid w:val="00A83639"/>
    <w:rsid w:val="00A83994"/>
    <w:rsid w:val="00A84475"/>
    <w:rsid w:val="00A861C1"/>
    <w:rsid w:val="00A867AB"/>
    <w:rsid w:val="00A900EF"/>
    <w:rsid w:val="00A901F0"/>
    <w:rsid w:val="00A91350"/>
    <w:rsid w:val="00A91EC3"/>
    <w:rsid w:val="00A926DF"/>
    <w:rsid w:val="00A92A91"/>
    <w:rsid w:val="00A935F2"/>
    <w:rsid w:val="00A93F24"/>
    <w:rsid w:val="00A94210"/>
    <w:rsid w:val="00A94E97"/>
    <w:rsid w:val="00A96A3C"/>
    <w:rsid w:val="00A97905"/>
    <w:rsid w:val="00AA0916"/>
    <w:rsid w:val="00AA0EB2"/>
    <w:rsid w:val="00AA1E76"/>
    <w:rsid w:val="00AA24AD"/>
    <w:rsid w:val="00AA3137"/>
    <w:rsid w:val="00AA34BC"/>
    <w:rsid w:val="00AA3DC7"/>
    <w:rsid w:val="00AA599C"/>
    <w:rsid w:val="00AA67DF"/>
    <w:rsid w:val="00AA6AB3"/>
    <w:rsid w:val="00AA7458"/>
    <w:rsid w:val="00AB070B"/>
    <w:rsid w:val="00AB0A11"/>
    <w:rsid w:val="00AB297D"/>
    <w:rsid w:val="00AB2E90"/>
    <w:rsid w:val="00AB32B3"/>
    <w:rsid w:val="00AB359B"/>
    <w:rsid w:val="00AB428F"/>
    <w:rsid w:val="00AB6CAB"/>
    <w:rsid w:val="00AB77C5"/>
    <w:rsid w:val="00AC0398"/>
    <w:rsid w:val="00AC088D"/>
    <w:rsid w:val="00AC2910"/>
    <w:rsid w:val="00AC4222"/>
    <w:rsid w:val="00AC5164"/>
    <w:rsid w:val="00AC51AA"/>
    <w:rsid w:val="00AC54FA"/>
    <w:rsid w:val="00AD018B"/>
    <w:rsid w:val="00AD0387"/>
    <w:rsid w:val="00AD1340"/>
    <w:rsid w:val="00AD2639"/>
    <w:rsid w:val="00AD2CE5"/>
    <w:rsid w:val="00AD33EC"/>
    <w:rsid w:val="00AD4591"/>
    <w:rsid w:val="00AD5C20"/>
    <w:rsid w:val="00AD5C81"/>
    <w:rsid w:val="00AD6011"/>
    <w:rsid w:val="00AD642D"/>
    <w:rsid w:val="00AD695D"/>
    <w:rsid w:val="00AD6F03"/>
    <w:rsid w:val="00AD6FFE"/>
    <w:rsid w:val="00AE0616"/>
    <w:rsid w:val="00AE0903"/>
    <w:rsid w:val="00AE1241"/>
    <w:rsid w:val="00AE18D1"/>
    <w:rsid w:val="00AE22F2"/>
    <w:rsid w:val="00AE49FB"/>
    <w:rsid w:val="00AE57C3"/>
    <w:rsid w:val="00AE762D"/>
    <w:rsid w:val="00AE7C51"/>
    <w:rsid w:val="00AF0038"/>
    <w:rsid w:val="00AF1229"/>
    <w:rsid w:val="00AF2D52"/>
    <w:rsid w:val="00AF37F7"/>
    <w:rsid w:val="00AF4E4D"/>
    <w:rsid w:val="00AF5695"/>
    <w:rsid w:val="00AF5952"/>
    <w:rsid w:val="00AF5E6E"/>
    <w:rsid w:val="00AF62F1"/>
    <w:rsid w:val="00AF65A8"/>
    <w:rsid w:val="00AF7642"/>
    <w:rsid w:val="00B00EEF"/>
    <w:rsid w:val="00B0178A"/>
    <w:rsid w:val="00B01C95"/>
    <w:rsid w:val="00B03F90"/>
    <w:rsid w:val="00B070AC"/>
    <w:rsid w:val="00B11012"/>
    <w:rsid w:val="00B11C52"/>
    <w:rsid w:val="00B12D6C"/>
    <w:rsid w:val="00B13D3A"/>
    <w:rsid w:val="00B145FD"/>
    <w:rsid w:val="00B15165"/>
    <w:rsid w:val="00B1632F"/>
    <w:rsid w:val="00B168B4"/>
    <w:rsid w:val="00B175F7"/>
    <w:rsid w:val="00B17666"/>
    <w:rsid w:val="00B17705"/>
    <w:rsid w:val="00B2070F"/>
    <w:rsid w:val="00B20A60"/>
    <w:rsid w:val="00B20BB2"/>
    <w:rsid w:val="00B212B1"/>
    <w:rsid w:val="00B21B10"/>
    <w:rsid w:val="00B23C2C"/>
    <w:rsid w:val="00B24821"/>
    <w:rsid w:val="00B25356"/>
    <w:rsid w:val="00B265B9"/>
    <w:rsid w:val="00B268FF"/>
    <w:rsid w:val="00B26D4A"/>
    <w:rsid w:val="00B307FA"/>
    <w:rsid w:val="00B30E4C"/>
    <w:rsid w:val="00B31554"/>
    <w:rsid w:val="00B322DC"/>
    <w:rsid w:val="00B32C1B"/>
    <w:rsid w:val="00B332C9"/>
    <w:rsid w:val="00B345BF"/>
    <w:rsid w:val="00B35489"/>
    <w:rsid w:val="00B367B0"/>
    <w:rsid w:val="00B36B97"/>
    <w:rsid w:val="00B375BB"/>
    <w:rsid w:val="00B40E82"/>
    <w:rsid w:val="00B418EF"/>
    <w:rsid w:val="00B421B4"/>
    <w:rsid w:val="00B4354E"/>
    <w:rsid w:val="00B4380C"/>
    <w:rsid w:val="00B46203"/>
    <w:rsid w:val="00B4671D"/>
    <w:rsid w:val="00B50FDF"/>
    <w:rsid w:val="00B51610"/>
    <w:rsid w:val="00B52961"/>
    <w:rsid w:val="00B5360E"/>
    <w:rsid w:val="00B54983"/>
    <w:rsid w:val="00B551AC"/>
    <w:rsid w:val="00B55284"/>
    <w:rsid w:val="00B573CD"/>
    <w:rsid w:val="00B57D74"/>
    <w:rsid w:val="00B634EA"/>
    <w:rsid w:val="00B63FEF"/>
    <w:rsid w:val="00B6418F"/>
    <w:rsid w:val="00B6444D"/>
    <w:rsid w:val="00B64451"/>
    <w:rsid w:val="00B64FE5"/>
    <w:rsid w:val="00B6625F"/>
    <w:rsid w:val="00B66A98"/>
    <w:rsid w:val="00B67657"/>
    <w:rsid w:val="00B70A43"/>
    <w:rsid w:val="00B70ED1"/>
    <w:rsid w:val="00B711B4"/>
    <w:rsid w:val="00B72615"/>
    <w:rsid w:val="00B72E36"/>
    <w:rsid w:val="00B741A0"/>
    <w:rsid w:val="00B762AC"/>
    <w:rsid w:val="00B76B56"/>
    <w:rsid w:val="00B76DF1"/>
    <w:rsid w:val="00B82024"/>
    <w:rsid w:val="00B82707"/>
    <w:rsid w:val="00B847DE"/>
    <w:rsid w:val="00B84CBB"/>
    <w:rsid w:val="00B85880"/>
    <w:rsid w:val="00B86C55"/>
    <w:rsid w:val="00B877C1"/>
    <w:rsid w:val="00B9376C"/>
    <w:rsid w:val="00B949FD"/>
    <w:rsid w:val="00B957C3"/>
    <w:rsid w:val="00B968BA"/>
    <w:rsid w:val="00B97491"/>
    <w:rsid w:val="00BA0035"/>
    <w:rsid w:val="00BA0672"/>
    <w:rsid w:val="00BA2027"/>
    <w:rsid w:val="00BA2866"/>
    <w:rsid w:val="00BA39E1"/>
    <w:rsid w:val="00BA3A1F"/>
    <w:rsid w:val="00BA5DCA"/>
    <w:rsid w:val="00BA686B"/>
    <w:rsid w:val="00BA6AA7"/>
    <w:rsid w:val="00BA6F06"/>
    <w:rsid w:val="00BA7222"/>
    <w:rsid w:val="00BA7B5B"/>
    <w:rsid w:val="00BA7CD0"/>
    <w:rsid w:val="00BB0506"/>
    <w:rsid w:val="00BB1100"/>
    <w:rsid w:val="00BB148A"/>
    <w:rsid w:val="00BB15C2"/>
    <w:rsid w:val="00BB2654"/>
    <w:rsid w:val="00BB33A0"/>
    <w:rsid w:val="00BB38C7"/>
    <w:rsid w:val="00BB515B"/>
    <w:rsid w:val="00BB5C6C"/>
    <w:rsid w:val="00BC0889"/>
    <w:rsid w:val="00BC0CFB"/>
    <w:rsid w:val="00BC1E76"/>
    <w:rsid w:val="00BC218D"/>
    <w:rsid w:val="00BC2C1E"/>
    <w:rsid w:val="00BC41A9"/>
    <w:rsid w:val="00BC4A83"/>
    <w:rsid w:val="00BC4EC3"/>
    <w:rsid w:val="00BC5BA8"/>
    <w:rsid w:val="00BC67E3"/>
    <w:rsid w:val="00BC743F"/>
    <w:rsid w:val="00BC76B9"/>
    <w:rsid w:val="00BC778A"/>
    <w:rsid w:val="00BC7ED2"/>
    <w:rsid w:val="00BC7EF0"/>
    <w:rsid w:val="00BD0BAF"/>
    <w:rsid w:val="00BD3024"/>
    <w:rsid w:val="00BD591E"/>
    <w:rsid w:val="00BD768B"/>
    <w:rsid w:val="00BD7F67"/>
    <w:rsid w:val="00BE1744"/>
    <w:rsid w:val="00BE176E"/>
    <w:rsid w:val="00BE24C2"/>
    <w:rsid w:val="00BE3F13"/>
    <w:rsid w:val="00BE437E"/>
    <w:rsid w:val="00BE59AB"/>
    <w:rsid w:val="00BE5C3B"/>
    <w:rsid w:val="00BE7838"/>
    <w:rsid w:val="00BF01DF"/>
    <w:rsid w:val="00BF0593"/>
    <w:rsid w:val="00BF0C1B"/>
    <w:rsid w:val="00BF0D2E"/>
    <w:rsid w:val="00BF2EC9"/>
    <w:rsid w:val="00BF407D"/>
    <w:rsid w:val="00BF4F5C"/>
    <w:rsid w:val="00BF63D3"/>
    <w:rsid w:val="00BF7897"/>
    <w:rsid w:val="00BF7F9A"/>
    <w:rsid w:val="00C00C08"/>
    <w:rsid w:val="00C02245"/>
    <w:rsid w:val="00C0269A"/>
    <w:rsid w:val="00C03088"/>
    <w:rsid w:val="00C03F3D"/>
    <w:rsid w:val="00C0505B"/>
    <w:rsid w:val="00C05208"/>
    <w:rsid w:val="00C057A9"/>
    <w:rsid w:val="00C058E6"/>
    <w:rsid w:val="00C069AD"/>
    <w:rsid w:val="00C10192"/>
    <w:rsid w:val="00C11EF5"/>
    <w:rsid w:val="00C12C1B"/>
    <w:rsid w:val="00C13493"/>
    <w:rsid w:val="00C13EEA"/>
    <w:rsid w:val="00C1469A"/>
    <w:rsid w:val="00C147EB"/>
    <w:rsid w:val="00C14B2A"/>
    <w:rsid w:val="00C15156"/>
    <w:rsid w:val="00C157B1"/>
    <w:rsid w:val="00C165E2"/>
    <w:rsid w:val="00C175CF"/>
    <w:rsid w:val="00C17B3D"/>
    <w:rsid w:val="00C202BD"/>
    <w:rsid w:val="00C20979"/>
    <w:rsid w:val="00C22EC7"/>
    <w:rsid w:val="00C23E9F"/>
    <w:rsid w:val="00C24301"/>
    <w:rsid w:val="00C244D5"/>
    <w:rsid w:val="00C24D4F"/>
    <w:rsid w:val="00C25433"/>
    <w:rsid w:val="00C254A3"/>
    <w:rsid w:val="00C269D2"/>
    <w:rsid w:val="00C27518"/>
    <w:rsid w:val="00C304A4"/>
    <w:rsid w:val="00C30FA4"/>
    <w:rsid w:val="00C31653"/>
    <w:rsid w:val="00C32A68"/>
    <w:rsid w:val="00C33939"/>
    <w:rsid w:val="00C34A0F"/>
    <w:rsid w:val="00C34C1E"/>
    <w:rsid w:val="00C34DC1"/>
    <w:rsid w:val="00C351B4"/>
    <w:rsid w:val="00C35214"/>
    <w:rsid w:val="00C3543C"/>
    <w:rsid w:val="00C3745A"/>
    <w:rsid w:val="00C37666"/>
    <w:rsid w:val="00C376B0"/>
    <w:rsid w:val="00C4110E"/>
    <w:rsid w:val="00C41C69"/>
    <w:rsid w:val="00C42E7B"/>
    <w:rsid w:val="00C4311A"/>
    <w:rsid w:val="00C45A3B"/>
    <w:rsid w:val="00C46296"/>
    <w:rsid w:val="00C472D9"/>
    <w:rsid w:val="00C4789A"/>
    <w:rsid w:val="00C51501"/>
    <w:rsid w:val="00C51666"/>
    <w:rsid w:val="00C5453B"/>
    <w:rsid w:val="00C549B2"/>
    <w:rsid w:val="00C54CB0"/>
    <w:rsid w:val="00C56064"/>
    <w:rsid w:val="00C609A3"/>
    <w:rsid w:val="00C61998"/>
    <w:rsid w:val="00C62C4A"/>
    <w:rsid w:val="00C62E2F"/>
    <w:rsid w:val="00C66082"/>
    <w:rsid w:val="00C67CEF"/>
    <w:rsid w:val="00C729F5"/>
    <w:rsid w:val="00C72C72"/>
    <w:rsid w:val="00C740E2"/>
    <w:rsid w:val="00C74178"/>
    <w:rsid w:val="00C74786"/>
    <w:rsid w:val="00C751FD"/>
    <w:rsid w:val="00C7526D"/>
    <w:rsid w:val="00C80D61"/>
    <w:rsid w:val="00C81311"/>
    <w:rsid w:val="00C81DF0"/>
    <w:rsid w:val="00C83196"/>
    <w:rsid w:val="00C83292"/>
    <w:rsid w:val="00C8336B"/>
    <w:rsid w:val="00C84EF1"/>
    <w:rsid w:val="00C8544E"/>
    <w:rsid w:val="00C85837"/>
    <w:rsid w:val="00C86685"/>
    <w:rsid w:val="00C9115F"/>
    <w:rsid w:val="00C91D19"/>
    <w:rsid w:val="00C930C3"/>
    <w:rsid w:val="00C94E9C"/>
    <w:rsid w:val="00C95267"/>
    <w:rsid w:val="00C95C0E"/>
    <w:rsid w:val="00C96DC3"/>
    <w:rsid w:val="00CA013F"/>
    <w:rsid w:val="00CA03D0"/>
    <w:rsid w:val="00CA1647"/>
    <w:rsid w:val="00CA216C"/>
    <w:rsid w:val="00CA3C15"/>
    <w:rsid w:val="00CA4A35"/>
    <w:rsid w:val="00CA58CA"/>
    <w:rsid w:val="00CA5FE2"/>
    <w:rsid w:val="00CA6539"/>
    <w:rsid w:val="00CB0839"/>
    <w:rsid w:val="00CB09E8"/>
    <w:rsid w:val="00CB140F"/>
    <w:rsid w:val="00CB1B23"/>
    <w:rsid w:val="00CB255F"/>
    <w:rsid w:val="00CB3016"/>
    <w:rsid w:val="00CB3424"/>
    <w:rsid w:val="00CB3DBA"/>
    <w:rsid w:val="00CB3EAC"/>
    <w:rsid w:val="00CB40DA"/>
    <w:rsid w:val="00CB4B53"/>
    <w:rsid w:val="00CB4F40"/>
    <w:rsid w:val="00CB517E"/>
    <w:rsid w:val="00CB5B8D"/>
    <w:rsid w:val="00CB7107"/>
    <w:rsid w:val="00CB7134"/>
    <w:rsid w:val="00CB754C"/>
    <w:rsid w:val="00CC0449"/>
    <w:rsid w:val="00CC0C0E"/>
    <w:rsid w:val="00CC0F02"/>
    <w:rsid w:val="00CC13E8"/>
    <w:rsid w:val="00CC167E"/>
    <w:rsid w:val="00CC191B"/>
    <w:rsid w:val="00CC232C"/>
    <w:rsid w:val="00CC32C8"/>
    <w:rsid w:val="00CC4050"/>
    <w:rsid w:val="00CC52AD"/>
    <w:rsid w:val="00CC7E3B"/>
    <w:rsid w:val="00CD0560"/>
    <w:rsid w:val="00CD16AE"/>
    <w:rsid w:val="00CD1B89"/>
    <w:rsid w:val="00CD279D"/>
    <w:rsid w:val="00CD387E"/>
    <w:rsid w:val="00CD38B0"/>
    <w:rsid w:val="00CD3CA4"/>
    <w:rsid w:val="00CD498D"/>
    <w:rsid w:val="00CD6E47"/>
    <w:rsid w:val="00CD7A67"/>
    <w:rsid w:val="00CE05FB"/>
    <w:rsid w:val="00CE0670"/>
    <w:rsid w:val="00CE0F70"/>
    <w:rsid w:val="00CE2A41"/>
    <w:rsid w:val="00CE3404"/>
    <w:rsid w:val="00CE4469"/>
    <w:rsid w:val="00CE7256"/>
    <w:rsid w:val="00CF002F"/>
    <w:rsid w:val="00CF0953"/>
    <w:rsid w:val="00CF0B14"/>
    <w:rsid w:val="00CF0B76"/>
    <w:rsid w:val="00CF14A7"/>
    <w:rsid w:val="00CF2731"/>
    <w:rsid w:val="00CF3C7F"/>
    <w:rsid w:val="00CF6929"/>
    <w:rsid w:val="00CF784D"/>
    <w:rsid w:val="00CF7C47"/>
    <w:rsid w:val="00D01843"/>
    <w:rsid w:val="00D01942"/>
    <w:rsid w:val="00D0240D"/>
    <w:rsid w:val="00D03598"/>
    <w:rsid w:val="00D0425B"/>
    <w:rsid w:val="00D05013"/>
    <w:rsid w:val="00D0560B"/>
    <w:rsid w:val="00D06E8B"/>
    <w:rsid w:val="00D073DB"/>
    <w:rsid w:val="00D1014C"/>
    <w:rsid w:val="00D10B2F"/>
    <w:rsid w:val="00D10CB6"/>
    <w:rsid w:val="00D12B9A"/>
    <w:rsid w:val="00D13F78"/>
    <w:rsid w:val="00D15A3A"/>
    <w:rsid w:val="00D16746"/>
    <w:rsid w:val="00D16BF2"/>
    <w:rsid w:val="00D1752F"/>
    <w:rsid w:val="00D1785D"/>
    <w:rsid w:val="00D17ACD"/>
    <w:rsid w:val="00D17B15"/>
    <w:rsid w:val="00D20957"/>
    <w:rsid w:val="00D22EF3"/>
    <w:rsid w:val="00D2303B"/>
    <w:rsid w:val="00D254AA"/>
    <w:rsid w:val="00D25CA8"/>
    <w:rsid w:val="00D269BE"/>
    <w:rsid w:val="00D273A9"/>
    <w:rsid w:val="00D27C77"/>
    <w:rsid w:val="00D30527"/>
    <w:rsid w:val="00D308F3"/>
    <w:rsid w:val="00D31087"/>
    <w:rsid w:val="00D310FA"/>
    <w:rsid w:val="00D31899"/>
    <w:rsid w:val="00D331AB"/>
    <w:rsid w:val="00D3326E"/>
    <w:rsid w:val="00D33745"/>
    <w:rsid w:val="00D351F7"/>
    <w:rsid w:val="00D363E5"/>
    <w:rsid w:val="00D36801"/>
    <w:rsid w:val="00D36D04"/>
    <w:rsid w:val="00D37FFA"/>
    <w:rsid w:val="00D41100"/>
    <w:rsid w:val="00D4127D"/>
    <w:rsid w:val="00D41FCB"/>
    <w:rsid w:val="00D431D5"/>
    <w:rsid w:val="00D43C90"/>
    <w:rsid w:val="00D448BD"/>
    <w:rsid w:val="00D452FC"/>
    <w:rsid w:val="00D453B4"/>
    <w:rsid w:val="00D4582E"/>
    <w:rsid w:val="00D45B9A"/>
    <w:rsid w:val="00D464ED"/>
    <w:rsid w:val="00D50459"/>
    <w:rsid w:val="00D51A10"/>
    <w:rsid w:val="00D52375"/>
    <w:rsid w:val="00D52E61"/>
    <w:rsid w:val="00D55243"/>
    <w:rsid w:val="00D55869"/>
    <w:rsid w:val="00D56737"/>
    <w:rsid w:val="00D6090F"/>
    <w:rsid w:val="00D60EDF"/>
    <w:rsid w:val="00D615E2"/>
    <w:rsid w:val="00D61E45"/>
    <w:rsid w:val="00D62B1D"/>
    <w:rsid w:val="00D6329D"/>
    <w:rsid w:val="00D633BE"/>
    <w:rsid w:val="00D63DF3"/>
    <w:rsid w:val="00D63FEF"/>
    <w:rsid w:val="00D6458F"/>
    <w:rsid w:val="00D64656"/>
    <w:rsid w:val="00D65264"/>
    <w:rsid w:val="00D65E7A"/>
    <w:rsid w:val="00D67318"/>
    <w:rsid w:val="00D67616"/>
    <w:rsid w:val="00D67AA0"/>
    <w:rsid w:val="00D67D28"/>
    <w:rsid w:val="00D70649"/>
    <w:rsid w:val="00D70AC1"/>
    <w:rsid w:val="00D712A7"/>
    <w:rsid w:val="00D72C70"/>
    <w:rsid w:val="00D7324B"/>
    <w:rsid w:val="00D743ED"/>
    <w:rsid w:val="00D745F2"/>
    <w:rsid w:val="00D7517E"/>
    <w:rsid w:val="00D7574A"/>
    <w:rsid w:val="00D763DA"/>
    <w:rsid w:val="00D77085"/>
    <w:rsid w:val="00D77500"/>
    <w:rsid w:val="00D775A0"/>
    <w:rsid w:val="00D80324"/>
    <w:rsid w:val="00D808B8"/>
    <w:rsid w:val="00D80DBE"/>
    <w:rsid w:val="00D816CD"/>
    <w:rsid w:val="00D8180F"/>
    <w:rsid w:val="00D82ADC"/>
    <w:rsid w:val="00D82C4D"/>
    <w:rsid w:val="00D832E8"/>
    <w:rsid w:val="00D84CC1"/>
    <w:rsid w:val="00D8590F"/>
    <w:rsid w:val="00D8698E"/>
    <w:rsid w:val="00D86E0D"/>
    <w:rsid w:val="00D87738"/>
    <w:rsid w:val="00D879E7"/>
    <w:rsid w:val="00D903BC"/>
    <w:rsid w:val="00D92247"/>
    <w:rsid w:val="00D92D73"/>
    <w:rsid w:val="00D954FA"/>
    <w:rsid w:val="00D9626E"/>
    <w:rsid w:val="00D96662"/>
    <w:rsid w:val="00D96EAB"/>
    <w:rsid w:val="00D973C4"/>
    <w:rsid w:val="00D97E81"/>
    <w:rsid w:val="00DA046A"/>
    <w:rsid w:val="00DA1676"/>
    <w:rsid w:val="00DA35B7"/>
    <w:rsid w:val="00DA4162"/>
    <w:rsid w:val="00DA4269"/>
    <w:rsid w:val="00DA6007"/>
    <w:rsid w:val="00DA6223"/>
    <w:rsid w:val="00DA6EE3"/>
    <w:rsid w:val="00DA707D"/>
    <w:rsid w:val="00DB0F9D"/>
    <w:rsid w:val="00DB1AED"/>
    <w:rsid w:val="00DB36FD"/>
    <w:rsid w:val="00DB39DC"/>
    <w:rsid w:val="00DB3B62"/>
    <w:rsid w:val="00DB3E8D"/>
    <w:rsid w:val="00DC14A4"/>
    <w:rsid w:val="00DC193F"/>
    <w:rsid w:val="00DC1C0E"/>
    <w:rsid w:val="00DC1CB2"/>
    <w:rsid w:val="00DC1FB1"/>
    <w:rsid w:val="00DC36C6"/>
    <w:rsid w:val="00DC3D93"/>
    <w:rsid w:val="00DC3E0B"/>
    <w:rsid w:val="00DC495D"/>
    <w:rsid w:val="00DC61B6"/>
    <w:rsid w:val="00DC70C9"/>
    <w:rsid w:val="00DC710A"/>
    <w:rsid w:val="00DD0512"/>
    <w:rsid w:val="00DD1597"/>
    <w:rsid w:val="00DD1E02"/>
    <w:rsid w:val="00DD2B30"/>
    <w:rsid w:val="00DD3D29"/>
    <w:rsid w:val="00DD3F53"/>
    <w:rsid w:val="00DD4BFC"/>
    <w:rsid w:val="00DD4E56"/>
    <w:rsid w:val="00DD5C3F"/>
    <w:rsid w:val="00DD5F53"/>
    <w:rsid w:val="00DD6A32"/>
    <w:rsid w:val="00DD74AA"/>
    <w:rsid w:val="00DD7923"/>
    <w:rsid w:val="00DE07D5"/>
    <w:rsid w:val="00DE1AF4"/>
    <w:rsid w:val="00DE2964"/>
    <w:rsid w:val="00DE2A26"/>
    <w:rsid w:val="00DE3C2E"/>
    <w:rsid w:val="00DE60C6"/>
    <w:rsid w:val="00DE6191"/>
    <w:rsid w:val="00DE64B7"/>
    <w:rsid w:val="00DE6994"/>
    <w:rsid w:val="00DE7084"/>
    <w:rsid w:val="00DF051B"/>
    <w:rsid w:val="00DF2058"/>
    <w:rsid w:val="00DF2150"/>
    <w:rsid w:val="00DF226C"/>
    <w:rsid w:val="00DF2B5E"/>
    <w:rsid w:val="00DF332F"/>
    <w:rsid w:val="00DF4A87"/>
    <w:rsid w:val="00DF72FA"/>
    <w:rsid w:val="00DF7D37"/>
    <w:rsid w:val="00E004D5"/>
    <w:rsid w:val="00E00DEC"/>
    <w:rsid w:val="00E019F2"/>
    <w:rsid w:val="00E01E49"/>
    <w:rsid w:val="00E024B0"/>
    <w:rsid w:val="00E03AC7"/>
    <w:rsid w:val="00E04E8C"/>
    <w:rsid w:val="00E052E9"/>
    <w:rsid w:val="00E06A0C"/>
    <w:rsid w:val="00E06D00"/>
    <w:rsid w:val="00E07143"/>
    <w:rsid w:val="00E07204"/>
    <w:rsid w:val="00E07431"/>
    <w:rsid w:val="00E07C18"/>
    <w:rsid w:val="00E10739"/>
    <w:rsid w:val="00E13012"/>
    <w:rsid w:val="00E1365B"/>
    <w:rsid w:val="00E14AE7"/>
    <w:rsid w:val="00E14BED"/>
    <w:rsid w:val="00E15B32"/>
    <w:rsid w:val="00E16801"/>
    <w:rsid w:val="00E16924"/>
    <w:rsid w:val="00E16E86"/>
    <w:rsid w:val="00E20AAC"/>
    <w:rsid w:val="00E20DF2"/>
    <w:rsid w:val="00E21A78"/>
    <w:rsid w:val="00E21C05"/>
    <w:rsid w:val="00E23641"/>
    <w:rsid w:val="00E23AD2"/>
    <w:rsid w:val="00E23CC5"/>
    <w:rsid w:val="00E23E0C"/>
    <w:rsid w:val="00E270A1"/>
    <w:rsid w:val="00E303AF"/>
    <w:rsid w:val="00E314EC"/>
    <w:rsid w:val="00E3235F"/>
    <w:rsid w:val="00E32634"/>
    <w:rsid w:val="00E33C5B"/>
    <w:rsid w:val="00E348C8"/>
    <w:rsid w:val="00E351F8"/>
    <w:rsid w:val="00E35890"/>
    <w:rsid w:val="00E35DF9"/>
    <w:rsid w:val="00E36422"/>
    <w:rsid w:val="00E37944"/>
    <w:rsid w:val="00E41A02"/>
    <w:rsid w:val="00E437C3"/>
    <w:rsid w:val="00E43ED8"/>
    <w:rsid w:val="00E456EE"/>
    <w:rsid w:val="00E45B3A"/>
    <w:rsid w:val="00E4648C"/>
    <w:rsid w:val="00E46730"/>
    <w:rsid w:val="00E46832"/>
    <w:rsid w:val="00E473FE"/>
    <w:rsid w:val="00E475DD"/>
    <w:rsid w:val="00E51C65"/>
    <w:rsid w:val="00E533FC"/>
    <w:rsid w:val="00E546C6"/>
    <w:rsid w:val="00E5487C"/>
    <w:rsid w:val="00E55E3F"/>
    <w:rsid w:val="00E60713"/>
    <w:rsid w:val="00E60A71"/>
    <w:rsid w:val="00E60E27"/>
    <w:rsid w:val="00E61562"/>
    <w:rsid w:val="00E61A06"/>
    <w:rsid w:val="00E624DC"/>
    <w:rsid w:val="00E62666"/>
    <w:rsid w:val="00E62F11"/>
    <w:rsid w:val="00E63476"/>
    <w:rsid w:val="00E64D88"/>
    <w:rsid w:val="00E65D3A"/>
    <w:rsid w:val="00E66B83"/>
    <w:rsid w:val="00E67919"/>
    <w:rsid w:val="00E679A2"/>
    <w:rsid w:val="00E67AEA"/>
    <w:rsid w:val="00E67D7F"/>
    <w:rsid w:val="00E70E2D"/>
    <w:rsid w:val="00E718B1"/>
    <w:rsid w:val="00E719EA"/>
    <w:rsid w:val="00E72439"/>
    <w:rsid w:val="00E739E3"/>
    <w:rsid w:val="00E74E5F"/>
    <w:rsid w:val="00E74F0C"/>
    <w:rsid w:val="00E7666E"/>
    <w:rsid w:val="00E76CE3"/>
    <w:rsid w:val="00E8078A"/>
    <w:rsid w:val="00E80CA1"/>
    <w:rsid w:val="00E8223F"/>
    <w:rsid w:val="00E829C6"/>
    <w:rsid w:val="00E834F8"/>
    <w:rsid w:val="00E848A4"/>
    <w:rsid w:val="00E84BB4"/>
    <w:rsid w:val="00E84CB2"/>
    <w:rsid w:val="00E853AA"/>
    <w:rsid w:val="00E85BF2"/>
    <w:rsid w:val="00E87B2C"/>
    <w:rsid w:val="00E903C7"/>
    <w:rsid w:val="00E90632"/>
    <w:rsid w:val="00E914FA"/>
    <w:rsid w:val="00E91F1F"/>
    <w:rsid w:val="00E9288E"/>
    <w:rsid w:val="00E94A89"/>
    <w:rsid w:val="00E94E22"/>
    <w:rsid w:val="00E96885"/>
    <w:rsid w:val="00E97EE6"/>
    <w:rsid w:val="00EA01A5"/>
    <w:rsid w:val="00EA0F0E"/>
    <w:rsid w:val="00EA4430"/>
    <w:rsid w:val="00EA4C5E"/>
    <w:rsid w:val="00EA4FAF"/>
    <w:rsid w:val="00EA558B"/>
    <w:rsid w:val="00EA6619"/>
    <w:rsid w:val="00EB08D1"/>
    <w:rsid w:val="00EB12B4"/>
    <w:rsid w:val="00EB1BFF"/>
    <w:rsid w:val="00EB27AB"/>
    <w:rsid w:val="00EB2BFD"/>
    <w:rsid w:val="00EB3358"/>
    <w:rsid w:val="00EB3606"/>
    <w:rsid w:val="00EB37B3"/>
    <w:rsid w:val="00EB40D2"/>
    <w:rsid w:val="00EB4B28"/>
    <w:rsid w:val="00EB4DEF"/>
    <w:rsid w:val="00EB6460"/>
    <w:rsid w:val="00EB7A2F"/>
    <w:rsid w:val="00EC015B"/>
    <w:rsid w:val="00EC185B"/>
    <w:rsid w:val="00EC263C"/>
    <w:rsid w:val="00EC32B5"/>
    <w:rsid w:val="00EC3694"/>
    <w:rsid w:val="00EC42E4"/>
    <w:rsid w:val="00EC5863"/>
    <w:rsid w:val="00EC624F"/>
    <w:rsid w:val="00EC686A"/>
    <w:rsid w:val="00EC68DD"/>
    <w:rsid w:val="00EC691F"/>
    <w:rsid w:val="00EC7FF3"/>
    <w:rsid w:val="00ED03B9"/>
    <w:rsid w:val="00ED0760"/>
    <w:rsid w:val="00ED1251"/>
    <w:rsid w:val="00ED2C4F"/>
    <w:rsid w:val="00ED2FE2"/>
    <w:rsid w:val="00ED3CED"/>
    <w:rsid w:val="00ED5416"/>
    <w:rsid w:val="00ED6574"/>
    <w:rsid w:val="00ED7BB2"/>
    <w:rsid w:val="00ED7BDC"/>
    <w:rsid w:val="00EE002E"/>
    <w:rsid w:val="00EE03FA"/>
    <w:rsid w:val="00EE0A03"/>
    <w:rsid w:val="00EE0B61"/>
    <w:rsid w:val="00EE1ED9"/>
    <w:rsid w:val="00EE2BEA"/>
    <w:rsid w:val="00EE32A1"/>
    <w:rsid w:val="00EE34E9"/>
    <w:rsid w:val="00EE35B1"/>
    <w:rsid w:val="00EE43E1"/>
    <w:rsid w:val="00EE4DD8"/>
    <w:rsid w:val="00EE504A"/>
    <w:rsid w:val="00EE5087"/>
    <w:rsid w:val="00EE50E9"/>
    <w:rsid w:val="00EE6E7B"/>
    <w:rsid w:val="00EE7980"/>
    <w:rsid w:val="00EE7EBC"/>
    <w:rsid w:val="00EF09D1"/>
    <w:rsid w:val="00EF0FD6"/>
    <w:rsid w:val="00EF188C"/>
    <w:rsid w:val="00EF21C4"/>
    <w:rsid w:val="00EF2372"/>
    <w:rsid w:val="00EF35A4"/>
    <w:rsid w:val="00EF46F9"/>
    <w:rsid w:val="00EF48BB"/>
    <w:rsid w:val="00EF746F"/>
    <w:rsid w:val="00EF7EBD"/>
    <w:rsid w:val="00F00E7A"/>
    <w:rsid w:val="00F00F38"/>
    <w:rsid w:val="00F014C0"/>
    <w:rsid w:val="00F03F51"/>
    <w:rsid w:val="00F045C3"/>
    <w:rsid w:val="00F045CC"/>
    <w:rsid w:val="00F04742"/>
    <w:rsid w:val="00F06298"/>
    <w:rsid w:val="00F06C11"/>
    <w:rsid w:val="00F11864"/>
    <w:rsid w:val="00F119E5"/>
    <w:rsid w:val="00F11FEC"/>
    <w:rsid w:val="00F12046"/>
    <w:rsid w:val="00F1276A"/>
    <w:rsid w:val="00F12C88"/>
    <w:rsid w:val="00F1385D"/>
    <w:rsid w:val="00F140EC"/>
    <w:rsid w:val="00F1571B"/>
    <w:rsid w:val="00F179DD"/>
    <w:rsid w:val="00F22CCC"/>
    <w:rsid w:val="00F23706"/>
    <w:rsid w:val="00F25430"/>
    <w:rsid w:val="00F26036"/>
    <w:rsid w:val="00F268CF"/>
    <w:rsid w:val="00F3121E"/>
    <w:rsid w:val="00F3180B"/>
    <w:rsid w:val="00F338AB"/>
    <w:rsid w:val="00F3555D"/>
    <w:rsid w:val="00F35A2E"/>
    <w:rsid w:val="00F36081"/>
    <w:rsid w:val="00F37DC1"/>
    <w:rsid w:val="00F40632"/>
    <w:rsid w:val="00F40D05"/>
    <w:rsid w:val="00F40E3E"/>
    <w:rsid w:val="00F41C7A"/>
    <w:rsid w:val="00F42221"/>
    <w:rsid w:val="00F4231D"/>
    <w:rsid w:val="00F42872"/>
    <w:rsid w:val="00F43117"/>
    <w:rsid w:val="00F43C9E"/>
    <w:rsid w:val="00F44410"/>
    <w:rsid w:val="00F45787"/>
    <w:rsid w:val="00F46F2B"/>
    <w:rsid w:val="00F470FF"/>
    <w:rsid w:val="00F503E9"/>
    <w:rsid w:val="00F518F1"/>
    <w:rsid w:val="00F52659"/>
    <w:rsid w:val="00F53828"/>
    <w:rsid w:val="00F549A7"/>
    <w:rsid w:val="00F54FAE"/>
    <w:rsid w:val="00F55709"/>
    <w:rsid w:val="00F576F7"/>
    <w:rsid w:val="00F57ABE"/>
    <w:rsid w:val="00F57C26"/>
    <w:rsid w:val="00F61ED9"/>
    <w:rsid w:val="00F62E09"/>
    <w:rsid w:val="00F64ECE"/>
    <w:rsid w:val="00F6551F"/>
    <w:rsid w:val="00F65A14"/>
    <w:rsid w:val="00F65D00"/>
    <w:rsid w:val="00F66524"/>
    <w:rsid w:val="00F716F1"/>
    <w:rsid w:val="00F71F88"/>
    <w:rsid w:val="00F72CF8"/>
    <w:rsid w:val="00F7417B"/>
    <w:rsid w:val="00F747CD"/>
    <w:rsid w:val="00F765E5"/>
    <w:rsid w:val="00F77C06"/>
    <w:rsid w:val="00F77CC9"/>
    <w:rsid w:val="00F80828"/>
    <w:rsid w:val="00F81132"/>
    <w:rsid w:val="00F816A7"/>
    <w:rsid w:val="00F81E0B"/>
    <w:rsid w:val="00F82836"/>
    <w:rsid w:val="00F82A83"/>
    <w:rsid w:val="00F832FB"/>
    <w:rsid w:val="00F841DE"/>
    <w:rsid w:val="00F84FA4"/>
    <w:rsid w:val="00F87EF2"/>
    <w:rsid w:val="00F87F65"/>
    <w:rsid w:val="00F90DBB"/>
    <w:rsid w:val="00F92169"/>
    <w:rsid w:val="00F92692"/>
    <w:rsid w:val="00F927DA"/>
    <w:rsid w:val="00F938CB"/>
    <w:rsid w:val="00F93B9B"/>
    <w:rsid w:val="00F960CB"/>
    <w:rsid w:val="00F96AE8"/>
    <w:rsid w:val="00F96C4A"/>
    <w:rsid w:val="00F96F3B"/>
    <w:rsid w:val="00F97A3B"/>
    <w:rsid w:val="00FA0345"/>
    <w:rsid w:val="00FA07DD"/>
    <w:rsid w:val="00FA0DA4"/>
    <w:rsid w:val="00FA0F79"/>
    <w:rsid w:val="00FA1D44"/>
    <w:rsid w:val="00FA25DB"/>
    <w:rsid w:val="00FA3592"/>
    <w:rsid w:val="00FA3C8C"/>
    <w:rsid w:val="00FA4C98"/>
    <w:rsid w:val="00FA4D75"/>
    <w:rsid w:val="00FA51E0"/>
    <w:rsid w:val="00FA55A4"/>
    <w:rsid w:val="00FA708A"/>
    <w:rsid w:val="00FA76E4"/>
    <w:rsid w:val="00FA776C"/>
    <w:rsid w:val="00FB0A91"/>
    <w:rsid w:val="00FB15B6"/>
    <w:rsid w:val="00FB1E7C"/>
    <w:rsid w:val="00FB22C1"/>
    <w:rsid w:val="00FB34C3"/>
    <w:rsid w:val="00FB521F"/>
    <w:rsid w:val="00FB5773"/>
    <w:rsid w:val="00FB6678"/>
    <w:rsid w:val="00FB6C09"/>
    <w:rsid w:val="00FB7188"/>
    <w:rsid w:val="00FB7770"/>
    <w:rsid w:val="00FC0211"/>
    <w:rsid w:val="00FC0FC7"/>
    <w:rsid w:val="00FC1297"/>
    <w:rsid w:val="00FC1D2C"/>
    <w:rsid w:val="00FC3766"/>
    <w:rsid w:val="00FC588F"/>
    <w:rsid w:val="00FC5B3D"/>
    <w:rsid w:val="00FC7279"/>
    <w:rsid w:val="00FC75FE"/>
    <w:rsid w:val="00FD02D7"/>
    <w:rsid w:val="00FD1E8C"/>
    <w:rsid w:val="00FD1F6B"/>
    <w:rsid w:val="00FD2E2C"/>
    <w:rsid w:val="00FD38C7"/>
    <w:rsid w:val="00FD3DB2"/>
    <w:rsid w:val="00FD408C"/>
    <w:rsid w:val="00FD482B"/>
    <w:rsid w:val="00FD5859"/>
    <w:rsid w:val="00FD5DFB"/>
    <w:rsid w:val="00FD6762"/>
    <w:rsid w:val="00FD72AB"/>
    <w:rsid w:val="00FD7A28"/>
    <w:rsid w:val="00FD7C7E"/>
    <w:rsid w:val="00FD7DFA"/>
    <w:rsid w:val="00FE11A2"/>
    <w:rsid w:val="00FE3258"/>
    <w:rsid w:val="00FE37AF"/>
    <w:rsid w:val="00FE4B83"/>
    <w:rsid w:val="00FE566E"/>
    <w:rsid w:val="00FE579F"/>
    <w:rsid w:val="00FE7A3A"/>
    <w:rsid w:val="00FE7AD5"/>
    <w:rsid w:val="00FF00AC"/>
    <w:rsid w:val="00FF13F2"/>
    <w:rsid w:val="00FF187C"/>
    <w:rsid w:val="00FF28B9"/>
    <w:rsid w:val="00FF32D1"/>
    <w:rsid w:val="00FF3552"/>
    <w:rsid w:val="00FF37C4"/>
    <w:rsid w:val="00FF54D0"/>
    <w:rsid w:val="00FF584F"/>
    <w:rsid w:val="00FF5EC8"/>
    <w:rsid w:val="00FF6D6F"/>
    <w:rsid w:val="00FF7129"/>
    <w:rsid w:val="00FF7809"/>
    <w:rsid w:val="4BCA04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27">
    <w:name w:val="Default Paragraph Font"/>
    <w:semiHidden/>
    <w:unhideWhenUsed/>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unhideWhenUsed/>
    <w:qFormat/>
    <w:uiPriority w:val="39"/>
    <w:pPr>
      <w:ind w:left="2520" w:leftChars="1200"/>
    </w:pPr>
  </w:style>
  <w:style w:type="paragraph" w:styleId="5">
    <w:name w:val="table of authorities"/>
    <w:basedOn w:val="1"/>
    <w:next w:val="1"/>
    <w:link w:val="46"/>
    <w:semiHidden/>
    <w:unhideWhenUsed/>
    <w:qFormat/>
    <w:uiPriority w:val="99"/>
    <w:pPr>
      <w:ind w:left="420" w:leftChars="200"/>
    </w:pPr>
  </w:style>
  <w:style w:type="paragraph" w:styleId="6">
    <w:name w:val="Normal Indent"/>
    <w:basedOn w:val="1"/>
    <w:unhideWhenUsed/>
    <w:qFormat/>
    <w:uiPriority w:val="99"/>
    <w:pPr>
      <w:ind w:firstLine="420" w:firstLineChars="200"/>
    </w:pPr>
  </w:style>
  <w:style w:type="paragraph" w:styleId="7">
    <w:name w:val="Body Text Indent"/>
    <w:basedOn w:val="1"/>
    <w:link w:val="64"/>
    <w:unhideWhenUsed/>
    <w:qFormat/>
    <w:uiPriority w:val="0"/>
    <w:pPr>
      <w:spacing w:after="120"/>
      <w:ind w:left="420" w:leftChars="200"/>
    </w:pPr>
  </w:style>
  <w:style w:type="paragraph" w:styleId="8">
    <w:name w:val="toc 5"/>
    <w:basedOn w:val="1"/>
    <w:next w:val="1"/>
    <w:unhideWhenUsed/>
    <w:qFormat/>
    <w:uiPriority w:val="39"/>
    <w:pPr>
      <w:ind w:left="1680" w:leftChars="800"/>
    </w:pPr>
  </w:style>
  <w:style w:type="paragraph" w:styleId="9">
    <w:name w:val="toc 3"/>
    <w:basedOn w:val="10"/>
    <w:next w:val="1"/>
    <w:unhideWhenUsed/>
    <w:qFormat/>
    <w:uiPriority w:val="39"/>
    <w:pPr>
      <w:widowControl/>
      <w:tabs>
        <w:tab w:val="right" w:leader="dot" w:pos="8296"/>
      </w:tabs>
      <w:spacing w:after="100" w:line="276" w:lineRule="auto"/>
      <w:ind w:left="442"/>
    </w:pPr>
    <w:rPr>
      <w:b w:val="0"/>
      <w:kern w:val="0"/>
    </w:rPr>
  </w:style>
  <w:style w:type="paragraph" w:customStyle="1" w:styleId="10">
    <w:name w:val="3标题"/>
    <w:basedOn w:val="11"/>
    <w:link w:val="38"/>
    <w:qFormat/>
    <w:uiPriority w:val="0"/>
    <w:pPr>
      <w:snapToGrid w:val="0"/>
      <w:spacing w:before="0" w:after="0" w:line="440" w:lineRule="exact"/>
      <w:ind w:firstLine="200" w:firstLineChars="200"/>
      <w:jc w:val="left"/>
      <w:outlineLvl w:val="2"/>
    </w:pPr>
    <w:rPr>
      <w:rFonts w:ascii="Times New Roman" w:hAnsi="Times New Roman" w:eastAsia="宋体"/>
      <w:sz w:val="24"/>
      <w:szCs w:val="21"/>
    </w:rPr>
  </w:style>
  <w:style w:type="paragraph" w:styleId="11">
    <w:name w:val="Title"/>
    <w:basedOn w:val="1"/>
    <w:next w:val="1"/>
    <w:link w:val="35"/>
    <w:qFormat/>
    <w:uiPriority w:val="10"/>
    <w:pPr>
      <w:spacing w:before="240" w:after="60"/>
      <w:jc w:val="center"/>
      <w:outlineLvl w:val="0"/>
    </w:pPr>
    <w:rPr>
      <w:rFonts w:asciiTheme="majorHAnsi" w:hAnsiTheme="majorHAnsi" w:eastAsiaTheme="majorEastAsia" w:cstheme="majorBidi"/>
      <w:b/>
      <w:bCs/>
      <w:sz w:val="32"/>
      <w:szCs w:val="32"/>
    </w:rPr>
  </w:style>
  <w:style w:type="paragraph" w:styleId="12">
    <w:name w:val="toc 8"/>
    <w:basedOn w:val="1"/>
    <w:next w:val="1"/>
    <w:unhideWhenUsed/>
    <w:qFormat/>
    <w:uiPriority w:val="39"/>
    <w:pPr>
      <w:ind w:left="2940" w:leftChars="1400"/>
    </w:pPr>
  </w:style>
  <w:style w:type="paragraph" w:styleId="13">
    <w:name w:val="Balloon Text"/>
    <w:basedOn w:val="1"/>
    <w:link w:val="51"/>
    <w:semiHidden/>
    <w:unhideWhenUsed/>
    <w:qFormat/>
    <w:uiPriority w:val="99"/>
    <w:rPr>
      <w:sz w:val="18"/>
      <w:szCs w:val="18"/>
    </w:rPr>
  </w:style>
  <w:style w:type="paragraph" w:styleId="14">
    <w:name w:val="footer"/>
    <w:basedOn w:val="1"/>
    <w:link w:val="32"/>
    <w:unhideWhenUsed/>
    <w:qFormat/>
    <w:uiPriority w:val="0"/>
    <w:pPr>
      <w:tabs>
        <w:tab w:val="center" w:pos="4153"/>
        <w:tab w:val="right" w:pos="8306"/>
      </w:tabs>
      <w:snapToGrid w:val="0"/>
      <w:jc w:val="left"/>
    </w:pPr>
    <w:rPr>
      <w:sz w:val="18"/>
      <w:szCs w:val="18"/>
    </w:rPr>
  </w:style>
  <w:style w:type="paragraph" w:styleId="15">
    <w:name w:val="header"/>
    <w:basedOn w:val="1"/>
    <w:link w:val="31"/>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7"/>
    <w:next w:val="1"/>
    <w:unhideWhenUsed/>
    <w:qFormat/>
    <w:uiPriority w:val="39"/>
    <w:pPr>
      <w:widowControl/>
      <w:spacing w:line="276" w:lineRule="auto"/>
    </w:pPr>
    <w:rPr>
      <w:b w:val="0"/>
      <w:snapToGrid w:val="0"/>
      <w:kern w:val="0"/>
    </w:rPr>
  </w:style>
  <w:style w:type="paragraph" w:customStyle="1" w:styleId="17">
    <w:name w:val="1标题"/>
    <w:basedOn w:val="18"/>
    <w:link w:val="36"/>
    <w:qFormat/>
    <w:uiPriority w:val="0"/>
    <w:pPr>
      <w:snapToGrid/>
      <w:spacing w:line="288" w:lineRule="auto"/>
      <w:ind w:firstLine="562"/>
    </w:pPr>
    <w:rPr>
      <w:sz w:val="30"/>
    </w:rPr>
  </w:style>
  <w:style w:type="paragraph" w:customStyle="1" w:styleId="18">
    <w:name w:val="2标题"/>
    <w:basedOn w:val="11"/>
    <w:link w:val="37"/>
    <w:qFormat/>
    <w:uiPriority w:val="0"/>
    <w:pPr>
      <w:snapToGrid w:val="0"/>
      <w:spacing w:before="0" w:after="0" w:line="440" w:lineRule="exact"/>
      <w:ind w:firstLine="200" w:firstLineChars="200"/>
      <w:jc w:val="left"/>
      <w:outlineLvl w:val="1"/>
    </w:pPr>
    <w:rPr>
      <w:rFonts w:ascii="Times New Roman" w:hAnsi="Times New Roman" w:eastAsia="宋体"/>
      <w:sz w:val="28"/>
      <w:szCs w:val="24"/>
    </w:rPr>
  </w:style>
  <w:style w:type="paragraph" w:styleId="19">
    <w:name w:val="toc 4"/>
    <w:basedOn w:val="1"/>
    <w:next w:val="1"/>
    <w:unhideWhenUsed/>
    <w:qFormat/>
    <w:uiPriority w:val="39"/>
    <w:pPr>
      <w:ind w:left="1260" w:leftChars="600"/>
    </w:pPr>
  </w:style>
  <w:style w:type="paragraph" w:styleId="20">
    <w:name w:val="toc 6"/>
    <w:basedOn w:val="1"/>
    <w:next w:val="1"/>
    <w:unhideWhenUsed/>
    <w:qFormat/>
    <w:uiPriority w:val="39"/>
    <w:pPr>
      <w:ind w:left="2100" w:leftChars="1000"/>
    </w:pPr>
  </w:style>
  <w:style w:type="paragraph" w:styleId="21">
    <w:name w:val="toc 2"/>
    <w:basedOn w:val="18"/>
    <w:next w:val="1"/>
    <w:unhideWhenUsed/>
    <w:qFormat/>
    <w:uiPriority w:val="39"/>
    <w:pPr>
      <w:widowControl/>
      <w:tabs>
        <w:tab w:val="right" w:leader="dot" w:pos="8296"/>
      </w:tabs>
      <w:spacing w:line="276" w:lineRule="auto"/>
      <w:ind w:left="221"/>
    </w:pPr>
    <w:rPr>
      <w:b w:val="0"/>
      <w:kern w:val="0"/>
    </w:rPr>
  </w:style>
  <w:style w:type="paragraph" w:styleId="22">
    <w:name w:val="toc 9"/>
    <w:basedOn w:val="1"/>
    <w:next w:val="1"/>
    <w:unhideWhenUsed/>
    <w:qFormat/>
    <w:uiPriority w:val="39"/>
    <w:pPr>
      <w:ind w:left="3360" w:leftChars="1600"/>
    </w:pPr>
  </w:style>
  <w:style w:type="paragraph" w:styleId="23">
    <w:name w:val="Normal (Web)"/>
    <w:basedOn w:val="1"/>
    <w:qFormat/>
    <w:uiPriority w:val="0"/>
    <w:pPr>
      <w:widowControl/>
      <w:shd w:val="clear" w:color="auto" w:fill="FFFFFF"/>
      <w:snapToGrid w:val="0"/>
      <w:spacing w:line="520" w:lineRule="exact"/>
      <w:ind w:firstLine="320" w:firstLineChars="100"/>
      <w:jc w:val="left"/>
    </w:pPr>
    <w:rPr>
      <w:rFonts w:ascii="微软雅黑" w:hAnsi="微软雅黑" w:eastAsia="微软雅黑" w:cs="微软雅黑"/>
      <w:color w:val="000000"/>
      <w:kern w:val="0"/>
      <w:sz w:val="32"/>
      <w:szCs w:val="32"/>
    </w:rPr>
  </w:style>
  <w:style w:type="paragraph" w:styleId="24">
    <w:name w:val="Body Text First Indent 2"/>
    <w:basedOn w:val="7"/>
    <w:link w:val="65"/>
    <w:unhideWhenUsed/>
    <w:qFormat/>
    <w:uiPriority w:val="99"/>
    <w:pPr>
      <w:ind w:firstLine="420" w:firstLineChars="200"/>
    </w:pPr>
  </w:style>
  <w:style w:type="table" w:styleId="26">
    <w:name w:val="Table Grid"/>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Hyperlink"/>
    <w:basedOn w:val="27"/>
    <w:unhideWhenUsed/>
    <w:qFormat/>
    <w:uiPriority w:val="99"/>
    <w:rPr>
      <w:color w:val="0563C1" w:themeColor="hyperlink"/>
      <w:u w:val="single"/>
    </w:rPr>
  </w:style>
  <w:style w:type="character" w:customStyle="1" w:styleId="29">
    <w:name w:val="标题 1 Char"/>
    <w:basedOn w:val="27"/>
    <w:link w:val="2"/>
    <w:qFormat/>
    <w:uiPriority w:val="9"/>
    <w:rPr>
      <w:b/>
      <w:bCs/>
      <w:kern w:val="44"/>
      <w:sz w:val="44"/>
      <w:szCs w:val="44"/>
    </w:rPr>
  </w:style>
  <w:style w:type="character" w:customStyle="1" w:styleId="30">
    <w:name w:val="标题 2 Char"/>
    <w:basedOn w:val="27"/>
    <w:link w:val="3"/>
    <w:qFormat/>
    <w:uiPriority w:val="0"/>
    <w:rPr>
      <w:rFonts w:asciiTheme="majorHAnsi" w:hAnsiTheme="majorHAnsi" w:eastAsiaTheme="majorEastAsia" w:cstheme="majorBidi"/>
      <w:b/>
      <w:bCs/>
      <w:sz w:val="32"/>
      <w:szCs w:val="32"/>
    </w:rPr>
  </w:style>
  <w:style w:type="character" w:customStyle="1" w:styleId="31">
    <w:name w:val="页眉 Char"/>
    <w:basedOn w:val="27"/>
    <w:link w:val="15"/>
    <w:qFormat/>
    <w:uiPriority w:val="0"/>
    <w:rPr>
      <w:sz w:val="18"/>
      <w:szCs w:val="18"/>
    </w:rPr>
  </w:style>
  <w:style w:type="character" w:customStyle="1" w:styleId="32">
    <w:name w:val="页脚 Char"/>
    <w:basedOn w:val="27"/>
    <w:link w:val="14"/>
    <w:qFormat/>
    <w:uiPriority w:val="0"/>
    <w:rPr>
      <w:sz w:val="18"/>
      <w:szCs w:val="18"/>
    </w:rPr>
  </w:style>
  <w:style w:type="table" w:customStyle="1" w:styleId="33">
    <w:name w:val="TableGrid"/>
    <w:qFormat/>
    <w:uiPriority w:val="0"/>
    <w:tblPr>
      <w:tblCellMar>
        <w:top w:w="0" w:type="dxa"/>
        <w:left w:w="0" w:type="dxa"/>
        <w:bottom w:w="0" w:type="dxa"/>
        <w:right w:w="0" w:type="dxa"/>
      </w:tblCellMar>
    </w:tblPr>
  </w:style>
  <w:style w:type="paragraph" w:styleId="34">
    <w:name w:val="List Paragraph"/>
    <w:basedOn w:val="1"/>
    <w:qFormat/>
    <w:uiPriority w:val="34"/>
    <w:pPr>
      <w:ind w:firstLine="420" w:firstLineChars="200"/>
    </w:pPr>
  </w:style>
  <w:style w:type="character" w:customStyle="1" w:styleId="35">
    <w:name w:val="标题 Char"/>
    <w:basedOn w:val="27"/>
    <w:link w:val="11"/>
    <w:qFormat/>
    <w:uiPriority w:val="10"/>
    <w:rPr>
      <w:rFonts w:asciiTheme="majorHAnsi" w:hAnsiTheme="majorHAnsi" w:eastAsiaTheme="majorEastAsia" w:cstheme="majorBidi"/>
      <w:b/>
      <w:bCs/>
      <w:sz w:val="32"/>
      <w:szCs w:val="32"/>
    </w:rPr>
  </w:style>
  <w:style w:type="character" w:customStyle="1" w:styleId="36">
    <w:name w:val="1标题 字符"/>
    <w:basedOn w:val="27"/>
    <w:link w:val="17"/>
    <w:qFormat/>
    <w:uiPriority w:val="0"/>
    <w:rPr>
      <w:rFonts w:ascii="Times New Roman" w:hAnsi="Times New Roman" w:eastAsia="宋体" w:cstheme="majorBidi"/>
      <w:b/>
      <w:bCs/>
      <w:sz w:val="30"/>
      <w:szCs w:val="24"/>
    </w:rPr>
  </w:style>
  <w:style w:type="character" w:customStyle="1" w:styleId="37">
    <w:name w:val="2标题 字符"/>
    <w:basedOn w:val="27"/>
    <w:link w:val="18"/>
    <w:qFormat/>
    <w:uiPriority w:val="0"/>
    <w:rPr>
      <w:rFonts w:ascii="Times New Roman" w:hAnsi="Times New Roman" w:eastAsia="宋体" w:cstheme="majorBidi"/>
      <w:b/>
      <w:bCs/>
      <w:sz w:val="28"/>
      <w:szCs w:val="24"/>
    </w:rPr>
  </w:style>
  <w:style w:type="character" w:customStyle="1" w:styleId="38">
    <w:name w:val="3标题 字符"/>
    <w:basedOn w:val="37"/>
    <w:link w:val="10"/>
    <w:qFormat/>
    <w:uiPriority w:val="0"/>
    <w:rPr>
      <w:rFonts w:ascii="Times New Roman" w:hAnsi="Times New Roman" w:eastAsia="宋体" w:cstheme="majorBidi"/>
      <w:sz w:val="24"/>
      <w:szCs w:val="21"/>
    </w:rPr>
  </w:style>
  <w:style w:type="paragraph" w:customStyle="1" w:styleId="39">
    <w:name w:val="4正文"/>
    <w:basedOn w:val="1"/>
    <w:link w:val="40"/>
    <w:qFormat/>
    <w:uiPriority w:val="0"/>
    <w:pPr>
      <w:snapToGrid w:val="0"/>
      <w:spacing w:line="440" w:lineRule="exact"/>
      <w:ind w:firstLine="200" w:firstLineChars="200"/>
    </w:pPr>
    <w:rPr>
      <w:rFonts w:ascii="Times New Roman" w:hAnsi="Times New Roman" w:eastAsia="宋体"/>
      <w:sz w:val="24"/>
    </w:rPr>
  </w:style>
  <w:style w:type="character" w:customStyle="1" w:styleId="40">
    <w:name w:val="4正文 字符"/>
    <w:basedOn w:val="27"/>
    <w:link w:val="39"/>
    <w:qFormat/>
    <w:uiPriority w:val="0"/>
    <w:rPr>
      <w:rFonts w:ascii="Times New Roman" w:hAnsi="Times New Roman" w:eastAsia="宋体"/>
      <w:sz w:val="24"/>
    </w:rPr>
  </w:style>
  <w:style w:type="paragraph" w:customStyle="1" w:styleId="41">
    <w:name w:val="5表格内标题"/>
    <w:basedOn w:val="1"/>
    <w:link w:val="42"/>
    <w:qFormat/>
    <w:uiPriority w:val="0"/>
    <w:pPr>
      <w:snapToGrid w:val="0"/>
      <w:spacing w:line="440" w:lineRule="exact"/>
      <w:ind w:firstLine="200" w:firstLineChars="200"/>
      <w:jc w:val="center"/>
    </w:pPr>
    <w:rPr>
      <w:rFonts w:ascii="Times New Roman" w:hAnsi="Times New Roman" w:eastAsia="宋体"/>
    </w:rPr>
  </w:style>
  <w:style w:type="character" w:customStyle="1" w:styleId="42">
    <w:name w:val="5表格内标题 字符"/>
    <w:basedOn w:val="27"/>
    <w:link w:val="41"/>
    <w:qFormat/>
    <w:uiPriority w:val="0"/>
    <w:rPr>
      <w:rFonts w:ascii="Times New Roman" w:hAnsi="Times New Roman" w:eastAsia="宋体"/>
    </w:rPr>
  </w:style>
  <w:style w:type="paragraph" w:customStyle="1" w:styleId="43">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F5496" w:themeColor="accent1" w:themeShade="BF"/>
      <w:kern w:val="0"/>
      <w:sz w:val="28"/>
      <w:szCs w:val="28"/>
    </w:rPr>
  </w:style>
  <w:style w:type="paragraph" w:customStyle="1" w:styleId="44">
    <w:name w:val="我的笔记目录"/>
    <w:basedOn w:val="16"/>
    <w:link w:val="45"/>
    <w:qFormat/>
    <w:uiPriority w:val="0"/>
    <w:pPr>
      <w:tabs>
        <w:tab w:val="right" w:leader="dot" w:pos="8296"/>
      </w:tabs>
    </w:pPr>
    <w:rPr>
      <w:szCs w:val="21"/>
    </w:rPr>
  </w:style>
  <w:style w:type="character" w:customStyle="1" w:styleId="45">
    <w:name w:val="我的笔记目录 字符"/>
    <w:basedOn w:val="46"/>
    <w:link w:val="44"/>
    <w:qFormat/>
    <w:uiPriority w:val="0"/>
    <w:rPr>
      <w:rFonts w:ascii="微软雅黑" w:hAnsi="微软雅黑" w:eastAsia="微软雅黑"/>
      <w:snapToGrid w:val="0"/>
      <w:kern w:val="0"/>
      <w:szCs w:val="21"/>
    </w:rPr>
  </w:style>
  <w:style w:type="character" w:customStyle="1" w:styleId="46">
    <w:name w:val="引文目录 Char"/>
    <w:basedOn w:val="27"/>
    <w:link w:val="5"/>
    <w:semiHidden/>
    <w:qFormat/>
    <w:uiPriority w:val="99"/>
  </w:style>
  <w:style w:type="table" w:customStyle="1" w:styleId="47">
    <w:name w:val="网格型1"/>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8">
    <w:name w:val="网格型2"/>
    <w:basedOn w:val="25"/>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9">
    <w:name w:val="TableGrid1"/>
    <w:qFormat/>
    <w:uiPriority w:val="0"/>
    <w:rPr>
      <w:kern w:val="0"/>
      <w:sz w:val="20"/>
      <w:szCs w:val="20"/>
    </w:rPr>
    <w:tblPr>
      <w:tblCellMar>
        <w:top w:w="0" w:type="dxa"/>
        <w:left w:w="0" w:type="dxa"/>
        <w:bottom w:w="0" w:type="dxa"/>
        <w:right w:w="0" w:type="dxa"/>
      </w:tblCellMar>
    </w:tblPr>
  </w:style>
  <w:style w:type="character" w:customStyle="1" w:styleId="50">
    <w:name w:val="Unresolved Mention"/>
    <w:basedOn w:val="27"/>
    <w:semiHidden/>
    <w:unhideWhenUsed/>
    <w:qFormat/>
    <w:uiPriority w:val="99"/>
    <w:rPr>
      <w:color w:val="808080"/>
      <w:shd w:val="clear" w:color="auto" w:fill="E6E6E6"/>
    </w:rPr>
  </w:style>
  <w:style w:type="character" w:customStyle="1" w:styleId="51">
    <w:name w:val="批注框文本 Char"/>
    <w:basedOn w:val="27"/>
    <w:link w:val="13"/>
    <w:semiHidden/>
    <w:qFormat/>
    <w:uiPriority w:val="99"/>
    <w:rPr>
      <w:sz w:val="18"/>
      <w:szCs w:val="18"/>
    </w:rPr>
  </w:style>
  <w:style w:type="paragraph" w:customStyle="1" w:styleId="52">
    <w:name w:val="Bibliography"/>
    <w:basedOn w:val="1"/>
    <w:next w:val="1"/>
    <w:unhideWhenUsed/>
    <w:qFormat/>
    <w:uiPriority w:val="37"/>
    <w:pPr>
      <w:tabs>
        <w:tab w:val="left" w:pos="384"/>
      </w:tabs>
      <w:ind w:left="384" w:hanging="384"/>
    </w:pPr>
  </w:style>
  <w:style w:type="character" w:customStyle="1" w:styleId="53">
    <w:name w:val="fontstyle01"/>
    <w:basedOn w:val="27"/>
    <w:qFormat/>
    <w:uiPriority w:val="0"/>
    <w:rPr>
      <w:rFonts w:hint="eastAsia" w:ascii="宋体" w:hAnsi="宋体" w:eastAsia="宋体"/>
      <w:color w:val="242021"/>
      <w:sz w:val="20"/>
      <w:szCs w:val="20"/>
    </w:rPr>
  </w:style>
  <w:style w:type="character" w:customStyle="1" w:styleId="54">
    <w:name w:val="fontstyle11"/>
    <w:basedOn w:val="27"/>
    <w:qFormat/>
    <w:uiPriority w:val="0"/>
    <w:rPr>
      <w:color w:val="242021"/>
      <w:sz w:val="20"/>
      <w:szCs w:val="20"/>
    </w:rPr>
  </w:style>
  <w:style w:type="character" w:customStyle="1" w:styleId="55">
    <w:name w:val="fontstyle21"/>
    <w:basedOn w:val="27"/>
    <w:qFormat/>
    <w:uiPriority w:val="0"/>
    <w:rPr>
      <w:rFonts w:hint="default" w:ascii="DLF-3-0-1061508550+ZLTFEy-360" w:hAnsi="DLF-3-0-1061508550+ZLTFEy-360"/>
      <w:color w:val="242021"/>
      <w:sz w:val="22"/>
      <w:szCs w:val="22"/>
    </w:rPr>
  </w:style>
  <w:style w:type="paragraph" w:customStyle="1" w:styleId="56">
    <w:name w:val="正文缩进1"/>
    <w:basedOn w:val="1"/>
    <w:next w:val="6"/>
    <w:unhideWhenUsed/>
    <w:qFormat/>
    <w:uiPriority w:val="99"/>
    <w:pPr>
      <w:widowControl/>
      <w:ind w:firstLine="420" w:firstLineChars="200"/>
      <w:jc w:val="left"/>
    </w:pPr>
    <w:rPr>
      <w:sz w:val="24"/>
      <w:szCs w:val="24"/>
    </w:rPr>
  </w:style>
  <w:style w:type="paragraph" w:customStyle="1" w:styleId="57">
    <w:name w:val="正文文本缩进1"/>
    <w:basedOn w:val="1"/>
    <w:next w:val="7"/>
    <w:link w:val="58"/>
    <w:unhideWhenUsed/>
    <w:qFormat/>
    <w:uiPriority w:val="0"/>
    <w:pPr>
      <w:widowControl/>
      <w:ind w:firstLine="640" w:firstLineChars="200"/>
      <w:jc w:val="left"/>
    </w:pPr>
    <w:rPr>
      <w:sz w:val="32"/>
      <w:szCs w:val="24"/>
    </w:rPr>
  </w:style>
  <w:style w:type="character" w:customStyle="1" w:styleId="58">
    <w:name w:val="正文文本缩进 字符"/>
    <w:basedOn w:val="27"/>
    <w:link w:val="57"/>
    <w:qFormat/>
    <w:uiPriority w:val="0"/>
    <w:rPr>
      <w:kern w:val="2"/>
      <w:sz w:val="32"/>
      <w:szCs w:val="24"/>
    </w:rPr>
  </w:style>
  <w:style w:type="paragraph" w:customStyle="1" w:styleId="59">
    <w:name w:val="正文文本首行缩进 21"/>
    <w:basedOn w:val="7"/>
    <w:next w:val="24"/>
    <w:link w:val="60"/>
    <w:unhideWhenUsed/>
    <w:qFormat/>
    <w:uiPriority w:val="99"/>
    <w:pPr>
      <w:widowControl/>
      <w:spacing w:after="0"/>
      <w:ind w:left="0" w:leftChars="0" w:firstLine="420" w:firstLineChars="200"/>
      <w:jc w:val="left"/>
    </w:pPr>
    <w:rPr>
      <w:sz w:val="32"/>
      <w:szCs w:val="24"/>
    </w:rPr>
  </w:style>
  <w:style w:type="character" w:customStyle="1" w:styleId="60">
    <w:name w:val="正文文本首行缩进 2 字符"/>
    <w:basedOn w:val="58"/>
    <w:link w:val="59"/>
    <w:qFormat/>
    <w:uiPriority w:val="99"/>
    <w:rPr>
      <w:kern w:val="2"/>
      <w:sz w:val="32"/>
      <w:szCs w:val="24"/>
    </w:rPr>
  </w:style>
  <w:style w:type="paragraph" w:customStyle="1" w:styleId="61">
    <w:name w:val="标题1总标题"/>
    <w:basedOn w:val="10"/>
    <w:qFormat/>
    <w:uiPriority w:val="0"/>
    <w:pPr>
      <w:spacing w:line="360" w:lineRule="auto"/>
      <w:ind w:firstLine="0" w:firstLineChars="0"/>
      <w:jc w:val="center"/>
    </w:pPr>
    <w:rPr>
      <w:sz w:val="36"/>
    </w:rPr>
  </w:style>
  <w:style w:type="paragraph" w:customStyle="1" w:styleId="62">
    <w:name w:val="首行缩进"/>
    <w:basedOn w:val="1"/>
    <w:qFormat/>
    <w:uiPriority w:val="0"/>
    <w:pPr>
      <w:widowControl/>
      <w:ind w:firstLine="480" w:firstLineChars="200"/>
      <w:jc w:val="left"/>
    </w:pPr>
    <w:rPr>
      <w:sz w:val="24"/>
      <w:szCs w:val="24"/>
      <w:lang w:val="zh-CN"/>
    </w:rPr>
  </w:style>
  <w:style w:type="paragraph" w:styleId="63">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64">
    <w:name w:val="正文文本缩进 Char"/>
    <w:basedOn w:val="27"/>
    <w:link w:val="7"/>
    <w:semiHidden/>
    <w:qFormat/>
    <w:uiPriority w:val="99"/>
  </w:style>
  <w:style w:type="character" w:customStyle="1" w:styleId="65">
    <w:name w:val="正文首行缩进 2 Char"/>
    <w:basedOn w:val="64"/>
    <w:link w:val="24"/>
    <w:semiHidden/>
    <w:qFormat/>
    <w:uiPriority w:val="99"/>
  </w:style>
  <w:style w:type="paragraph" w:customStyle="1" w:styleId="66">
    <w:name w:val="总标题"/>
    <w:basedOn w:val="39"/>
    <w:link w:val="67"/>
    <w:qFormat/>
    <w:uiPriority w:val="0"/>
    <w:pPr>
      <w:ind w:firstLine="480"/>
    </w:pPr>
    <w:rPr>
      <w:rFonts w:cs="方正仿宋简体"/>
      <w:bCs/>
    </w:rPr>
  </w:style>
  <w:style w:type="character" w:customStyle="1" w:styleId="67">
    <w:name w:val="总标题 字符"/>
    <w:basedOn w:val="40"/>
    <w:link w:val="66"/>
    <w:qFormat/>
    <w:uiPriority w:val="0"/>
    <w:rPr>
      <w:rFonts w:ascii="Times New Roman" w:hAnsi="Times New Roman" w:eastAsia="宋体" w:cs="方正仿宋简体"/>
      <w:bCs/>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D493F2-7313-485C-B814-28FA8636ADAA}">
  <ds:schemaRefs/>
</ds:datastoreItem>
</file>

<file path=docProps/app.xml><?xml version="1.0" encoding="utf-8"?>
<Properties xmlns="http://schemas.openxmlformats.org/officeDocument/2006/extended-properties" xmlns:vt="http://schemas.openxmlformats.org/officeDocument/2006/docPropsVTypes">
  <Template>Normal</Template>
  <Pages>26</Pages>
  <Words>2577</Words>
  <Characters>14695</Characters>
  <Lines>122</Lines>
  <Paragraphs>34</Paragraphs>
  <TotalTime>107</TotalTime>
  <ScaleCrop>false</ScaleCrop>
  <LinksUpToDate>false</LinksUpToDate>
  <CharactersWithSpaces>17238</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2024-07-25T10:56:00Z</dcterms:created>
  <dc:creator>Administrator</dc:creator>
  <cp:lastModifiedBy>Administrator</cp:lastModifiedBy>
  <cp:lastPrinted>2018-04-17T08:16:00Z</cp:lastPrinted>
  <dcterms:modified xsi:type="dcterms:W3CDTF">2024-07-30T01:42:27Z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id="LcMjNekG"/&gt;&lt;style id="http://www.zotero.org/styles/china-national-standard-gb-t-7714-2015-numeric" hasBibliography="1" bibliographyStyleHasBeenSet="1"/&gt;&lt;prefs&gt;&lt;pref name="fieldType" value="Field"</vt:lpwstr>
  </property>
  <property fmtid="{D5CDD505-2E9C-101B-9397-08002B2CF9AE}" pid="3" name="ZOTERO_PREF_2">
    <vt:lpwstr>/&gt;&lt;/prefs&gt;&lt;/data&gt;</vt:lpwstr>
  </property>
  <property fmtid="{D5CDD505-2E9C-101B-9397-08002B2CF9AE}" pid="4" name="KSOProductBuildVer">
    <vt:lpwstr>2052-11.1.0.9740</vt:lpwstr>
  </property>
</Properties>
</file>