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1"/>
        <w:rPr>
          <w:rFonts w:ascii="Helvetica" w:hAnsi="Helvetica" w:eastAsia="宋体" w:cs="Helvetica"/>
          <w:b/>
          <w:bCs/>
          <w:kern w:val="0"/>
          <w:sz w:val="45"/>
          <w:szCs w:val="45"/>
        </w:rPr>
      </w:pPr>
      <w:r>
        <w:rPr>
          <w:rFonts w:ascii="Helvetica" w:hAnsi="Helvetica" w:eastAsia="宋体" w:cs="Helvetica"/>
          <w:b/>
          <w:bCs/>
          <w:kern w:val="0"/>
          <w:sz w:val="45"/>
          <w:szCs w:val="45"/>
        </w:rPr>
        <w:t>怀化市</w:t>
      </w:r>
      <w:r>
        <w:rPr>
          <w:rFonts w:hint="eastAsia" w:ascii="Helvetica" w:hAnsi="Helvetica" w:eastAsia="宋体" w:cs="Helvetica"/>
          <w:b/>
          <w:bCs/>
          <w:kern w:val="0"/>
          <w:sz w:val="45"/>
          <w:szCs w:val="45"/>
        </w:rPr>
        <w:t>人民</w:t>
      </w:r>
      <w:r>
        <w:rPr>
          <w:rFonts w:ascii="Helvetica" w:hAnsi="Helvetica" w:eastAsia="宋体" w:cs="Helvetica"/>
          <w:b/>
          <w:bCs/>
          <w:kern w:val="0"/>
          <w:sz w:val="45"/>
          <w:szCs w:val="45"/>
        </w:rPr>
        <w:t>政府驻长沙办事处</w:t>
      </w:r>
    </w:p>
    <w:p>
      <w:pPr>
        <w:widowControl/>
        <w:jc w:val="center"/>
        <w:outlineLvl w:val="1"/>
        <w:rPr>
          <w:rFonts w:ascii="Helvetica" w:hAnsi="Helvetica" w:eastAsia="宋体" w:cs="Helvetica"/>
          <w:b/>
          <w:bCs/>
          <w:kern w:val="0"/>
          <w:sz w:val="45"/>
          <w:szCs w:val="45"/>
        </w:rPr>
      </w:pPr>
      <w:r>
        <w:rPr>
          <w:rFonts w:ascii="Helvetica" w:hAnsi="Helvetica" w:eastAsia="宋体" w:cs="Helvetica"/>
          <w:b/>
          <w:bCs/>
          <w:kern w:val="0"/>
          <w:sz w:val="45"/>
          <w:szCs w:val="45"/>
        </w:rPr>
        <w:t>20</w:t>
      </w:r>
      <w:r>
        <w:rPr>
          <w:rFonts w:hint="eastAsia" w:ascii="Helvetica" w:hAnsi="Helvetica" w:eastAsia="宋体" w:cs="Helvetica"/>
          <w:b/>
          <w:bCs/>
          <w:kern w:val="0"/>
          <w:sz w:val="45"/>
          <w:szCs w:val="45"/>
        </w:rPr>
        <w:t>22年度</w:t>
      </w:r>
      <w:r>
        <w:rPr>
          <w:rFonts w:ascii="Helvetica" w:hAnsi="Helvetica" w:eastAsia="宋体" w:cs="Helvetica"/>
          <w:b/>
          <w:bCs/>
          <w:kern w:val="0"/>
          <w:sz w:val="45"/>
          <w:szCs w:val="45"/>
        </w:rPr>
        <w:t>部门预算公开说明</w:t>
      </w:r>
    </w:p>
    <w:p>
      <w:pPr>
        <w:widowControl/>
        <w:spacing w:line="500" w:lineRule="auto"/>
        <w:ind w:firstLine="627" w:firstLineChars="196"/>
        <w:jc w:val="left"/>
        <w:rPr>
          <w:rFonts w:eastAsia="黑体"/>
          <w:bCs/>
          <w:kern w:val="0"/>
          <w:sz w:val="32"/>
          <w:szCs w:val="32"/>
        </w:rPr>
      </w:pPr>
    </w:p>
    <w:p>
      <w:pPr>
        <w:widowControl/>
        <w:spacing w:line="500" w:lineRule="auto"/>
        <w:ind w:firstLine="627" w:firstLineChars="196"/>
        <w:jc w:val="center"/>
        <w:rPr>
          <w:rFonts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</w:rPr>
        <w:t>目  录</w:t>
      </w:r>
    </w:p>
    <w:p>
      <w:pPr>
        <w:widowControl/>
        <w:spacing w:line="500" w:lineRule="auto"/>
        <w:ind w:firstLine="627" w:firstLineChars="196"/>
        <w:jc w:val="left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</w:rPr>
        <w:t>第一部分 2022年部门预算说明</w:t>
      </w:r>
    </w:p>
    <w:p>
      <w:pPr>
        <w:widowControl/>
        <w:spacing w:line="500" w:lineRule="auto"/>
        <w:ind w:firstLine="627" w:firstLineChars="196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一、部门</w:t>
      </w:r>
      <w:r>
        <w:rPr>
          <w:rFonts w:hint="eastAsia" w:ascii="仿宋" w:hAnsi="仿宋" w:eastAsia="仿宋" w:cs="仿宋"/>
          <w:sz w:val="32"/>
          <w:szCs w:val="32"/>
        </w:rPr>
        <w:t>基本概况</w:t>
      </w:r>
    </w:p>
    <w:p>
      <w:pPr>
        <w:widowControl/>
        <w:spacing w:line="500" w:lineRule="auto"/>
        <w:ind w:firstLine="627" w:firstLineChars="196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（一）部门职责</w:t>
      </w:r>
    </w:p>
    <w:p>
      <w:pPr>
        <w:widowControl/>
        <w:spacing w:line="500" w:lineRule="auto"/>
        <w:ind w:firstLine="627" w:firstLineChars="196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（二）机构设置情况</w:t>
      </w:r>
    </w:p>
    <w:p>
      <w:pPr>
        <w:widowControl/>
        <w:spacing w:line="500" w:lineRule="auto"/>
        <w:ind w:firstLine="627" w:firstLineChars="196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二、部门预算单位构成</w:t>
      </w:r>
    </w:p>
    <w:p>
      <w:pPr>
        <w:widowControl/>
        <w:spacing w:line="500" w:lineRule="auto"/>
        <w:ind w:firstLine="627" w:firstLineChars="196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部门收支总体情况</w:t>
      </w:r>
    </w:p>
    <w:p>
      <w:pPr>
        <w:widowControl/>
        <w:spacing w:line="500" w:lineRule="auto"/>
        <w:ind w:firstLine="627" w:firstLineChars="196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四、一般公共预算财政拨款支出情况</w:t>
      </w:r>
    </w:p>
    <w:p>
      <w:pPr>
        <w:widowControl/>
        <w:spacing w:line="500" w:lineRule="auto"/>
        <w:ind w:firstLine="627" w:firstLineChars="196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五、政府性基金支出情况</w:t>
      </w:r>
    </w:p>
    <w:p>
      <w:pPr>
        <w:widowControl/>
        <w:spacing w:line="500" w:lineRule="auto"/>
        <w:ind w:firstLine="627" w:firstLineChars="196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六、其他重要事项的情况说明</w:t>
      </w:r>
    </w:p>
    <w:p>
      <w:pPr>
        <w:widowControl/>
        <w:numPr>
          <w:ilvl w:val="0"/>
          <w:numId w:val="1"/>
        </w:numPr>
        <w:spacing w:line="500" w:lineRule="auto"/>
        <w:ind w:firstLine="66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“三公”经费</w:t>
      </w:r>
    </w:p>
    <w:p>
      <w:pPr>
        <w:widowControl/>
        <w:numPr>
          <w:ilvl w:val="0"/>
          <w:numId w:val="1"/>
        </w:numPr>
        <w:spacing w:line="500" w:lineRule="auto"/>
        <w:ind w:firstLine="66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机关运行经费</w:t>
      </w:r>
    </w:p>
    <w:p>
      <w:pPr>
        <w:numPr>
          <w:ilvl w:val="0"/>
          <w:numId w:val="1"/>
        </w:numPr>
        <w:ind w:firstLine="66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政府采购情况</w:t>
      </w:r>
    </w:p>
    <w:p>
      <w:pPr>
        <w:widowControl/>
        <w:spacing w:line="500" w:lineRule="auto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（四）预算绩效管理情况</w:t>
      </w:r>
    </w:p>
    <w:p>
      <w:pPr>
        <w:widowControl/>
        <w:spacing w:line="500" w:lineRule="auto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（五） 国有资产占用情况</w:t>
      </w:r>
    </w:p>
    <w:p>
      <w:pPr>
        <w:widowControl/>
        <w:spacing w:line="500" w:lineRule="auto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（六）一般性支出情况</w:t>
      </w:r>
    </w:p>
    <w:p>
      <w:pPr>
        <w:widowControl/>
        <w:spacing w:line="50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七、专业名词解释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第二部分 2022年部门预算表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1、部门收支总表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2、部门收入总表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3、部门支出总表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4、财政拨款收支总表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5、一般公共预算支出表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6、一般公共预算基本支出表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7、一般公共预算“三公”经费支出表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8、政府性基金预算支出表</w:t>
      </w:r>
    </w:p>
    <w:p>
      <w:pPr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9、国有资本经营预算支出表</w:t>
      </w:r>
    </w:p>
    <w:p>
      <w:pPr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10、项目支出绩效目标表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11、部门整体支出绩效目标表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注：以上部门预算报表中，空表表示本部门无相关收支情况 。</w:t>
      </w:r>
    </w:p>
    <w:p>
      <w:pPr>
        <w:ind w:firstLine="640" w:firstLineChars="200"/>
        <w:rPr>
          <w:rFonts w:eastAsia="仿宋_GB2312"/>
          <w:sz w:val="32"/>
          <w:szCs w:val="32"/>
        </w:rPr>
      </w:pPr>
    </w:p>
    <w:p>
      <w:pPr>
        <w:widowControl/>
        <w:spacing w:line="480" w:lineRule="auto"/>
        <w:ind w:firstLine="480"/>
        <w:rPr>
          <w:rFonts w:ascii="宋体" w:hAnsi="宋体" w:eastAsia="宋体" w:cs="Helvetica"/>
          <w:color w:val="3D3D3D"/>
          <w:kern w:val="0"/>
          <w:sz w:val="28"/>
          <w:szCs w:val="28"/>
        </w:rPr>
      </w:pPr>
    </w:p>
    <w:p>
      <w:pPr>
        <w:widowControl/>
        <w:spacing w:line="480" w:lineRule="auto"/>
        <w:ind w:firstLine="480"/>
        <w:rPr>
          <w:rFonts w:ascii="宋体" w:hAnsi="宋体" w:eastAsia="宋体" w:cs="Helvetica"/>
          <w:color w:val="3D3D3D"/>
          <w:kern w:val="0"/>
          <w:sz w:val="28"/>
          <w:szCs w:val="28"/>
        </w:rPr>
      </w:pPr>
    </w:p>
    <w:p>
      <w:pPr>
        <w:widowControl/>
        <w:spacing w:line="480" w:lineRule="auto"/>
        <w:ind w:firstLine="480"/>
        <w:rPr>
          <w:rFonts w:ascii="宋体" w:hAnsi="宋体" w:eastAsia="宋体" w:cs="Helvetica"/>
          <w:color w:val="3D3D3D"/>
          <w:kern w:val="0"/>
          <w:sz w:val="28"/>
          <w:szCs w:val="28"/>
        </w:rPr>
      </w:pPr>
    </w:p>
    <w:p>
      <w:pPr>
        <w:widowControl/>
        <w:spacing w:line="480" w:lineRule="auto"/>
        <w:ind w:firstLine="480"/>
        <w:rPr>
          <w:rFonts w:ascii="宋体" w:hAnsi="宋体" w:eastAsia="宋体" w:cs="Helvetica"/>
          <w:color w:val="3D3D3D"/>
          <w:kern w:val="0"/>
          <w:sz w:val="28"/>
          <w:szCs w:val="28"/>
        </w:rPr>
      </w:pPr>
    </w:p>
    <w:p>
      <w:pPr>
        <w:widowControl/>
        <w:spacing w:line="480" w:lineRule="auto"/>
        <w:ind w:firstLine="480"/>
        <w:rPr>
          <w:rFonts w:ascii="宋体" w:hAnsi="宋体" w:eastAsia="宋体" w:cs="Helvetica"/>
          <w:color w:val="3D3D3D"/>
          <w:kern w:val="0"/>
          <w:sz w:val="28"/>
          <w:szCs w:val="28"/>
        </w:rPr>
      </w:pPr>
    </w:p>
    <w:p>
      <w:pPr>
        <w:widowControl/>
        <w:spacing w:line="480" w:lineRule="auto"/>
        <w:ind w:firstLine="480"/>
        <w:rPr>
          <w:rFonts w:ascii="宋体" w:hAnsi="宋体" w:eastAsia="宋体" w:cs="Helvetica"/>
          <w:color w:val="3D3D3D"/>
          <w:kern w:val="0"/>
          <w:sz w:val="28"/>
          <w:szCs w:val="28"/>
        </w:rPr>
      </w:pPr>
    </w:p>
    <w:p>
      <w:pPr>
        <w:widowControl/>
        <w:spacing w:line="480" w:lineRule="auto"/>
        <w:ind w:firstLine="480"/>
        <w:rPr>
          <w:rFonts w:ascii="宋体" w:hAnsi="宋体" w:eastAsia="宋体" w:cs="Helvetica"/>
          <w:color w:val="3D3D3D"/>
          <w:kern w:val="0"/>
          <w:sz w:val="28"/>
          <w:szCs w:val="28"/>
        </w:rPr>
      </w:pPr>
    </w:p>
    <w:p>
      <w:pPr>
        <w:widowControl/>
        <w:spacing w:line="480" w:lineRule="auto"/>
        <w:ind w:firstLine="480"/>
        <w:rPr>
          <w:rFonts w:ascii="宋体" w:hAnsi="宋体" w:eastAsia="宋体" w:cs="Helvetica"/>
          <w:color w:val="3D3D3D"/>
          <w:kern w:val="0"/>
          <w:sz w:val="28"/>
          <w:szCs w:val="28"/>
        </w:rPr>
      </w:pPr>
    </w:p>
    <w:p>
      <w:pPr>
        <w:widowControl/>
        <w:jc w:val="center"/>
        <w:outlineLvl w:val="1"/>
        <w:rPr>
          <w:rFonts w:ascii="Helvetica" w:hAnsi="Helvetica" w:eastAsia="宋体" w:cs="Helvetica"/>
          <w:b/>
          <w:bCs/>
          <w:kern w:val="0"/>
          <w:sz w:val="45"/>
          <w:szCs w:val="45"/>
        </w:rPr>
      </w:pPr>
      <w:r>
        <w:rPr>
          <w:rFonts w:ascii="Helvetica" w:hAnsi="Helvetica" w:eastAsia="宋体" w:cs="Helvetica"/>
          <w:b/>
          <w:bCs/>
          <w:kern w:val="0"/>
          <w:sz w:val="45"/>
          <w:szCs w:val="45"/>
        </w:rPr>
        <w:t>怀化市</w:t>
      </w:r>
      <w:r>
        <w:rPr>
          <w:rFonts w:hint="eastAsia" w:ascii="Helvetica" w:hAnsi="Helvetica" w:eastAsia="宋体" w:cs="Helvetica"/>
          <w:b/>
          <w:bCs/>
          <w:kern w:val="0"/>
          <w:sz w:val="45"/>
          <w:szCs w:val="45"/>
        </w:rPr>
        <w:t>人民</w:t>
      </w:r>
      <w:r>
        <w:rPr>
          <w:rFonts w:ascii="Helvetica" w:hAnsi="Helvetica" w:eastAsia="宋体" w:cs="Helvetica"/>
          <w:b/>
          <w:bCs/>
          <w:kern w:val="0"/>
          <w:sz w:val="45"/>
          <w:szCs w:val="45"/>
        </w:rPr>
        <w:t>政府驻长沙办事处</w:t>
      </w:r>
    </w:p>
    <w:p>
      <w:pPr>
        <w:widowControl/>
        <w:jc w:val="center"/>
        <w:outlineLvl w:val="1"/>
        <w:rPr>
          <w:rFonts w:ascii="Helvetica" w:hAnsi="Helvetica" w:eastAsia="宋体" w:cs="Helvetica"/>
          <w:b/>
          <w:bCs/>
          <w:kern w:val="0"/>
          <w:sz w:val="45"/>
          <w:szCs w:val="45"/>
        </w:rPr>
      </w:pPr>
      <w:r>
        <w:rPr>
          <w:rFonts w:ascii="Helvetica" w:hAnsi="Helvetica" w:eastAsia="宋体" w:cs="Helvetica"/>
          <w:b/>
          <w:bCs/>
          <w:kern w:val="0"/>
          <w:sz w:val="45"/>
          <w:szCs w:val="45"/>
        </w:rPr>
        <w:t>20</w:t>
      </w:r>
      <w:r>
        <w:rPr>
          <w:rFonts w:hint="eastAsia" w:ascii="Helvetica" w:hAnsi="Helvetica" w:eastAsia="宋体" w:cs="Helvetica"/>
          <w:b/>
          <w:bCs/>
          <w:kern w:val="0"/>
          <w:sz w:val="45"/>
          <w:szCs w:val="45"/>
        </w:rPr>
        <w:t>22年度</w:t>
      </w:r>
      <w:r>
        <w:rPr>
          <w:rFonts w:ascii="Helvetica" w:hAnsi="Helvetica" w:eastAsia="宋体" w:cs="Helvetica"/>
          <w:b/>
          <w:bCs/>
          <w:kern w:val="0"/>
          <w:sz w:val="45"/>
          <w:szCs w:val="45"/>
        </w:rPr>
        <w:t>部门预算公开说明</w:t>
      </w:r>
    </w:p>
    <w:p>
      <w:pPr>
        <w:widowControl/>
        <w:spacing w:line="480" w:lineRule="auto"/>
        <w:ind w:firstLine="480"/>
        <w:rPr>
          <w:rFonts w:ascii="宋体" w:hAnsi="宋体" w:eastAsia="宋体" w:cs="Helvetica"/>
          <w:color w:val="3D3D3D"/>
          <w:kern w:val="0"/>
          <w:sz w:val="28"/>
          <w:szCs w:val="28"/>
        </w:rPr>
      </w:pPr>
    </w:p>
    <w:p>
      <w:pPr>
        <w:widowControl/>
        <w:spacing w:line="360" w:lineRule="auto"/>
        <w:ind w:firstLine="480"/>
        <w:rPr>
          <w:rFonts w:ascii="黑体" w:hAnsi="黑体" w:eastAsia="黑体" w:cs="黑体"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D3D3D"/>
          <w:kern w:val="0"/>
          <w:sz w:val="32"/>
          <w:szCs w:val="32"/>
        </w:rPr>
        <w:t>一、部门基本概况</w:t>
      </w:r>
    </w:p>
    <w:p>
      <w:pPr>
        <w:widowControl/>
        <w:spacing w:line="360" w:lineRule="auto"/>
        <w:ind w:firstLine="480"/>
        <w:rPr>
          <w:rFonts w:hint="eastAsia" w:ascii="仿宋" w:hAnsi="仿宋" w:eastAsia="仿宋" w:cs="Helvetica"/>
          <w:b/>
          <w:bCs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b/>
          <w:bCs/>
          <w:color w:val="3D3D3D"/>
          <w:kern w:val="0"/>
          <w:sz w:val="32"/>
          <w:szCs w:val="32"/>
        </w:rPr>
        <w:t>（一）部门职责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1、按照市委、市人民政府的要求，宣传、推介怀化，发展怀化与省会城市的经济技术合作，积极开展招商引资工作，为怀化产品输出、劳动力输出和引进资金、技术、人才及先进管理经验牵线搭桥。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2、按照市委、市政府的要求，做好与省会党政机关及邻近市区各级党政机关的政务联络、经济联系和友好往来等工作。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3、围绕市委、市人民政府的中心工作，开发信息资源，建立健全信息网络，强化信息处理手段，开展专题信息调研，为领导决策提供信息服务。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4、受市委、市政府的委托，参加有关会议；陪同或代表党政领导前往驻地职能部门办理公务、协调相关事宜；协助我市有关部门办理有关项目及政务等方面的事务。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5、负责市委、市政府在长沙的公务接待服务工作，为市直单位和各县（市、区）在长沙进行公务活动的人员提供方便。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6、负责做好怀化赴长上访人员接访劝返工作。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7、协助市政府和有关部门、企业在长沙组织各类经贸活动，为我市赴省会开展公务活动做好前期准备工作，协调我市与长沙在经济交往中的有关问题，维护好我市企业在长沙的合法权益。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8、对怀化各县级人民政府驻长沙办事处进行指导和协调，并对其党组织实行归口管理。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9、承办市委、市人民政府交办的其他事项。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b/>
          <w:bCs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b/>
          <w:bCs/>
          <w:color w:val="3D3D3D"/>
          <w:kern w:val="0"/>
          <w:sz w:val="32"/>
          <w:szCs w:val="32"/>
        </w:rPr>
        <w:t>（二）机构设置情况</w:t>
      </w:r>
    </w:p>
    <w:p>
      <w:pPr>
        <w:widowControl/>
        <w:spacing w:line="360" w:lineRule="auto"/>
        <w:ind w:firstLine="480"/>
        <w:rPr>
          <w:rFonts w:ascii="宋体" w:hAnsi="宋体" w:eastAsia="宋体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怀化市人民政府驻长沙办事处作为一级部门预算单位，内设有科室：综合科、接访维稳科、招商引资科、接待科。</w:t>
      </w:r>
    </w:p>
    <w:p>
      <w:pPr>
        <w:widowControl/>
        <w:spacing w:line="360" w:lineRule="auto"/>
        <w:ind w:firstLine="480"/>
        <w:rPr>
          <w:rFonts w:ascii="黑体" w:hAnsi="黑体" w:eastAsia="黑体" w:cs="黑体"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D3D3D"/>
          <w:kern w:val="0"/>
          <w:sz w:val="32"/>
          <w:szCs w:val="32"/>
        </w:rPr>
        <w:t>二、部门预算单位构成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纳入2022年怀化市人民政府驻长沙办事处部门预算编制范围的包括：驻长办部门本级。</w:t>
      </w:r>
    </w:p>
    <w:p>
      <w:pPr>
        <w:widowControl/>
        <w:spacing w:line="360" w:lineRule="auto"/>
        <w:ind w:firstLine="480"/>
        <w:rPr>
          <w:rFonts w:ascii="黑体" w:hAnsi="黑体" w:eastAsia="黑体" w:cs="黑体"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D3D3D"/>
          <w:kern w:val="0"/>
          <w:sz w:val="32"/>
          <w:szCs w:val="32"/>
        </w:rPr>
        <w:t>三、部门收支总体情况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2022年部门预算包括本单位预算内的收支情况。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b/>
          <w:color w:val="3D3D3D"/>
          <w:kern w:val="0"/>
          <w:sz w:val="32"/>
          <w:szCs w:val="32"/>
        </w:rPr>
        <w:t>（一）收入预算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：包括一般公共预算、政府性基金、国有资本经营预算等财政拨款收入，以及经营收入、事业收入等单位资金。2022年本部门收入预算 231.78 万元，其中，一般公共预算拨款231.78万元，政府性基金预算拨款0万元，国有资本经营预算拨款0万元，纳入财政专户管理的非税收入拨款0万元，上年结转结余0万元。收入较去年增加35.9万元，增加18.33%，主要原因是单位差额改全额5人，人员经费增加。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b/>
          <w:color w:val="3D3D3D"/>
          <w:kern w:val="0"/>
          <w:sz w:val="32"/>
          <w:szCs w:val="32"/>
        </w:rPr>
        <w:t>（二）支出预算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：2022年本部门支出预算231.78万元，其中，一般公共服务支出208.34万元，社会保障和就业支出15.45万元，卫生健康支出7.99万元。主要是工资福利支出144.98万元，商品和服务支出86.8万元。压减公用经费和专项支出后，同口径对比，支出较去年增加35.9万元，增加18.33%，主要原因是单位差额改全额5人，人员经费增加；但商品和服务支出减少，是根据中央、省以及市委市政府的相关要求，要牢固树立过“紧日子”思想，厉行勤俭节约，继续压减一般性支出。</w:t>
      </w:r>
    </w:p>
    <w:p>
      <w:pPr>
        <w:widowControl/>
        <w:spacing w:line="360" w:lineRule="auto"/>
        <w:ind w:firstLine="640" w:firstLineChars="200"/>
        <w:rPr>
          <w:rFonts w:ascii="黑体" w:hAnsi="黑体" w:eastAsia="黑体" w:cs="黑体"/>
          <w:color w:val="3D3D3D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3D3D3D"/>
          <w:kern w:val="0"/>
          <w:sz w:val="32"/>
          <w:szCs w:val="32"/>
        </w:rPr>
        <w:t>四、一般公共预算财政拨款支出情况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2022年一般公共预算拨款支出预算 231.78万元，其中，一般公共服务支出208.34万元，占89.8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%；社会保障和就业15.45万元，占6.66%；卫生健康支出7.99万元，占3.45%；节能环保支出0万元，占0%；住房保障支出0万元，占0%；其他支出0万元，占0%。具体安排如下：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（一）基本支出：2022年年初预算数为172.98万元，是指为保障单位机构正常运转、完成日常工作任务而发生的各项支出，包括用于基本工资54.83万元、津贴补贴 0.25万元、绩效工资38.94万元、住房公积金11.28万元、机关事业单位基本养老保险缴费15.04万元、职工基本医疗保险缴费7.99万元、办公费 8万元、水电费2.5万元、工会经费及福利费7.88万元、差旅费5万元，物业、手续费、培训费其他等23.52万元；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（二）项目支出：2022年年初预算数为58.8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万元，是指单位为完成特定行政工作任务或事业发展目标而发生的支出，包括有关事业发展专项、专项业务费、基本建设支出等。其中：行政运行支出12.6万元，主要用于省会维权等方面，包含办公费2.6万元、差旅费2.3万元、租赁费1.2万元、公务接待费4.5万元、劳务费2万元；一般行政管理事务支出46.2万元，主要用于“三公”经费及高铁站联络等方面，包括：委托业务费3万元、其他5.4万元、公务接待费16.8万元及公务用车运行维护费21万元。</w:t>
      </w:r>
    </w:p>
    <w:p>
      <w:pPr>
        <w:widowControl/>
        <w:spacing w:line="360" w:lineRule="auto"/>
        <w:ind w:firstLine="480"/>
        <w:rPr>
          <w:rFonts w:ascii="黑体" w:hAnsi="黑体" w:eastAsia="黑体" w:cs="黑体"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D3D3D"/>
          <w:kern w:val="0"/>
          <w:sz w:val="32"/>
          <w:szCs w:val="32"/>
        </w:rPr>
        <w:t>五、政府性基金支出情况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2022年无政府性基金预算支出。</w:t>
      </w:r>
    </w:p>
    <w:p>
      <w:pPr>
        <w:widowControl/>
        <w:spacing w:line="360" w:lineRule="auto"/>
        <w:ind w:firstLine="480"/>
        <w:rPr>
          <w:rFonts w:ascii="宋体" w:hAnsi="宋体" w:eastAsia="宋体" w:cs="Helvetica"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D3D3D"/>
          <w:kern w:val="0"/>
          <w:sz w:val="32"/>
          <w:szCs w:val="32"/>
        </w:rPr>
        <w:t>六、其他重要事项的情况说明</w:t>
      </w:r>
    </w:p>
    <w:p>
      <w:pPr>
        <w:widowControl/>
        <w:spacing w:line="360" w:lineRule="auto"/>
        <w:ind w:firstLine="480"/>
        <w:rPr>
          <w:rFonts w:ascii="宋体" w:hAnsi="宋体" w:eastAsia="宋体" w:cs="Helvetica"/>
          <w:b/>
          <w:bCs/>
          <w:color w:val="3D3D3D"/>
          <w:kern w:val="0"/>
          <w:sz w:val="32"/>
          <w:szCs w:val="32"/>
        </w:rPr>
      </w:pPr>
      <w:r>
        <w:rPr>
          <w:rFonts w:hint="eastAsia" w:ascii="宋体" w:hAnsi="宋体" w:eastAsia="宋体" w:cs="Helvetica"/>
          <w:b/>
          <w:bCs/>
          <w:color w:val="3D3D3D"/>
          <w:kern w:val="0"/>
          <w:sz w:val="32"/>
          <w:szCs w:val="32"/>
        </w:rPr>
        <w:t>（一）“三公”经费预算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2022年怀化市人民政府驻长沙办事处部门安排“三公”经费预算数为59.4万元，其中，公务接待费28.4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万元，公务用车购置费0万元，公务用车运行费31万元，因公出国（境）费0万元。2022年“三公”经费预算较上年持平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主要是厉行节约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。</w:t>
      </w:r>
    </w:p>
    <w:p>
      <w:pPr>
        <w:widowControl/>
        <w:spacing w:line="360" w:lineRule="auto"/>
        <w:ind w:firstLine="480"/>
        <w:rPr>
          <w:rFonts w:ascii="宋体" w:hAnsi="宋体" w:eastAsia="宋体" w:cs="Helvetica"/>
          <w:b/>
          <w:bCs/>
          <w:color w:val="3D3D3D"/>
          <w:kern w:val="0"/>
          <w:sz w:val="32"/>
          <w:szCs w:val="32"/>
        </w:rPr>
      </w:pPr>
      <w:r>
        <w:rPr>
          <w:rFonts w:hint="eastAsia" w:ascii="宋体" w:hAnsi="宋体" w:eastAsia="宋体" w:cs="Helvetica"/>
          <w:b/>
          <w:bCs/>
          <w:color w:val="3D3D3D"/>
          <w:kern w:val="0"/>
          <w:sz w:val="32"/>
          <w:szCs w:val="32"/>
        </w:rPr>
        <w:t>（二）机关运行经费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2022年怀化市人民政府驻长沙办事处部门机关运行经费41.89万元，压减公用经费后安排33.51万元，同口径对比，比上年预算数（25.99万元）增加7.52万元，上升28.93%，主要因为今年差额改全额5人，人员经费有所增加。主要用于：工会经费及福利费7.88万元、办公费支出8万元；差旅费支出5万元；水电费2.5万元；培训费支出2万元；其他商品和服务支出12.01万元；维修（护）费支出3万元；手续费支出0.5万元。</w:t>
      </w:r>
    </w:p>
    <w:p>
      <w:pPr>
        <w:widowControl/>
        <w:spacing w:line="360" w:lineRule="auto"/>
        <w:ind w:firstLine="480"/>
        <w:rPr>
          <w:rFonts w:ascii="宋体" w:hAnsi="宋体" w:eastAsia="宋体" w:cs="Helvetica"/>
          <w:kern w:val="0"/>
          <w:sz w:val="32"/>
          <w:szCs w:val="32"/>
        </w:rPr>
      </w:pPr>
      <w:r>
        <w:rPr>
          <w:rFonts w:hint="eastAsia" w:ascii="宋体" w:hAnsi="宋体" w:eastAsia="宋体" w:cs="Helvetica"/>
          <w:b/>
          <w:bCs/>
          <w:kern w:val="0"/>
          <w:sz w:val="32"/>
          <w:szCs w:val="32"/>
        </w:rPr>
        <w:t>（三）政府采购情况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2022年本部门政府采购预算总额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万元，其中，货物类采购预算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万元；工程类采购预算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 xml:space="preserve">万元；服务类采购预算   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万元。</w:t>
      </w:r>
    </w:p>
    <w:p>
      <w:pPr>
        <w:widowControl/>
        <w:spacing w:line="360" w:lineRule="auto"/>
        <w:ind w:firstLine="480"/>
        <w:rPr>
          <w:rFonts w:ascii="宋体" w:hAnsi="宋体" w:eastAsia="宋体" w:cs="Helvetica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（四）预算绩效管理情况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按照市本级预算绩效管理工作的总体要求，2022年我单位整体支出231.78万元，全部实行整体支出绩效目标管理，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其中，基本支出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172.98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58.8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编报绩效目标的项目3个，涉及项目支出58.8万元，其中行政运行支出12.6万元，为驻省会长沙异地维权工作经费支出；一般行政管理事务46.2万元，其中高铁站专项经费8.4万元，专项业务（工作）经费支出37.8万元，全部实行项目支出绩效目标管理。</w:t>
      </w:r>
    </w:p>
    <w:p>
      <w:pPr>
        <w:widowControl/>
        <w:spacing w:line="360" w:lineRule="auto"/>
        <w:ind w:firstLine="480"/>
        <w:rPr>
          <w:rFonts w:ascii="宋体" w:hAnsi="宋体" w:eastAsia="宋体" w:cs="Helvetica"/>
          <w:color w:val="3D3D3D"/>
          <w:kern w:val="0"/>
          <w:sz w:val="32"/>
          <w:szCs w:val="32"/>
        </w:rPr>
      </w:pPr>
      <w:r>
        <w:rPr>
          <w:rFonts w:hint="eastAsia" w:ascii="宋体" w:hAnsi="宋体" w:eastAsia="宋体" w:cs="Helvetica"/>
          <w:b/>
          <w:bCs/>
          <w:color w:val="3D3D3D"/>
          <w:kern w:val="0"/>
          <w:sz w:val="32"/>
          <w:szCs w:val="32"/>
        </w:rPr>
        <w:t>（五） 国有资产占用情况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截至2021 年12月31日，本部门共有车辆5辆，其中，一般公务用车5辆、一般执法执勤用车0辆、特种专业技术用车0辆、其他用车0辆。单位无价值50万元以上通用设备。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2022年，本部门无新增车辆，无新增50万元以上的通用设备和专用设备。</w:t>
      </w:r>
    </w:p>
    <w:p>
      <w:pPr>
        <w:widowControl/>
        <w:spacing w:line="360" w:lineRule="auto"/>
        <w:ind w:firstLine="480"/>
        <w:rPr>
          <w:rFonts w:ascii="宋体" w:hAnsi="宋体" w:eastAsia="宋体" w:cs="Helvetica"/>
          <w:b/>
          <w:bCs/>
          <w:color w:val="3D3D3D"/>
          <w:kern w:val="0"/>
          <w:sz w:val="32"/>
          <w:szCs w:val="32"/>
        </w:rPr>
      </w:pPr>
      <w:r>
        <w:rPr>
          <w:rFonts w:hint="eastAsia" w:ascii="宋体" w:hAnsi="宋体" w:eastAsia="宋体" w:cs="Helvetica"/>
          <w:b/>
          <w:bCs/>
          <w:color w:val="3D3D3D"/>
          <w:kern w:val="0"/>
          <w:sz w:val="32"/>
          <w:szCs w:val="32"/>
        </w:rPr>
        <w:t>（六）一般性支出情况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1、2022年，本部门无会议费预算。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2、2022年，本部门培训费预算2万元，具体为：事业单位工作人员培训，内容为网上业务及理论知识学习培训，预计人数14人，预算0.5万元；党员培训，内容为党员理论知识培训，预计人数25人，预算1.5万元。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3、2022年本部门无举办节庆、晚会、论坛、赛事等预算。</w:t>
      </w:r>
    </w:p>
    <w:p>
      <w:pPr>
        <w:widowControl/>
        <w:spacing w:line="360" w:lineRule="auto"/>
        <w:ind w:firstLine="480"/>
        <w:rPr>
          <w:rFonts w:ascii="黑体" w:hAnsi="黑体" w:eastAsia="黑体" w:cs="Helvetica"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Helvetica"/>
          <w:color w:val="3D3D3D"/>
          <w:kern w:val="0"/>
          <w:sz w:val="32"/>
          <w:szCs w:val="32"/>
        </w:rPr>
        <w:t>七、专业名词解释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b/>
          <w:bCs/>
          <w:color w:val="3D3D3D"/>
          <w:kern w:val="0"/>
          <w:sz w:val="32"/>
          <w:szCs w:val="32"/>
        </w:rPr>
        <w:t>1.机关运行经费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widowControl/>
        <w:spacing w:line="360" w:lineRule="auto"/>
        <w:ind w:firstLine="480"/>
        <w:rPr>
          <w:rFonts w:ascii="仿宋" w:hAnsi="仿宋" w:eastAsia="仿宋" w:cs="Helvetica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Helvetica"/>
          <w:b/>
          <w:bCs/>
          <w:color w:val="3D3D3D"/>
          <w:kern w:val="0"/>
          <w:sz w:val="32"/>
          <w:szCs w:val="32"/>
        </w:rPr>
        <w:t>2.“三公”经费</w:t>
      </w:r>
      <w:r>
        <w:rPr>
          <w:rFonts w:hint="eastAsia" w:ascii="仿宋" w:hAnsi="仿宋" w:eastAsia="仿宋" w:cs="Helvetica"/>
          <w:color w:val="3D3D3D"/>
          <w:kern w:val="0"/>
          <w:sz w:val="32"/>
          <w:szCs w:val="32"/>
        </w:rPr>
        <w:t>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FA95D"/>
    <w:multiLevelType w:val="singleLevel"/>
    <w:tmpl w:val="5A7FA95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k4MjM4OGRjMjA1YmIwNDg3YWY0MmMwNWU4YTAwYjIifQ=="/>
  </w:docVars>
  <w:rsids>
    <w:rsidRoot w:val="00973313"/>
    <w:rsid w:val="00020617"/>
    <w:rsid w:val="000C4447"/>
    <w:rsid w:val="00150A65"/>
    <w:rsid w:val="00281B49"/>
    <w:rsid w:val="002D49F7"/>
    <w:rsid w:val="0033510D"/>
    <w:rsid w:val="00366CBB"/>
    <w:rsid w:val="00447B6D"/>
    <w:rsid w:val="00454D06"/>
    <w:rsid w:val="005A0A43"/>
    <w:rsid w:val="005B4047"/>
    <w:rsid w:val="00733234"/>
    <w:rsid w:val="007F3BC2"/>
    <w:rsid w:val="00840F63"/>
    <w:rsid w:val="008D339D"/>
    <w:rsid w:val="00973313"/>
    <w:rsid w:val="00984636"/>
    <w:rsid w:val="00987639"/>
    <w:rsid w:val="009E60BA"/>
    <w:rsid w:val="00A22D05"/>
    <w:rsid w:val="00A538D2"/>
    <w:rsid w:val="00A63642"/>
    <w:rsid w:val="00BE2F42"/>
    <w:rsid w:val="00D7008C"/>
    <w:rsid w:val="00D826E1"/>
    <w:rsid w:val="00D8619D"/>
    <w:rsid w:val="00DF2F49"/>
    <w:rsid w:val="00E12E02"/>
    <w:rsid w:val="00F43337"/>
    <w:rsid w:val="00F77148"/>
    <w:rsid w:val="08681A91"/>
    <w:rsid w:val="2FD63AEC"/>
    <w:rsid w:val="3077022C"/>
    <w:rsid w:val="59B81E8A"/>
    <w:rsid w:val="5A550B11"/>
    <w:rsid w:val="7B020C68"/>
    <w:rsid w:val="7EF5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semiHidden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3235</Words>
  <Characters>3518</Characters>
  <Lines>25</Lines>
  <Paragraphs>7</Paragraphs>
  <TotalTime>1</TotalTime>
  <ScaleCrop>false</ScaleCrop>
  <LinksUpToDate>false</LinksUpToDate>
  <CharactersWithSpaces>3534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2021-06-02T01:07:00Z</dcterms:created>
  <dc:creator>AutoBVT</dc:creator>
  <cp:lastModifiedBy>非鱼</cp:lastModifiedBy>
  <dcterms:modified xsi:type="dcterms:W3CDTF">2023-10-12T02:21:56Z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FC867FF909AC4AB3BC7DA463B8A364B7_12</vt:lpwstr>
  </property>
</Properties>
</file>