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sz w:val="48"/>
          <w:szCs w:val="48"/>
        </w:rPr>
      </w:pPr>
      <w:r>
        <w:rPr>
          <w:rFonts w:hint="eastAsia"/>
          <w:sz w:val="48"/>
          <w:szCs w:val="48"/>
          <w:lang w:eastAsia="zh-CN"/>
        </w:rPr>
        <w:t>2021</w:t>
      </w:r>
      <w:r>
        <w:rPr>
          <w:rFonts w:hint="eastAsia"/>
          <w:sz w:val="48"/>
          <w:szCs w:val="48"/>
        </w:rPr>
        <w:t>年度</w:t>
      </w:r>
      <w:r>
        <w:rPr>
          <w:rFonts w:hint="eastAsia"/>
          <w:sz w:val="48"/>
          <w:szCs w:val="48"/>
          <w:lang w:val="en-US" w:eastAsia="zh-CN"/>
        </w:rPr>
        <w:t>怀化市公共资源交易中心</w:t>
      </w:r>
      <w:r>
        <w:rPr>
          <w:rFonts w:hint="eastAsia"/>
          <w:sz w:val="48"/>
          <w:szCs w:val="48"/>
        </w:rPr>
        <w:t>部门决算</w:t>
      </w:r>
    </w:p>
    <w:p>
      <w:pPr>
        <w:pStyle w:val="10"/>
        <w:spacing w:line="500" w:lineRule="exact"/>
        <w:jc w:val="center"/>
        <w:rPr>
          <w:rFonts w:hint="eastAsia"/>
          <w:b/>
          <w:sz w:val="36"/>
          <w:szCs w:val="28"/>
        </w:rPr>
      </w:pPr>
    </w:p>
    <w:p>
      <w:pPr>
        <w:pStyle w:val="10"/>
        <w:spacing w:line="500" w:lineRule="exact"/>
        <w:jc w:val="center"/>
        <w:rPr>
          <w:b/>
          <w:sz w:val="36"/>
          <w:szCs w:val="28"/>
        </w:rPr>
      </w:pPr>
      <w:r>
        <w:rPr>
          <w:rFonts w:hint="eastAsia"/>
          <w:b/>
          <w:sz w:val="36"/>
          <w:szCs w:val="28"/>
        </w:rPr>
        <w:t>目</w:t>
      </w:r>
      <w:r>
        <w:rPr>
          <w:rFonts w:hint="eastAsia"/>
          <w:b/>
          <w:sz w:val="36"/>
          <w:szCs w:val="28"/>
          <w:lang w:val="en-US" w:eastAsia="zh-CN"/>
        </w:rPr>
        <w:t xml:space="preserve">    </w:t>
      </w:r>
      <w:r>
        <w:rPr>
          <w:rFonts w:hint="eastAsia"/>
          <w:b/>
          <w:sz w:val="36"/>
          <w:szCs w:val="28"/>
        </w:rPr>
        <w:t>录</w:t>
      </w:r>
    </w:p>
    <w:p>
      <w:pPr>
        <w:pStyle w:val="10"/>
        <w:spacing w:line="500" w:lineRule="exact"/>
        <w:rPr>
          <w:rFonts w:hint="eastAsia"/>
          <w:b/>
          <w:sz w:val="28"/>
          <w:szCs w:val="28"/>
        </w:rPr>
      </w:pPr>
    </w:p>
    <w:p>
      <w:pPr>
        <w:pStyle w:val="10"/>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val="en-US" w:eastAsia="zh-CN"/>
        </w:rPr>
        <w:t>怀化市公共资源交易中心</w:t>
      </w:r>
      <w:r>
        <w:rPr>
          <w:rFonts w:hint="eastAsia"/>
          <w:b/>
          <w:sz w:val="28"/>
          <w:szCs w:val="28"/>
        </w:rPr>
        <w:t>单位概况</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pPr>
        <w:pStyle w:val="10"/>
        <w:spacing w:line="500" w:lineRule="exact"/>
        <w:rPr>
          <w:rFonts w:ascii="仿宋_GB2312" w:hAnsi="仿宋_GB2312" w:cs="仿宋_GB2312"/>
          <w:b/>
          <w:sz w:val="28"/>
          <w:szCs w:val="28"/>
        </w:rPr>
      </w:pPr>
      <w:r>
        <w:rPr>
          <w:rFonts w:hint="eastAsia" w:hAnsi="仿宋_GB2312"/>
          <w:b/>
          <w:sz w:val="28"/>
          <w:szCs w:val="28"/>
        </w:rPr>
        <w:t>第二部分</w:t>
      </w:r>
      <w:r>
        <w:rPr>
          <w:rFonts w:hint="eastAsia" w:hAnsi="仿宋_GB2312"/>
          <w:b/>
          <w:sz w:val="28"/>
          <w:szCs w:val="28"/>
          <w:lang w:eastAsia="zh-CN"/>
        </w:rPr>
        <w:t>2021</w:t>
      </w:r>
      <w:r>
        <w:rPr>
          <w:rFonts w:hint="eastAsia" w:hAnsi="仿宋_GB2312"/>
          <w:b/>
          <w:sz w:val="28"/>
          <w:szCs w:val="28"/>
        </w:rPr>
        <w:t>年度部门决算表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pPr>
        <w:pStyle w:val="10"/>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pPr>
        <w:pStyle w:val="10"/>
        <w:spacing w:line="500" w:lineRule="exact"/>
        <w:rPr>
          <w:rFonts w:ascii="仿宋_GB2312" w:hAnsi="仿宋_GB2312" w:cs="仿宋_GB2312"/>
          <w:b/>
          <w:sz w:val="28"/>
          <w:szCs w:val="28"/>
        </w:rPr>
      </w:pPr>
      <w:r>
        <w:rPr>
          <w:rFonts w:hint="eastAsia" w:hAnsi="仿宋_GB2312"/>
          <w:b/>
          <w:sz w:val="28"/>
          <w:szCs w:val="28"/>
        </w:rPr>
        <w:t>第三部分</w:t>
      </w:r>
      <w:r>
        <w:rPr>
          <w:rFonts w:hint="eastAsia" w:hAnsi="仿宋_GB2312"/>
          <w:b/>
          <w:sz w:val="28"/>
          <w:szCs w:val="28"/>
          <w:lang w:eastAsia="zh-CN"/>
        </w:rPr>
        <w:t>2021</w:t>
      </w:r>
      <w:r>
        <w:rPr>
          <w:rFonts w:hint="eastAsia" w:hAnsi="仿宋_GB2312"/>
          <w:b/>
          <w:sz w:val="28"/>
          <w:szCs w:val="28"/>
        </w:rPr>
        <w:t>年度部门决算情况说明</w:t>
      </w:r>
    </w:p>
    <w:p>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lang w:val="en-US" w:eastAsia="zh-CN"/>
        </w:rPr>
        <w:t>国有资本经营预算财政拨款支出</w:t>
      </w:r>
      <w:r>
        <w:rPr>
          <w:rFonts w:hint="eastAsia" w:ascii="仿宋_GB2312" w:hAnsi="仿宋_GB2312" w:cs="仿宋_GB2312"/>
          <w:color w:val="000000"/>
          <w:kern w:val="0"/>
          <w:sz w:val="28"/>
          <w:szCs w:val="28"/>
        </w:rPr>
        <w:t>决算情况</w:t>
      </w:r>
      <w:r>
        <w:rPr>
          <w:rFonts w:hint="eastAsia" w:ascii="仿宋_GB2312" w:hAnsi="仿宋_GB2312" w:cs="仿宋_GB2312"/>
          <w:color w:val="000000"/>
          <w:kern w:val="0"/>
          <w:sz w:val="28"/>
          <w:szCs w:val="28"/>
          <w:lang w:val="en-US" w:eastAsia="zh-CN"/>
        </w:rPr>
        <w:t>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w:t>
      </w:r>
      <w:r>
        <w:rPr>
          <w:rFonts w:hint="eastAsia" w:ascii="仿宋_GB2312" w:hAnsi="仿宋_GB2312" w:cs="仿宋_GB2312"/>
          <w:color w:val="000000"/>
          <w:kern w:val="0"/>
          <w:sz w:val="28"/>
          <w:szCs w:val="28"/>
          <w:lang w:eastAsia="zh-CN"/>
        </w:rPr>
        <w:t>、</w:t>
      </w:r>
      <w:r>
        <w:rPr>
          <w:rFonts w:hint="eastAsia" w:ascii="仿宋_GB2312" w:hAnsi="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十一、一般性支出情况说明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eastAsiaTheme="minorEastAsia"/>
          <w:sz w:val="28"/>
          <w:szCs w:val="28"/>
        </w:rPr>
        <w:t>十二</w:t>
      </w:r>
      <w:r>
        <w:rPr>
          <w:rFonts w:hint="eastAsia" w:ascii="仿宋_GB2312" w:hAnsi="仿宋_GB2312" w:cs="仿宋_GB2312"/>
          <w:color w:val="000000"/>
          <w:kern w:val="0"/>
          <w:sz w:val="28"/>
          <w:szCs w:val="28"/>
        </w:rPr>
        <w:t>、关于政府采购支出说明</w:t>
      </w:r>
    </w:p>
    <w:p>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十三、关于国有资产占用情况说明</w:t>
      </w:r>
    </w:p>
    <w:p>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lang w:val="en-US" w:eastAsia="zh-CN"/>
        </w:rPr>
        <w:t>十四</w:t>
      </w:r>
      <w:r>
        <w:rPr>
          <w:rFonts w:hint="eastAsia" w:ascii="仿宋_GB2312" w:hAnsi="仿宋_GB2312" w:cs="仿宋_GB2312" w:eastAsiaTheme="minorEastAsia"/>
          <w:sz w:val="28"/>
          <w:szCs w:val="28"/>
        </w:rPr>
        <w:t>、关</w:t>
      </w:r>
      <w:r>
        <w:rPr>
          <w:rFonts w:hint="eastAsia" w:cs="仿宋_GB2312" w:asciiTheme="minorEastAsia" w:hAnsiTheme="minorEastAsia" w:eastAsiaTheme="minorEastAsia"/>
          <w:sz w:val="28"/>
          <w:szCs w:val="28"/>
        </w:rPr>
        <w:t>于</w:t>
      </w:r>
      <w:r>
        <w:rPr>
          <w:rFonts w:hint="eastAsia" w:cs="仿宋_GB2312" w:asciiTheme="minorEastAsia" w:hAnsiTheme="minorEastAsia" w:eastAsiaTheme="minorEastAsia"/>
          <w:sz w:val="28"/>
          <w:szCs w:val="28"/>
          <w:lang w:eastAsia="zh-CN"/>
        </w:rPr>
        <w:t>2021</w:t>
      </w:r>
      <w:r>
        <w:rPr>
          <w:rFonts w:hint="eastAsia" w:cs="仿宋_GB2312" w:asciiTheme="minorEastAsia" w:hAnsiTheme="minorEastAsia" w:eastAsiaTheme="minorEastAsia"/>
          <w:sz w:val="28"/>
          <w:szCs w:val="28"/>
        </w:rPr>
        <w:t>年</w:t>
      </w:r>
      <w:r>
        <w:rPr>
          <w:rFonts w:hint="eastAsia" w:ascii="仿宋_GB2312" w:hAnsi="仿宋_GB2312" w:cs="仿宋_GB2312" w:eastAsiaTheme="minorEastAsia"/>
          <w:sz w:val="28"/>
          <w:szCs w:val="28"/>
        </w:rPr>
        <w:t>度预算绩效情况的说明</w:t>
      </w:r>
    </w:p>
    <w:p>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10"/>
        <w:jc w:val="center"/>
        <w:rPr>
          <w:rFonts w:hint="eastAsia"/>
          <w:sz w:val="84"/>
          <w:szCs w:val="84"/>
        </w:rPr>
      </w:pPr>
    </w:p>
    <w:p>
      <w:pPr>
        <w:pStyle w:val="10"/>
        <w:jc w:val="center"/>
        <w:rPr>
          <w:rFonts w:hint="eastAsia"/>
          <w:sz w:val="84"/>
          <w:szCs w:val="84"/>
        </w:rPr>
      </w:pPr>
    </w:p>
    <w:p>
      <w:pPr>
        <w:pStyle w:val="10"/>
        <w:jc w:val="center"/>
        <w:rPr>
          <w:rFonts w:hint="eastAsia"/>
          <w:sz w:val="84"/>
          <w:szCs w:val="84"/>
        </w:rPr>
      </w:pPr>
    </w:p>
    <w:p>
      <w:pPr>
        <w:pStyle w:val="10"/>
        <w:jc w:val="center"/>
        <w:rPr>
          <w:rFonts w:hint="eastAsia"/>
          <w:sz w:val="84"/>
          <w:szCs w:val="84"/>
        </w:rPr>
      </w:pPr>
    </w:p>
    <w:p>
      <w:pPr>
        <w:pStyle w:val="10"/>
        <w:jc w:val="center"/>
        <w:rPr>
          <w:rFonts w:hint="eastAsia"/>
          <w:sz w:val="84"/>
          <w:szCs w:val="84"/>
        </w:rPr>
      </w:pPr>
    </w:p>
    <w:p>
      <w:pPr>
        <w:pStyle w:val="10"/>
        <w:jc w:val="center"/>
        <w:rPr>
          <w:sz w:val="48"/>
          <w:szCs w:val="48"/>
        </w:rPr>
      </w:pPr>
      <w:r>
        <w:rPr>
          <w:rFonts w:hint="eastAsia"/>
          <w:sz w:val="48"/>
          <w:szCs w:val="48"/>
        </w:rPr>
        <w:t>第一部分</w:t>
      </w:r>
      <w:r>
        <w:rPr>
          <w:sz w:val="48"/>
          <w:szCs w:val="48"/>
        </w:rPr>
        <w:t xml:space="preserve"> </w:t>
      </w:r>
    </w:p>
    <w:p>
      <w:pPr>
        <w:pStyle w:val="10"/>
        <w:jc w:val="center"/>
        <w:rPr>
          <w:sz w:val="48"/>
          <w:szCs w:val="48"/>
        </w:rPr>
      </w:pPr>
      <w:r>
        <w:rPr>
          <w:rFonts w:hint="eastAsia"/>
          <w:sz w:val="48"/>
          <w:szCs w:val="48"/>
          <w:lang w:val="en-US" w:eastAsia="zh-CN"/>
        </w:rPr>
        <w:t>怀化市公共资源交易中心</w:t>
      </w:r>
      <w:r>
        <w:rPr>
          <w:rFonts w:hint="eastAsia"/>
          <w:sz w:val="48"/>
          <w:szCs w:val="48"/>
        </w:rPr>
        <w:t>概况</w:t>
      </w:r>
    </w:p>
    <w:p>
      <w:pPr>
        <w:pStyle w:val="11"/>
        <w:numPr>
          <w:ilvl w:val="0"/>
          <w:numId w:val="1"/>
        </w:numPr>
        <w:ind w:firstLineChars="0"/>
        <w:jc w:val="left"/>
        <w:rPr>
          <w:rFonts w:ascii="黑体" w:hAnsi="黑体" w:eastAsia="黑体"/>
          <w:sz w:val="32"/>
          <w:szCs w:val="32"/>
        </w:rPr>
      </w:pPr>
      <w:r>
        <w:rPr>
          <w:rFonts w:ascii="黑体" w:hAnsi="黑体" w:eastAsia="黑体"/>
          <w:sz w:val="32"/>
          <w:szCs w:val="32"/>
        </w:rPr>
        <w:t>部门职责</w:t>
      </w:r>
    </w:p>
    <w:p>
      <w:pPr>
        <w:widowControl/>
        <w:spacing w:line="500" w:lineRule="auto"/>
        <w:ind w:firstLine="627" w:firstLineChars="196"/>
        <w:jc w:val="left"/>
        <w:rPr>
          <w:rFonts w:hint="eastAsia" w:asciiTheme="minorEastAsia" w:hAnsiTheme="minorEastAsia"/>
          <w:bCs/>
          <w:kern w:val="0"/>
          <w:sz w:val="32"/>
          <w:szCs w:val="32"/>
          <w:lang w:val="en-US" w:eastAsia="zh-CN"/>
        </w:rPr>
      </w:pPr>
      <w:r>
        <w:rPr>
          <w:rFonts w:hint="eastAsia" w:asciiTheme="minorEastAsia" w:hAnsiTheme="minorEastAsia"/>
          <w:bCs/>
          <w:kern w:val="0"/>
          <w:sz w:val="32"/>
          <w:szCs w:val="32"/>
          <w:lang w:val="en-US" w:eastAsia="zh-CN"/>
        </w:rPr>
        <w:t>1、贯彻执行国家和省有关公共资源交易的方针政策和法律法规，为市场主体、社会公众、行政监督管理部门提供综合服务。</w:t>
      </w:r>
    </w:p>
    <w:p>
      <w:pPr>
        <w:widowControl/>
        <w:spacing w:line="500" w:lineRule="auto"/>
        <w:ind w:firstLine="627" w:firstLineChars="196"/>
        <w:jc w:val="left"/>
        <w:rPr>
          <w:rFonts w:hint="eastAsia" w:asciiTheme="minorEastAsia" w:hAnsiTheme="minorEastAsia"/>
          <w:bCs/>
          <w:kern w:val="0"/>
          <w:sz w:val="32"/>
          <w:szCs w:val="32"/>
          <w:lang w:val="en-US" w:eastAsia="zh-CN"/>
        </w:rPr>
      </w:pPr>
      <w:r>
        <w:rPr>
          <w:rFonts w:hint="eastAsia" w:asciiTheme="minorEastAsia" w:hAnsiTheme="minorEastAsia"/>
          <w:bCs/>
          <w:kern w:val="0"/>
          <w:sz w:val="32"/>
          <w:szCs w:val="32"/>
          <w:lang w:val="en-US" w:eastAsia="zh-CN"/>
        </w:rPr>
        <w:t>2、为公共资源交易平台提供运行服务。</w:t>
      </w:r>
    </w:p>
    <w:p>
      <w:pPr>
        <w:widowControl/>
        <w:spacing w:line="500" w:lineRule="auto"/>
        <w:ind w:firstLine="627" w:firstLineChars="196"/>
        <w:jc w:val="left"/>
        <w:rPr>
          <w:rFonts w:hint="eastAsia" w:asciiTheme="minorEastAsia" w:hAnsiTheme="minorEastAsia"/>
          <w:bCs/>
          <w:kern w:val="0"/>
          <w:sz w:val="32"/>
          <w:szCs w:val="32"/>
          <w:lang w:val="en-US" w:eastAsia="zh-CN"/>
        </w:rPr>
      </w:pPr>
      <w:r>
        <w:rPr>
          <w:rFonts w:hint="eastAsia" w:asciiTheme="minorEastAsia" w:hAnsiTheme="minorEastAsia"/>
          <w:bCs/>
          <w:kern w:val="0"/>
          <w:sz w:val="32"/>
          <w:szCs w:val="32"/>
          <w:lang w:val="en-US" w:eastAsia="zh-CN"/>
        </w:rPr>
        <w:t>3、承担工程交易、政府采购交易、产权交易和自然资源交易相关服务工作；提供交易活动所必要的场所、设施和服务。</w:t>
      </w:r>
    </w:p>
    <w:p>
      <w:pPr>
        <w:widowControl/>
        <w:spacing w:line="500" w:lineRule="auto"/>
        <w:ind w:firstLine="627" w:firstLineChars="196"/>
        <w:jc w:val="left"/>
        <w:rPr>
          <w:rFonts w:hint="eastAsia" w:asciiTheme="minorEastAsia" w:hAnsiTheme="minorEastAsia"/>
          <w:bCs/>
          <w:kern w:val="0"/>
          <w:sz w:val="32"/>
          <w:szCs w:val="32"/>
          <w:lang w:val="en-US" w:eastAsia="zh-CN"/>
        </w:rPr>
      </w:pPr>
      <w:r>
        <w:rPr>
          <w:rFonts w:hint="eastAsia" w:asciiTheme="minorEastAsia" w:hAnsiTheme="minorEastAsia"/>
          <w:bCs/>
          <w:kern w:val="0"/>
          <w:sz w:val="32"/>
          <w:szCs w:val="32"/>
          <w:lang w:val="en-US" w:eastAsia="zh-CN"/>
        </w:rPr>
        <w:t>4、执行各类公共资源交易流程、操作规程和现场管理制度，维持现场交易秩序；为电子交易和监管系统提供对接服务。</w:t>
      </w:r>
    </w:p>
    <w:p>
      <w:pPr>
        <w:widowControl/>
        <w:spacing w:line="500" w:lineRule="auto"/>
        <w:ind w:firstLine="627" w:firstLineChars="196"/>
        <w:jc w:val="left"/>
        <w:rPr>
          <w:rFonts w:hint="eastAsia" w:asciiTheme="minorEastAsia" w:hAnsiTheme="minorEastAsia"/>
          <w:bCs/>
          <w:kern w:val="0"/>
          <w:sz w:val="32"/>
          <w:szCs w:val="32"/>
          <w:lang w:val="en-US" w:eastAsia="zh-CN"/>
        </w:rPr>
      </w:pPr>
      <w:r>
        <w:rPr>
          <w:rFonts w:hint="eastAsia" w:asciiTheme="minorEastAsia" w:hAnsiTheme="minorEastAsia"/>
          <w:bCs/>
          <w:kern w:val="0"/>
          <w:sz w:val="32"/>
          <w:szCs w:val="32"/>
          <w:lang w:val="en-US" w:eastAsia="zh-CN"/>
        </w:rPr>
        <w:t>5、负责市级公共资源交易平台及电子系统建设、运行、管理，为有关部门核验交易主体的资质提供服务，收集、储存和发布各类公共资源交易信息，为市场主体提供信息咨询服务，记录、整理、保存交易服务过程相关资料，汇总分析、综合利用交易数据，开展交易风险监测预警。</w:t>
      </w:r>
    </w:p>
    <w:p>
      <w:pPr>
        <w:widowControl/>
        <w:spacing w:line="500" w:lineRule="auto"/>
        <w:ind w:firstLine="627" w:firstLineChars="196"/>
        <w:jc w:val="left"/>
        <w:rPr>
          <w:rFonts w:hint="eastAsia" w:asciiTheme="minorEastAsia" w:hAnsiTheme="minorEastAsia"/>
          <w:bCs/>
          <w:kern w:val="0"/>
          <w:sz w:val="32"/>
          <w:szCs w:val="32"/>
          <w:lang w:val="en-US" w:eastAsia="zh-CN"/>
        </w:rPr>
      </w:pPr>
      <w:r>
        <w:rPr>
          <w:rFonts w:hint="eastAsia" w:asciiTheme="minorEastAsia" w:hAnsiTheme="minorEastAsia"/>
          <w:bCs/>
          <w:kern w:val="0"/>
          <w:sz w:val="32"/>
          <w:szCs w:val="32"/>
          <w:lang w:val="en-US" w:eastAsia="zh-CN"/>
        </w:rPr>
        <w:t>6、为行政监管部门开展监督提供必要条件和平台服务，配合行政监管部门和监察机关的监督管理工作，及时向行政监管部门报告发现的违反交易规则和管理制度的行为。</w:t>
      </w:r>
    </w:p>
    <w:p>
      <w:pPr>
        <w:widowControl/>
        <w:spacing w:line="500" w:lineRule="auto"/>
        <w:ind w:firstLine="627" w:firstLineChars="196"/>
        <w:jc w:val="left"/>
        <w:rPr>
          <w:rFonts w:hint="eastAsia" w:asciiTheme="minorEastAsia" w:hAnsiTheme="minorEastAsia"/>
          <w:bCs/>
          <w:kern w:val="0"/>
          <w:sz w:val="32"/>
          <w:szCs w:val="32"/>
          <w:lang w:val="en-US" w:eastAsia="zh-CN"/>
        </w:rPr>
      </w:pPr>
      <w:r>
        <w:rPr>
          <w:rFonts w:hint="eastAsia" w:asciiTheme="minorEastAsia" w:hAnsiTheme="minorEastAsia"/>
          <w:bCs/>
          <w:kern w:val="0"/>
          <w:sz w:val="32"/>
          <w:szCs w:val="32"/>
          <w:lang w:val="en-US" w:eastAsia="zh-CN"/>
        </w:rPr>
        <w:t>7、在相关部门监督下，承担评标专家抽取有关工作；提供交易活动见证服务；做好项目入场登记服务，组织平台内的共资源交易活动，对参与平台内交易活动的相关人员、机构活动进行记录和考评。</w:t>
      </w:r>
    </w:p>
    <w:p>
      <w:pPr>
        <w:widowControl/>
        <w:spacing w:line="500" w:lineRule="auto"/>
        <w:ind w:firstLine="627" w:firstLineChars="196"/>
        <w:jc w:val="left"/>
        <w:rPr>
          <w:rFonts w:hint="eastAsia" w:asciiTheme="minorEastAsia" w:hAnsiTheme="minorEastAsia"/>
          <w:bCs/>
          <w:kern w:val="0"/>
          <w:sz w:val="32"/>
          <w:szCs w:val="32"/>
          <w:lang w:val="en-US" w:eastAsia="zh-CN"/>
        </w:rPr>
      </w:pPr>
      <w:r>
        <w:rPr>
          <w:rFonts w:hint="eastAsia" w:asciiTheme="minorEastAsia" w:hAnsiTheme="minorEastAsia"/>
          <w:bCs/>
          <w:kern w:val="0"/>
          <w:sz w:val="32"/>
          <w:szCs w:val="32"/>
          <w:lang w:val="en-US" w:eastAsia="zh-CN"/>
        </w:rPr>
        <w:t>8、完成市委、市政府和市公共资源交易管理委员会交办的其他事项。</w:t>
      </w:r>
    </w:p>
    <w:p>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widowControl/>
        <w:spacing w:line="500" w:lineRule="auto"/>
        <w:ind w:firstLine="627" w:firstLineChars="196"/>
        <w:jc w:val="left"/>
        <w:rPr>
          <w:rFonts w:hint="eastAsia" w:asciiTheme="minorEastAsia" w:hAnsiTheme="minorEastAsia"/>
          <w:bCs/>
          <w:kern w:val="0"/>
          <w:sz w:val="32"/>
          <w:szCs w:val="32"/>
        </w:rPr>
      </w:pPr>
      <w:r>
        <w:rPr>
          <w:rFonts w:hint="eastAsia" w:asciiTheme="minorEastAsia" w:hAnsiTheme="minorEastAsia"/>
          <w:bCs/>
          <w:kern w:val="0"/>
          <w:sz w:val="32"/>
          <w:szCs w:val="32"/>
        </w:rPr>
        <w:t>（一）内设机构设置。</w:t>
      </w:r>
    </w:p>
    <w:p>
      <w:pPr>
        <w:keepNext w:val="0"/>
        <w:keepLines w:val="0"/>
        <w:pageBreakBefore w:val="0"/>
        <w:widowControl/>
        <w:kinsoku/>
        <w:wordWrap/>
        <w:overflowPunct/>
        <w:topLinePunct w:val="0"/>
        <w:autoSpaceDE/>
        <w:autoSpaceDN/>
        <w:bidi w:val="0"/>
        <w:adjustRightInd/>
        <w:snapToGrid/>
        <w:spacing w:line="500" w:lineRule="auto"/>
        <w:ind w:firstLine="640" w:firstLineChars="200"/>
        <w:jc w:val="left"/>
        <w:textAlignment w:val="auto"/>
        <w:rPr>
          <w:rFonts w:hint="eastAsia" w:ascii="仿宋_GB2312" w:hAnsi="仿宋_GB2312" w:eastAsia="仿宋_GB2312" w:cs="仿宋_GB2312"/>
          <w:kern w:val="0"/>
          <w:sz w:val="32"/>
          <w:szCs w:val="32"/>
          <w:shd w:val="clear" w:color="auto" w:fill="FFFFFF"/>
        </w:rPr>
      </w:pPr>
      <w:r>
        <w:rPr>
          <w:rFonts w:hint="eastAsia" w:asciiTheme="minorEastAsia" w:hAnsiTheme="minorEastAsia"/>
          <w:bCs/>
          <w:kern w:val="0"/>
          <w:sz w:val="32"/>
          <w:szCs w:val="32"/>
          <w:lang w:val="en-US" w:eastAsia="zh-CN"/>
        </w:rPr>
        <w:t>怀化市公共资源交易中心</w:t>
      </w:r>
      <w:r>
        <w:rPr>
          <w:rFonts w:hint="eastAsia" w:asciiTheme="minorEastAsia" w:hAnsiTheme="minorEastAsia"/>
          <w:bCs/>
          <w:kern w:val="0"/>
          <w:sz w:val="32"/>
          <w:szCs w:val="32"/>
        </w:rPr>
        <w:t>内设机构包括：</w:t>
      </w:r>
      <w:r>
        <w:rPr>
          <w:rFonts w:hint="eastAsia" w:asciiTheme="minorEastAsia" w:hAnsiTheme="minorEastAsia"/>
          <w:bCs/>
          <w:kern w:val="0"/>
          <w:sz w:val="32"/>
          <w:szCs w:val="32"/>
          <w:lang w:val="en-US" w:eastAsia="zh-CN"/>
        </w:rPr>
        <w:t>办公室、技术信息与市场服务部、监督部、财务部、工程交易部、政府采购交易部、产权交易部、自然资源交易部8个职能科室。</w:t>
      </w:r>
    </w:p>
    <w:p>
      <w:pPr>
        <w:keepNext w:val="0"/>
        <w:keepLines w:val="0"/>
        <w:pageBreakBefore w:val="0"/>
        <w:widowControl/>
        <w:numPr>
          <w:ilvl w:val="0"/>
          <w:numId w:val="2"/>
        </w:numPr>
        <w:kinsoku/>
        <w:wordWrap/>
        <w:overflowPunct/>
        <w:topLinePunct w:val="0"/>
        <w:autoSpaceDE/>
        <w:autoSpaceDN/>
        <w:bidi w:val="0"/>
        <w:adjustRightInd/>
        <w:snapToGrid/>
        <w:spacing w:line="600" w:lineRule="exact"/>
        <w:ind w:firstLine="640" w:firstLineChars="200"/>
        <w:textAlignment w:val="auto"/>
        <w:rPr>
          <w:rFonts w:hint="eastAsia" w:asciiTheme="minorEastAsia" w:hAnsiTheme="minorEastAsia"/>
          <w:bCs/>
          <w:kern w:val="0"/>
          <w:sz w:val="32"/>
          <w:szCs w:val="32"/>
        </w:rPr>
      </w:pPr>
      <w:r>
        <w:rPr>
          <w:rFonts w:hint="eastAsia" w:asciiTheme="minorEastAsia" w:hAnsiTheme="minorEastAsia"/>
          <w:bCs/>
          <w:kern w:val="0"/>
          <w:sz w:val="32"/>
          <w:szCs w:val="32"/>
        </w:rPr>
        <w:t>决算单位构成。</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heme="minorEastAsia" w:hAnsiTheme="minorEastAsia"/>
          <w:bCs/>
          <w:kern w:val="0"/>
          <w:sz w:val="32"/>
          <w:szCs w:val="32"/>
        </w:rPr>
      </w:pPr>
      <w:r>
        <w:rPr>
          <w:rFonts w:hint="eastAsia" w:asciiTheme="minorEastAsia" w:hAnsiTheme="minorEastAsia"/>
          <w:bCs/>
          <w:kern w:val="0"/>
          <w:sz w:val="32"/>
          <w:szCs w:val="32"/>
        </w:rPr>
        <w:t>怀化市公共资源交易中心为一级预算单位，</w:t>
      </w:r>
      <w:r>
        <w:rPr>
          <w:rFonts w:hint="eastAsia" w:asciiTheme="minorEastAsia" w:hAnsiTheme="minorEastAsia"/>
          <w:bCs/>
          <w:kern w:val="0"/>
          <w:sz w:val="32"/>
          <w:szCs w:val="32"/>
          <w:lang w:eastAsia="zh-CN"/>
        </w:rPr>
        <w:t>2021</w:t>
      </w:r>
      <w:r>
        <w:rPr>
          <w:rFonts w:hint="eastAsia" w:asciiTheme="minorEastAsia" w:hAnsiTheme="minorEastAsia"/>
          <w:bCs/>
          <w:kern w:val="0"/>
          <w:sz w:val="32"/>
          <w:szCs w:val="32"/>
        </w:rPr>
        <w:t>年部门决算汇总公开单位构成包括：怀化市公共资源交易中心本级，没有其他二级预算单位，因此，纳入</w:t>
      </w:r>
      <w:r>
        <w:rPr>
          <w:rFonts w:hint="eastAsia" w:asciiTheme="minorEastAsia" w:hAnsiTheme="minorEastAsia"/>
          <w:bCs/>
          <w:kern w:val="0"/>
          <w:sz w:val="32"/>
          <w:szCs w:val="32"/>
          <w:lang w:eastAsia="zh-CN"/>
        </w:rPr>
        <w:t>2021</w:t>
      </w:r>
      <w:r>
        <w:rPr>
          <w:rFonts w:hint="eastAsia" w:asciiTheme="minorEastAsia" w:hAnsiTheme="minorEastAsia"/>
          <w:bCs/>
          <w:kern w:val="0"/>
          <w:sz w:val="32"/>
          <w:szCs w:val="32"/>
        </w:rPr>
        <w:t>年部门预算编制范围的只有怀化市公共资源交易中心部门本级。</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r>
        <w:rPr>
          <w:rFonts w:hint="eastAsia"/>
          <w:sz w:val="72"/>
          <w:szCs w:val="72"/>
        </w:rPr>
        <w:t>第二部分</w:t>
      </w:r>
    </w:p>
    <w:p>
      <w:pPr>
        <w:jc w:val="center"/>
        <w:rPr>
          <w:sz w:val="72"/>
          <w:szCs w:val="72"/>
        </w:rPr>
      </w:pPr>
    </w:p>
    <w:p>
      <w:pPr>
        <w:jc w:val="center"/>
        <w:rPr>
          <w:sz w:val="72"/>
          <w:szCs w:val="72"/>
        </w:rPr>
      </w:pPr>
      <w:r>
        <w:rPr>
          <w:rFonts w:hint="eastAsia"/>
          <w:sz w:val="72"/>
          <w:szCs w:val="72"/>
        </w:rPr>
        <w:t>部门决算表</w:t>
      </w:r>
    </w:p>
    <w:p>
      <w:pPr>
        <w:jc w:val="center"/>
        <w:rPr>
          <w:sz w:val="72"/>
          <w:szCs w:val="72"/>
        </w:rPr>
      </w:pPr>
    </w:p>
    <w:p>
      <w:pPr>
        <w:jc w:val="center"/>
        <w:rPr>
          <w:sz w:val="72"/>
          <w:szCs w:val="72"/>
        </w:rPr>
      </w:pPr>
    </w:p>
    <w:p>
      <w:pPr>
        <w:widowControl/>
        <w:jc w:val="center"/>
        <w:rPr>
          <w:rFonts w:hint="eastAsia" w:eastAsiaTheme="minorEastAsia"/>
          <w:sz w:val="44"/>
          <w:szCs w:val="44"/>
          <w:lang w:eastAsia="zh-CN"/>
        </w:rPr>
        <w:sectPr>
          <w:pgSz w:w="11906" w:h="16838"/>
          <w:pgMar w:top="1174" w:right="1344" w:bottom="1174" w:left="1344" w:header="851" w:footer="992" w:gutter="0"/>
          <w:cols w:space="0" w:num="1"/>
          <w:rtlGutter w:val="0"/>
          <w:docGrid w:type="lines" w:linePitch="312" w:charSpace="0"/>
        </w:sectPr>
      </w:pPr>
      <w:r>
        <w:rPr>
          <w:rFonts w:hint="eastAsia"/>
          <w:sz w:val="44"/>
          <w:szCs w:val="44"/>
          <w:lang w:eastAsia="zh-CN"/>
        </w:rPr>
        <w:t>见附件</w:t>
      </w:r>
    </w:p>
    <w:p>
      <w:pPr>
        <w:pStyle w:val="10"/>
        <w:jc w:val="center"/>
        <w:rPr>
          <w:sz w:val="48"/>
          <w:szCs w:val="48"/>
        </w:rPr>
      </w:pPr>
      <w:r>
        <w:rPr>
          <w:rFonts w:hint="eastAsia"/>
          <w:sz w:val="48"/>
          <w:szCs w:val="48"/>
        </w:rPr>
        <w:t>第三部分</w:t>
      </w:r>
    </w:p>
    <w:p>
      <w:pPr>
        <w:pStyle w:val="10"/>
        <w:jc w:val="center"/>
        <w:rPr>
          <w:rFonts w:hint="eastAsia"/>
          <w:sz w:val="48"/>
          <w:szCs w:val="48"/>
        </w:rPr>
      </w:pPr>
      <w:r>
        <w:rPr>
          <w:rFonts w:hint="eastAsia"/>
          <w:sz w:val="48"/>
          <w:szCs w:val="48"/>
          <w:lang w:eastAsia="zh-CN"/>
        </w:rPr>
        <w:t>2021</w:t>
      </w:r>
      <w:r>
        <w:rPr>
          <w:rFonts w:hint="eastAsia"/>
          <w:sz w:val="48"/>
          <w:szCs w:val="48"/>
        </w:rPr>
        <w:t>年度部门决算情况说明</w:t>
      </w:r>
    </w:p>
    <w:p>
      <w:pPr>
        <w:widowControl/>
        <w:jc w:val="left"/>
        <w:rPr>
          <w:rFonts w:hAnsi="黑体"/>
          <w:b/>
          <w:sz w:val="32"/>
          <w:szCs w:val="32"/>
        </w:rPr>
      </w:pPr>
      <w:r>
        <w:rPr>
          <w:rFonts w:hint="eastAsia" w:hAnsi="黑体"/>
          <w:b/>
          <w:sz w:val="32"/>
          <w:szCs w:val="32"/>
        </w:rPr>
        <w:t>一、收入支出决算总体情况说明</w:t>
      </w:r>
    </w:p>
    <w:p>
      <w:pPr>
        <w:snapToGrid w:val="0"/>
        <w:spacing w:line="520" w:lineRule="exact"/>
        <w:ind w:firstLine="640" w:firstLineChars="200"/>
        <w:rPr>
          <w:rFonts w:hint="default" w:asciiTheme="minorEastAsia" w:hAnsiTheme="minorEastAsia" w:eastAsiaTheme="minorEastAsia"/>
          <w:sz w:val="32"/>
          <w:szCs w:val="32"/>
          <w:lang w:val="en-US" w:eastAsia="zh-CN"/>
        </w:rPr>
      </w:pPr>
      <w:r>
        <w:rPr>
          <w:rFonts w:hint="eastAsia" w:asciiTheme="minorEastAsia" w:hAnsiTheme="minorEastAsia"/>
          <w:sz w:val="32"/>
          <w:szCs w:val="32"/>
          <w:lang w:eastAsia="zh-CN"/>
        </w:rPr>
        <w:t>2021</w:t>
      </w:r>
      <w:r>
        <w:rPr>
          <w:rFonts w:hint="eastAsia" w:asciiTheme="minorEastAsia" w:hAnsiTheme="minorEastAsia" w:eastAsiaTheme="minorEastAsia"/>
          <w:sz w:val="32"/>
          <w:szCs w:val="32"/>
        </w:rPr>
        <w:t>年度收、支总计</w:t>
      </w:r>
      <w:r>
        <w:rPr>
          <w:rFonts w:hint="eastAsia" w:asciiTheme="minorEastAsia" w:hAnsiTheme="minorEastAsia"/>
          <w:sz w:val="32"/>
          <w:szCs w:val="32"/>
          <w:lang w:val="en-US" w:eastAsia="zh-CN"/>
        </w:rPr>
        <w:t>1882.61</w:t>
      </w:r>
      <w:r>
        <w:rPr>
          <w:rFonts w:hint="eastAsia" w:asciiTheme="minorEastAsia" w:hAnsiTheme="minorEastAsia" w:eastAsiaTheme="minorEastAsia"/>
          <w:sz w:val="32"/>
          <w:szCs w:val="32"/>
        </w:rPr>
        <w:t>万元。</w:t>
      </w:r>
      <w:r>
        <w:rPr>
          <w:rFonts w:hint="eastAsia" w:asciiTheme="minorEastAsia" w:hAnsiTheme="minorEastAsia"/>
          <w:sz w:val="32"/>
          <w:szCs w:val="32"/>
          <w:lang w:val="en-US" w:eastAsia="zh-CN"/>
        </w:rPr>
        <w:t>其中：2021年初结转和结余545.63</w:t>
      </w:r>
      <w:r>
        <w:rPr>
          <w:rFonts w:hint="eastAsia" w:asciiTheme="minorEastAsia" w:hAnsiTheme="minorEastAsia" w:eastAsiaTheme="minorEastAsia"/>
          <w:sz w:val="32"/>
          <w:szCs w:val="32"/>
        </w:rPr>
        <w:t>万元，</w:t>
      </w:r>
      <w:r>
        <w:rPr>
          <w:rFonts w:hint="eastAsia" w:asciiTheme="minorEastAsia" w:hAnsiTheme="minorEastAsia"/>
          <w:sz w:val="32"/>
          <w:szCs w:val="32"/>
          <w:lang w:val="en-US" w:eastAsia="zh-CN"/>
        </w:rPr>
        <w:t>本年收入</w:t>
      </w:r>
      <w:r>
        <w:rPr>
          <w:rFonts w:hint="eastAsia" w:asciiTheme="minorEastAsia" w:hAnsiTheme="minorEastAsia" w:eastAsiaTheme="minorEastAsia"/>
          <w:sz w:val="32"/>
          <w:szCs w:val="32"/>
          <w:lang w:val="en-US" w:eastAsia="zh-CN"/>
        </w:rPr>
        <w:t>1336.98</w:t>
      </w:r>
      <w:r>
        <w:rPr>
          <w:rFonts w:hint="eastAsia" w:asciiTheme="minorEastAsia" w:hAnsiTheme="minorEastAsia"/>
          <w:sz w:val="32"/>
          <w:szCs w:val="32"/>
          <w:lang w:val="en-US" w:eastAsia="zh-CN"/>
        </w:rPr>
        <w:t>万元，本年支出1477.88万元。年末结转和结余404.74万元。与上年相比，增加494.33万元</w:t>
      </w:r>
      <w:r>
        <w:rPr>
          <w:rFonts w:hint="eastAsia" w:asciiTheme="minorEastAsia" w:hAnsiTheme="minorEastAsia" w:eastAsiaTheme="minorEastAsia"/>
          <w:sz w:val="32"/>
          <w:szCs w:val="32"/>
        </w:rPr>
        <w:t>，</w:t>
      </w:r>
      <w:r>
        <w:rPr>
          <w:rFonts w:hint="eastAsia" w:asciiTheme="minorEastAsia" w:hAnsiTheme="minorEastAsia"/>
          <w:sz w:val="32"/>
          <w:szCs w:val="32"/>
          <w:lang w:val="en-US" w:eastAsia="zh-CN"/>
        </w:rPr>
        <w:t>增长35.61%，</w:t>
      </w:r>
      <w:r>
        <w:rPr>
          <w:rFonts w:hint="eastAsia" w:asciiTheme="minorEastAsia" w:hAnsiTheme="minorEastAsia" w:eastAsiaTheme="minorEastAsia"/>
          <w:sz w:val="32"/>
          <w:szCs w:val="32"/>
        </w:rPr>
        <w:t>主要是因为</w:t>
      </w:r>
      <w:r>
        <w:rPr>
          <w:rFonts w:hint="eastAsia" w:asciiTheme="minorEastAsia" w:hAnsiTheme="minorEastAsia"/>
          <w:sz w:val="32"/>
          <w:szCs w:val="32"/>
          <w:lang w:val="en-US" w:eastAsia="zh-CN"/>
        </w:rPr>
        <w:t>职工工资及下五险一金正常调增。</w:t>
      </w:r>
    </w:p>
    <w:p>
      <w:pPr>
        <w:pStyle w:val="10"/>
        <w:rPr>
          <w:rFonts w:hAnsi="黑体"/>
          <w:b/>
          <w:sz w:val="32"/>
          <w:szCs w:val="32"/>
        </w:rPr>
      </w:pPr>
      <w:r>
        <w:rPr>
          <w:rFonts w:hint="eastAsia" w:hAnsi="黑体"/>
          <w:b/>
          <w:sz w:val="32"/>
          <w:szCs w:val="32"/>
        </w:rPr>
        <w:t>二、收入决算情况说明</w:t>
      </w:r>
    </w:p>
    <w:p>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2021</w:t>
      </w:r>
      <w:r>
        <w:rPr>
          <w:rFonts w:hint="eastAsia" w:asciiTheme="minorEastAsia" w:hAnsiTheme="minorEastAsia" w:eastAsiaTheme="minorEastAsia"/>
          <w:sz w:val="32"/>
          <w:szCs w:val="32"/>
        </w:rPr>
        <w:t>年收入合计</w:t>
      </w:r>
      <w:r>
        <w:rPr>
          <w:rFonts w:hint="eastAsia" w:asciiTheme="minorEastAsia" w:hAnsiTheme="minorEastAsia" w:eastAsiaTheme="minorEastAsia"/>
          <w:sz w:val="32"/>
          <w:szCs w:val="32"/>
          <w:lang w:val="en-US" w:eastAsia="zh-CN"/>
        </w:rPr>
        <w:t>1336.98</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6.98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0.52</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val="en-US" w:eastAsia="zh-CN"/>
        </w:rPr>
        <w:t>1330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94.48</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%；附属单位上缴收入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pPr>
        <w:pStyle w:val="10"/>
        <w:rPr>
          <w:rFonts w:hAnsi="黑体"/>
          <w:b/>
          <w:sz w:val="32"/>
          <w:szCs w:val="32"/>
        </w:rPr>
      </w:pPr>
      <w:r>
        <w:rPr>
          <w:rFonts w:hint="eastAsia" w:hAnsi="黑体"/>
          <w:b/>
          <w:sz w:val="32"/>
          <w:szCs w:val="32"/>
        </w:rPr>
        <w:t>三、支出决算情况说明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2021</w:t>
      </w:r>
      <w:r>
        <w:rPr>
          <w:rFonts w:hint="eastAsia" w:asciiTheme="minorEastAsia" w:hAnsiTheme="minorEastAsia" w:eastAsiaTheme="minorEastAsia"/>
          <w:sz w:val="32"/>
          <w:szCs w:val="32"/>
        </w:rPr>
        <w:t>年</w:t>
      </w:r>
      <w:r>
        <w:rPr>
          <w:rFonts w:hint="eastAsia" w:asciiTheme="minorEastAsia" w:hAnsiTheme="minorEastAsia" w:eastAsiaTheme="minorEastAsia"/>
          <w:sz w:val="32"/>
          <w:szCs w:val="32"/>
          <w:lang w:val="en-US" w:eastAsia="zh-CN"/>
        </w:rPr>
        <w:t>度</w:t>
      </w:r>
      <w:r>
        <w:rPr>
          <w:rFonts w:hint="eastAsia" w:asciiTheme="minorEastAsia" w:hAnsiTheme="minorEastAsia" w:eastAsiaTheme="minorEastAsia"/>
          <w:sz w:val="32"/>
          <w:szCs w:val="32"/>
        </w:rPr>
        <w:t>支出合计</w:t>
      </w:r>
      <w:r>
        <w:rPr>
          <w:rFonts w:hint="eastAsia" w:asciiTheme="minorEastAsia" w:hAnsiTheme="minorEastAsia" w:eastAsiaTheme="minorEastAsia"/>
          <w:sz w:val="32"/>
          <w:szCs w:val="32"/>
          <w:lang w:val="en-US" w:eastAsia="zh-CN"/>
        </w:rPr>
        <w:t>1477.88</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1477.88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pPr>
        <w:pStyle w:val="10"/>
        <w:rPr>
          <w:rFonts w:hAnsi="黑体"/>
          <w:b/>
          <w:sz w:val="32"/>
          <w:szCs w:val="32"/>
        </w:rPr>
      </w:pPr>
      <w:r>
        <w:rPr>
          <w:rFonts w:hint="eastAsia" w:hAnsi="黑体"/>
          <w:b/>
          <w:sz w:val="32"/>
          <w:szCs w:val="32"/>
        </w:rPr>
        <w:t>四、财政拨款收入支出决算总体情况说明</w:t>
      </w:r>
    </w:p>
    <w:p>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eastAsia="zh-CN"/>
        </w:rPr>
        <w:t>2021</w:t>
      </w:r>
      <w:r>
        <w:rPr>
          <w:rFonts w:hint="eastAsia" w:asciiTheme="minorEastAsia" w:hAnsiTheme="minorEastAsia" w:eastAsiaTheme="minorEastAsia"/>
          <w:sz w:val="32"/>
          <w:szCs w:val="32"/>
        </w:rPr>
        <w:t>年度财政拨款收、支总计</w:t>
      </w:r>
      <w:r>
        <w:rPr>
          <w:rFonts w:hint="eastAsia" w:asciiTheme="minorEastAsia" w:hAnsiTheme="minorEastAsia" w:eastAsiaTheme="minorEastAsia"/>
          <w:sz w:val="32"/>
          <w:szCs w:val="32"/>
          <w:lang w:val="en-US" w:eastAsia="zh-CN"/>
        </w:rPr>
        <w:t>51.82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其中：本年财政拨款收入6.98万元，年初财政拨款结转和结余44.84万元，本年财政拨支出9.58万元，年末财政拨款结转和结余42.24万元。</w:t>
      </w:r>
      <w:r>
        <w:rPr>
          <w:rFonts w:hint="eastAsia" w:asciiTheme="minorEastAsia" w:hAnsiTheme="minorEastAsia" w:eastAsiaTheme="minorEastAsia"/>
          <w:sz w:val="32"/>
          <w:szCs w:val="32"/>
        </w:rPr>
        <w:t>与上年相比，增加</w:t>
      </w:r>
      <w:r>
        <w:rPr>
          <w:rFonts w:hint="eastAsia" w:asciiTheme="minorEastAsia" w:hAnsiTheme="minorEastAsia" w:eastAsiaTheme="minorEastAsia"/>
          <w:sz w:val="32"/>
          <w:szCs w:val="32"/>
          <w:lang w:val="en-US" w:eastAsia="zh-CN"/>
        </w:rPr>
        <w:t>51.82</w:t>
      </w:r>
      <w:r>
        <w:rPr>
          <w:rFonts w:hint="eastAsia" w:asciiTheme="minorEastAsia" w:hAnsiTheme="minorEastAsia" w:eastAsiaTheme="minorEastAsia"/>
          <w:sz w:val="32"/>
          <w:szCs w:val="32"/>
        </w:rPr>
        <w:t>万元,主要是因为</w:t>
      </w:r>
      <w:r>
        <w:rPr>
          <w:rFonts w:hint="eastAsia" w:asciiTheme="minorEastAsia" w:hAnsiTheme="minorEastAsia" w:eastAsiaTheme="minorEastAsia"/>
          <w:sz w:val="32"/>
          <w:szCs w:val="32"/>
          <w:lang w:val="en-US" w:eastAsia="zh-CN"/>
        </w:rPr>
        <w:t>年初余额调整等原因所致</w:t>
      </w:r>
      <w:r>
        <w:rPr>
          <w:rFonts w:hint="eastAsia" w:asciiTheme="minorEastAsia" w:hAnsiTheme="minorEastAsia" w:eastAsiaTheme="minorEastAsia"/>
          <w:sz w:val="32"/>
          <w:szCs w:val="32"/>
        </w:rPr>
        <w:t>。</w:t>
      </w:r>
    </w:p>
    <w:p>
      <w:pPr>
        <w:pStyle w:val="10"/>
        <w:rPr>
          <w:rFonts w:hAnsi="黑体"/>
          <w:b/>
          <w:sz w:val="32"/>
          <w:szCs w:val="32"/>
        </w:rPr>
      </w:pPr>
      <w:r>
        <w:rPr>
          <w:rFonts w:hint="eastAsia" w:hAnsi="黑体"/>
          <w:b/>
          <w:sz w:val="32"/>
          <w:szCs w:val="32"/>
        </w:rPr>
        <w:t>五、一般公共预算财政拨款支出决算情况说明</w:t>
      </w:r>
    </w:p>
    <w:p>
      <w:pPr>
        <w:pStyle w:val="10"/>
        <w:ind w:firstLine="640" w:firstLineChars="200"/>
        <w:rPr>
          <w:rFonts w:hint="eastAsia" w:asciiTheme="minorEastAsia" w:hAnsiTheme="minorEastAsia" w:eastAsiaTheme="minorEastAsia"/>
          <w:b/>
          <w:sz w:val="32"/>
          <w:szCs w:val="32"/>
          <w:lang w:val="en-US" w:eastAsia="zh-CN"/>
        </w:rPr>
      </w:pPr>
      <w:r>
        <w:rPr>
          <w:rFonts w:hint="eastAsia" w:asciiTheme="minorEastAsia" w:hAnsiTheme="minorEastAsia" w:eastAsiaTheme="minorEastAsia"/>
          <w:b/>
          <w:sz w:val="32"/>
          <w:szCs w:val="32"/>
        </w:rPr>
        <w:t>（一）财政拨款支出决算总体情况</w:t>
      </w:r>
      <w:r>
        <w:rPr>
          <w:rFonts w:hint="eastAsia" w:asciiTheme="minorEastAsia" w:hAnsiTheme="minorEastAsia" w:eastAsiaTheme="minorEastAsia"/>
          <w:b/>
          <w:sz w:val="32"/>
          <w:szCs w:val="32"/>
          <w:lang w:val="en-US" w:eastAsia="zh-CN"/>
        </w:rPr>
        <w:t>说明</w:t>
      </w:r>
    </w:p>
    <w:p>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eastAsia="zh-CN"/>
        </w:rPr>
        <w:t>2021</w:t>
      </w:r>
      <w:r>
        <w:rPr>
          <w:rFonts w:hint="eastAsia" w:asciiTheme="minorEastAsia" w:hAnsiTheme="minorEastAsia" w:eastAsiaTheme="minorEastAsia"/>
          <w:sz w:val="32"/>
          <w:szCs w:val="32"/>
        </w:rPr>
        <w:t>年度财政拨款支出</w:t>
      </w:r>
      <w:r>
        <w:rPr>
          <w:rFonts w:hint="eastAsia" w:asciiTheme="minorEastAsia" w:hAnsiTheme="minorEastAsia" w:eastAsiaTheme="minorEastAsia"/>
          <w:sz w:val="32"/>
          <w:szCs w:val="32"/>
          <w:lang w:val="en-US" w:eastAsia="zh-CN"/>
        </w:rPr>
        <w:t>9.58</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0.65</w:t>
      </w:r>
      <w:r>
        <w:rPr>
          <w:rFonts w:hint="eastAsia" w:asciiTheme="minorEastAsia" w:hAnsiTheme="minorEastAsia" w:eastAsiaTheme="minorEastAsia"/>
          <w:sz w:val="32"/>
          <w:szCs w:val="32"/>
        </w:rPr>
        <w:t>%，与上年相比，财政拨款支出增加</w:t>
      </w:r>
      <w:r>
        <w:rPr>
          <w:rFonts w:hint="eastAsia" w:asciiTheme="minorEastAsia" w:hAnsiTheme="minorEastAsia" w:eastAsiaTheme="minorEastAsia"/>
          <w:sz w:val="32"/>
          <w:szCs w:val="32"/>
          <w:lang w:val="en-US" w:eastAsia="zh-CN"/>
        </w:rPr>
        <w:t>9.58</w:t>
      </w:r>
      <w:r>
        <w:rPr>
          <w:rFonts w:hint="eastAsia" w:asciiTheme="minorEastAsia" w:hAnsiTheme="minorEastAsia" w:eastAsiaTheme="minorEastAsia"/>
          <w:sz w:val="32"/>
          <w:szCs w:val="32"/>
        </w:rPr>
        <w:t>万元，主要是因为</w:t>
      </w:r>
      <w:r>
        <w:rPr>
          <w:rFonts w:hint="eastAsia" w:asciiTheme="minorEastAsia" w:hAnsiTheme="minorEastAsia" w:eastAsiaTheme="minorEastAsia"/>
          <w:sz w:val="32"/>
          <w:szCs w:val="32"/>
          <w:lang w:val="en-US" w:eastAsia="zh-CN"/>
        </w:rPr>
        <w:t>职工工资及五险一金正常调整</w:t>
      </w:r>
      <w:r>
        <w:rPr>
          <w:rFonts w:hint="eastAsia" w:asciiTheme="minorEastAsia" w:hAnsiTheme="minorEastAsia" w:eastAsiaTheme="minorEastAsia"/>
          <w:sz w:val="32"/>
          <w:szCs w:val="32"/>
        </w:rPr>
        <w:t>。</w:t>
      </w:r>
    </w:p>
    <w:p>
      <w:pPr>
        <w:pStyle w:val="10"/>
        <w:ind w:firstLine="640" w:firstLineChars="200"/>
        <w:rPr>
          <w:rFonts w:hint="eastAsia" w:asciiTheme="minorEastAsia" w:hAnsiTheme="minorEastAsia" w:eastAsiaTheme="minorEastAsia"/>
          <w:b/>
          <w:sz w:val="32"/>
          <w:szCs w:val="32"/>
          <w:lang w:val="en-US" w:eastAsia="zh-CN"/>
        </w:rPr>
      </w:pPr>
      <w:r>
        <w:rPr>
          <w:rFonts w:hint="eastAsia" w:asciiTheme="minorEastAsia" w:hAnsiTheme="minorEastAsia" w:eastAsiaTheme="minorEastAsia"/>
          <w:b/>
          <w:sz w:val="32"/>
          <w:szCs w:val="32"/>
        </w:rPr>
        <w:t>（二）财政拨款支出决算结构情况</w:t>
      </w:r>
      <w:r>
        <w:rPr>
          <w:rFonts w:hint="eastAsia" w:asciiTheme="minorEastAsia" w:hAnsiTheme="minorEastAsia" w:eastAsiaTheme="minorEastAsia"/>
          <w:b/>
          <w:sz w:val="32"/>
          <w:szCs w:val="32"/>
          <w:lang w:val="en-US" w:eastAsia="zh-CN"/>
        </w:rPr>
        <w:t>说明</w:t>
      </w:r>
    </w:p>
    <w:p>
      <w:pPr>
        <w:pStyle w:val="10"/>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2021</w:t>
      </w:r>
      <w:r>
        <w:rPr>
          <w:rFonts w:hint="eastAsia" w:asciiTheme="minorEastAsia" w:hAnsiTheme="minorEastAsia" w:eastAsiaTheme="minorEastAsia"/>
          <w:sz w:val="32"/>
          <w:szCs w:val="32"/>
        </w:rPr>
        <w:t>年度财政拨款支出</w:t>
      </w:r>
      <w:r>
        <w:rPr>
          <w:rFonts w:hint="eastAsia" w:asciiTheme="minorEastAsia" w:hAnsiTheme="minorEastAsia" w:eastAsiaTheme="minorEastAsia"/>
          <w:sz w:val="32"/>
          <w:szCs w:val="32"/>
          <w:lang w:val="en-US" w:eastAsia="zh-CN"/>
        </w:rPr>
        <w:t>9.58</w:t>
      </w:r>
      <w:r>
        <w:rPr>
          <w:rFonts w:hint="eastAsia" w:asciiTheme="minorEastAsia" w:hAnsiTheme="minorEastAsia" w:eastAsiaTheme="minorEastAsia"/>
          <w:sz w:val="32"/>
          <w:szCs w:val="32"/>
        </w:rPr>
        <w:t>万元，主要用于以下方面：一般公共服务（类）支出</w:t>
      </w:r>
      <w:r>
        <w:rPr>
          <w:rFonts w:hint="eastAsia" w:asciiTheme="minorEastAsia" w:hAnsiTheme="minorEastAsia" w:eastAsiaTheme="minorEastAsia"/>
          <w:sz w:val="32"/>
          <w:szCs w:val="32"/>
          <w:lang w:val="en-US" w:eastAsia="zh-CN"/>
        </w:rPr>
        <w:t>9.58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p>
    <w:p>
      <w:pPr>
        <w:pStyle w:val="10"/>
        <w:ind w:firstLine="800" w:firstLineChars="250"/>
        <w:rPr>
          <w:rFonts w:hint="eastAsia" w:asciiTheme="minorEastAsia" w:hAnsiTheme="minorEastAsia" w:eastAsiaTheme="minorEastAsia"/>
          <w:b/>
          <w:sz w:val="32"/>
          <w:szCs w:val="32"/>
          <w:lang w:val="en-US" w:eastAsia="zh-CN"/>
        </w:rPr>
      </w:pPr>
      <w:r>
        <w:rPr>
          <w:rFonts w:hint="eastAsia" w:asciiTheme="minorEastAsia" w:hAnsiTheme="minorEastAsia" w:eastAsiaTheme="minorEastAsia"/>
          <w:b/>
          <w:sz w:val="32"/>
          <w:szCs w:val="32"/>
        </w:rPr>
        <w:t>（三）财政拨款支出决算具体情况</w:t>
      </w:r>
      <w:r>
        <w:rPr>
          <w:rFonts w:hint="eastAsia" w:asciiTheme="minorEastAsia" w:hAnsiTheme="minorEastAsia" w:eastAsiaTheme="minorEastAsia"/>
          <w:b/>
          <w:sz w:val="32"/>
          <w:szCs w:val="32"/>
          <w:lang w:val="en-US" w:eastAsia="zh-CN"/>
        </w:rPr>
        <w:t>说明</w:t>
      </w:r>
    </w:p>
    <w:p>
      <w:pPr>
        <w:pStyle w:val="10"/>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eastAsia="zh-CN"/>
        </w:rPr>
        <w:t>2021</w:t>
      </w:r>
      <w:r>
        <w:rPr>
          <w:rFonts w:hint="eastAsia" w:asciiTheme="minorEastAsia" w:hAnsiTheme="minorEastAsia" w:eastAsiaTheme="minorEastAsia"/>
          <w:sz w:val="32"/>
          <w:szCs w:val="32"/>
        </w:rPr>
        <w:t>年度财政拨款支出年初预算数为0万元，支出决算数为</w:t>
      </w:r>
      <w:r>
        <w:rPr>
          <w:rFonts w:hint="eastAsia" w:asciiTheme="minorEastAsia" w:hAnsiTheme="minorEastAsia" w:eastAsiaTheme="minorEastAsia"/>
          <w:sz w:val="32"/>
          <w:szCs w:val="32"/>
          <w:lang w:val="en-US" w:eastAsia="zh-CN"/>
        </w:rPr>
        <w:t>9.58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其中：</w:t>
      </w:r>
    </w:p>
    <w:p>
      <w:pPr>
        <w:pStyle w:val="10"/>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1、一般公共服务支出（类）其他一般公共服务支出（款）其他一般公共服务支出（项）。</w:t>
      </w:r>
    </w:p>
    <w:p>
      <w:pPr>
        <w:pStyle w:val="10"/>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年初预算为0万元，支出决算为9.58万元，决算数大于年初预算数的主要原因是：预算不精准。</w:t>
      </w:r>
    </w:p>
    <w:p>
      <w:pPr>
        <w:pStyle w:val="10"/>
        <w:rPr>
          <w:rFonts w:hAnsi="黑体"/>
          <w:b/>
          <w:sz w:val="32"/>
          <w:szCs w:val="32"/>
        </w:rPr>
      </w:pPr>
      <w:r>
        <w:rPr>
          <w:rFonts w:hint="eastAsia" w:hAnsi="黑体"/>
          <w:b/>
          <w:sz w:val="32"/>
          <w:szCs w:val="32"/>
        </w:rPr>
        <w:t>六、一般公共预算财政拨款基本支出决算情况说明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2021</w:t>
      </w:r>
      <w:r>
        <w:rPr>
          <w:rFonts w:hint="eastAsia" w:asciiTheme="minorEastAsia" w:hAnsiTheme="minorEastAsia" w:eastAsiaTheme="minorEastAsia"/>
          <w:sz w:val="32"/>
          <w:szCs w:val="32"/>
        </w:rPr>
        <w:t>年度财政拨款基本支出</w:t>
      </w:r>
      <w:r>
        <w:rPr>
          <w:rFonts w:hint="eastAsia" w:asciiTheme="minorEastAsia" w:hAnsiTheme="minorEastAsia" w:eastAsiaTheme="minorEastAsia"/>
          <w:sz w:val="32"/>
          <w:szCs w:val="32"/>
          <w:lang w:val="en-US" w:eastAsia="zh-CN"/>
        </w:rPr>
        <w:t>9.59</w:t>
      </w:r>
      <w:r>
        <w:rPr>
          <w:rFonts w:hint="eastAsia" w:asciiTheme="minorEastAsia" w:hAnsiTheme="minorEastAsia" w:eastAsiaTheme="minorEastAsia"/>
          <w:sz w:val="32"/>
          <w:szCs w:val="32"/>
        </w:rPr>
        <w:t>万元，其中：人员经费</w:t>
      </w:r>
      <w:r>
        <w:rPr>
          <w:rFonts w:hint="eastAsia" w:asciiTheme="minorEastAsia" w:hAnsiTheme="minorEastAsia" w:eastAsiaTheme="minorEastAsia"/>
          <w:sz w:val="32"/>
          <w:szCs w:val="32"/>
          <w:lang w:val="en-US" w:eastAsia="zh-CN"/>
        </w:rPr>
        <w:t>6.40</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66.81</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全是基本工资。公用经费3.19万元，占基本支出的33.19%，主要包括办公费、差旅费等</w:t>
      </w:r>
      <w:r>
        <w:rPr>
          <w:rFonts w:hint="eastAsia" w:asciiTheme="minorEastAsia" w:hAnsiTheme="minorEastAsia" w:eastAsiaTheme="minorEastAsia"/>
          <w:sz w:val="32"/>
          <w:szCs w:val="32"/>
        </w:rPr>
        <w:t>。</w:t>
      </w:r>
    </w:p>
    <w:p>
      <w:pPr>
        <w:pStyle w:val="10"/>
        <w:rPr>
          <w:rFonts w:hAnsi="黑体"/>
          <w:b/>
          <w:sz w:val="32"/>
          <w:szCs w:val="32"/>
        </w:rPr>
      </w:pPr>
      <w:r>
        <w:rPr>
          <w:rFonts w:hint="eastAsia" w:hAnsi="黑体"/>
          <w:b/>
          <w:sz w:val="32"/>
          <w:szCs w:val="32"/>
        </w:rPr>
        <w:t>七、一般公共预算财政拨款三公经费支出决算情况说明</w:t>
      </w:r>
    </w:p>
    <w:p>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2021年度</w:t>
      </w:r>
      <w:r>
        <w:rPr>
          <w:rFonts w:hint="eastAsia" w:asciiTheme="minorEastAsia" w:hAnsiTheme="minorEastAsia" w:eastAsiaTheme="minorEastAsia"/>
          <w:sz w:val="32"/>
          <w:szCs w:val="32"/>
        </w:rPr>
        <w:t>“三公”经费财政拨款支出预算为</w:t>
      </w:r>
      <w:r>
        <w:rPr>
          <w:rFonts w:hint="eastAsia" w:asciiTheme="minorEastAsia" w:hAnsiTheme="minorEastAsia" w:eastAsiaTheme="minorEastAsia"/>
          <w:sz w:val="32"/>
          <w:szCs w:val="32"/>
          <w:lang w:val="en-US" w:eastAsia="zh-CN"/>
        </w:rPr>
        <w:t>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0.11</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1.22</w:t>
      </w:r>
      <w:r>
        <w:rPr>
          <w:rFonts w:hint="eastAsia" w:asciiTheme="minorEastAsia" w:hAnsiTheme="minorEastAsia" w:eastAsiaTheme="minorEastAsia"/>
          <w:sz w:val="32"/>
          <w:szCs w:val="32"/>
        </w:rPr>
        <w:t>%，其中：</w:t>
      </w:r>
    </w:p>
    <w:p>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%。本部门没有因公出国（境）费用开支。</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0.11</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3.67</w:t>
      </w:r>
      <w:r>
        <w:rPr>
          <w:rFonts w:hint="eastAsia" w:asciiTheme="minorEastAsia" w:hAnsiTheme="minorEastAsia" w:eastAsiaTheme="minorEastAsia"/>
          <w:sz w:val="32"/>
          <w:szCs w:val="32"/>
        </w:rPr>
        <w:t>%，决算数小于预算数的主要原因是厉行节约，</w:t>
      </w:r>
      <w:r>
        <w:rPr>
          <w:rFonts w:hint="eastAsia" w:asciiTheme="minorEastAsia" w:hAnsiTheme="minorEastAsia"/>
          <w:sz w:val="32"/>
          <w:szCs w:val="32"/>
          <w:lang w:val="en-US" w:eastAsia="zh-CN"/>
        </w:rPr>
        <w:t>杜绝餐桌上的浪费</w:t>
      </w:r>
      <w:r>
        <w:rPr>
          <w:rFonts w:hint="eastAsia" w:asciiTheme="minorEastAsia" w:hAnsiTheme="minorEastAsia" w:eastAsiaTheme="minorEastAsia"/>
          <w:sz w:val="32"/>
          <w:szCs w:val="32"/>
        </w:rPr>
        <w:t>。与上年相比增加</w:t>
      </w:r>
      <w:r>
        <w:rPr>
          <w:rFonts w:hint="eastAsia" w:asciiTheme="minorEastAsia" w:hAnsiTheme="minorEastAsia"/>
          <w:sz w:val="32"/>
          <w:szCs w:val="32"/>
          <w:lang w:val="en-US" w:eastAsia="zh-CN"/>
        </w:rPr>
        <w:t>0.11</w:t>
      </w:r>
      <w:r>
        <w:rPr>
          <w:rFonts w:hint="eastAsia" w:asciiTheme="minorEastAsia" w:hAnsiTheme="minorEastAsia" w:eastAsiaTheme="minorEastAsia"/>
          <w:sz w:val="32"/>
          <w:szCs w:val="32"/>
        </w:rPr>
        <w:t>万元。</w:t>
      </w:r>
    </w:p>
    <w:p>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公务用车购置费</w:t>
      </w:r>
      <w:r>
        <w:rPr>
          <w:rFonts w:hint="eastAsia" w:asciiTheme="minorEastAsia" w:hAnsiTheme="minorEastAsia" w:eastAsiaTheme="minorEastAsia"/>
          <w:sz w:val="32"/>
          <w:szCs w:val="32"/>
          <w:lang w:val="en-US" w:eastAsia="zh-CN"/>
        </w:rPr>
        <w:t>支出预算为0万元</w:t>
      </w:r>
      <w:r>
        <w:rPr>
          <w:rFonts w:hint="eastAsia" w:asciiTheme="minorEastAsia" w:hAnsiTheme="minorEastAsia" w:eastAsiaTheme="minorEastAsia"/>
          <w:sz w:val="32"/>
          <w:szCs w:val="32"/>
        </w:rPr>
        <w:t>，支出决算为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主要原因是</w:t>
      </w:r>
      <w:r>
        <w:rPr>
          <w:rFonts w:hint="eastAsia" w:asciiTheme="minorEastAsia" w:hAnsiTheme="minorEastAsia" w:eastAsiaTheme="minorEastAsia"/>
          <w:sz w:val="32"/>
          <w:szCs w:val="32"/>
          <w:lang w:val="en-US" w:eastAsia="zh-CN"/>
        </w:rPr>
        <w:t>公务改革，公务用车已上交</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未产生公务用车费用。</w:t>
      </w:r>
    </w:p>
    <w:p>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2021</w:t>
      </w:r>
      <w:r>
        <w:rPr>
          <w:rFonts w:hint="eastAsia" w:asciiTheme="minorEastAsia" w:hAnsiTheme="minorEastAsia" w:eastAsiaTheme="minorEastAsia"/>
          <w:sz w:val="32"/>
          <w:szCs w:val="32"/>
        </w:rPr>
        <w:t>年度“三公”经费财政拨款支出决算中，公务接待费支出决算</w:t>
      </w:r>
      <w:r>
        <w:rPr>
          <w:rFonts w:hint="eastAsia" w:asciiTheme="minorEastAsia" w:hAnsiTheme="minorEastAsia" w:eastAsiaTheme="minorEastAsia"/>
          <w:sz w:val="32"/>
          <w:szCs w:val="32"/>
          <w:lang w:val="en-US" w:eastAsia="zh-CN"/>
        </w:rPr>
        <w:t>0.11</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w:t>
      </w:r>
    </w:p>
    <w:p>
      <w:pPr>
        <w:pStyle w:val="10"/>
        <w:ind w:firstLine="640" w:firstLineChars="200"/>
        <w:rPr>
          <w:rFonts w:hint="eastAsia" w:asciiTheme="minorEastAsia" w:hAnsiTheme="minorEastAsia" w:eastAsiaTheme="minorEastAsia"/>
          <w:b/>
          <w:sz w:val="32"/>
          <w:szCs w:val="32"/>
          <w:lang w:val="en-US" w:eastAsia="zh-CN"/>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eastAsia="zh-CN"/>
        </w:rPr>
        <w:t>。</w:t>
      </w:r>
    </w:p>
    <w:p>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0.11</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人次，主要是</w:t>
      </w:r>
      <w:r>
        <w:rPr>
          <w:rFonts w:hint="eastAsia" w:asciiTheme="minorEastAsia" w:hAnsiTheme="minorEastAsia" w:eastAsiaTheme="minorEastAsia"/>
          <w:sz w:val="32"/>
          <w:szCs w:val="32"/>
          <w:lang w:val="en-US" w:eastAsia="zh-CN"/>
        </w:rPr>
        <w:t>上级来怀化指导工作发生的接待支出</w:t>
      </w:r>
      <w:r>
        <w:rPr>
          <w:rFonts w:hint="eastAsia" w:asciiTheme="minorEastAsia" w:hAnsiTheme="minorEastAsia" w:eastAsiaTheme="minorEastAsia"/>
          <w:sz w:val="32"/>
          <w:szCs w:val="32"/>
        </w:rPr>
        <w:t>。</w:t>
      </w:r>
    </w:p>
    <w:p>
      <w:pPr>
        <w:ind w:firstLine="800" w:firstLineChars="250"/>
        <w:rPr>
          <w:rFonts w:hint="eastAsia" w:asciiTheme="minorEastAsia" w:hAnsiTheme="minorEastAsia"/>
          <w:color w:val="000000" w:themeColor="text1"/>
          <w:sz w:val="32"/>
          <w:szCs w:val="32"/>
          <w14:textFill>
            <w14:solidFill>
              <w14:schemeClr w14:val="tx1"/>
            </w14:solidFill>
          </w14:textFill>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0</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万元，更新公务用车</w:t>
      </w:r>
      <w:r>
        <w:rPr>
          <w:rFonts w:hint="eastAsia" w:asciiTheme="minorEastAsia" w:hAnsiTheme="minorEastAsia"/>
          <w:sz w:val="32"/>
          <w:szCs w:val="32"/>
          <w:lang w:val="en-US" w:eastAsia="zh-CN"/>
        </w:rPr>
        <w:t>0</w:t>
      </w:r>
      <w:r>
        <w:rPr>
          <w:rFonts w:hint="eastAsia" w:asciiTheme="minorEastAsia" w:hAnsiTheme="minorEastAsia"/>
          <w:sz w:val="32"/>
          <w:szCs w:val="32"/>
        </w:rPr>
        <w:t>辆</w:t>
      </w:r>
      <w:r>
        <w:rPr>
          <w:rFonts w:hint="eastAsia" w:asciiTheme="minorEastAsia" w:hAnsiTheme="minorEastAsia"/>
          <w:color w:val="000000" w:themeColor="text1"/>
          <w:sz w:val="32"/>
          <w:szCs w:val="32"/>
          <w14:textFill>
            <w14:solidFill>
              <w14:schemeClr w14:val="tx1"/>
            </w14:solidFill>
          </w14:textFill>
        </w:rPr>
        <w:t>。</w:t>
      </w:r>
    </w:p>
    <w:p>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0</w:t>
      </w:r>
      <w:r>
        <w:rPr>
          <w:rFonts w:hint="eastAsia" w:asciiTheme="minorEastAsia" w:hAnsiTheme="minorEastAsia"/>
          <w:sz w:val="32"/>
          <w:szCs w:val="32"/>
        </w:rPr>
        <w:t>万元，截止</w:t>
      </w:r>
      <w:r>
        <w:rPr>
          <w:rFonts w:hint="eastAsia" w:asciiTheme="minorEastAsia" w:hAnsiTheme="minorEastAsia"/>
          <w:sz w:val="32"/>
          <w:szCs w:val="32"/>
          <w:lang w:eastAsia="zh-CN"/>
        </w:rPr>
        <w:t>2021</w:t>
      </w:r>
      <w:r>
        <w:rPr>
          <w:rFonts w:hint="eastAsia" w:asciiTheme="minorEastAsia" w:hAnsiTheme="minorEastAsia"/>
          <w:sz w:val="32"/>
          <w:szCs w:val="32"/>
        </w:rPr>
        <w:t>年12月31日，我单位开支财政拨款的公务用车保有量为</w:t>
      </w:r>
      <w:r>
        <w:rPr>
          <w:rFonts w:hint="eastAsia" w:asciiTheme="minorEastAsia" w:hAnsiTheme="minorEastAsia"/>
          <w:sz w:val="32"/>
          <w:szCs w:val="32"/>
          <w:lang w:val="en-US" w:eastAsia="zh-CN"/>
        </w:rPr>
        <w:t>0</w:t>
      </w:r>
      <w:r>
        <w:rPr>
          <w:rFonts w:hint="eastAsia" w:asciiTheme="minorEastAsia" w:hAnsiTheme="minorEastAsia"/>
          <w:sz w:val="32"/>
          <w:szCs w:val="32"/>
        </w:rPr>
        <w:t>辆。</w:t>
      </w:r>
    </w:p>
    <w:p>
      <w:pPr>
        <w:pStyle w:val="10"/>
        <w:rPr>
          <w:rFonts w:hint="eastAsia" w:hAnsi="黑体" w:eastAsia="黑体"/>
          <w:b/>
          <w:sz w:val="32"/>
          <w:szCs w:val="32"/>
          <w:lang w:val="en-US" w:eastAsia="zh-CN"/>
        </w:rPr>
      </w:pPr>
      <w:r>
        <w:rPr>
          <w:rFonts w:hint="eastAsia" w:hAnsi="黑体"/>
          <w:b/>
          <w:sz w:val="32"/>
          <w:szCs w:val="32"/>
        </w:rPr>
        <w:t>八、政府性基金预算收入支出决算情况</w:t>
      </w:r>
      <w:r>
        <w:rPr>
          <w:rFonts w:hint="eastAsia" w:hAnsi="黑体"/>
          <w:b/>
          <w:sz w:val="32"/>
          <w:szCs w:val="32"/>
          <w:lang w:val="en-US" w:eastAsia="zh-CN"/>
        </w:rPr>
        <w:t>说明</w:t>
      </w:r>
    </w:p>
    <w:p>
      <w:pPr>
        <w:pStyle w:val="1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 xml:space="preserve">     </w:t>
      </w:r>
      <w:r>
        <w:rPr>
          <w:rFonts w:hint="eastAsia" w:asciiTheme="minorEastAsia" w:hAnsiTheme="minorEastAsia" w:eastAsiaTheme="minorEastAsia"/>
          <w:sz w:val="32"/>
          <w:szCs w:val="32"/>
          <w:lang w:eastAsia="zh-CN"/>
        </w:rPr>
        <w:t>2021</w:t>
      </w:r>
      <w:r>
        <w:rPr>
          <w:rFonts w:hint="eastAsia" w:asciiTheme="minorEastAsia" w:hAnsiTheme="minorEastAsia" w:eastAsiaTheme="minorEastAsia"/>
          <w:sz w:val="32"/>
          <w:szCs w:val="32"/>
        </w:rPr>
        <w:t>年度</w:t>
      </w:r>
      <w:r>
        <w:rPr>
          <w:rFonts w:hint="eastAsia" w:asciiTheme="minorEastAsia" w:hAnsiTheme="minorEastAsia" w:eastAsiaTheme="minorEastAsia"/>
          <w:sz w:val="32"/>
          <w:szCs w:val="32"/>
          <w:lang w:val="en-US" w:eastAsia="zh-CN"/>
        </w:rPr>
        <w:t>本单位无</w:t>
      </w:r>
      <w:r>
        <w:rPr>
          <w:rFonts w:hint="eastAsia" w:asciiTheme="minorEastAsia" w:hAnsiTheme="minorEastAsia" w:eastAsiaTheme="minorEastAsia"/>
          <w:sz w:val="32"/>
          <w:szCs w:val="32"/>
        </w:rPr>
        <w:t>政府性基金预算财政拨款收</w:t>
      </w:r>
      <w:r>
        <w:rPr>
          <w:rFonts w:hint="eastAsia" w:asciiTheme="minorEastAsia" w:hAnsiTheme="minorEastAsia" w:eastAsiaTheme="minorEastAsia"/>
          <w:sz w:val="32"/>
          <w:szCs w:val="32"/>
          <w:lang w:val="en-US" w:eastAsia="zh-CN"/>
        </w:rPr>
        <w:t>支</w:t>
      </w:r>
      <w:r>
        <w:rPr>
          <w:rFonts w:hint="eastAsia" w:asciiTheme="minorEastAsia" w:hAnsiTheme="minorEastAsia" w:eastAsiaTheme="minorEastAsia"/>
          <w:sz w:val="32"/>
          <w:szCs w:val="32"/>
        </w:rPr>
        <w:t>。</w:t>
      </w:r>
    </w:p>
    <w:p>
      <w:pPr>
        <w:numPr>
          <w:ilvl w:val="0"/>
          <w:numId w:val="3"/>
        </w:numPr>
        <w:autoSpaceDE w:val="0"/>
        <w:autoSpaceDN w:val="0"/>
        <w:adjustRightInd w:val="0"/>
        <w:spacing w:line="500" w:lineRule="exact"/>
        <w:jc w:val="left"/>
        <w:rPr>
          <w:rFonts w:hint="eastAsia" w:ascii="黑体" w:hAnsi="黑体" w:eastAsia="黑体" w:cs="黑体"/>
          <w:b/>
          <w:color w:val="000000"/>
          <w:kern w:val="0"/>
          <w:sz w:val="32"/>
          <w:szCs w:val="32"/>
          <w:lang w:val="en-US" w:eastAsia="zh-CN" w:bidi="ar-SA"/>
        </w:rPr>
      </w:pPr>
      <w:r>
        <w:rPr>
          <w:rFonts w:hint="eastAsia" w:ascii="黑体" w:hAnsi="黑体" w:eastAsia="黑体" w:cs="黑体"/>
          <w:b/>
          <w:color w:val="000000"/>
          <w:kern w:val="0"/>
          <w:sz w:val="32"/>
          <w:szCs w:val="32"/>
          <w:lang w:val="en-US" w:eastAsia="zh-CN" w:bidi="ar-SA"/>
        </w:rPr>
        <w:t>国有资本经营预算财政拨款支出决算情况说明</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firstLine="640" w:firstLineChars="200"/>
        <w:jc w:val="left"/>
        <w:textAlignment w:val="auto"/>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2021年度本单位无国有资本经营预算财政拨款支出</w:t>
      </w:r>
      <w:r>
        <w:rPr>
          <w:rFonts w:hint="eastAsia" w:cs="黑体" w:asciiTheme="minorEastAsia" w:hAnsiTheme="minorEastAsia"/>
          <w:color w:val="000000"/>
          <w:kern w:val="0"/>
          <w:sz w:val="32"/>
          <w:szCs w:val="32"/>
          <w:lang w:val="en-US" w:eastAsia="zh-CN" w:bidi="ar-SA"/>
        </w:rPr>
        <w:t>。</w:t>
      </w:r>
    </w:p>
    <w:p>
      <w:pPr>
        <w:pStyle w:val="10"/>
        <w:rPr>
          <w:rFonts w:hAnsi="黑体"/>
          <w:b/>
          <w:sz w:val="32"/>
          <w:szCs w:val="32"/>
        </w:rPr>
      </w:pPr>
      <w:r>
        <w:rPr>
          <w:rFonts w:hint="eastAsia" w:hAnsi="黑体"/>
          <w:b/>
          <w:sz w:val="32"/>
          <w:szCs w:val="32"/>
          <w:lang w:val="en-US" w:eastAsia="zh-CN"/>
        </w:rPr>
        <w:t>十、</w:t>
      </w:r>
      <w:r>
        <w:rPr>
          <w:rFonts w:hint="eastAsia" w:hAnsi="黑体"/>
          <w:b/>
          <w:sz w:val="32"/>
          <w:szCs w:val="32"/>
        </w:rPr>
        <w:t>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heme="minorEastAsia" w:hAnsiTheme="minorEastAsia" w:eastAsiaTheme="minorEastAsia"/>
          <w:sz w:val="32"/>
          <w:szCs w:val="32"/>
        </w:rPr>
      </w:pPr>
      <w:r>
        <w:rPr>
          <w:rFonts w:hint="eastAsia" w:asciiTheme="minorEastAsia" w:hAnsiTheme="minorEastAsia" w:eastAsiaTheme="minorEastAsia"/>
          <w:sz w:val="32"/>
          <w:szCs w:val="32"/>
        </w:rPr>
        <w:t>本部门</w:t>
      </w:r>
      <w:r>
        <w:rPr>
          <w:rFonts w:hint="eastAsia" w:asciiTheme="minorEastAsia" w:hAnsiTheme="minorEastAsia"/>
          <w:sz w:val="32"/>
          <w:szCs w:val="32"/>
          <w:lang w:eastAsia="zh-CN"/>
        </w:rPr>
        <w:t>2021</w:t>
      </w:r>
      <w:r>
        <w:rPr>
          <w:rFonts w:hint="eastAsia" w:asciiTheme="minorEastAsia" w:hAnsiTheme="minorEastAsia" w:eastAsiaTheme="minorEastAsia"/>
          <w:sz w:val="32"/>
          <w:szCs w:val="32"/>
        </w:rPr>
        <w:t>年度机关运行经费支出</w:t>
      </w:r>
      <w:r>
        <w:rPr>
          <w:rFonts w:hint="eastAsia" w:asciiTheme="minorEastAsia" w:hAnsiTheme="minorEastAsia"/>
          <w:sz w:val="32"/>
          <w:szCs w:val="32"/>
          <w:lang w:val="en-US" w:eastAsia="zh-CN"/>
        </w:rPr>
        <w:t>3.19</w:t>
      </w:r>
      <w:r>
        <w:rPr>
          <w:rFonts w:hint="eastAsia" w:asciiTheme="minorEastAsia" w:hAnsiTheme="minorEastAsia" w:eastAsiaTheme="minorEastAsia"/>
          <w:sz w:val="32"/>
          <w:szCs w:val="32"/>
        </w:rPr>
        <w:t>万元，比年初预算数增加</w:t>
      </w:r>
      <w:r>
        <w:rPr>
          <w:rFonts w:hint="eastAsia" w:asciiTheme="minorEastAsia" w:hAnsiTheme="minorEastAsia"/>
          <w:sz w:val="32"/>
          <w:szCs w:val="32"/>
          <w:lang w:val="en-US" w:eastAsia="zh-CN"/>
        </w:rPr>
        <w:t>3.19</w:t>
      </w:r>
      <w:r>
        <w:rPr>
          <w:rFonts w:hint="eastAsia" w:asciiTheme="minorEastAsia" w:hAnsiTheme="minorEastAsia" w:eastAsiaTheme="minorEastAsia"/>
          <w:sz w:val="32"/>
          <w:szCs w:val="32"/>
        </w:rPr>
        <w:t>万元，主要原因是：本部门是差额拨款的事业单位，亦非参照公务员法管理的事业单位，所以不进行机关运行经费的核算。</w:t>
      </w:r>
    </w:p>
    <w:p>
      <w:pPr>
        <w:pStyle w:val="10"/>
        <w:rPr>
          <w:rFonts w:hint="eastAsia" w:hAnsi="黑体" w:eastAsia="黑体"/>
          <w:b/>
          <w:sz w:val="32"/>
          <w:szCs w:val="32"/>
          <w:lang w:val="en-US" w:eastAsia="zh-CN"/>
        </w:rPr>
      </w:pPr>
      <w:r>
        <w:rPr>
          <w:rFonts w:hint="eastAsia" w:hAnsi="黑体"/>
          <w:b/>
          <w:sz w:val="32"/>
          <w:szCs w:val="32"/>
        </w:rPr>
        <w:t>十</w:t>
      </w:r>
      <w:r>
        <w:rPr>
          <w:rFonts w:hint="eastAsia" w:hAnsi="黑体"/>
          <w:b/>
          <w:sz w:val="32"/>
          <w:szCs w:val="32"/>
          <w:lang w:val="en-US" w:eastAsia="zh-CN"/>
        </w:rPr>
        <w:t>一</w:t>
      </w:r>
      <w:r>
        <w:rPr>
          <w:rFonts w:hint="eastAsia" w:hAnsi="黑体"/>
          <w:b/>
          <w:sz w:val="32"/>
          <w:szCs w:val="32"/>
        </w:rPr>
        <w:t>、一般性支出情况</w:t>
      </w:r>
      <w:r>
        <w:rPr>
          <w:rFonts w:hint="eastAsia" w:hAnsi="黑体"/>
          <w:b/>
          <w:sz w:val="32"/>
          <w:szCs w:val="32"/>
          <w:lang w:val="en-US" w:eastAsia="zh-CN"/>
        </w:rPr>
        <w:t>说明</w:t>
      </w:r>
    </w:p>
    <w:p>
      <w:pPr>
        <w:widowControl/>
        <w:spacing w:line="600" w:lineRule="exact"/>
        <w:ind w:firstLine="640"/>
        <w:jc w:val="left"/>
        <w:rPr>
          <w:rFonts w:asciiTheme="minorEastAsia" w:hAnsiTheme="minorEastAsia" w:eastAsiaTheme="minorEastAsia"/>
          <w:sz w:val="32"/>
          <w:szCs w:val="32"/>
        </w:rPr>
      </w:pPr>
      <w:r>
        <w:rPr>
          <w:rFonts w:hint="eastAsia" w:asciiTheme="minorEastAsia" w:hAnsiTheme="minorEastAsia"/>
          <w:sz w:val="32"/>
          <w:szCs w:val="32"/>
          <w:lang w:eastAsia="zh-CN"/>
        </w:rPr>
        <w:t>2021</w:t>
      </w:r>
      <w:r>
        <w:rPr>
          <w:rFonts w:hint="eastAsia" w:asciiTheme="minorEastAsia" w:hAnsiTheme="minorEastAsia" w:eastAsiaTheme="minorEastAsia"/>
          <w:sz w:val="32"/>
          <w:szCs w:val="32"/>
        </w:rPr>
        <w:t>年本部门</w:t>
      </w:r>
      <w:r>
        <w:rPr>
          <w:rFonts w:hint="eastAsia" w:asciiTheme="minorEastAsia" w:hAnsiTheme="minorEastAsia"/>
          <w:sz w:val="32"/>
          <w:szCs w:val="32"/>
          <w:lang w:val="en-US" w:eastAsia="zh-CN"/>
        </w:rPr>
        <w:t>无会议费、无培训费开支。</w:t>
      </w:r>
    </w:p>
    <w:p>
      <w:pPr>
        <w:pStyle w:val="10"/>
        <w:rPr>
          <w:rFonts w:hAnsi="黑体"/>
          <w:b/>
          <w:sz w:val="32"/>
          <w:szCs w:val="32"/>
        </w:rPr>
      </w:pPr>
      <w:r>
        <w:rPr>
          <w:rFonts w:hint="eastAsia" w:hAnsi="黑体"/>
          <w:b/>
          <w:sz w:val="32"/>
          <w:szCs w:val="32"/>
        </w:rPr>
        <w:t>十</w:t>
      </w:r>
      <w:r>
        <w:rPr>
          <w:rFonts w:hint="eastAsia" w:hAnsi="黑体"/>
          <w:b/>
          <w:sz w:val="32"/>
          <w:szCs w:val="32"/>
          <w:lang w:val="en-US" w:eastAsia="zh-CN"/>
        </w:rPr>
        <w:t>二</w:t>
      </w:r>
      <w:r>
        <w:rPr>
          <w:rFonts w:hint="eastAsia" w:hAnsi="黑体"/>
          <w:b/>
          <w:sz w:val="32"/>
          <w:szCs w:val="32"/>
        </w:rPr>
        <w:t>、关于政府采购支出说明</w:t>
      </w:r>
    </w:p>
    <w:p>
      <w:pPr>
        <w:pStyle w:val="10"/>
        <w:ind w:firstLine="640" w:firstLineChars="20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本部门</w:t>
      </w:r>
      <w:r>
        <w:rPr>
          <w:rFonts w:hint="eastAsia" w:asciiTheme="minorEastAsia" w:hAnsiTheme="minorEastAsia" w:eastAsiaTheme="minorEastAsia"/>
          <w:sz w:val="32"/>
          <w:szCs w:val="32"/>
          <w:lang w:eastAsia="zh-CN"/>
        </w:rPr>
        <w:t>2021</w:t>
      </w:r>
      <w:r>
        <w:rPr>
          <w:rFonts w:hint="eastAsia" w:asciiTheme="minorEastAsia" w:hAnsiTheme="minorEastAsia" w:eastAsiaTheme="minorEastAsia"/>
          <w:sz w:val="32"/>
          <w:szCs w:val="32"/>
        </w:rPr>
        <w:t>年度政府采购支出总额</w:t>
      </w:r>
      <w:r>
        <w:rPr>
          <w:rFonts w:hint="eastAsia" w:asciiTheme="minorEastAsia" w:hAnsiTheme="minorEastAsia" w:eastAsiaTheme="minorEastAsia"/>
          <w:sz w:val="32"/>
          <w:szCs w:val="32"/>
          <w:lang w:val="en-US" w:eastAsia="zh-CN"/>
        </w:rPr>
        <w:t>27.28</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27.28</w:t>
      </w:r>
      <w:r>
        <w:rPr>
          <w:rFonts w:hint="eastAsia" w:asciiTheme="minorEastAsia" w:hAnsiTheme="minorEastAsia" w:eastAsiaTheme="minorEastAsia"/>
          <w:sz w:val="32"/>
          <w:szCs w:val="32"/>
        </w:rPr>
        <w:t>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 xml:space="preserve"> 万元、政府采购服务支出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27.28</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27.28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政府采购支出总额的100%。</w:t>
      </w:r>
    </w:p>
    <w:p>
      <w:pPr>
        <w:pStyle w:val="10"/>
        <w:rPr>
          <w:rFonts w:hAnsi="黑体"/>
          <w:b/>
          <w:sz w:val="32"/>
          <w:szCs w:val="32"/>
        </w:rPr>
      </w:pPr>
      <w:r>
        <w:rPr>
          <w:rFonts w:hint="eastAsia" w:hAnsi="黑体"/>
          <w:b/>
          <w:sz w:val="32"/>
          <w:szCs w:val="32"/>
        </w:rPr>
        <w:t>十</w:t>
      </w:r>
      <w:r>
        <w:rPr>
          <w:rFonts w:hint="eastAsia" w:hAnsi="黑体"/>
          <w:b/>
          <w:sz w:val="32"/>
          <w:szCs w:val="32"/>
          <w:lang w:val="en-US" w:eastAsia="zh-CN"/>
        </w:rPr>
        <w:t>三</w:t>
      </w:r>
      <w:r>
        <w:rPr>
          <w:rFonts w:hint="eastAsia" w:hAnsi="黑体"/>
          <w:b/>
          <w:sz w:val="32"/>
          <w:szCs w:val="32"/>
        </w:rPr>
        <w:t>、关于国有资产占用情况说明</w:t>
      </w:r>
    </w:p>
    <w:p>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w:t>
      </w:r>
      <w:r>
        <w:rPr>
          <w:rFonts w:hint="eastAsia" w:asciiTheme="minorEastAsia" w:hAnsiTheme="minorEastAsia" w:eastAsiaTheme="minorEastAsia"/>
          <w:sz w:val="32"/>
          <w:szCs w:val="32"/>
          <w:lang w:eastAsia="zh-CN"/>
        </w:rPr>
        <w:t>2021</w:t>
      </w:r>
      <w:r>
        <w:rPr>
          <w:rFonts w:hint="eastAsia" w:asciiTheme="minorEastAsia" w:hAnsiTheme="minorEastAsia" w:eastAsiaTheme="minorEastAsia"/>
          <w:sz w:val="32"/>
          <w:szCs w:val="32"/>
        </w:rPr>
        <w:t>年12月31日，本单位共有车辆</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pPr>
        <w:pStyle w:val="10"/>
        <w:rPr>
          <w:rFonts w:hAnsi="黑体"/>
          <w:b/>
          <w:sz w:val="32"/>
          <w:szCs w:val="32"/>
        </w:rPr>
      </w:pPr>
      <w:r>
        <w:rPr>
          <w:rFonts w:hint="eastAsia" w:hAnsi="黑体"/>
          <w:b/>
          <w:sz w:val="32"/>
          <w:szCs w:val="32"/>
        </w:rPr>
        <w:t>十</w:t>
      </w:r>
      <w:r>
        <w:rPr>
          <w:rFonts w:hint="eastAsia" w:hAnsi="黑体"/>
          <w:b/>
          <w:sz w:val="32"/>
          <w:szCs w:val="32"/>
          <w:lang w:val="en-US" w:eastAsia="zh-CN"/>
        </w:rPr>
        <w:t>四</w:t>
      </w:r>
      <w:r>
        <w:rPr>
          <w:rFonts w:hint="eastAsia" w:hAnsi="黑体"/>
          <w:b/>
          <w:sz w:val="32"/>
          <w:szCs w:val="32"/>
        </w:rPr>
        <w:t>、关于</w:t>
      </w:r>
      <w:r>
        <w:rPr>
          <w:rFonts w:hint="eastAsia" w:hAnsi="黑体"/>
          <w:b/>
          <w:sz w:val="32"/>
          <w:szCs w:val="32"/>
          <w:lang w:eastAsia="zh-CN"/>
        </w:rPr>
        <w:t>2021</w:t>
      </w:r>
      <w:r>
        <w:rPr>
          <w:rFonts w:hint="eastAsia" w:hAnsi="黑体"/>
          <w:b/>
          <w:sz w:val="32"/>
          <w:szCs w:val="32"/>
        </w:rPr>
        <w:t>年度预算绩效情况的说明</w:t>
      </w:r>
    </w:p>
    <w:p>
      <w:pPr>
        <w:pStyle w:val="10"/>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1）绩效管理评价工作开展情况。</w:t>
      </w:r>
    </w:p>
    <w:p>
      <w:pPr>
        <w:pStyle w:val="10"/>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根据预算绩效管理要求，我部门2021年度无公共预算项目绩效自评，无政府性基金预算项目支出，无国有资本经营预算项目支出。</w:t>
      </w:r>
    </w:p>
    <w:p>
      <w:pPr>
        <w:pStyle w:val="10"/>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组织对怀化市公共资源交易中心（本级）单位开展整体支出绩效评价，涉及支出金额1477.88万元，其中：一般公共预算财政拨款支出9.58万元。政府性基金预算支出0万元。从评价情况来看，评价形成了客观、准确、全面、完整的绩效自评报告。</w:t>
      </w:r>
    </w:p>
    <w:p>
      <w:pPr>
        <w:pStyle w:val="10"/>
        <w:numPr>
          <w:ilvl w:val="0"/>
          <w:numId w:val="4"/>
        </w:numPr>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部门绩效评价报告已向在网上公开</w:t>
      </w:r>
    </w:p>
    <w:p>
      <w:pPr>
        <w:pStyle w:val="10"/>
        <w:keepNext w:val="0"/>
        <w:keepLines w:val="0"/>
        <w:pageBreakBefore w:val="0"/>
        <w:widowControl w:val="0"/>
        <w:numPr>
          <w:numId w:val="0"/>
        </w:numPr>
        <w:kinsoku/>
        <w:wordWrap/>
        <w:overflowPunct/>
        <w:topLinePunct w:val="0"/>
        <w:autoSpaceDE w:val="0"/>
        <w:autoSpaceDN w:val="0"/>
        <w:bidi w:val="0"/>
        <w:adjustRightInd w:val="0"/>
        <w:snapToGrid/>
        <w:ind w:firstLine="640" w:firstLineChars="200"/>
        <w:textAlignment w:val="auto"/>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怀化市公共资源交易中心本年度无</w:t>
      </w:r>
      <w:bookmarkStart w:id="0" w:name="_GoBack"/>
      <w:bookmarkEnd w:id="0"/>
      <w:r>
        <w:rPr>
          <w:rFonts w:hint="eastAsia" w:asciiTheme="minorEastAsia" w:hAnsiTheme="minorEastAsia" w:eastAsiaTheme="minorEastAsia"/>
          <w:sz w:val="32"/>
          <w:szCs w:val="32"/>
          <w:lang w:val="en-US" w:eastAsia="zh-CN"/>
        </w:rPr>
        <w:t>重点支出项目。</w:t>
      </w:r>
    </w:p>
    <w:p>
      <w:pPr>
        <w:pStyle w:val="5"/>
        <w:spacing w:before="0" w:beforeAutospacing="0" w:after="0" w:afterAutospacing="0" w:line="616" w:lineRule="atLeast"/>
        <w:ind w:firstLine="560"/>
        <w:jc w:val="center"/>
        <w:rPr>
          <w:rFonts w:hint="eastAsia" w:ascii="黑体" w:hAnsi="黑体" w:eastAsia="黑体" w:cs="黑体"/>
          <w:b/>
          <w:bCs/>
          <w:color w:val="000000"/>
          <w:kern w:val="0"/>
          <w:sz w:val="48"/>
          <w:szCs w:val="48"/>
          <w:lang w:val="en-US" w:eastAsia="zh-CN" w:bidi="ar-SA"/>
        </w:rPr>
      </w:pPr>
      <w:r>
        <w:rPr>
          <w:rFonts w:hint="eastAsia" w:ascii="黑体" w:hAnsi="黑体" w:eastAsia="黑体" w:cs="黑体"/>
          <w:b/>
          <w:bCs/>
          <w:color w:val="000000"/>
          <w:kern w:val="0"/>
          <w:sz w:val="48"/>
          <w:szCs w:val="48"/>
          <w:lang w:val="en-US" w:eastAsia="zh-CN" w:bidi="ar-SA"/>
        </w:rPr>
        <w:t>第四部分</w:t>
      </w:r>
    </w:p>
    <w:p>
      <w:pPr>
        <w:pStyle w:val="5"/>
        <w:spacing w:before="0" w:beforeAutospacing="0" w:after="0" w:afterAutospacing="0" w:line="616" w:lineRule="atLeast"/>
        <w:ind w:firstLine="560"/>
        <w:jc w:val="center"/>
        <w:rPr>
          <w:rFonts w:hint="eastAsia" w:ascii="黑体" w:hAnsi="黑体" w:eastAsia="黑体" w:cs="黑体"/>
          <w:b/>
          <w:bCs/>
          <w:color w:val="000000"/>
          <w:kern w:val="0"/>
          <w:sz w:val="48"/>
          <w:szCs w:val="48"/>
          <w:lang w:val="en-US" w:eastAsia="zh-CN" w:bidi="ar-SA"/>
        </w:rPr>
      </w:pPr>
      <w:r>
        <w:rPr>
          <w:rFonts w:hint="eastAsia" w:ascii="黑体" w:hAnsi="黑体" w:eastAsia="黑体" w:cs="黑体"/>
          <w:b/>
          <w:bCs/>
          <w:color w:val="000000"/>
          <w:kern w:val="0"/>
          <w:sz w:val="48"/>
          <w:szCs w:val="48"/>
          <w:lang w:val="en-US" w:eastAsia="zh-CN" w:bidi="ar-SA"/>
        </w:rPr>
        <w:t>名 词 解 释</w:t>
      </w: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一、财政拨款收入：指单位本年度从市级财政部门取得的财政拨款。</w:t>
      </w: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二、上级补助收入：指事业单位从主管部门和上级单位取得的非财政补助收入。</w:t>
      </w: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三、事业收入：指事业单位开展专业业务活动及其辅助活动取得的收入，事业单位收到的财政专户实际核拨的教育收费等资金在此反映。</w:t>
      </w: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四、经营收入：指事业单位在专业业务活动及其辅助活动之外开展非独立核算经营活动取得的收入。</w:t>
      </w: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五、附属单位缴款：指事业单位附属独立核算单位按照有关规定上缴的收入。</w:t>
      </w: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六、其他收入：指单位取得的除上述"财政拨款收入"、"事业收入"、"经营收入"等以外的各项收入。</w:t>
      </w: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七、用事业基金弥补收支差额：指事业单位用事业基金弥补当年收支差额的数额。</w:t>
      </w: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八、年初结转和结余：指单位上年结转本年使用的基本支出结转、项目支出结转和结余和经营结余。</w:t>
      </w: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九、一般公共服务（类）人大事务（款）行政运行（项）：指人大常委会办公厅用于保障机构正常运行、开展日常工作的基本支出。</w:t>
      </w: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十、结余分配：指事业单位按规定对非财政补助结余资金提取的职工福利基金、事业基金和缴纳的所得税，以及减少单位按规定应缴回的基本建设竣工项目结余资金。</w:t>
      </w: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十一、年末结转和结余资金：指本年度或以前年度预算安排、因客观条件发生变化无法按原计划实施，需要延迟到以后年度按有关规定继续使用的资金。</w:t>
      </w: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十二、基本支出：指为保障机构正常运转、完成日常工作任务而发生的人员支出和公用支出。</w:t>
      </w: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十三、项目支出：指在基本支出之外为完成特定的行政任务或事业发展目标所发生的支出。</w:t>
      </w: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十四、上缴上级支出：指事业单位按照财政部门和主管部门的规定上缴上级单位的支出。十五、经营支出：指事业单位在专业业务活动及其辅助活动之外开展非独立核算经营活动发生的支出。</w:t>
      </w: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十六、对附属单位补助支出：指事业单位用财政补助收入之外的收入对附属单位补助发生的支出。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r>
        <w:rPr>
          <w:rFonts w:hint="default" w:cs="黑体" w:asciiTheme="minorEastAsia" w:hAnsiTheme="minorEastAsia" w:eastAsiaTheme="minorEastAsia"/>
          <w:color w:val="000000"/>
          <w:kern w:val="0"/>
          <w:sz w:val="32"/>
          <w:szCs w:val="32"/>
          <w:lang w:val="en-US" w:eastAsia="zh-CN" w:bidi="ar-SA"/>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指一般公共预算安排的基本支出中的"商品和服务支出"经费。</w:t>
      </w:r>
    </w:p>
    <w:p>
      <w:pPr>
        <w:pStyle w:val="5"/>
        <w:spacing w:before="0" w:beforeAutospacing="0" w:after="0" w:afterAutospacing="0" w:line="616" w:lineRule="atLeast"/>
        <w:ind w:firstLine="560"/>
        <w:jc w:val="left"/>
        <w:rPr>
          <w:rFonts w:hint="default" w:cs="黑体" w:asciiTheme="minorEastAsia" w:hAnsiTheme="minorEastAsia" w:eastAsiaTheme="minorEastAsia"/>
          <w:color w:val="000000"/>
          <w:kern w:val="0"/>
          <w:sz w:val="32"/>
          <w:szCs w:val="32"/>
          <w:lang w:val="en-US" w:eastAsia="zh-CN" w:bidi="ar-SA"/>
        </w:rPr>
      </w:pPr>
    </w:p>
    <w:p>
      <w:pPr>
        <w:pStyle w:val="10"/>
        <w:jc w:val="center"/>
        <w:rPr>
          <w:rFonts w:hint="eastAsia"/>
          <w:sz w:val="72"/>
          <w:szCs w:val="72"/>
        </w:rPr>
      </w:pPr>
    </w:p>
    <w:p>
      <w:pPr>
        <w:pStyle w:val="10"/>
        <w:jc w:val="center"/>
        <w:rPr>
          <w:sz w:val="48"/>
          <w:szCs w:val="48"/>
        </w:rPr>
      </w:pPr>
      <w:r>
        <w:rPr>
          <w:rFonts w:hint="eastAsia"/>
          <w:sz w:val="48"/>
          <w:szCs w:val="48"/>
        </w:rPr>
        <w:t>第五部分</w:t>
      </w:r>
    </w:p>
    <w:p>
      <w:pPr>
        <w:jc w:val="center"/>
        <w:rPr>
          <w:rFonts w:cs="黑体" w:asciiTheme="minorEastAsia" w:hAnsiTheme="minorEastAsia"/>
          <w:color w:val="000000"/>
          <w:kern w:val="0"/>
          <w:sz w:val="48"/>
          <w:szCs w:val="48"/>
        </w:rPr>
      </w:pPr>
      <w:r>
        <w:rPr>
          <w:rFonts w:hint="eastAsia" w:ascii="黑体" w:eastAsia="黑体" w:cs="黑体"/>
          <w:color w:val="000000"/>
          <w:kern w:val="0"/>
          <w:sz w:val="48"/>
          <w:szCs w:val="48"/>
        </w:rPr>
        <w:t>附件</w:t>
      </w:r>
    </w:p>
    <w:sectPr>
      <w:pgSz w:w="11906" w:h="16838"/>
      <w:pgMar w:top="1174" w:right="1344" w:bottom="1174" w:left="1344" w:header="851" w:footer="992" w:gutter="0"/>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53C4B"/>
    <w:multiLevelType w:val="singleLevel"/>
    <w:tmpl w:val="BFF53C4B"/>
    <w:lvl w:ilvl="0" w:tentative="0">
      <w:start w:val="2"/>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01FA15A"/>
    <w:multiLevelType w:val="singleLevel"/>
    <w:tmpl w:val="401FA15A"/>
    <w:lvl w:ilvl="0" w:tentative="0">
      <w:start w:val="2"/>
      <w:numFmt w:val="decimal"/>
      <w:suff w:val="nothing"/>
      <w:lvlText w:val="(%1）"/>
      <w:lvlJc w:val="left"/>
    </w:lvl>
  </w:abstractNum>
  <w:abstractNum w:abstractNumId="3">
    <w:nsid w:val="6B574440"/>
    <w:multiLevelType w:val="singleLevel"/>
    <w:tmpl w:val="6B574440"/>
    <w:lvl w:ilvl="0" w:tentative="0">
      <w:start w:val="9"/>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wZDExZTVlNGY5YmY4NDUyOTJkOTEwYTBjNzM1ODQifQ=="/>
  </w:docVars>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B52FE"/>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4BDD"/>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1B83E32"/>
    <w:rsid w:val="01C91423"/>
    <w:rsid w:val="01D76FD5"/>
    <w:rsid w:val="02266A25"/>
    <w:rsid w:val="03274830"/>
    <w:rsid w:val="03B8304C"/>
    <w:rsid w:val="03C350C4"/>
    <w:rsid w:val="04455AD9"/>
    <w:rsid w:val="055B3806"/>
    <w:rsid w:val="05F774DC"/>
    <w:rsid w:val="0705270D"/>
    <w:rsid w:val="076373CA"/>
    <w:rsid w:val="07BA0732"/>
    <w:rsid w:val="07C069E2"/>
    <w:rsid w:val="07C52F4A"/>
    <w:rsid w:val="087B5F6E"/>
    <w:rsid w:val="0A2A7C4B"/>
    <w:rsid w:val="0A382368"/>
    <w:rsid w:val="0A3F0A8C"/>
    <w:rsid w:val="0A4707FD"/>
    <w:rsid w:val="0A7809B7"/>
    <w:rsid w:val="0AE4604C"/>
    <w:rsid w:val="0B0C10FF"/>
    <w:rsid w:val="0B5331D2"/>
    <w:rsid w:val="0C6E02C3"/>
    <w:rsid w:val="0C805680"/>
    <w:rsid w:val="0C9D2956"/>
    <w:rsid w:val="0D36500C"/>
    <w:rsid w:val="0D692839"/>
    <w:rsid w:val="0E520394"/>
    <w:rsid w:val="0F11369E"/>
    <w:rsid w:val="10F92125"/>
    <w:rsid w:val="11D35067"/>
    <w:rsid w:val="11DF30C9"/>
    <w:rsid w:val="128F2D41"/>
    <w:rsid w:val="13AB3BAB"/>
    <w:rsid w:val="14075569"/>
    <w:rsid w:val="141334FE"/>
    <w:rsid w:val="143A0A8B"/>
    <w:rsid w:val="14CF5677"/>
    <w:rsid w:val="163634D4"/>
    <w:rsid w:val="1658169C"/>
    <w:rsid w:val="169A3A63"/>
    <w:rsid w:val="16E778AD"/>
    <w:rsid w:val="170A54DA"/>
    <w:rsid w:val="17465999"/>
    <w:rsid w:val="17961B03"/>
    <w:rsid w:val="187C1D68"/>
    <w:rsid w:val="1889042B"/>
    <w:rsid w:val="18BF0192"/>
    <w:rsid w:val="193208CA"/>
    <w:rsid w:val="19436634"/>
    <w:rsid w:val="197E58BE"/>
    <w:rsid w:val="1A9C249F"/>
    <w:rsid w:val="1AC15A62"/>
    <w:rsid w:val="1B772A90"/>
    <w:rsid w:val="1C6D52DA"/>
    <w:rsid w:val="1D3F7112"/>
    <w:rsid w:val="1E10615A"/>
    <w:rsid w:val="1F30765A"/>
    <w:rsid w:val="217750CC"/>
    <w:rsid w:val="217E510C"/>
    <w:rsid w:val="219739C1"/>
    <w:rsid w:val="22450A1F"/>
    <w:rsid w:val="22477195"/>
    <w:rsid w:val="228D6B72"/>
    <w:rsid w:val="228F6A0D"/>
    <w:rsid w:val="23126CB0"/>
    <w:rsid w:val="23321716"/>
    <w:rsid w:val="23896A74"/>
    <w:rsid w:val="23CB5BA3"/>
    <w:rsid w:val="24135D3A"/>
    <w:rsid w:val="24ED2E8F"/>
    <w:rsid w:val="257A354F"/>
    <w:rsid w:val="26597496"/>
    <w:rsid w:val="26C74DB3"/>
    <w:rsid w:val="26E53DB6"/>
    <w:rsid w:val="28081174"/>
    <w:rsid w:val="28121CC7"/>
    <w:rsid w:val="28580407"/>
    <w:rsid w:val="28681C13"/>
    <w:rsid w:val="28832004"/>
    <w:rsid w:val="2899001E"/>
    <w:rsid w:val="29B1648F"/>
    <w:rsid w:val="29C64C0D"/>
    <w:rsid w:val="29E057D9"/>
    <w:rsid w:val="29EE79BF"/>
    <w:rsid w:val="2A5B3D74"/>
    <w:rsid w:val="2BC947CD"/>
    <w:rsid w:val="2BE55F66"/>
    <w:rsid w:val="2C882884"/>
    <w:rsid w:val="2D6C5D01"/>
    <w:rsid w:val="2E2375B8"/>
    <w:rsid w:val="2F3565C7"/>
    <w:rsid w:val="2FB63264"/>
    <w:rsid w:val="30E91417"/>
    <w:rsid w:val="30EF1562"/>
    <w:rsid w:val="314B0324"/>
    <w:rsid w:val="31944F5B"/>
    <w:rsid w:val="32134141"/>
    <w:rsid w:val="323D5EBE"/>
    <w:rsid w:val="32CF5408"/>
    <w:rsid w:val="33CF2B46"/>
    <w:rsid w:val="34AE1BA1"/>
    <w:rsid w:val="34FC3C8F"/>
    <w:rsid w:val="35234AC0"/>
    <w:rsid w:val="35A00DF0"/>
    <w:rsid w:val="36011647"/>
    <w:rsid w:val="368D0A96"/>
    <w:rsid w:val="36A33CCA"/>
    <w:rsid w:val="372E46EB"/>
    <w:rsid w:val="37492420"/>
    <w:rsid w:val="37E8067A"/>
    <w:rsid w:val="37F21B43"/>
    <w:rsid w:val="39167469"/>
    <w:rsid w:val="391737AA"/>
    <w:rsid w:val="39CB3DB0"/>
    <w:rsid w:val="3A007301"/>
    <w:rsid w:val="3A37456B"/>
    <w:rsid w:val="3A59585F"/>
    <w:rsid w:val="3AEC0481"/>
    <w:rsid w:val="3AEF7F72"/>
    <w:rsid w:val="3B2C4D22"/>
    <w:rsid w:val="3B8F39D1"/>
    <w:rsid w:val="3C601127"/>
    <w:rsid w:val="3CDF4B1B"/>
    <w:rsid w:val="3D5B18EE"/>
    <w:rsid w:val="3D7B37C3"/>
    <w:rsid w:val="3DA87257"/>
    <w:rsid w:val="3E8D5AD7"/>
    <w:rsid w:val="3EB11A6B"/>
    <w:rsid w:val="3F141D55"/>
    <w:rsid w:val="3FD14B2F"/>
    <w:rsid w:val="40D73F23"/>
    <w:rsid w:val="41594397"/>
    <w:rsid w:val="418E46A1"/>
    <w:rsid w:val="42BC698B"/>
    <w:rsid w:val="432F66D4"/>
    <w:rsid w:val="436239D7"/>
    <w:rsid w:val="43A22025"/>
    <w:rsid w:val="445B16DE"/>
    <w:rsid w:val="446C618F"/>
    <w:rsid w:val="44E777A7"/>
    <w:rsid w:val="44F7701C"/>
    <w:rsid w:val="456B28EB"/>
    <w:rsid w:val="45987097"/>
    <w:rsid w:val="45C64F3E"/>
    <w:rsid w:val="46326F64"/>
    <w:rsid w:val="46984C5A"/>
    <w:rsid w:val="46C438F5"/>
    <w:rsid w:val="46D14EBF"/>
    <w:rsid w:val="471C2968"/>
    <w:rsid w:val="475C698F"/>
    <w:rsid w:val="479B74B7"/>
    <w:rsid w:val="48D03190"/>
    <w:rsid w:val="4A494345"/>
    <w:rsid w:val="4AB159F1"/>
    <w:rsid w:val="4AB8212E"/>
    <w:rsid w:val="4AD93E52"/>
    <w:rsid w:val="4B64377B"/>
    <w:rsid w:val="4BDB4079"/>
    <w:rsid w:val="4C231829"/>
    <w:rsid w:val="4C63431C"/>
    <w:rsid w:val="4C800A2A"/>
    <w:rsid w:val="4D10685C"/>
    <w:rsid w:val="4D9F3131"/>
    <w:rsid w:val="4DA30E74"/>
    <w:rsid w:val="4DB34E2F"/>
    <w:rsid w:val="4DC62DB4"/>
    <w:rsid w:val="4E037B64"/>
    <w:rsid w:val="4E36084D"/>
    <w:rsid w:val="4E805FDE"/>
    <w:rsid w:val="4E834801"/>
    <w:rsid w:val="4F196F13"/>
    <w:rsid w:val="4F42646A"/>
    <w:rsid w:val="4FC74BC1"/>
    <w:rsid w:val="50011E81"/>
    <w:rsid w:val="51BD34B5"/>
    <w:rsid w:val="51BD44CE"/>
    <w:rsid w:val="51F9258F"/>
    <w:rsid w:val="528A6D6F"/>
    <w:rsid w:val="52F03C1C"/>
    <w:rsid w:val="53530AB3"/>
    <w:rsid w:val="53710DDE"/>
    <w:rsid w:val="53B202DF"/>
    <w:rsid w:val="53C54AA1"/>
    <w:rsid w:val="53D22848"/>
    <w:rsid w:val="54AD6A7C"/>
    <w:rsid w:val="54FB7174"/>
    <w:rsid w:val="552A59D6"/>
    <w:rsid w:val="55306D65"/>
    <w:rsid w:val="554A42CB"/>
    <w:rsid w:val="55596E11"/>
    <w:rsid w:val="56122521"/>
    <w:rsid w:val="56150435"/>
    <w:rsid w:val="57144B90"/>
    <w:rsid w:val="57376AD1"/>
    <w:rsid w:val="575067DA"/>
    <w:rsid w:val="57BE32CF"/>
    <w:rsid w:val="58410E48"/>
    <w:rsid w:val="589C3471"/>
    <w:rsid w:val="58E40592"/>
    <w:rsid w:val="595E28C9"/>
    <w:rsid w:val="59DE0C82"/>
    <w:rsid w:val="5AEE05D9"/>
    <w:rsid w:val="5B072F34"/>
    <w:rsid w:val="5B0F5D9A"/>
    <w:rsid w:val="5B1F3B03"/>
    <w:rsid w:val="5B834497"/>
    <w:rsid w:val="5D861C18"/>
    <w:rsid w:val="5DFE5C1A"/>
    <w:rsid w:val="5E9D546B"/>
    <w:rsid w:val="5F053010"/>
    <w:rsid w:val="5F767A73"/>
    <w:rsid w:val="60695F4D"/>
    <w:rsid w:val="60CF48D9"/>
    <w:rsid w:val="61151C31"/>
    <w:rsid w:val="61E810F3"/>
    <w:rsid w:val="61F46BD7"/>
    <w:rsid w:val="62027EAC"/>
    <w:rsid w:val="63AB23D8"/>
    <w:rsid w:val="644202F9"/>
    <w:rsid w:val="662B15AE"/>
    <w:rsid w:val="663F14FE"/>
    <w:rsid w:val="665931A1"/>
    <w:rsid w:val="66611474"/>
    <w:rsid w:val="668B029F"/>
    <w:rsid w:val="67A55986"/>
    <w:rsid w:val="684D3A5E"/>
    <w:rsid w:val="687E58AF"/>
    <w:rsid w:val="68E36170"/>
    <w:rsid w:val="68E87C2B"/>
    <w:rsid w:val="698E07D2"/>
    <w:rsid w:val="699A7177"/>
    <w:rsid w:val="6AC63F9C"/>
    <w:rsid w:val="6B0A032C"/>
    <w:rsid w:val="6B234F4A"/>
    <w:rsid w:val="6B301415"/>
    <w:rsid w:val="6B625267"/>
    <w:rsid w:val="6B7632CC"/>
    <w:rsid w:val="6BA240C1"/>
    <w:rsid w:val="6C4D6722"/>
    <w:rsid w:val="6D704142"/>
    <w:rsid w:val="6DF130DE"/>
    <w:rsid w:val="6ECC76A7"/>
    <w:rsid w:val="6EEB5D7F"/>
    <w:rsid w:val="6F1A6664"/>
    <w:rsid w:val="6F411E43"/>
    <w:rsid w:val="6F997035"/>
    <w:rsid w:val="6FF84BF7"/>
    <w:rsid w:val="70795D2D"/>
    <w:rsid w:val="70862203"/>
    <w:rsid w:val="71153587"/>
    <w:rsid w:val="719C7804"/>
    <w:rsid w:val="71A5490B"/>
    <w:rsid w:val="7285473C"/>
    <w:rsid w:val="736507F6"/>
    <w:rsid w:val="736D6914"/>
    <w:rsid w:val="7372354E"/>
    <w:rsid w:val="73CD6DE1"/>
    <w:rsid w:val="74471CA9"/>
    <w:rsid w:val="74AC5FB0"/>
    <w:rsid w:val="74CC0400"/>
    <w:rsid w:val="75B01AD0"/>
    <w:rsid w:val="75B07D22"/>
    <w:rsid w:val="76714AE4"/>
    <w:rsid w:val="76F8372F"/>
    <w:rsid w:val="76FC7C04"/>
    <w:rsid w:val="77341475"/>
    <w:rsid w:val="77CD6969"/>
    <w:rsid w:val="780600CD"/>
    <w:rsid w:val="781833E4"/>
    <w:rsid w:val="78FD327E"/>
    <w:rsid w:val="79625BEE"/>
    <w:rsid w:val="79DB1AE1"/>
    <w:rsid w:val="79F96F68"/>
    <w:rsid w:val="7A170370"/>
    <w:rsid w:val="7A625579"/>
    <w:rsid w:val="7ACE489E"/>
    <w:rsid w:val="7B302338"/>
    <w:rsid w:val="7B510EA2"/>
    <w:rsid w:val="7C3E0DFE"/>
    <w:rsid w:val="7C511C25"/>
    <w:rsid w:val="7CAE043B"/>
    <w:rsid w:val="7D513B99"/>
    <w:rsid w:val="7DD330D5"/>
    <w:rsid w:val="7E4B683A"/>
    <w:rsid w:val="7FA4048C"/>
    <w:rsid w:val="7FD21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4300</Words>
  <Characters>4602</Characters>
  <Lines>62</Lines>
  <Paragraphs>17</Paragraphs>
  <TotalTime>15</TotalTime>
  <ScaleCrop>false</ScaleCrop>
  <LinksUpToDate>false</LinksUpToDate>
  <CharactersWithSpaces>4616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秋语秋瑜</cp:lastModifiedBy>
  <cp:lastPrinted>2023-09-05T01:17:00Z</cp:lastPrinted>
  <dcterms:modified xsi:type="dcterms:W3CDTF">2023-10-11T02:00:37Z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93518DAF91BB4D148145B374AA264474_13</vt:lpwstr>
  </property>
</Properties>
</file>