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C5F687">
      <w:pPr>
        <w:pStyle w:val="13"/>
        <w:jc w:val="both"/>
        <w:rPr>
          <w:rFonts w:hAnsi="黑体"/>
          <w:sz w:val="36"/>
          <w:szCs w:val="36"/>
        </w:rPr>
      </w:pPr>
      <w:r>
        <w:rPr>
          <w:rFonts w:hint="eastAsia" w:hAnsi="黑体"/>
          <w:sz w:val="36"/>
          <w:szCs w:val="36"/>
        </w:rPr>
        <w:t>附件1</w:t>
      </w:r>
    </w:p>
    <w:p w14:paraId="7036990F">
      <w:pPr>
        <w:pStyle w:val="13"/>
        <w:jc w:val="center"/>
        <w:rPr>
          <w:rFonts w:ascii="Times New Roman" w:hAnsi="Times New Roman" w:cs="Times New Roman"/>
          <w:sz w:val="56"/>
          <w:szCs w:val="56"/>
        </w:rPr>
      </w:pPr>
    </w:p>
    <w:p w14:paraId="11A899FF">
      <w:pPr>
        <w:pStyle w:val="13"/>
        <w:jc w:val="center"/>
        <w:rPr>
          <w:rFonts w:ascii="Times New Roman" w:hAnsi="Times New Roman" w:cs="Times New Roman"/>
          <w:sz w:val="84"/>
          <w:szCs w:val="84"/>
        </w:rPr>
      </w:pPr>
    </w:p>
    <w:p w14:paraId="4212D66A">
      <w:pPr>
        <w:pStyle w:val="13"/>
        <w:jc w:val="center"/>
        <w:rPr>
          <w:rFonts w:ascii="Times New Roman" w:hAnsi="Times New Roman" w:cs="Times New Roman"/>
          <w:sz w:val="84"/>
          <w:szCs w:val="84"/>
        </w:rPr>
      </w:pPr>
    </w:p>
    <w:p w14:paraId="7D3B419E">
      <w:pPr>
        <w:pStyle w:val="13"/>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113AD21B">
      <w:pPr>
        <w:pStyle w:val="13"/>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val="en-US" w:eastAsia="zh-CN"/>
        </w:rPr>
        <w:t>怀化市公共资源交易中心</w:t>
      </w:r>
      <w:r>
        <w:rPr>
          <w:rFonts w:ascii="Times New Roman" w:hAnsi="Times New Roman" w:eastAsia="方正小标宋简体" w:cs="Times New Roman"/>
          <w:sz w:val="72"/>
          <w:szCs w:val="72"/>
        </w:rPr>
        <w:t>部门决算</w:t>
      </w:r>
    </w:p>
    <w:p w14:paraId="60D18FD9">
      <w:pPr>
        <w:pStyle w:val="13"/>
        <w:jc w:val="center"/>
        <w:rPr>
          <w:rFonts w:ascii="Times New Roman" w:hAnsi="Times New Roman" w:eastAsia="方正小标宋_GBK" w:cs="Times New Roman"/>
          <w:sz w:val="56"/>
          <w:szCs w:val="56"/>
        </w:rPr>
      </w:pPr>
    </w:p>
    <w:p w14:paraId="3D81F467">
      <w:pPr>
        <w:pStyle w:val="13"/>
        <w:jc w:val="center"/>
        <w:rPr>
          <w:rFonts w:ascii="Times New Roman" w:hAnsi="Times New Roman" w:cs="Times New Roman"/>
          <w:sz w:val="56"/>
          <w:szCs w:val="56"/>
        </w:rPr>
      </w:pPr>
    </w:p>
    <w:p w14:paraId="0DCD1BD2">
      <w:pPr>
        <w:pStyle w:val="13"/>
        <w:rPr>
          <w:rFonts w:ascii="Times New Roman" w:hAnsi="Times New Roman" w:cs="Times New Roman"/>
          <w:sz w:val="56"/>
          <w:szCs w:val="56"/>
        </w:rPr>
      </w:pPr>
    </w:p>
    <w:p w14:paraId="0B5A8C48">
      <w:pPr>
        <w:pStyle w:val="13"/>
        <w:jc w:val="center"/>
        <w:rPr>
          <w:rFonts w:ascii="Times New Roman" w:hAnsi="Times New Roman" w:cs="Times New Roman"/>
          <w:sz w:val="32"/>
          <w:szCs w:val="32"/>
        </w:rPr>
      </w:pPr>
    </w:p>
    <w:p w14:paraId="515F0B33">
      <w:pPr>
        <w:pStyle w:val="13"/>
        <w:jc w:val="center"/>
        <w:rPr>
          <w:rFonts w:ascii="Times New Roman" w:hAnsi="Times New Roman" w:cs="Times New Roman"/>
          <w:sz w:val="32"/>
          <w:szCs w:val="32"/>
        </w:rPr>
      </w:pPr>
    </w:p>
    <w:p w14:paraId="43C27D99">
      <w:pPr>
        <w:pStyle w:val="13"/>
        <w:jc w:val="center"/>
        <w:rPr>
          <w:rFonts w:ascii="Times New Roman" w:hAnsi="Times New Roman" w:cs="Times New Roman"/>
          <w:sz w:val="32"/>
          <w:szCs w:val="32"/>
        </w:rPr>
      </w:pPr>
    </w:p>
    <w:p w14:paraId="350BB713">
      <w:pPr>
        <w:pStyle w:val="13"/>
        <w:jc w:val="center"/>
        <w:rPr>
          <w:rFonts w:ascii="Times New Roman" w:hAnsi="Times New Roman" w:cs="Times New Roman"/>
          <w:sz w:val="32"/>
          <w:szCs w:val="32"/>
        </w:rPr>
      </w:pPr>
    </w:p>
    <w:p w14:paraId="15AC8853">
      <w:pPr>
        <w:pStyle w:val="13"/>
        <w:jc w:val="center"/>
        <w:rPr>
          <w:rFonts w:ascii="Times New Roman" w:hAnsi="Times New Roman" w:cs="Times New Roman"/>
          <w:sz w:val="32"/>
          <w:szCs w:val="32"/>
        </w:rPr>
      </w:pPr>
    </w:p>
    <w:p w14:paraId="7B20AB69">
      <w:pPr>
        <w:pStyle w:val="13"/>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14:paraId="4BC01CB3">
      <w:pPr>
        <w:pStyle w:val="13"/>
        <w:spacing w:line="600" w:lineRule="exact"/>
        <w:jc w:val="both"/>
        <w:rPr>
          <w:rFonts w:ascii="Times New Roman" w:hAnsi="Times New Roman" w:cs="Times New Roman"/>
          <w:b/>
          <w:sz w:val="36"/>
          <w:szCs w:val="28"/>
        </w:rPr>
      </w:pPr>
    </w:p>
    <w:p w14:paraId="1DDA0580">
      <w:pPr>
        <w:pStyle w:val="13"/>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28AC46D0">
      <w:pPr>
        <w:pStyle w:val="13"/>
        <w:spacing w:line="600" w:lineRule="exact"/>
        <w:jc w:val="center"/>
        <w:rPr>
          <w:rFonts w:ascii="Times New Roman" w:hAnsi="Times New Roman" w:cs="Times New Roman"/>
          <w:b/>
          <w:sz w:val="36"/>
          <w:szCs w:val="28"/>
        </w:rPr>
      </w:pPr>
    </w:p>
    <w:p w14:paraId="1E36C92D">
      <w:pPr>
        <w:pStyle w:val="13"/>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val="en-US" w:eastAsia="zh-CN"/>
        </w:rPr>
        <w:t>怀化市公共资源交易中心</w:t>
      </w:r>
      <w:r>
        <w:rPr>
          <w:rFonts w:ascii="Times New Roman" w:hAnsi="Times New Roman" w:cs="Times New Roman"/>
          <w:bCs/>
          <w:sz w:val="32"/>
          <w:szCs w:val="32"/>
        </w:rPr>
        <w:t>概况</w:t>
      </w:r>
    </w:p>
    <w:p w14:paraId="75F6E975">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6551E4DA">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59DB6376">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67923F82">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1DE9114D">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2D010CC4">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7C5AEBF9">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5DAB9AEF">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7A419FA7">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3451D565">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1501D756">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2E62FB1F">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3262B478">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0F186697">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48003B4F">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612C3220">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5627892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500CE42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4DBCA91A">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14:paraId="41FA5A3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112D7571">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49D8D881">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0429D3CD">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九、关于机关运行经费支出说明</w:t>
      </w:r>
    </w:p>
    <w:p w14:paraId="110AAF3A">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十、一般性支出情况说明</w:t>
      </w:r>
    </w:p>
    <w:p w14:paraId="4E6DBD62">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十一、关于政府采购支出说明</w:t>
      </w:r>
    </w:p>
    <w:p w14:paraId="4F69957B">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十二、关于国有资产占用情况说明</w:t>
      </w:r>
    </w:p>
    <w:p w14:paraId="5CC5A7E3">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十三、关于2024年度预算绩效管理情况的说明</w:t>
      </w:r>
    </w:p>
    <w:p w14:paraId="3C42C5AC">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5060A019">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7FAB479B">
      <w:pPr>
        <w:pStyle w:val="13"/>
        <w:spacing w:line="600" w:lineRule="exact"/>
        <w:rPr>
          <w:rFonts w:ascii="Times New Roman" w:hAnsi="Times New Roman" w:cs="Times New Roman"/>
          <w:bCs/>
          <w:sz w:val="28"/>
          <w:szCs w:val="28"/>
        </w:rPr>
      </w:pPr>
    </w:p>
    <w:p w14:paraId="729B3170">
      <w:pPr>
        <w:jc w:val="center"/>
        <w:rPr>
          <w:rFonts w:ascii="Times New Roman" w:hAnsi="Times New Roman" w:cs="Times New Roman"/>
          <w:sz w:val="72"/>
          <w:szCs w:val="72"/>
        </w:rPr>
      </w:pPr>
    </w:p>
    <w:p w14:paraId="52DEE8E3">
      <w:pPr>
        <w:jc w:val="center"/>
        <w:rPr>
          <w:rFonts w:ascii="Times New Roman" w:hAnsi="Times New Roman" w:cs="Times New Roman"/>
          <w:sz w:val="72"/>
          <w:szCs w:val="72"/>
        </w:rPr>
      </w:pPr>
    </w:p>
    <w:p w14:paraId="2BC840FE">
      <w:pPr>
        <w:jc w:val="center"/>
        <w:rPr>
          <w:rFonts w:ascii="Times New Roman" w:hAnsi="Times New Roman" w:cs="Times New Roman"/>
          <w:sz w:val="72"/>
          <w:szCs w:val="72"/>
        </w:rPr>
      </w:pPr>
    </w:p>
    <w:p w14:paraId="60FF80CB">
      <w:pPr>
        <w:pStyle w:val="2"/>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680CC671">
      <w:pPr>
        <w:rPr>
          <w:rFonts w:ascii="Times New Roman" w:hAnsi="Times New Roman" w:eastAsia="方正小标宋_GBK" w:cs="Times New Roman"/>
          <w:sz w:val="72"/>
          <w:szCs w:val="72"/>
        </w:rPr>
      </w:pPr>
    </w:p>
    <w:p w14:paraId="3CB82BDE">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363C6DBC">
      <w:pPr>
        <w:pStyle w:val="13"/>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val="en-US" w:eastAsia="zh-CN"/>
        </w:rPr>
        <w:t>怀化市公共资源交易中心</w:t>
      </w:r>
      <w:r>
        <w:rPr>
          <w:rFonts w:ascii="Times New Roman" w:hAnsi="Times New Roman" w:eastAsia="方正小标宋_GBK" w:cs="Times New Roman"/>
          <w:sz w:val="52"/>
          <w:szCs w:val="52"/>
        </w:rPr>
        <w:t>概况</w:t>
      </w:r>
    </w:p>
    <w:p w14:paraId="39519164">
      <w:pPr>
        <w:pStyle w:val="3"/>
        <w:ind w:left="0" w:leftChars="0" w:firstLine="0" w:firstLineChars="0"/>
        <w:rPr>
          <w:rFonts w:ascii="Times New Roman" w:hAnsi="Times New Roman" w:cs="Times New Roman"/>
        </w:rPr>
      </w:pPr>
    </w:p>
    <w:p w14:paraId="6D273BE8">
      <w:pPr>
        <w:pStyle w:val="14"/>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266FC3D9">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1.贯彻执行国家和省有关公共资源交易的方针政策和法律法规，为市场主体、社会公众、行政监督管理部门提供综合服务。</w:t>
      </w:r>
    </w:p>
    <w:p w14:paraId="1C201F3F">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2.为公共资源交易平台提供运行服务。</w:t>
      </w:r>
    </w:p>
    <w:p w14:paraId="17328D23">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3.承担工程交易、政府采购交易、产权交易和自然资源交易相关服务工作；提供交易活动所必要的场所、设施和服务。</w:t>
      </w:r>
    </w:p>
    <w:p w14:paraId="6165DE33">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4.执行各类公共资源交易流程、操作规程和现场管理制度，维持现场交易秩序；为电子交易和监管系统提供对接服务。</w:t>
      </w:r>
    </w:p>
    <w:p w14:paraId="093481CA">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5.负责市级公共资源交易平台及电子系统建设、运行、管理，为有关部门核验交易主体的资质提供服务，收集、储存和发布各类公共资源交易信息，为市场主体提供信息咨询服务，记录、整理、保存交易服务过程相关资料，汇总分析、综合利用交易数据，开展交易风险监测预警。</w:t>
      </w:r>
    </w:p>
    <w:p w14:paraId="014B6036">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6.为行政监管部门开展监督提供必要条件和平台服务，配合行政监管部门和监察机关的监督管理工作，及时向行政监管部门报告发现的违反交易规则和管理制度的行为。</w:t>
      </w:r>
    </w:p>
    <w:p w14:paraId="3CC0F6B4">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7.在相关部门监督下，承担评标专家抽取有关工作；提供交易活动见证服务；做好项目入场登记服务，组织平台内的公共资源交易活动，对参与平台内交易活动的相关人员、机构活动进行记录和考评。</w:t>
      </w:r>
    </w:p>
    <w:p w14:paraId="067933E8">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8.完成市委、市政府和市公共资源交易管理委员会交办的其他事项。</w:t>
      </w:r>
    </w:p>
    <w:p w14:paraId="35D9914B">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33E39896">
      <w:pPr>
        <w:widowControl/>
        <w:spacing w:line="600" w:lineRule="exact"/>
        <w:rPr>
          <w:rFonts w:hint="eastAsia"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Times New Roman"/>
          <w:bCs/>
          <w:kern w:val="0"/>
          <w:sz w:val="32"/>
          <w:szCs w:val="32"/>
        </w:rPr>
        <w:t>怀化市公共资源交易中心为市人民政府直属正处级公益一类事业单位，内设部室为：办公室、监督部、技术信息与市场服务部、财务部、工程交易部、政府采购交易部、产权交易部、自然资源交易部8个职能部室。</w:t>
      </w:r>
    </w:p>
    <w:p w14:paraId="1B95EAFF">
      <w:pPr>
        <w:widowControl/>
        <w:spacing w:line="600" w:lineRule="exact"/>
        <w:rPr>
          <w:rFonts w:hint="eastAsia" w:ascii="Times New Roman" w:hAnsi="Times New Roman" w:eastAsia="仿宋_GB2312" w:cs="Times New Roman"/>
          <w:bCs/>
          <w:kern w:val="0"/>
          <w:sz w:val="32"/>
          <w:szCs w:val="32"/>
          <w:lang w:eastAsia="zh-CN"/>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Times New Roman"/>
          <w:bCs/>
          <w:kern w:val="0"/>
          <w:sz w:val="32"/>
          <w:szCs w:val="32"/>
        </w:rPr>
        <w:t>怀化市公共资源交易中心</w:t>
      </w:r>
      <w:r>
        <w:rPr>
          <w:rFonts w:ascii="Times New Roman" w:hAnsi="Times New Roman" w:eastAsia="仿宋_GB2312" w:cs="Times New Roman"/>
          <w:bCs/>
          <w:kern w:val="0"/>
          <w:sz w:val="32"/>
          <w:szCs w:val="32"/>
        </w:rPr>
        <w:t>2024年部门决算汇总公开单位构成包括：</w:t>
      </w:r>
      <w:r>
        <w:rPr>
          <w:rFonts w:hint="eastAsia" w:ascii="Times New Roman" w:hAnsi="Times New Roman" w:eastAsia="仿宋_GB2312" w:cs="Times New Roman"/>
          <w:bCs/>
          <w:kern w:val="0"/>
          <w:sz w:val="32"/>
          <w:szCs w:val="32"/>
        </w:rPr>
        <w:t>怀化市公共资源交易中心</w:t>
      </w:r>
      <w:r>
        <w:rPr>
          <w:rFonts w:ascii="Times New Roman" w:hAnsi="Times New Roman" w:eastAsia="仿宋_GB2312" w:cs="Times New Roman"/>
          <w:bCs/>
          <w:kern w:val="0"/>
          <w:sz w:val="32"/>
          <w:szCs w:val="32"/>
        </w:rPr>
        <w:t>单位本级</w:t>
      </w:r>
      <w:r>
        <w:rPr>
          <w:rFonts w:hint="eastAsia" w:ascii="Times New Roman" w:hAnsi="Times New Roman" w:eastAsia="仿宋_GB2312" w:cs="Times New Roman"/>
          <w:bCs/>
          <w:kern w:val="0"/>
          <w:sz w:val="32"/>
          <w:szCs w:val="32"/>
          <w:lang w:eastAsia="zh-CN"/>
        </w:rPr>
        <w:t>。</w:t>
      </w:r>
    </w:p>
    <w:p w14:paraId="0DB1E8CC">
      <w:pPr>
        <w:jc w:val="left"/>
        <w:rPr>
          <w:rFonts w:ascii="Times New Roman" w:hAnsi="Times New Roman" w:eastAsia="仿宋_GB2312" w:cs="Times New Roman"/>
          <w:sz w:val="28"/>
          <w:szCs w:val="32"/>
        </w:rPr>
      </w:pPr>
    </w:p>
    <w:p w14:paraId="1AB9E7C1">
      <w:pPr>
        <w:jc w:val="center"/>
        <w:rPr>
          <w:rFonts w:ascii="Times New Roman" w:hAnsi="Times New Roman" w:eastAsia="黑体" w:cs="Times New Roman"/>
          <w:sz w:val="28"/>
          <w:szCs w:val="28"/>
        </w:rPr>
      </w:pPr>
    </w:p>
    <w:p w14:paraId="2C1D5CB8">
      <w:pPr>
        <w:jc w:val="center"/>
        <w:rPr>
          <w:rFonts w:ascii="Times New Roman" w:hAnsi="Times New Roman" w:eastAsia="黑体" w:cs="Times New Roman"/>
          <w:sz w:val="28"/>
          <w:szCs w:val="28"/>
        </w:rPr>
      </w:pPr>
    </w:p>
    <w:p w14:paraId="00DC09B4">
      <w:pPr>
        <w:jc w:val="center"/>
        <w:rPr>
          <w:rFonts w:ascii="Times New Roman" w:hAnsi="Times New Roman" w:eastAsia="黑体" w:cs="Times New Roman"/>
          <w:sz w:val="28"/>
          <w:szCs w:val="28"/>
        </w:rPr>
      </w:pPr>
    </w:p>
    <w:p w14:paraId="6D71C2EC">
      <w:pPr>
        <w:jc w:val="center"/>
        <w:rPr>
          <w:rFonts w:ascii="Times New Roman" w:hAnsi="Times New Roman" w:eastAsia="黑体" w:cs="Times New Roman"/>
          <w:sz w:val="28"/>
          <w:szCs w:val="28"/>
        </w:rPr>
      </w:pPr>
    </w:p>
    <w:p w14:paraId="5D8C59B6">
      <w:pPr>
        <w:jc w:val="center"/>
        <w:rPr>
          <w:rFonts w:ascii="Times New Roman" w:hAnsi="Times New Roman" w:eastAsia="黑体" w:cs="Times New Roman"/>
          <w:sz w:val="28"/>
          <w:szCs w:val="28"/>
        </w:rPr>
      </w:pPr>
    </w:p>
    <w:p w14:paraId="52193831">
      <w:pPr>
        <w:pStyle w:val="2"/>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14:paraId="21FFA62B">
      <w:pPr>
        <w:pStyle w:val="13"/>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5904D5A8">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rPr>
        <w:t>收入支出决算总表</w:t>
      </w:r>
    </w:p>
    <w:p w14:paraId="0527049A">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公开01表</w:t>
      </w:r>
    </w:p>
    <w:p w14:paraId="7E362E32">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val="en-US" w:eastAsia="zh-CN"/>
        </w:rPr>
        <w:t>怀化市公共资源交易中心</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单位：万元</w:t>
      </w:r>
    </w:p>
    <w:tbl>
      <w:tblPr>
        <w:tblStyle w:val="8"/>
        <w:tblW w:w="14896" w:type="dxa"/>
        <w:jc w:val="center"/>
        <w:tblLayout w:type="autofit"/>
        <w:tblCellMar>
          <w:top w:w="0" w:type="dxa"/>
          <w:left w:w="108" w:type="dxa"/>
          <w:bottom w:w="0" w:type="dxa"/>
          <w:right w:w="108" w:type="dxa"/>
        </w:tblCellMar>
      </w:tblPr>
      <w:tblGrid>
        <w:gridCol w:w="5762"/>
        <w:gridCol w:w="850"/>
        <w:gridCol w:w="1291"/>
        <w:gridCol w:w="4851"/>
        <w:gridCol w:w="850"/>
        <w:gridCol w:w="1292"/>
      </w:tblGrid>
      <w:tr w14:paraId="799A01EE">
        <w:trPr>
          <w:trHeight w:val="340"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728AE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7BADB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支出</w:t>
            </w:r>
          </w:p>
        </w:tc>
      </w:tr>
      <w:tr w14:paraId="0DCFDB6B">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01582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38AF3B">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E10AA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5B0FD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9CEBC7">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0A5BE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r>
      <w:tr w14:paraId="7C839858">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52C55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F8CF6E">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B043B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12070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1ECD6B">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48ADE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r>
      <w:tr w14:paraId="0BE75FBA">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2358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1CA79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08016">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DD7790">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A4477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3AF21">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2215.95</w:t>
            </w:r>
          </w:p>
        </w:tc>
      </w:tr>
      <w:tr w14:paraId="3DB213E0">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E7C0C5">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335D8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D11FF">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B42745">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BC460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75AA9">
            <w:pPr>
              <w:jc w:val="right"/>
              <w:rPr>
                <w:rFonts w:ascii="Times New Roman" w:hAnsi="Times New Roman" w:eastAsia="仿宋_GB2312" w:cs="Times New Roman"/>
                <w:color w:val="000000"/>
                <w:sz w:val="22"/>
              </w:rPr>
            </w:pPr>
          </w:p>
        </w:tc>
      </w:tr>
      <w:tr w14:paraId="78C1707B">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0D016">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A82FE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20E02">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5BF35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07A28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E3D2E">
            <w:pPr>
              <w:jc w:val="right"/>
              <w:rPr>
                <w:rFonts w:ascii="Times New Roman" w:hAnsi="Times New Roman" w:eastAsia="仿宋_GB2312" w:cs="Times New Roman"/>
                <w:color w:val="000000"/>
                <w:sz w:val="22"/>
              </w:rPr>
            </w:pPr>
          </w:p>
        </w:tc>
      </w:tr>
      <w:tr w14:paraId="5E49E6AF">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45251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D5517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BDDD7">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C3597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86619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F4E9D">
            <w:pPr>
              <w:jc w:val="right"/>
              <w:rPr>
                <w:rFonts w:ascii="Times New Roman" w:hAnsi="Times New Roman" w:eastAsia="仿宋_GB2312" w:cs="Times New Roman"/>
                <w:color w:val="000000"/>
                <w:sz w:val="22"/>
              </w:rPr>
            </w:pPr>
          </w:p>
        </w:tc>
      </w:tr>
      <w:tr w14:paraId="1C0BED21">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048DB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6737F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842FA">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2215.95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645A1C">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AD639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DAE20">
            <w:pPr>
              <w:jc w:val="right"/>
              <w:rPr>
                <w:rFonts w:ascii="Times New Roman" w:hAnsi="Times New Roman" w:eastAsia="仿宋_GB2312" w:cs="Times New Roman"/>
                <w:color w:val="000000"/>
                <w:sz w:val="22"/>
              </w:rPr>
            </w:pPr>
          </w:p>
        </w:tc>
      </w:tr>
      <w:tr w14:paraId="56941036">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AB7E7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AD4AC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FA0AD">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D3F5C2">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A0CF6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E7342">
            <w:pPr>
              <w:jc w:val="right"/>
              <w:rPr>
                <w:rFonts w:ascii="Times New Roman" w:hAnsi="Times New Roman" w:eastAsia="仿宋_GB2312" w:cs="Times New Roman"/>
                <w:color w:val="000000"/>
                <w:sz w:val="22"/>
              </w:rPr>
            </w:pPr>
          </w:p>
        </w:tc>
      </w:tr>
      <w:tr w14:paraId="255FB755">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7EC64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45C14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0B028">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CFD2C">
            <w:pPr>
              <w:widowControl/>
              <w:jc w:val="left"/>
              <w:textAlignment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C79B3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23541">
            <w:pPr>
              <w:jc w:val="right"/>
              <w:rPr>
                <w:rFonts w:ascii="Times New Roman" w:hAnsi="Times New Roman" w:eastAsia="仿宋_GB2312" w:cs="Times New Roman"/>
                <w:color w:val="000000"/>
                <w:sz w:val="22"/>
              </w:rPr>
            </w:pPr>
          </w:p>
        </w:tc>
      </w:tr>
      <w:tr w14:paraId="2E0D9618">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AF4A5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5410D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39C48">
            <w:pPr>
              <w:jc w:val="lef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DF67F">
            <w:pPr>
              <w:jc w:val="lef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D711B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3456C">
            <w:pPr>
              <w:jc w:val="center"/>
              <w:rPr>
                <w:rFonts w:ascii="Times New Roman" w:hAnsi="Times New Roman" w:eastAsia="仿宋_GB2312" w:cs="Times New Roman"/>
                <w:color w:val="000000"/>
                <w:sz w:val="22"/>
              </w:rPr>
            </w:pPr>
          </w:p>
        </w:tc>
      </w:tr>
      <w:tr w14:paraId="565915E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07876">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6DD10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CD6E1">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CC0B9">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AC558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5DD67">
            <w:pPr>
              <w:rPr>
                <w:rFonts w:ascii="Times New Roman" w:hAnsi="Times New Roman" w:eastAsia="仿宋_GB2312" w:cs="Times New Roman"/>
                <w:b/>
                <w:color w:val="000000"/>
                <w:sz w:val="22"/>
              </w:rPr>
            </w:pPr>
          </w:p>
        </w:tc>
      </w:tr>
      <w:tr w14:paraId="6657329C">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C5902">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EF475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8E6C5">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2215.95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E785B">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5A3AB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4E4F3">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2215.95</w:t>
            </w:r>
          </w:p>
        </w:tc>
      </w:tr>
      <w:tr w14:paraId="16590DD1">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F6FD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03822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2E9A5">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863D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A61C5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06B6F">
            <w:pPr>
              <w:rPr>
                <w:rFonts w:ascii="Times New Roman" w:hAnsi="Times New Roman" w:eastAsia="仿宋_GB2312" w:cs="Times New Roman"/>
                <w:color w:val="000000"/>
                <w:sz w:val="22"/>
              </w:rPr>
            </w:pPr>
          </w:p>
        </w:tc>
      </w:tr>
      <w:tr w14:paraId="4162BA85">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FC4B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D46BF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A96E5">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1C63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978D1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269DC">
            <w:pPr>
              <w:rPr>
                <w:rFonts w:ascii="Times New Roman" w:hAnsi="Times New Roman" w:eastAsia="仿宋_GB2312" w:cs="Times New Roman"/>
                <w:color w:val="000000"/>
                <w:sz w:val="22"/>
              </w:rPr>
            </w:pPr>
          </w:p>
        </w:tc>
      </w:tr>
      <w:tr w14:paraId="58121E0C">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FC4DDF">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1B1EC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821EC">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2215.95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D4FA2F">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45035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C17BF">
            <w:pPr>
              <w:jc w:val="right"/>
              <w:rPr>
                <w:rFonts w:ascii="Times New Roman" w:hAnsi="Times New Roman" w:eastAsia="仿宋_GB2312" w:cs="Times New Roman"/>
                <w:b/>
                <w:color w:val="000000"/>
                <w:sz w:val="22"/>
              </w:rPr>
            </w:pPr>
            <w:r>
              <w:rPr>
                <w:rFonts w:hint="eastAsia" w:ascii="Times New Roman" w:hAnsi="Times New Roman" w:eastAsia="仿宋_GB2312" w:cs="Times New Roman"/>
                <w:color w:val="000000"/>
                <w:sz w:val="22"/>
              </w:rPr>
              <w:t>2215.95</w:t>
            </w:r>
          </w:p>
        </w:tc>
      </w:tr>
    </w:tbl>
    <w:p w14:paraId="43577C5F">
      <w:pPr>
        <w:widowControl/>
        <w:jc w:val="left"/>
        <w:textAlignment w:val="center"/>
        <w:rPr>
          <w:rFonts w:ascii="Times New Roman" w:hAnsi="Times New Roman" w:eastAsia="宋体" w:cs="Times New Roman"/>
          <w:color w:val="000000"/>
          <w:kern w:val="0"/>
          <w:sz w:val="24"/>
          <w:szCs w:val="24"/>
        </w:rPr>
      </w:pPr>
    </w:p>
    <w:p w14:paraId="386D25BD">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注：1.本表反映部门本年度的总收支和年末结转结余情况。</w:t>
      </w:r>
      <w:r>
        <w:rPr>
          <w:rFonts w:ascii="Times New Roman" w:hAnsi="Times New Roman" w:eastAsia="仿宋_GB2312" w:cs="Times New Roman"/>
          <w:color w:val="000000"/>
          <w:kern w:val="0"/>
          <w:sz w:val="24"/>
          <w:szCs w:val="24"/>
        </w:rPr>
        <w:br w:type="textWrapping"/>
      </w:r>
      <w:r>
        <w:rPr>
          <w:rFonts w:ascii="Times New Roman" w:hAnsi="Times New Roman" w:eastAsia="仿宋_GB2312" w:cs="Times New Roman"/>
          <w:color w:val="000000"/>
          <w:kern w:val="0"/>
          <w:sz w:val="24"/>
          <w:szCs w:val="24"/>
        </w:rPr>
        <w:t xml:space="preserve">    2.本套报表金额单位转换时可能存在尾数误差。</w:t>
      </w:r>
    </w:p>
    <w:p w14:paraId="2A2BAF1C">
      <w:pPr>
        <w:rPr>
          <w:rFonts w:ascii="Times New Roman" w:hAnsi="Times New Roman" w:eastAsia="华文中宋" w:cs="Times New Roman"/>
          <w:color w:val="000000"/>
          <w:sz w:val="32"/>
          <w:szCs w:val="32"/>
        </w:rPr>
      </w:pPr>
      <w:r>
        <w:br w:type="page"/>
      </w:r>
    </w:p>
    <w:p w14:paraId="1010C61E">
      <w:pPr>
        <w:widowControl/>
        <w:spacing w:line="400" w:lineRule="exact"/>
        <w:jc w:val="center"/>
        <w:textAlignment w:val="center"/>
        <w:rPr>
          <w:rFonts w:ascii="Times New Roman" w:hAnsi="Times New Roman" w:eastAsia="黑体" w:cs="Times New Roman"/>
          <w:color w:val="000000"/>
          <w:kern w:val="0"/>
          <w:sz w:val="32"/>
          <w:szCs w:val="32"/>
        </w:rPr>
      </w:pPr>
    </w:p>
    <w:p w14:paraId="02F27627">
      <w:pPr>
        <w:widowControl/>
        <w:spacing w:after="156"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收入决算表</w:t>
      </w:r>
    </w:p>
    <w:p w14:paraId="3ECF858F">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14:paraId="25FA478E">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hint="eastAsia" w:ascii="Times New Roman" w:hAnsi="Times New Roman" w:eastAsia="仿宋_GB2312" w:cs="Times New Roman"/>
          <w:color w:val="000000"/>
          <w:sz w:val="20"/>
          <w:szCs w:val="20"/>
          <w:lang w:val="en-US" w:eastAsia="zh-CN"/>
        </w:rPr>
        <w:t>怀化市公共资源交易中心</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8"/>
        <w:tblW w:w="14666" w:type="dxa"/>
        <w:jc w:val="center"/>
        <w:tblLayout w:type="fixed"/>
        <w:tblCellMar>
          <w:top w:w="0" w:type="dxa"/>
          <w:left w:w="0" w:type="dxa"/>
          <w:bottom w:w="0" w:type="dxa"/>
          <w:right w:w="0" w:type="dxa"/>
        </w:tblCellMar>
      </w:tblPr>
      <w:tblGrid>
        <w:gridCol w:w="1099"/>
        <w:gridCol w:w="2232"/>
        <w:gridCol w:w="1495"/>
        <w:gridCol w:w="1640"/>
        <w:gridCol w:w="1640"/>
        <w:gridCol w:w="1640"/>
        <w:gridCol w:w="1640"/>
        <w:gridCol w:w="1897"/>
        <w:gridCol w:w="1383"/>
      </w:tblGrid>
      <w:tr w14:paraId="61C4A946">
        <w:tblPrEx>
          <w:tblCellMar>
            <w:top w:w="0" w:type="dxa"/>
            <w:left w:w="0" w:type="dxa"/>
            <w:bottom w:w="0" w:type="dxa"/>
            <w:right w:w="0" w:type="dxa"/>
          </w:tblCellMar>
        </w:tblPrEx>
        <w:trPr>
          <w:trHeight w:val="450" w:hRule="atLeast"/>
          <w:jc w:val="center"/>
        </w:trPr>
        <w:tc>
          <w:tcPr>
            <w:tcW w:w="3331"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AD1B01F">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149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F7C47BA">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6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79E6F1C5">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890254B">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EE888F0">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C7D8E40">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387D1FA">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DABD1B7">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13DEAD48">
        <w:tblPrEx>
          <w:tblCellMar>
            <w:top w:w="0" w:type="dxa"/>
            <w:left w:w="0" w:type="dxa"/>
            <w:bottom w:w="0" w:type="dxa"/>
            <w:right w:w="0" w:type="dxa"/>
          </w:tblCellMar>
        </w:tblPrEx>
        <w:trPr>
          <w:trHeight w:val="334" w:hRule="exact"/>
          <w:jc w:val="center"/>
        </w:trPr>
        <w:tc>
          <w:tcPr>
            <w:tcW w:w="109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0671F25">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2232"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57A47A9">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495" w:type="dxa"/>
            <w:vMerge w:val="continue"/>
            <w:tcBorders>
              <w:top w:val="single" w:color="auto" w:sz="4" w:space="0"/>
              <w:left w:val="single" w:color="auto" w:sz="4" w:space="0"/>
              <w:bottom w:val="single" w:color="auto" w:sz="4" w:space="0"/>
              <w:right w:val="single" w:color="auto" w:sz="4" w:space="0"/>
            </w:tcBorders>
            <w:vAlign w:val="center"/>
          </w:tcPr>
          <w:p w14:paraId="117B6B99">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6D7A42C4">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62B6ADD0">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5B018899">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333CC958">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124D99F3">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35196BE3">
            <w:pPr>
              <w:rPr>
                <w:rFonts w:ascii="Times New Roman" w:hAnsi="Times New Roman" w:eastAsia="仿宋_GB2312" w:cs="Times New Roman"/>
                <w:sz w:val="24"/>
                <w:szCs w:val="24"/>
              </w:rPr>
            </w:pPr>
          </w:p>
        </w:tc>
      </w:tr>
      <w:tr w14:paraId="03277D88">
        <w:tblPrEx>
          <w:tblCellMar>
            <w:top w:w="0" w:type="dxa"/>
            <w:left w:w="0" w:type="dxa"/>
            <w:bottom w:w="0" w:type="dxa"/>
            <w:right w:w="0" w:type="dxa"/>
          </w:tblCellMar>
        </w:tblPrEx>
        <w:trPr>
          <w:trHeight w:val="312" w:hRule="atLeast"/>
          <w:jc w:val="center"/>
        </w:trPr>
        <w:tc>
          <w:tcPr>
            <w:tcW w:w="1099" w:type="dxa"/>
            <w:vMerge w:val="continue"/>
            <w:tcBorders>
              <w:top w:val="single" w:color="auto" w:sz="4" w:space="0"/>
              <w:left w:val="single" w:color="auto" w:sz="4" w:space="0"/>
              <w:bottom w:val="single" w:color="auto" w:sz="4" w:space="0"/>
              <w:right w:val="single" w:color="auto" w:sz="4" w:space="0"/>
            </w:tcBorders>
            <w:vAlign w:val="center"/>
          </w:tcPr>
          <w:p w14:paraId="59908F6F">
            <w:pPr>
              <w:rPr>
                <w:rFonts w:ascii="Times New Roman" w:hAnsi="Times New Roman" w:eastAsia="仿宋_GB2312" w:cs="Times New Roman"/>
                <w:sz w:val="24"/>
                <w:szCs w:val="24"/>
              </w:rPr>
            </w:pPr>
          </w:p>
        </w:tc>
        <w:tc>
          <w:tcPr>
            <w:tcW w:w="2232" w:type="dxa"/>
            <w:vMerge w:val="continue"/>
            <w:tcBorders>
              <w:top w:val="nil"/>
              <w:left w:val="single" w:color="auto" w:sz="4" w:space="0"/>
              <w:bottom w:val="single" w:color="auto" w:sz="4" w:space="0"/>
              <w:right w:val="single" w:color="auto" w:sz="4" w:space="0"/>
            </w:tcBorders>
            <w:vAlign w:val="center"/>
          </w:tcPr>
          <w:p w14:paraId="6F88BAD5">
            <w:pPr>
              <w:rPr>
                <w:rFonts w:ascii="Times New Roman" w:hAnsi="Times New Roman" w:eastAsia="仿宋_GB2312" w:cs="Times New Roman"/>
                <w:sz w:val="24"/>
                <w:szCs w:val="24"/>
              </w:rPr>
            </w:pPr>
          </w:p>
        </w:tc>
        <w:tc>
          <w:tcPr>
            <w:tcW w:w="1495" w:type="dxa"/>
            <w:vMerge w:val="continue"/>
            <w:tcBorders>
              <w:top w:val="single" w:color="auto" w:sz="4" w:space="0"/>
              <w:left w:val="single" w:color="auto" w:sz="4" w:space="0"/>
              <w:bottom w:val="single" w:color="auto" w:sz="4" w:space="0"/>
              <w:right w:val="single" w:color="auto" w:sz="4" w:space="0"/>
            </w:tcBorders>
            <w:vAlign w:val="center"/>
          </w:tcPr>
          <w:p w14:paraId="646DAB6A">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40361C25">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7E94ECE9">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3906B4BD">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10737DAB">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45748669">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1C6A0296">
            <w:pPr>
              <w:rPr>
                <w:rFonts w:ascii="Times New Roman" w:hAnsi="Times New Roman" w:eastAsia="仿宋_GB2312" w:cs="Times New Roman"/>
                <w:sz w:val="24"/>
                <w:szCs w:val="24"/>
              </w:rPr>
            </w:pPr>
          </w:p>
        </w:tc>
      </w:tr>
      <w:tr w14:paraId="381ED8FC">
        <w:tblPrEx>
          <w:tblCellMar>
            <w:top w:w="0" w:type="dxa"/>
            <w:left w:w="0" w:type="dxa"/>
            <w:bottom w:w="0" w:type="dxa"/>
            <w:right w:w="0" w:type="dxa"/>
          </w:tblCellMar>
        </w:tblPrEx>
        <w:trPr>
          <w:trHeight w:val="450" w:hRule="atLeast"/>
          <w:jc w:val="center"/>
        </w:trPr>
        <w:tc>
          <w:tcPr>
            <w:tcW w:w="33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5174865">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49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EF07811">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55C6AA6">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CB3CC04">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BE10250">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7708419">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06513EE">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2F399AA">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706C6FDA">
        <w:tblPrEx>
          <w:tblCellMar>
            <w:top w:w="0" w:type="dxa"/>
            <w:left w:w="0" w:type="dxa"/>
            <w:bottom w:w="0" w:type="dxa"/>
            <w:right w:w="0" w:type="dxa"/>
          </w:tblCellMar>
        </w:tblPrEx>
        <w:trPr>
          <w:trHeight w:val="450" w:hRule="atLeast"/>
          <w:jc w:val="center"/>
        </w:trPr>
        <w:tc>
          <w:tcPr>
            <w:tcW w:w="33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AFCDE14">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4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20E399">
            <w:pPr>
              <w:jc w:val="right"/>
              <w:rPr>
                <w:rFonts w:ascii="Times New Roman" w:hAnsi="Times New Roman" w:eastAsia="仿宋_GB2312" w:cs="Times New Roman"/>
                <w:sz w:val="24"/>
                <w:szCs w:val="24"/>
              </w:rPr>
            </w:pPr>
            <w:r>
              <w:rPr>
                <w:rFonts w:hint="eastAsia" w:ascii="Times New Roman" w:hAnsi="Times New Roman" w:eastAsia="仿宋_GB2312" w:cs="Times New Roman"/>
              </w:rPr>
              <w:t>2215.95</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45C8F7">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DC665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D6C4EF">
            <w:pPr>
              <w:jc w:val="right"/>
              <w:rPr>
                <w:rFonts w:ascii="Times New Roman" w:hAnsi="Times New Roman" w:eastAsia="仿宋_GB2312" w:cs="Times New Roman"/>
                <w:sz w:val="24"/>
                <w:szCs w:val="24"/>
              </w:rPr>
            </w:pPr>
            <w:r>
              <w:rPr>
                <w:rFonts w:hint="eastAsia" w:ascii="Times New Roman" w:hAnsi="Times New Roman" w:eastAsia="仿宋_GB2312" w:cs="Times New Roman"/>
              </w:rPr>
              <w:t>2215.95</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4EBEFE">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58A56F">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B9171E">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714E9517">
        <w:tblPrEx>
          <w:tblCellMar>
            <w:top w:w="0" w:type="dxa"/>
            <w:left w:w="0" w:type="dxa"/>
            <w:bottom w:w="0" w:type="dxa"/>
            <w:right w:w="0" w:type="dxa"/>
          </w:tblCellMar>
        </w:tblPrEx>
        <w:trPr>
          <w:trHeight w:val="450" w:hRule="atLeast"/>
          <w:jc w:val="center"/>
        </w:trPr>
        <w:tc>
          <w:tcPr>
            <w:tcW w:w="109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FBAA8E2">
            <w:pPr>
              <w:rPr>
                <w:rFonts w:hint="default" w:ascii="Times New Roman" w:hAnsi="Times New Roman" w:eastAsia="仿宋_GB2312" w:cs="Times New Roman"/>
                <w:sz w:val="24"/>
                <w:szCs w:val="24"/>
                <w:lang w:val="en-US" w:eastAsia="zh-CN"/>
              </w:rPr>
            </w:pPr>
            <w:r>
              <w:rPr>
                <w:rFonts w:ascii="Times New Roman" w:hAnsi="Times New Roman" w:eastAsia="仿宋_GB2312" w:cs="Times New Roman"/>
              </w:rPr>
              <w:t>　</w:t>
            </w:r>
            <w:r>
              <w:rPr>
                <w:rFonts w:hint="eastAsia" w:ascii="Times New Roman" w:hAnsi="Times New Roman" w:eastAsia="仿宋_GB2312" w:cs="Times New Roman"/>
                <w:lang w:val="en-US" w:eastAsia="zh-CN"/>
              </w:rPr>
              <w:t>201</w:t>
            </w:r>
          </w:p>
        </w:tc>
        <w:tc>
          <w:tcPr>
            <w:tcW w:w="223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485FC82">
            <w:pPr>
              <w:rPr>
                <w:rFonts w:ascii="Times New Roman" w:hAnsi="Times New Roman" w:eastAsia="仿宋_GB2312" w:cs="Times New Roman"/>
                <w:sz w:val="24"/>
                <w:szCs w:val="24"/>
              </w:rPr>
            </w:pPr>
            <w:r>
              <w:rPr>
                <w:rFonts w:hint="eastAsia" w:ascii="Times New Roman" w:hAnsi="Times New Roman" w:eastAsia="仿宋_GB2312" w:cs="Times New Roman"/>
              </w:rPr>
              <w:t>一般公共服务支出</w:t>
            </w:r>
          </w:p>
        </w:tc>
        <w:tc>
          <w:tcPr>
            <w:tcW w:w="14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FEB12C">
            <w:pPr>
              <w:jc w:val="right"/>
              <w:rPr>
                <w:rFonts w:ascii="Times New Roman" w:hAnsi="Times New Roman" w:eastAsia="仿宋_GB2312" w:cs="Times New Roman"/>
                <w:sz w:val="24"/>
                <w:szCs w:val="24"/>
              </w:rPr>
            </w:pPr>
            <w:r>
              <w:rPr>
                <w:rFonts w:hint="eastAsia" w:ascii="Times New Roman" w:hAnsi="Times New Roman" w:eastAsia="仿宋_GB2312" w:cs="Times New Roman"/>
              </w:rPr>
              <w:t>2215.95</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EF9D37">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948FC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0367FF">
            <w:pPr>
              <w:jc w:val="right"/>
              <w:rPr>
                <w:rFonts w:ascii="Times New Roman" w:hAnsi="Times New Roman" w:eastAsia="仿宋_GB2312" w:cs="Times New Roman"/>
                <w:sz w:val="24"/>
                <w:szCs w:val="24"/>
              </w:rPr>
            </w:pPr>
            <w:r>
              <w:rPr>
                <w:rFonts w:hint="eastAsia" w:ascii="Times New Roman" w:hAnsi="Times New Roman" w:eastAsia="仿宋_GB2312" w:cs="Times New Roman"/>
              </w:rPr>
              <w:t>2215.95</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5F0200">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2ABE1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4B9611">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5170C0C0">
        <w:tblPrEx>
          <w:tblCellMar>
            <w:top w:w="0" w:type="dxa"/>
            <w:left w:w="0" w:type="dxa"/>
            <w:bottom w:w="0" w:type="dxa"/>
            <w:right w:w="0" w:type="dxa"/>
          </w:tblCellMar>
        </w:tblPrEx>
        <w:trPr>
          <w:trHeight w:val="450" w:hRule="atLeast"/>
          <w:jc w:val="center"/>
        </w:trPr>
        <w:tc>
          <w:tcPr>
            <w:tcW w:w="109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9CFC376">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20199</w:t>
            </w:r>
          </w:p>
        </w:tc>
        <w:tc>
          <w:tcPr>
            <w:tcW w:w="223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23A07F4">
            <w:pPr>
              <w:rPr>
                <w:rFonts w:ascii="Times New Roman" w:hAnsi="Times New Roman" w:eastAsia="仿宋_GB2312" w:cs="Times New Roman"/>
                <w:sz w:val="24"/>
                <w:szCs w:val="24"/>
              </w:rPr>
            </w:pPr>
            <w:r>
              <w:rPr>
                <w:rFonts w:hint="eastAsia" w:ascii="Times New Roman" w:hAnsi="Times New Roman" w:eastAsia="仿宋_GB2312" w:cs="Times New Roman"/>
              </w:rPr>
              <w:t>其他一般公共服务支出</w:t>
            </w:r>
          </w:p>
        </w:tc>
        <w:tc>
          <w:tcPr>
            <w:tcW w:w="14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181BAF">
            <w:pPr>
              <w:jc w:val="right"/>
              <w:rPr>
                <w:rFonts w:ascii="Times New Roman" w:hAnsi="Times New Roman" w:eastAsia="仿宋_GB2312" w:cs="Times New Roman"/>
                <w:sz w:val="24"/>
                <w:szCs w:val="24"/>
              </w:rPr>
            </w:pPr>
            <w:r>
              <w:rPr>
                <w:rFonts w:hint="eastAsia" w:ascii="Times New Roman" w:hAnsi="Times New Roman" w:eastAsia="仿宋_GB2312" w:cs="Times New Roman"/>
              </w:rPr>
              <w:t>2215.95</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942C0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D01986">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494590">
            <w:pPr>
              <w:jc w:val="right"/>
              <w:rPr>
                <w:rFonts w:ascii="Times New Roman" w:hAnsi="Times New Roman" w:eastAsia="仿宋_GB2312" w:cs="Times New Roman"/>
                <w:sz w:val="24"/>
                <w:szCs w:val="24"/>
              </w:rPr>
            </w:pPr>
            <w:r>
              <w:rPr>
                <w:rFonts w:hint="eastAsia" w:ascii="Times New Roman" w:hAnsi="Times New Roman" w:eastAsia="仿宋_GB2312" w:cs="Times New Roman"/>
              </w:rPr>
              <w:t>2215.95</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EADF01">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40FB10">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AC4681">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3BB19E86">
        <w:tblPrEx>
          <w:tblCellMar>
            <w:top w:w="0" w:type="dxa"/>
            <w:left w:w="0" w:type="dxa"/>
            <w:bottom w:w="0" w:type="dxa"/>
            <w:right w:w="0" w:type="dxa"/>
          </w:tblCellMar>
        </w:tblPrEx>
        <w:trPr>
          <w:trHeight w:val="450" w:hRule="atLeast"/>
          <w:jc w:val="center"/>
        </w:trPr>
        <w:tc>
          <w:tcPr>
            <w:tcW w:w="109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A0052EB">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2019999</w:t>
            </w:r>
          </w:p>
        </w:tc>
        <w:tc>
          <w:tcPr>
            <w:tcW w:w="223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E6BC481">
            <w:pPr>
              <w:rPr>
                <w:rFonts w:ascii="Times New Roman" w:hAnsi="Times New Roman" w:eastAsia="仿宋_GB2312" w:cs="Times New Roman"/>
                <w:sz w:val="24"/>
                <w:szCs w:val="24"/>
              </w:rPr>
            </w:pPr>
            <w:r>
              <w:rPr>
                <w:rFonts w:hint="eastAsia" w:ascii="Times New Roman" w:hAnsi="Times New Roman" w:eastAsia="仿宋_GB2312" w:cs="Times New Roman"/>
              </w:rPr>
              <w:t>其他一般公共服务支出</w:t>
            </w:r>
          </w:p>
        </w:tc>
        <w:tc>
          <w:tcPr>
            <w:tcW w:w="14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37C60B">
            <w:pPr>
              <w:jc w:val="right"/>
              <w:rPr>
                <w:rFonts w:ascii="Times New Roman" w:hAnsi="Times New Roman" w:eastAsia="仿宋_GB2312" w:cs="Times New Roman"/>
                <w:sz w:val="24"/>
                <w:szCs w:val="24"/>
              </w:rPr>
            </w:pPr>
            <w:r>
              <w:rPr>
                <w:rFonts w:hint="eastAsia" w:ascii="Times New Roman" w:hAnsi="Times New Roman" w:eastAsia="仿宋_GB2312" w:cs="Times New Roman"/>
              </w:rPr>
              <w:t>2215.95</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EB372D">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AFD077">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F2AD14">
            <w:pPr>
              <w:jc w:val="right"/>
              <w:rPr>
                <w:rFonts w:ascii="Times New Roman" w:hAnsi="Times New Roman" w:eastAsia="仿宋_GB2312" w:cs="Times New Roman"/>
                <w:sz w:val="24"/>
                <w:szCs w:val="24"/>
              </w:rPr>
            </w:pPr>
            <w:r>
              <w:rPr>
                <w:rFonts w:hint="eastAsia" w:ascii="Times New Roman" w:hAnsi="Times New Roman" w:eastAsia="仿宋_GB2312" w:cs="Times New Roman"/>
              </w:rPr>
              <w:t>2215.95</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75B5FA">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0A6444">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E0484C">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5FF7F155">
        <w:tblPrEx>
          <w:tblCellMar>
            <w:top w:w="0" w:type="dxa"/>
            <w:left w:w="0" w:type="dxa"/>
            <w:bottom w:w="0" w:type="dxa"/>
            <w:right w:w="0" w:type="dxa"/>
          </w:tblCellMar>
        </w:tblPrEx>
        <w:trPr>
          <w:trHeight w:val="450" w:hRule="atLeast"/>
          <w:jc w:val="center"/>
        </w:trPr>
        <w:tc>
          <w:tcPr>
            <w:tcW w:w="109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1880168">
            <w:pPr>
              <w:rPr>
                <w:rFonts w:ascii="Times New Roman" w:hAnsi="Times New Roman" w:eastAsia="仿宋_GB2312" w:cs="Times New Roman"/>
                <w:sz w:val="24"/>
                <w:szCs w:val="24"/>
              </w:rPr>
            </w:pPr>
            <w:r>
              <w:rPr>
                <w:rFonts w:ascii="Times New Roman" w:hAnsi="Times New Roman" w:eastAsia="仿宋_GB2312" w:cs="Times New Roman"/>
              </w:rPr>
              <w:t>　</w:t>
            </w:r>
          </w:p>
        </w:tc>
        <w:tc>
          <w:tcPr>
            <w:tcW w:w="223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5B52D0A">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4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4D1CC9">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6566D6">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FF30AE">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499DD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F0E48D">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987289">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512E97">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16E6E8F6">
        <w:tblPrEx>
          <w:tblCellMar>
            <w:top w:w="0" w:type="dxa"/>
            <w:left w:w="0" w:type="dxa"/>
            <w:bottom w:w="0" w:type="dxa"/>
            <w:right w:w="0" w:type="dxa"/>
          </w:tblCellMar>
        </w:tblPrEx>
        <w:trPr>
          <w:trHeight w:val="450" w:hRule="atLeast"/>
          <w:jc w:val="center"/>
        </w:trPr>
        <w:tc>
          <w:tcPr>
            <w:tcW w:w="109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71777A7">
            <w:pPr>
              <w:rPr>
                <w:rFonts w:ascii="Times New Roman" w:hAnsi="Times New Roman" w:eastAsia="仿宋_GB2312" w:cs="Times New Roman"/>
                <w:sz w:val="24"/>
                <w:szCs w:val="24"/>
              </w:rPr>
            </w:pPr>
            <w:r>
              <w:rPr>
                <w:rFonts w:ascii="Times New Roman" w:hAnsi="Times New Roman" w:eastAsia="仿宋_GB2312" w:cs="Times New Roman"/>
              </w:rPr>
              <w:t>　</w:t>
            </w:r>
          </w:p>
        </w:tc>
        <w:tc>
          <w:tcPr>
            <w:tcW w:w="223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8CFDFA0">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4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D43D91">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5FACE0">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70DEA7">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8BA277">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70A1A4">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A74229">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937BEF">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43C25F81">
        <w:tblPrEx>
          <w:tblCellMar>
            <w:top w:w="0" w:type="dxa"/>
            <w:left w:w="0" w:type="dxa"/>
            <w:bottom w:w="0" w:type="dxa"/>
            <w:right w:w="0" w:type="dxa"/>
          </w:tblCellMar>
        </w:tblPrEx>
        <w:trPr>
          <w:trHeight w:val="450" w:hRule="atLeast"/>
          <w:jc w:val="center"/>
        </w:trPr>
        <w:tc>
          <w:tcPr>
            <w:tcW w:w="109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388B29A">
            <w:pPr>
              <w:rPr>
                <w:rFonts w:ascii="Times New Roman" w:hAnsi="Times New Roman" w:eastAsia="仿宋_GB2312" w:cs="Times New Roman"/>
                <w:sz w:val="24"/>
                <w:szCs w:val="24"/>
              </w:rPr>
            </w:pPr>
            <w:r>
              <w:rPr>
                <w:rFonts w:ascii="Times New Roman" w:hAnsi="Times New Roman" w:eastAsia="仿宋_GB2312" w:cs="Times New Roman"/>
              </w:rPr>
              <w:t>　</w:t>
            </w:r>
          </w:p>
        </w:tc>
        <w:tc>
          <w:tcPr>
            <w:tcW w:w="223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2ECE971">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4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115A32">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3B2996">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4B072F">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92193B">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7135CF">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7A59E9">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FA604F">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bl>
    <w:p w14:paraId="640C2C2F">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14:paraId="329135B7">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br w:type="page"/>
      </w:r>
    </w:p>
    <w:p w14:paraId="2B496D3F">
      <w:pPr>
        <w:widowControl/>
        <w:jc w:val="center"/>
        <w:textAlignment w:val="center"/>
        <w:rPr>
          <w:rFonts w:ascii="Times New Roman" w:hAnsi="Times New Roman" w:eastAsia="黑体" w:cs="Times New Roman"/>
          <w:color w:val="000000"/>
          <w:kern w:val="0"/>
          <w:sz w:val="32"/>
          <w:szCs w:val="32"/>
        </w:rPr>
      </w:pPr>
    </w:p>
    <w:p w14:paraId="0A3634D7">
      <w:pPr>
        <w:widowControl/>
        <w:spacing w:after="156"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支出决算表</w:t>
      </w:r>
    </w:p>
    <w:p w14:paraId="7B6D7605">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3379EE96">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val="en-US" w:eastAsia="zh-CN"/>
        </w:rPr>
        <w:t>怀化市公共资源交易中心</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8"/>
        <w:tblW w:w="4997" w:type="pct"/>
        <w:jc w:val="center"/>
        <w:tblLayout w:type="autofit"/>
        <w:tblCellMar>
          <w:top w:w="0" w:type="dxa"/>
          <w:left w:w="108" w:type="dxa"/>
          <w:bottom w:w="0" w:type="dxa"/>
          <w:right w:w="108" w:type="dxa"/>
        </w:tblCellMar>
      </w:tblPr>
      <w:tblGrid>
        <w:gridCol w:w="1468"/>
        <w:gridCol w:w="2316"/>
        <w:gridCol w:w="1872"/>
        <w:gridCol w:w="1330"/>
        <w:gridCol w:w="1330"/>
        <w:gridCol w:w="1873"/>
        <w:gridCol w:w="1330"/>
        <w:gridCol w:w="2692"/>
      </w:tblGrid>
      <w:tr w14:paraId="6665E318">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4A9402C8">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6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28E4729">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C62EC93">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103E134">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6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D1FCCCB">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6F291BF">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94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00D8B56">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180F4684">
        <w:tblPrEx>
          <w:tblCellMar>
            <w:top w:w="0" w:type="dxa"/>
            <w:left w:w="108" w:type="dxa"/>
            <w:bottom w:w="0" w:type="dxa"/>
            <w:right w:w="108" w:type="dxa"/>
          </w:tblCellMar>
        </w:tblPrEx>
        <w:trPr>
          <w:trHeight w:val="312" w:hRule="exact"/>
          <w:jc w:val="center"/>
        </w:trPr>
        <w:tc>
          <w:tcPr>
            <w:tcW w:w="51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C679141">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804" w:type="pct"/>
            <w:vMerge w:val="restart"/>
            <w:tcBorders>
              <w:top w:val="nil"/>
              <w:left w:val="single" w:color="auto" w:sz="4" w:space="0"/>
              <w:bottom w:val="single" w:color="auto" w:sz="4" w:space="0"/>
              <w:right w:val="single" w:color="auto" w:sz="4" w:space="0"/>
            </w:tcBorders>
            <w:shd w:val="clear" w:color="000000" w:fill="FFFFFF"/>
            <w:vAlign w:val="center"/>
          </w:tcPr>
          <w:p w14:paraId="17AA0C2A">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29580F7B">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69556250">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0E5BBDDF">
            <w:pPr>
              <w:widowControl/>
              <w:jc w:val="left"/>
              <w:rPr>
                <w:rFonts w:ascii="Times New Roman" w:hAnsi="Times New Roman" w:eastAsia="仿宋_GB2312" w:cs="Times New Roman"/>
                <w:b/>
                <w:bCs/>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69BA3009">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2CCCE656">
            <w:pPr>
              <w:widowControl/>
              <w:jc w:val="left"/>
              <w:rPr>
                <w:rFonts w:ascii="Times New Roman" w:hAnsi="Times New Roman" w:eastAsia="仿宋_GB2312" w:cs="Times New Roman"/>
                <w:b/>
                <w:bCs/>
                <w:kern w:val="0"/>
                <w:sz w:val="24"/>
                <w:szCs w:val="24"/>
              </w:rPr>
            </w:pPr>
          </w:p>
        </w:tc>
        <w:tc>
          <w:tcPr>
            <w:tcW w:w="948" w:type="pct"/>
            <w:vMerge w:val="continue"/>
            <w:tcBorders>
              <w:top w:val="single" w:color="auto" w:sz="4" w:space="0"/>
              <w:left w:val="single" w:color="auto" w:sz="4" w:space="0"/>
              <w:bottom w:val="single" w:color="auto" w:sz="4" w:space="0"/>
              <w:right w:val="single" w:color="auto" w:sz="4" w:space="0"/>
            </w:tcBorders>
            <w:vAlign w:val="center"/>
          </w:tcPr>
          <w:p w14:paraId="03DD91FA">
            <w:pPr>
              <w:widowControl/>
              <w:jc w:val="left"/>
              <w:rPr>
                <w:rFonts w:ascii="Times New Roman" w:hAnsi="Times New Roman" w:eastAsia="仿宋_GB2312" w:cs="Times New Roman"/>
                <w:b/>
                <w:bCs/>
                <w:kern w:val="0"/>
                <w:sz w:val="24"/>
                <w:szCs w:val="24"/>
              </w:rPr>
            </w:pPr>
          </w:p>
        </w:tc>
      </w:tr>
      <w:tr w14:paraId="7621B8A7">
        <w:tblPrEx>
          <w:tblCellMar>
            <w:top w:w="0" w:type="dxa"/>
            <w:left w:w="108" w:type="dxa"/>
            <w:bottom w:w="0" w:type="dxa"/>
            <w:right w:w="108" w:type="dxa"/>
          </w:tblCellMar>
        </w:tblPrEx>
        <w:trPr>
          <w:trHeight w:val="595" w:hRule="atLeast"/>
          <w:jc w:val="center"/>
        </w:trPr>
        <w:tc>
          <w:tcPr>
            <w:tcW w:w="518" w:type="pct"/>
            <w:vMerge w:val="continue"/>
            <w:tcBorders>
              <w:top w:val="single" w:color="auto" w:sz="4" w:space="0"/>
              <w:left w:val="single" w:color="auto" w:sz="4" w:space="0"/>
              <w:bottom w:val="single" w:color="auto" w:sz="4" w:space="0"/>
              <w:right w:val="single" w:color="auto" w:sz="4" w:space="0"/>
            </w:tcBorders>
            <w:vAlign w:val="center"/>
          </w:tcPr>
          <w:p w14:paraId="28D622F8">
            <w:pPr>
              <w:widowControl/>
              <w:jc w:val="left"/>
              <w:rPr>
                <w:rFonts w:ascii="Times New Roman" w:hAnsi="Times New Roman" w:eastAsia="仿宋_GB2312" w:cs="Times New Roman"/>
                <w:kern w:val="0"/>
                <w:sz w:val="24"/>
                <w:szCs w:val="24"/>
              </w:rPr>
            </w:pPr>
          </w:p>
        </w:tc>
        <w:tc>
          <w:tcPr>
            <w:tcW w:w="804" w:type="pct"/>
            <w:vMerge w:val="continue"/>
            <w:tcBorders>
              <w:top w:val="nil"/>
              <w:left w:val="single" w:color="auto" w:sz="4" w:space="0"/>
              <w:bottom w:val="single" w:color="auto" w:sz="4" w:space="0"/>
              <w:right w:val="single" w:color="auto" w:sz="4" w:space="0"/>
            </w:tcBorders>
            <w:vAlign w:val="center"/>
          </w:tcPr>
          <w:p w14:paraId="44E0E124">
            <w:pPr>
              <w:widowControl/>
              <w:jc w:val="left"/>
              <w:rPr>
                <w:rFonts w:ascii="Times New Roman" w:hAnsi="Times New Roman" w:eastAsia="仿宋_GB2312" w:cs="Times New Roman"/>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16082463">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11EF4070">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5929C240">
            <w:pPr>
              <w:widowControl/>
              <w:jc w:val="left"/>
              <w:rPr>
                <w:rFonts w:ascii="Times New Roman" w:hAnsi="Times New Roman" w:eastAsia="仿宋_GB2312" w:cs="Times New Roman"/>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799B64E2">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442A5E84">
            <w:pPr>
              <w:widowControl/>
              <w:jc w:val="left"/>
              <w:rPr>
                <w:rFonts w:ascii="Times New Roman" w:hAnsi="Times New Roman" w:eastAsia="仿宋_GB2312" w:cs="Times New Roman"/>
                <w:kern w:val="0"/>
                <w:sz w:val="24"/>
                <w:szCs w:val="24"/>
              </w:rPr>
            </w:pPr>
          </w:p>
        </w:tc>
        <w:tc>
          <w:tcPr>
            <w:tcW w:w="948" w:type="pct"/>
            <w:vMerge w:val="continue"/>
            <w:tcBorders>
              <w:top w:val="single" w:color="auto" w:sz="4" w:space="0"/>
              <w:left w:val="single" w:color="auto" w:sz="4" w:space="0"/>
              <w:bottom w:val="single" w:color="auto" w:sz="4" w:space="0"/>
              <w:right w:val="single" w:color="auto" w:sz="4" w:space="0"/>
            </w:tcBorders>
            <w:vAlign w:val="center"/>
          </w:tcPr>
          <w:p w14:paraId="44E0F748">
            <w:pPr>
              <w:widowControl/>
              <w:jc w:val="left"/>
              <w:rPr>
                <w:rFonts w:ascii="Times New Roman" w:hAnsi="Times New Roman" w:eastAsia="仿宋_GB2312" w:cs="Times New Roman"/>
                <w:kern w:val="0"/>
                <w:sz w:val="24"/>
                <w:szCs w:val="24"/>
              </w:rPr>
            </w:pPr>
          </w:p>
        </w:tc>
      </w:tr>
      <w:tr w14:paraId="6AAB4E26">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750B9C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660" w:type="pct"/>
            <w:tcBorders>
              <w:top w:val="nil"/>
              <w:left w:val="nil"/>
              <w:bottom w:val="single" w:color="auto" w:sz="4" w:space="0"/>
              <w:right w:val="single" w:color="auto" w:sz="4" w:space="0"/>
            </w:tcBorders>
            <w:shd w:val="clear" w:color="000000" w:fill="FFFFFF"/>
            <w:noWrap/>
            <w:vAlign w:val="center"/>
          </w:tcPr>
          <w:p w14:paraId="08696E8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469" w:type="pct"/>
            <w:tcBorders>
              <w:top w:val="nil"/>
              <w:left w:val="nil"/>
              <w:bottom w:val="single" w:color="auto" w:sz="4" w:space="0"/>
              <w:right w:val="single" w:color="auto" w:sz="4" w:space="0"/>
            </w:tcBorders>
            <w:shd w:val="clear" w:color="000000" w:fill="FFFFFF"/>
            <w:noWrap/>
            <w:vAlign w:val="center"/>
          </w:tcPr>
          <w:p w14:paraId="19E0415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469" w:type="pct"/>
            <w:tcBorders>
              <w:top w:val="nil"/>
              <w:left w:val="nil"/>
              <w:bottom w:val="single" w:color="auto" w:sz="4" w:space="0"/>
              <w:right w:val="single" w:color="auto" w:sz="4" w:space="0"/>
            </w:tcBorders>
            <w:shd w:val="clear" w:color="000000" w:fill="FFFFFF"/>
            <w:noWrap/>
            <w:vAlign w:val="center"/>
          </w:tcPr>
          <w:p w14:paraId="1138FFB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660" w:type="pct"/>
            <w:tcBorders>
              <w:top w:val="nil"/>
              <w:left w:val="nil"/>
              <w:bottom w:val="single" w:color="auto" w:sz="4" w:space="0"/>
              <w:right w:val="single" w:color="auto" w:sz="4" w:space="0"/>
            </w:tcBorders>
            <w:shd w:val="clear" w:color="000000" w:fill="FFFFFF"/>
            <w:noWrap/>
            <w:vAlign w:val="center"/>
          </w:tcPr>
          <w:p w14:paraId="308B62E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469" w:type="pct"/>
            <w:tcBorders>
              <w:top w:val="nil"/>
              <w:left w:val="nil"/>
              <w:bottom w:val="single" w:color="auto" w:sz="4" w:space="0"/>
              <w:right w:val="single" w:color="auto" w:sz="4" w:space="0"/>
            </w:tcBorders>
            <w:shd w:val="clear" w:color="000000" w:fill="FFFFFF"/>
            <w:noWrap/>
            <w:vAlign w:val="center"/>
          </w:tcPr>
          <w:p w14:paraId="4CE916E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948" w:type="pct"/>
            <w:tcBorders>
              <w:top w:val="nil"/>
              <w:left w:val="nil"/>
              <w:bottom w:val="single" w:color="auto" w:sz="4" w:space="0"/>
              <w:right w:val="single" w:color="auto" w:sz="4" w:space="0"/>
            </w:tcBorders>
            <w:shd w:val="clear" w:color="000000" w:fill="FFFFFF"/>
            <w:noWrap/>
            <w:vAlign w:val="center"/>
          </w:tcPr>
          <w:p w14:paraId="1042A8D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2D3B4987">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B83DC1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660" w:type="pct"/>
            <w:tcBorders>
              <w:top w:val="nil"/>
              <w:left w:val="nil"/>
              <w:bottom w:val="single" w:color="auto" w:sz="4" w:space="0"/>
              <w:right w:val="single" w:color="auto" w:sz="4" w:space="0"/>
            </w:tcBorders>
            <w:shd w:val="clear" w:color="auto" w:fill="auto"/>
            <w:noWrap/>
            <w:vAlign w:val="center"/>
          </w:tcPr>
          <w:p w14:paraId="70A0334B">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2215.95</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1F5118F7">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1264.03</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2BCAFA83">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951.93</w:t>
            </w: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2A87D37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676791F3">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77477D7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6CE9285A">
        <w:tblPrEx>
          <w:tblCellMar>
            <w:top w:w="0" w:type="dxa"/>
            <w:left w:w="108" w:type="dxa"/>
            <w:bottom w:w="0" w:type="dxa"/>
            <w:right w:w="108" w:type="dxa"/>
          </w:tblCellMar>
        </w:tblPrEx>
        <w:trPr>
          <w:trHeight w:val="595" w:hRule="atLeast"/>
          <w:jc w:val="center"/>
        </w:trPr>
        <w:tc>
          <w:tcPr>
            <w:tcW w:w="51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E67B4D7">
            <w:pPr>
              <w:widowControl/>
              <w:jc w:val="left"/>
              <w:rPr>
                <w:rFonts w:hint="default" w:ascii="Times New Roman" w:hAnsi="Times New Roman" w:eastAsia="仿宋_GB2312" w:cs="Times New Roman"/>
                <w:kern w:val="0"/>
                <w:sz w:val="24"/>
                <w:szCs w:val="24"/>
                <w:lang w:val="en-US" w:eastAsia="zh-CN"/>
              </w:rPr>
            </w:pPr>
            <w:r>
              <w:rPr>
                <w:rFonts w:ascii="Times New Roman" w:hAnsi="Times New Roman" w:eastAsia="仿宋_GB2312" w:cs="Times New Roman"/>
                <w:kern w:val="0"/>
                <w:sz w:val="24"/>
                <w:szCs w:val="24"/>
              </w:rPr>
              <w:t>　</w:t>
            </w:r>
            <w:r>
              <w:rPr>
                <w:rFonts w:hint="eastAsia" w:ascii="Times New Roman" w:hAnsi="Times New Roman" w:eastAsia="仿宋_GB2312" w:cs="Times New Roman"/>
                <w:kern w:val="0"/>
                <w:sz w:val="24"/>
                <w:szCs w:val="24"/>
                <w:lang w:val="en-US" w:eastAsia="zh-CN"/>
              </w:rPr>
              <w:t>201</w:t>
            </w:r>
          </w:p>
        </w:tc>
        <w:tc>
          <w:tcPr>
            <w:tcW w:w="804" w:type="pct"/>
            <w:tcBorders>
              <w:top w:val="nil"/>
              <w:left w:val="nil"/>
              <w:bottom w:val="single" w:color="auto" w:sz="4" w:space="0"/>
              <w:right w:val="single" w:color="auto" w:sz="4" w:space="0"/>
            </w:tcBorders>
            <w:shd w:val="clear" w:color="000000" w:fill="FFFFFF"/>
            <w:noWrap/>
            <w:vAlign w:val="center"/>
          </w:tcPr>
          <w:p w14:paraId="14A18C91">
            <w:pPr>
              <w:widowControl/>
              <w:jc w:val="left"/>
              <w:rPr>
                <w:rFonts w:ascii="Times New Roman" w:hAnsi="Times New Roman" w:eastAsia="仿宋_GB2312" w:cs="Times New Roman"/>
                <w:kern w:val="0"/>
                <w:sz w:val="24"/>
                <w:szCs w:val="24"/>
              </w:rPr>
            </w:pPr>
            <w:r>
              <w:rPr>
                <w:rFonts w:hint="eastAsia" w:ascii="Times New Roman" w:hAnsi="Times New Roman" w:eastAsia="仿宋_GB2312" w:cs="Times New Roman"/>
              </w:rPr>
              <w:t>一般公共服务支出</w:t>
            </w:r>
          </w:p>
        </w:tc>
        <w:tc>
          <w:tcPr>
            <w:tcW w:w="660" w:type="pct"/>
            <w:tcBorders>
              <w:top w:val="nil"/>
              <w:left w:val="nil"/>
              <w:bottom w:val="single" w:color="auto" w:sz="4" w:space="0"/>
              <w:right w:val="single" w:color="auto" w:sz="4" w:space="0"/>
            </w:tcBorders>
            <w:shd w:val="clear" w:color="auto" w:fill="auto"/>
            <w:noWrap/>
            <w:vAlign w:val="center"/>
          </w:tcPr>
          <w:p w14:paraId="3F68B2A0">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2215.95</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01C6E93F">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1264.03</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06FD1D48">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951.93</w:t>
            </w: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2CC5ED8D">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5A983AFD">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7AFA8F0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7612E5CB">
        <w:tblPrEx>
          <w:tblCellMar>
            <w:top w:w="0" w:type="dxa"/>
            <w:left w:w="108" w:type="dxa"/>
            <w:bottom w:w="0" w:type="dxa"/>
            <w:right w:w="108" w:type="dxa"/>
          </w:tblCellMar>
        </w:tblPrEx>
        <w:trPr>
          <w:trHeight w:val="595" w:hRule="atLeast"/>
          <w:jc w:val="center"/>
        </w:trPr>
        <w:tc>
          <w:tcPr>
            <w:tcW w:w="51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28B6E07">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r>
              <w:rPr>
                <w:rFonts w:hint="eastAsia" w:ascii="Times New Roman" w:hAnsi="Times New Roman" w:eastAsia="仿宋_GB2312" w:cs="Times New Roman"/>
                <w:kern w:val="0"/>
                <w:sz w:val="24"/>
                <w:szCs w:val="24"/>
                <w:lang w:val="en-US" w:eastAsia="zh-CN"/>
              </w:rPr>
              <w:t>20199</w:t>
            </w:r>
          </w:p>
        </w:tc>
        <w:tc>
          <w:tcPr>
            <w:tcW w:w="804" w:type="pct"/>
            <w:tcBorders>
              <w:top w:val="nil"/>
              <w:left w:val="nil"/>
              <w:bottom w:val="single" w:color="auto" w:sz="4" w:space="0"/>
              <w:right w:val="single" w:color="auto" w:sz="4" w:space="0"/>
            </w:tcBorders>
            <w:shd w:val="clear" w:color="000000" w:fill="FFFFFF"/>
            <w:noWrap/>
            <w:vAlign w:val="center"/>
          </w:tcPr>
          <w:p w14:paraId="06A67002">
            <w:pPr>
              <w:widowControl/>
              <w:jc w:val="left"/>
              <w:rPr>
                <w:rFonts w:ascii="Times New Roman" w:hAnsi="Times New Roman" w:eastAsia="仿宋_GB2312" w:cs="Times New Roman"/>
                <w:kern w:val="0"/>
                <w:sz w:val="24"/>
                <w:szCs w:val="24"/>
              </w:rPr>
            </w:pPr>
            <w:r>
              <w:rPr>
                <w:rFonts w:hint="eastAsia" w:ascii="Times New Roman" w:hAnsi="Times New Roman" w:eastAsia="仿宋_GB2312" w:cs="Times New Roman"/>
              </w:rPr>
              <w:t>其他一般公共服务支出</w:t>
            </w:r>
          </w:p>
        </w:tc>
        <w:tc>
          <w:tcPr>
            <w:tcW w:w="660" w:type="pct"/>
            <w:tcBorders>
              <w:top w:val="nil"/>
              <w:left w:val="nil"/>
              <w:bottom w:val="single" w:color="auto" w:sz="4" w:space="0"/>
              <w:right w:val="single" w:color="auto" w:sz="4" w:space="0"/>
            </w:tcBorders>
            <w:shd w:val="clear" w:color="auto" w:fill="auto"/>
            <w:noWrap/>
            <w:vAlign w:val="center"/>
          </w:tcPr>
          <w:p w14:paraId="3166664E">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2215.95</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2DFDCE21">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1264.03</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5600B1BC">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951.93</w:t>
            </w: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03B49439">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01AA6B3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0B334BDD">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3D072040">
        <w:tblPrEx>
          <w:tblCellMar>
            <w:top w:w="0" w:type="dxa"/>
            <w:left w:w="108" w:type="dxa"/>
            <w:bottom w:w="0" w:type="dxa"/>
            <w:right w:w="108" w:type="dxa"/>
          </w:tblCellMar>
        </w:tblPrEx>
        <w:trPr>
          <w:trHeight w:val="595" w:hRule="atLeast"/>
          <w:jc w:val="center"/>
        </w:trPr>
        <w:tc>
          <w:tcPr>
            <w:tcW w:w="51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66F52F5">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r>
              <w:rPr>
                <w:rFonts w:hint="eastAsia" w:ascii="Times New Roman" w:hAnsi="Times New Roman" w:eastAsia="仿宋_GB2312" w:cs="Times New Roman"/>
                <w:kern w:val="0"/>
                <w:sz w:val="24"/>
                <w:szCs w:val="24"/>
                <w:lang w:val="en-US" w:eastAsia="zh-CN"/>
              </w:rPr>
              <w:t>2019999</w:t>
            </w:r>
          </w:p>
        </w:tc>
        <w:tc>
          <w:tcPr>
            <w:tcW w:w="804" w:type="pct"/>
            <w:tcBorders>
              <w:top w:val="nil"/>
              <w:left w:val="nil"/>
              <w:bottom w:val="single" w:color="auto" w:sz="4" w:space="0"/>
              <w:right w:val="single" w:color="auto" w:sz="4" w:space="0"/>
            </w:tcBorders>
            <w:shd w:val="clear" w:color="000000" w:fill="FFFFFF"/>
            <w:noWrap/>
            <w:vAlign w:val="center"/>
          </w:tcPr>
          <w:p w14:paraId="56373EFE">
            <w:pPr>
              <w:widowControl/>
              <w:jc w:val="left"/>
              <w:rPr>
                <w:rFonts w:ascii="Times New Roman" w:hAnsi="Times New Roman" w:eastAsia="仿宋_GB2312" w:cs="Times New Roman"/>
                <w:kern w:val="0"/>
                <w:sz w:val="24"/>
                <w:szCs w:val="24"/>
              </w:rPr>
            </w:pPr>
            <w:r>
              <w:rPr>
                <w:rFonts w:hint="eastAsia" w:ascii="Times New Roman" w:hAnsi="Times New Roman" w:eastAsia="仿宋_GB2312" w:cs="Times New Roman"/>
              </w:rPr>
              <w:t>其他一般公共服务支出</w:t>
            </w:r>
          </w:p>
        </w:tc>
        <w:tc>
          <w:tcPr>
            <w:tcW w:w="660" w:type="pct"/>
            <w:tcBorders>
              <w:top w:val="nil"/>
              <w:left w:val="nil"/>
              <w:bottom w:val="single" w:color="auto" w:sz="4" w:space="0"/>
              <w:right w:val="single" w:color="auto" w:sz="4" w:space="0"/>
            </w:tcBorders>
            <w:shd w:val="clear" w:color="auto" w:fill="auto"/>
            <w:noWrap/>
            <w:vAlign w:val="center"/>
          </w:tcPr>
          <w:p w14:paraId="60B964D2">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2215.95</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16274004">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1264.03</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65FCA896">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951.93</w:t>
            </w: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0572CD9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2B154D7D">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712BFA71">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7B8A9BDD">
        <w:tblPrEx>
          <w:tblCellMar>
            <w:top w:w="0" w:type="dxa"/>
            <w:left w:w="108" w:type="dxa"/>
            <w:bottom w:w="0" w:type="dxa"/>
            <w:right w:w="108" w:type="dxa"/>
          </w:tblCellMar>
        </w:tblPrEx>
        <w:trPr>
          <w:trHeight w:val="595" w:hRule="atLeast"/>
          <w:jc w:val="center"/>
        </w:trPr>
        <w:tc>
          <w:tcPr>
            <w:tcW w:w="51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4B2822B">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04" w:type="pct"/>
            <w:tcBorders>
              <w:top w:val="nil"/>
              <w:left w:val="nil"/>
              <w:bottom w:val="single" w:color="auto" w:sz="4" w:space="0"/>
              <w:right w:val="single" w:color="auto" w:sz="4" w:space="0"/>
            </w:tcBorders>
            <w:shd w:val="clear" w:color="000000" w:fill="FFFFFF"/>
            <w:noWrap/>
            <w:vAlign w:val="center"/>
          </w:tcPr>
          <w:p w14:paraId="142D5FBC">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04CF6AC3">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30E165A8">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575237D0">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13262D90">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0B8782F2">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34D806CE">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0AECA258">
        <w:tblPrEx>
          <w:tblCellMar>
            <w:top w:w="0" w:type="dxa"/>
            <w:left w:w="108" w:type="dxa"/>
            <w:bottom w:w="0" w:type="dxa"/>
            <w:right w:w="108" w:type="dxa"/>
          </w:tblCellMar>
        </w:tblPrEx>
        <w:trPr>
          <w:trHeight w:val="595" w:hRule="atLeast"/>
          <w:jc w:val="center"/>
        </w:trPr>
        <w:tc>
          <w:tcPr>
            <w:tcW w:w="51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10B4A2B">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04" w:type="pct"/>
            <w:tcBorders>
              <w:top w:val="nil"/>
              <w:left w:val="nil"/>
              <w:bottom w:val="single" w:color="auto" w:sz="4" w:space="0"/>
              <w:right w:val="single" w:color="auto" w:sz="4" w:space="0"/>
            </w:tcBorders>
            <w:shd w:val="clear" w:color="000000" w:fill="FFFFFF"/>
            <w:noWrap/>
            <w:vAlign w:val="center"/>
          </w:tcPr>
          <w:p w14:paraId="7107B945">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74EEC52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45B4D3B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0D3306E9">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09A8FBA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32B5743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55F4490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0B0A96AB">
        <w:tblPrEx>
          <w:tblCellMar>
            <w:top w:w="0" w:type="dxa"/>
            <w:left w:w="108" w:type="dxa"/>
            <w:bottom w:w="0" w:type="dxa"/>
            <w:right w:w="108" w:type="dxa"/>
          </w:tblCellMar>
        </w:tblPrEx>
        <w:trPr>
          <w:trHeight w:val="595" w:hRule="atLeast"/>
          <w:jc w:val="center"/>
        </w:trPr>
        <w:tc>
          <w:tcPr>
            <w:tcW w:w="51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1BC5AFA">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04" w:type="pct"/>
            <w:tcBorders>
              <w:top w:val="nil"/>
              <w:left w:val="nil"/>
              <w:bottom w:val="single" w:color="auto" w:sz="4" w:space="0"/>
              <w:right w:val="single" w:color="auto" w:sz="4" w:space="0"/>
            </w:tcBorders>
            <w:shd w:val="clear" w:color="000000" w:fill="FFFFFF"/>
            <w:noWrap/>
            <w:vAlign w:val="center"/>
          </w:tcPr>
          <w:p w14:paraId="239B6817">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305D222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11F0B4F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0FA98923">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463B4F5E">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05F0FF0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7B661E7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bl>
    <w:p w14:paraId="60BDF425">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14:paraId="738C2B04">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592D1864">
      <w:pPr>
        <w:widowControl/>
        <w:spacing w:line="400" w:lineRule="exact"/>
        <w:jc w:val="center"/>
        <w:textAlignment w:val="center"/>
        <w:rPr>
          <w:rFonts w:ascii="Times New Roman" w:hAnsi="Times New Roman" w:eastAsia="黑体" w:cs="Times New Roman"/>
          <w:color w:val="000000"/>
          <w:kern w:val="0"/>
          <w:sz w:val="32"/>
          <w:szCs w:val="32"/>
        </w:rPr>
      </w:pPr>
    </w:p>
    <w:p w14:paraId="7571B6CC">
      <w:pPr>
        <w:widowControl/>
        <w:spacing w:after="156"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财政拨款收入支出决算总表</w:t>
      </w:r>
    </w:p>
    <w:p w14:paraId="79740825">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14:paraId="6E1F0347">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val="en-US" w:eastAsia="zh-CN"/>
        </w:rPr>
        <w:t>怀化市公共资源交易中心</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8"/>
        <w:tblW w:w="0" w:type="auto"/>
        <w:jc w:val="center"/>
        <w:tblLayout w:type="autofit"/>
        <w:tblCellMar>
          <w:top w:w="0" w:type="dxa"/>
          <w:left w:w="108" w:type="dxa"/>
          <w:bottom w:w="0" w:type="dxa"/>
          <w:right w:w="108" w:type="dxa"/>
        </w:tblCellMar>
      </w:tblPr>
      <w:tblGrid>
        <w:gridCol w:w="3516"/>
        <w:gridCol w:w="616"/>
        <w:gridCol w:w="696"/>
        <w:gridCol w:w="2636"/>
        <w:gridCol w:w="616"/>
        <w:gridCol w:w="696"/>
        <w:gridCol w:w="1678"/>
        <w:gridCol w:w="1815"/>
        <w:gridCol w:w="1951"/>
      </w:tblGrid>
      <w:tr w14:paraId="4266A34C">
        <w:tblPrEx>
          <w:tblCellMar>
            <w:top w:w="0" w:type="dxa"/>
            <w:left w:w="108" w:type="dxa"/>
            <w:bottom w:w="0" w:type="dxa"/>
            <w:right w:w="108" w:type="dxa"/>
          </w:tblCellMar>
        </w:tblPrEx>
        <w:trPr>
          <w:trHeight w:val="402"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0DEE3F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0" w:type="auto"/>
            <w:gridSpan w:val="6"/>
            <w:tcBorders>
              <w:top w:val="single" w:color="auto" w:sz="4" w:space="0"/>
              <w:left w:val="nil"/>
              <w:bottom w:val="single" w:color="auto" w:sz="4" w:space="0"/>
              <w:right w:val="single" w:color="auto" w:sz="4" w:space="0"/>
            </w:tcBorders>
            <w:shd w:val="clear" w:color="000000" w:fill="FFFFFF"/>
            <w:noWrap/>
            <w:vAlign w:val="center"/>
          </w:tcPr>
          <w:p w14:paraId="3830BF9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14:paraId="18FD4B74">
        <w:tblPrEx>
          <w:tblCellMar>
            <w:top w:w="0" w:type="dxa"/>
            <w:left w:w="108" w:type="dxa"/>
            <w:bottom w:w="0" w:type="dxa"/>
            <w:right w:w="108" w:type="dxa"/>
          </w:tblCellMar>
        </w:tblPrEx>
        <w:trPr>
          <w:trHeight w:val="63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765756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08EA9FAE">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2AD4AC2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0" w:type="auto"/>
            <w:tcBorders>
              <w:top w:val="nil"/>
              <w:left w:val="nil"/>
              <w:bottom w:val="single" w:color="auto" w:sz="4" w:space="0"/>
              <w:right w:val="single" w:color="auto" w:sz="4" w:space="0"/>
            </w:tcBorders>
            <w:shd w:val="clear" w:color="auto" w:fill="auto"/>
            <w:noWrap/>
            <w:vAlign w:val="center"/>
          </w:tcPr>
          <w:p w14:paraId="2079DF3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08B67FD1">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46226B5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0" w:type="auto"/>
            <w:tcBorders>
              <w:top w:val="nil"/>
              <w:left w:val="nil"/>
              <w:bottom w:val="single" w:color="auto" w:sz="4" w:space="0"/>
              <w:right w:val="single" w:color="auto" w:sz="4" w:space="0"/>
            </w:tcBorders>
            <w:shd w:val="clear" w:color="auto" w:fill="auto"/>
            <w:vAlign w:val="center"/>
          </w:tcPr>
          <w:p w14:paraId="263DA18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0" w:type="auto"/>
            <w:tcBorders>
              <w:top w:val="nil"/>
              <w:left w:val="nil"/>
              <w:bottom w:val="single" w:color="auto" w:sz="4" w:space="0"/>
              <w:right w:val="single" w:color="auto" w:sz="4" w:space="0"/>
            </w:tcBorders>
            <w:shd w:val="clear" w:color="auto" w:fill="auto"/>
            <w:vAlign w:val="center"/>
          </w:tcPr>
          <w:p w14:paraId="7087C5F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0" w:type="auto"/>
            <w:tcBorders>
              <w:top w:val="nil"/>
              <w:left w:val="nil"/>
              <w:bottom w:val="single" w:color="auto" w:sz="4" w:space="0"/>
              <w:right w:val="single" w:color="auto" w:sz="4" w:space="0"/>
            </w:tcBorders>
            <w:shd w:val="clear" w:color="auto" w:fill="auto"/>
            <w:vAlign w:val="center"/>
          </w:tcPr>
          <w:p w14:paraId="11FA22C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14:paraId="3A85C8C2">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E9ABB8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72CB83E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77B57FD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14:paraId="680F285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4B1EF26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1FFFF68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0" w:type="auto"/>
            <w:tcBorders>
              <w:top w:val="nil"/>
              <w:left w:val="nil"/>
              <w:bottom w:val="single" w:color="auto" w:sz="4" w:space="0"/>
              <w:right w:val="single" w:color="auto" w:sz="4" w:space="0"/>
            </w:tcBorders>
            <w:shd w:val="clear" w:color="auto" w:fill="auto"/>
            <w:noWrap/>
            <w:vAlign w:val="center"/>
          </w:tcPr>
          <w:p w14:paraId="0FB6F00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0" w:type="auto"/>
            <w:tcBorders>
              <w:top w:val="nil"/>
              <w:left w:val="nil"/>
              <w:bottom w:val="single" w:color="auto" w:sz="4" w:space="0"/>
              <w:right w:val="single" w:color="auto" w:sz="4" w:space="0"/>
            </w:tcBorders>
            <w:shd w:val="clear" w:color="auto" w:fill="auto"/>
            <w:noWrap/>
            <w:vAlign w:val="center"/>
          </w:tcPr>
          <w:p w14:paraId="1532C32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0" w:type="auto"/>
            <w:tcBorders>
              <w:top w:val="nil"/>
              <w:left w:val="nil"/>
              <w:bottom w:val="single" w:color="auto" w:sz="4" w:space="0"/>
              <w:right w:val="single" w:color="auto" w:sz="4" w:space="0"/>
            </w:tcBorders>
            <w:shd w:val="clear" w:color="auto" w:fill="auto"/>
            <w:noWrap/>
            <w:vAlign w:val="center"/>
          </w:tcPr>
          <w:p w14:paraId="5CFFA3D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14:paraId="73445842">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9A8BB1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0" w:type="auto"/>
            <w:tcBorders>
              <w:top w:val="nil"/>
              <w:left w:val="nil"/>
              <w:bottom w:val="single" w:color="auto" w:sz="4" w:space="0"/>
              <w:right w:val="single" w:color="auto" w:sz="4" w:space="0"/>
            </w:tcBorders>
            <w:shd w:val="clear" w:color="auto" w:fill="auto"/>
            <w:noWrap/>
            <w:vAlign w:val="center"/>
          </w:tcPr>
          <w:p w14:paraId="5E7FA63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0" w:type="auto"/>
            <w:tcBorders>
              <w:top w:val="nil"/>
              <w:left w:val="nil"/>
              <w:bottom w:val="single" w:color="auto" w:sz="4" w:space="0"/>
              <w:right w:val="single" w:color="auto" w:sz="4" w:space="0"/>
            </w:tcBorders>
            <w:shd w:val="clear" w:color="auto" w:fill="auto"/>
            <w:noWrap/>
            <w:vAlign w:val="center"/>
          </w:tcPr>
          <w:p w14:paraId="0D3E503A">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CD7744A">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0" w:type="auto"/>
            <w:tcBorders>
              <w:top w:val="nil"/>
              <w:left w:val="nil"/>
              <w:bottom w:val="single" w:color="auto" w:sz="4" w:space="0"/>
              <w:right w:val="single" w:color="auto" w:sz="4" w:space="0"/>
            </w:tcBorders>
            <w:shd w:val="clear" w:color="auto" w:fill="auto"/>
            <w:noWrap/>
            <w:vAlign w:val="center"/>
          </w:tcPr>
          <w:p w14:paraId="3DD82D9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15</w:t>
            </w:r>
          </w:p>
        </w:tc>
        <w:tc>
          <w:tcPr>
            <w:tcW w:w="0" w:type="auto"/>
            <w:tcBorders>
              <w:top w:val="nil"/>
              <w:left w:val="nil"/>
              <w:bottom w:val="single" w:color="auto" w:sz="4" w:space="0"/>
              <w:right w:val="single" w:color="auto" w:sz="4" w:space="0"/>
            </w:tcBorders>
            <w:shd w:val="clear" w:color="auto" w:fill="auto"/>
            <w:noWrap/>
            <w:vAlign w:val="center"/>
          </w:tcPr>
          <w:p w14:paraId="0EB1DEE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C578E7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1A1A77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EEDF374">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55F2C104">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CD17AC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14:paraId="6F3BFE5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0" w:type="auto"/>
            <w:tcBorders>
              <w:top w:val="nil"/>
              <w:left w:val="nil"/>
              <w:bottom w:val="single" w:color="auto" w:sz="4" w:space="0"/>
              <w:right w:val="single" w:color="auto" w:sz="4" w:space="0"/>
            </w:tcBorders>
            <w:shd w:val="clear" w:color="auto" w:fill="auto"/>
            <w:noWrap/>
            <w:vAlign w:val="center"/>
          </w:tcPr>
          <w:p w14:paraId="2C470181">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8162F7D">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0" w:type="auto"/>
            <w:tcBorders>
              <w:top w:val="nil"/>
              <w:left w:val="nil"/>
              <w:bottom w:val="single" w:color="auto" w:sz="4" w:space="0"/>
              <w:right w:val="single" w:color="auto" w:sz="4" w:space="0"/>
            </w:tcBorders>
            <w:shd w:val="clear" w:color="auto" w:fill="auto"/>
            <w:noWrap/>
            <w:vAlign w:val="center"/>
          </w:tcPr>
          <w:p w14:paraId="1192F3C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16</w:t>
            </w:r>
          </w:p>
        </w:tc>
        <w:tc>
          <w:tcPr>
            <w:tcW w:w="0" w:type="auto"/>
            <w:tcBorders>
              <w:top w:val="nil"/>
              <w:left w:val="nil"/>
              <w:bottom w:val="single" w:color="auto" w:sz="4" w:space="0"/>
              <w:right w:val="single" w:color="auto" w:sz="4" w:space="0"/>
            </w:tcBorders>
            <w:shd w:val="clear" w:color="auto" w:fill="auto"/>
            <w:noWrap/>
            <w:vAlign w:val="center"/>
          </w:tcPr>
          <w:p w14:paraId="1B8C15C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43406D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D093B0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9390480">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5DE5AB77">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A0DBD27">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03DEA2E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0" w:type="auto"/>
            <w:tcBorders>
              <w:top w:val="nil"/>
              <w:left w:val="nil"/>
              <w:bottom w:val="single" w:color="auto" w:sz="4" w:space="0"/>
              <w:right w:val="single" w:color="auto" w:sz="4" w:space="0"/>
            </w:tcBorders>
            <w:shd w:val="clear" w:color="auto" w:fill="auto"/>
            <w:noWrap/>
            <w:vAlign w:val="center"/>
          </w:tcPr>
          <w:p w14:paraId="4BC907D8">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005DFBA">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0" w:type="auto"/>
            <w:tcBorders>
              <w:top w:val="nil"/>
              <w:left w:val="nil"/>
              <w:bottom w:val="single" w:color="auto" w:sz="4" w:space="0"/>
              <w:right w:val="single" w:color="auto" w:sz="4" w:space="0"/>
            </w:tcBorders>
            <w:shd w:val="clear" w:color="auto" w:fill="auto"/>
            <w:noWrap/>
            <w:vAlign w:val="center"/>
          </w:tcPr>
          <w:p w14:paraId="78DA1CD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17</w:t>
            </w:r>
          </w:p>
        </w:tc>
        <w:tc>
          <w:tcPr>
            <w:tcW w:w="0" w:type="auto"/>
            <w:tcBorders>
              <w:top w:val="nil"/>
              <w:left w:val="nil"/>
              <w:bottom w:val="single" w:color="auto" w:sz="4" w:space="0"/>
              <w:right w:val="single" w:color="auto" w:sz="4" w:space="0"/>
            </w:tcBorders>
            <w:shd w:val="clear" w:color="auto" w:fill="auto"/>
            <w:noWrap/>
            <w:vAlign w:val="center"/>
          </w:tcPr>
          <w:p w14:paraId="27B9B8E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5CE53A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1F3A41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1C8D44D">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7C54EC3">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B50B97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7EFABE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0" w:type="auto"/>
            <w:tcBorders>
              <w:top w:val="nil"/>
              <w:left w:val="nil"/>
              <w:bottom w:val="single" w:color="auto" w:sz="4" w:space="0"/>
              <w:right w:val="single" w:color="auto" w:sz="4" w:space="0"/>
            </w:tcBorders>
            <w:shd w:val="clear" w:color="auto" w:fill="auto"/>
            <w:noWrap/>
            <w:vAlign w:val="center"/>
          </w:tcPr>
          <w:p w14:paraId="600B8FE5">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D79FF0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四、公共安全支出</w:t>
            </w:r>
          </w:p>
        </w:tc>
        <w:tc>
          <w:tcPr>
            <w:tcW w:w="0" w:type="auto"/>
            <w:tcBorders>
              <w:top w:val="nil"/>
              <w:left w:val="nil"/>
              <w:bottom w:val="single" w:color="auto" w:sz="4" w:space="0"/>
              <w:right w:val="single" w:color="auto" w:sz="4" w:space="0"/>
            </w:tcBorders>
            <w:shd w:val="clear" w:color="auto" w:fill="auto"/>
            <w:noWrap/>
            <w:vAlign w:val="center"/>
          </w:tcPr>
          <w:p w14:paraId="5A0A0D3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18</w:t>
            </w:r>
          </w:p>
        </w:tc>
        <w:tc>
          <w:tcPr>
            <w:tcW w:w="0" w:type="auto"/>
            <w:tcBorders>
              <w:top w:val="nil"/>
              <w:left w:val="nil"/>
              <w:bottom w:val="single" w:color="auto" w:sz="4" w:space="0"/>
              <w:right w:val="single" w:color="auto" w:sz="4" w:space="0"/>
            </w:tcBorders>
            <w:shd w:val="clear" w:color="auto" w:fill="auto"/>
            <w:noWrap/>
            <w:vAlign w:val="center"/>
          </w:tcPr>
          <w:p w14:paraId="4120FB2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E8058B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26FAC4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7FBE974">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47514F9D">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B040A0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EB72BE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0" w:type="auto"/>
            <w:tcBorders>
              <w:top w:val="nil"/>
              <w:left w:val="nil"/>
              <w:bottom w:val="single" w:color="auto" w:sz="4" w:space="0"/>
              <w:right w:val="single" w:color="auto" w:sz="4" w:space="0"/>
            </w:tcBorders>
            <w:shd w:val="clear" w:color="auto" w:fill="auto"/>
            <w:noWrap/>
            <w:vAlign w:val="center"/>
          </w:tcPr>
          <w:p w14:paraId="545A30F0">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2B3CDE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五、教育支出</w:t>
            </w:r>
          </w:p>
        </w:tc>
        <w:tc>
          <w:tcPr>
            <w:tcW w:w="0" w:type="auto"/>
            <w:tcBorders>
              <w:top w:val="nil"/>
              <w:left w:val="nil"/>
              <w:bottom w:val="single" w:color="auto" w:sz="4" w:space="0"/>
              <w:right w:val="single" w:color="auto" w:sz="4" w:space="0"/>
            </w:tcBorders>
            <w:shd w:val="clear" w:color="auto" w:fill="auto"/>
            <w:noWrap/>
            <w:vAlign w:val="center"/>
          </w:tcPr>
          <w:p w14:paraId="7A30377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19</w:t>
            </w:r>
          </w:p>
        </w:tc>
        <w:tc>
          <w:tcPr>
            <w:tcW w:w="0" w:type="auto"/>
            <w:tcBorders>
              <w:top w:val="nil"/>
              <w:left w:val="nil"/>
              <w:bottom w:val="single" w:color="auto" w:sz="4" w:space="0"/>
              <w:right w:val="single" w:color="auto" w:sz="4" w:space="0"/>
            </w:tcBorders>
            <w:shd w:val="clear" w:color="auto" w:fill="auto"/>
            <w:noWrap/>
            <w:vAlign w:val="center"/>
          </w:tcPr>
          <w:p w14:paraId="4757F7E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C61C76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00DAE1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67AD630">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5161FDD9">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2AC852A">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5897FC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0" w:type="auto"/>
            <w:tcBorders>
              <w:top w:val="nil"/>
              <w:left w:val="nil"/>
              <w:bottom w:val="single" w:color="auto" w:sz="4" w:space="0"/>
              <w:right w:val="single" w:color="auto" w:sz="4" w:space="0"/>
            </w:tcBorders>
            <w:shd w:val="clear" w:color="auto" w:fill="auto"/>
            <w:noWrap/>
            <w:vAlign w:val="center"/>
          </w:tcPr>
          <w:p w14:paraId="3B881E60">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A53BF1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六、科学技术支出</w:t>
            </w:r>
          </w:p>
        </w:tc>
        <w:tc>
          <w:tcPr>
            <w:tcW w:w="0" w:type="auto"/>
            <w:tcBorders>
              <w:top w:val="nil"/>
              <w:left w:val="nil"/>
              <w:bottom w:val="single" w:color="auto" w:sz="4" w:space="0"/>
              <w:right w:val="single" w:color="auto" w:sz="4" w:space="0"/>
            </w:tcBorders>
            <w:shd w:val="clear" w:color="auto" w:fill="auto"/>
            <w:noWrap/>
            <w:vAlign w:val="center"/>
          </w:tcPr>
          <w:p w14:paraId="7AE36A7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20</w:t>
            </w:r>
          </w:p>
        </w:tc>
        <w:tc>
          <w:tcPr>
            <w:tcW w:w="0" w:type="auto"/>
            <w:tcBorders>
              <w:top w:val="nil"/>
              <w:left w:val="nil"/>
              <w:bottom w:val="single" w:color="auto" w:sz="4" w:space="0"/>
              <w:right w:val="single" w:color="auto" w:sz="4" w:space="0"/>
            </w:tcBorders>
            <w:shd w:val="clear" w:color="auto" w:fill="auto"/>
            <w:noWrap/>
            <w:vAlign w:val="center"/>
          </w:tcPr>
          <w:p w14:paraId="3F8637B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3996A7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282EA0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E6B5C35">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21717594">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3416BD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F15FAC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7</w:t>
            </w:r>
          </w:p>
        </w:tc>
        <w:tc>
          <w:tcPr>
            <w:tcW w:w="0" w:type="auto"/>
            <w:tcBorders>
              <w:top w:val="nil"/>
              <w:left w:val="nil"/>
              <w:bottom w:val="single" w:color="auto" w:sz="4" w:space="0"/>
              <w:right w:val="single" w:color="auto" w:sz="4" w:space="0"/>
            </w:tcBorders>
            <w:shd w:val="clear" w:color="auto" w:fill="auto"/>
            <w:noWrap/>
            <w:vAlign w:val="center"/>
          </w:tcPr>
          <w:p w14:paraId="1064DABA">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D307EA9">
            <w:pPr>
              <w:widowControl/>
              <w:jc w:val="left"/>
              <w:rPr>
                <w:rFonts w:ascii="Times New Roman" w:hAnsi="Times New Roman" w:eastAsia="仿宋_GB2312" w:cs="Times New Roman"/>
                <w:kern w:val="0"/>
                <w:sz w:val="24"/>
                <w:szCs w:val="24"/>
              </w:rPr>
            </w:pPr>
          </w:p>
        </w:tc>
        <w:tc>
          <w:tcPr>
            <w:tcW w:w="0" w:type="auto"/>
            <w:tcBorders>
              <w:top w:val="nil"/>
              <w:left w:val="nil"/>
              <w:bottom w:val="single" w:color="auto" w:sz="4" w:space="0"/>
              <w:right w:val="single" w:color="auto" w:sz="4" w:space="0"/>
            </w:tcBorders>
            <w:shd w:val="clear" w:color="auto" w:fill="auto"/>
            <w:noWrap/>
            <w:vAlign w:val="center"/>
          </w:tcPr>
          <w:p w14:paraId="52A4917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21</w:t>
            </w:r>
          </w:p>
        </w:tc>
        <w:tc>
          <w:tcPr>
            <w:tcW w:w="0" w:type="auto"/>
            <w:tcBorders>
              <w:top w:val="nil"/>
              <w:left w:val="nil"/>
              <w:bottom w:val="single" w:color="auto" w:sz="4" w:space="0"/>
              <w:right w:val="single" w:color="auto" w:sz="4" w:space="0"/>
            </w:tcBorders>
            <w:shd w:val="clear" w:color="auto" w:fill="auto"/>
            <w:noWrap/>
            <w:vAlign w:val="center"/>
          </w:tcPr>
          <w:p w14:paraId="3A6D572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044327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A938DA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60539BE">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0ABCE57A">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643EB8A">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DD6A2A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8</w:t>
            </w:r>
          </w:p>
        </w:tc>
        <w:tc>
          <w:tcPr>
            <w:tcW w:w="0" w:type="auto"/>
            <w:tcBorders>
              <w:top w:val="nil"/>
              <w:left w:val="nil"/>
              <w:bottom w:val="single" w:color="auto" w:sz="4" w:space="0"/>
              <w:right w:val="single" w:color="auto" w:sz="4" w:space="0"/>
            </w:tcBorders>
            <w:shd w:val="clear" w:color="auto" w:fill="auto"/>
            <w:noWrap/>
            <w:vAlign w:val="center"/>
          </w:tcPr>
          <w:p w14:paraId="62B16B4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510EBB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4E25C0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22</w:t>
            </w:r>
          </w:p>
        </w:tc>
        <w:tc>
          <w:tcPr>
            <w:tcW w:w="0" w:type="auto"/>
            <w:tcBorders>
              <w:top w:val="nil"/>
              <w:left w:val="nil"/>
              <w:bottom w:val="single" w:color="auto" w:sz="4" w:space="0"/>
              <w:right w:val="single" w:color="auto" w:sz="4" w:space="0"/>
            </w:tcBorders>
            <w:shd w:val="clear" w:color="auto" w:fill="auto"/>
            <w:noWrap/>
            <w:vAlign w:val="center"/>
          </w:tcPr>
          <w:p w14:paraId="62F85A4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A4402B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4FA9EC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B2F5DE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61A54C23">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8A90732">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0" w:type="auto"/>
            <w:tcBorders>
              <w:top w:val="nil"/>
              <w:left w:val="nil"/>
              <w:bottom w:val="single" w:color="auto" w:sz="4" w:space="0"/>
              <w:right w:val="single" w:color="auto" w:sz="4" w:space="0"/>
            </w:tcBorders>
            <w:shd w:val="clear" w:color="auto" w:fill="auto"/>
            <w:noWrap/>
            <w:vAlign w:val="center"/>
          </w:tcPr>
          <w:p w14:paraId="49B7A03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9</w:t>
            </w:r>
          </w:p>
        </w:tc>
        <w:tc>
          <w:tcPr>
            <w:tcW w:w="0" w:type="auto"/>
            <w:tcBorders>
              <w:top w:val="nil"/>
              <w:left w:val="nil"/>
              <w:bottom w:val="single" w:color="auto" w:sz="4" w:space="0"/>
              <w:right w:val="single" w:color="auto" w:sz="4" w:space="0"/>
            </w:tcBorders>
            <w:shd w:val="clear" w:color="auto" w:fill="auto"/>
            <w:noWrap/>
            <w:vAlign w:val="center"/>
          </w:tcPr>
          <w:p w14:paraId="33E5D5F8">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902D478">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本年支出合计</w:t>
            </w:r>
          </w:p>
        </w:tc>
        <w:tc>
          <w:tcPr>
            <w:tcW w:w="0" w:type="auto"/>
            <w:tcBorders>
              <w:top w:val="nil"/>
              <w:left w:val="nil"/>
              <w:bottom w:val="single" w:color="auto" w:sz="4" w:space="0"/>
              <w:right w:val="single" w:color="auto" w:sz="4" w:space="0"/>
            </w:tcBorders>
            <w:shd w:val="clear" w:color="auto" w:fill="auto"/>
            <w:noWrap/>
            <w:vAlign w:val="center"/>
          </w:tcPr>
          <w:p w14:paraId="5D25F3E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23</w:t>
            </w:r>
          </w:p>
        </w:tc>
        <w:tc>
          <w:tcPr>
            <w:tcW w:w="0" w:type="auto"/>
            <w:tcBorders>
              <w:top w:val="nil"/>
              <w:left w:val="nil"/>
              <w:bottom w:val="single" w:color="auto" w:sz="4" w:space="0"/>
              <w:right w:val="single" w:color="auto" w:sz="4" w:space="0"/>
            </w:tcBorders>
            <w:shd w:val="clear" w:color="auto" w:fill="auto"/>
            <w:noWrap/>
            <w:vAlign w:val="center"/>
          </w:tcPr>
          <w:p w14:paraId="541F492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D3A74E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C7D18A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2BC3561">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r w14:paraId="0E01CFB5">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A2F725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0" w:type="auto"/>
            <w:tcBorders>
              <w:top w:val="nil"/>
              <w:left w:val="nil"/>
              <w:bottom w:val="single" w:color="auto" w:sz="4" w:space="0"/>
              <w:right w:val="single" w:color="auto" w:sz="4" w:space="0"/>
            </w:tcBorders>
            <w:shd w:val="clear" w:color="auto" w:fill="auto"/>
            <w:noWrap/>
            <w:vAlign w:val="center"/>
          </w:tcPr>
          <w:p w14:paraId="0B3D5C7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10</w:t>
            </w:r>
          </w:p>
        </w:tc>
        <w:tc>
          <w:tcPr>
            <w:tcW w:w="0" w:type="auto"/>
            <w:tcBorders>
              <w:top w:val="nil"/>
              <w:left w:val="nil"/>
              <w:bottom w:val="single" w:color="auto" w:sz="4" w:space="0"/>
              <w:right w:val="single" w:color="auto" w:sz="4" w:space="0"/>
            </w:tcBorders>
            <w:shd w:val="clear" w:color="auto" w:fill="auto"/>
            <w:noWrap/>
            <w:vAlign w:val="center"/>
          </w:tcPr>
          <w:p w14:paraId="02D84291">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2D3933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0" w:type="auto"/>
            <w:tcBorders>
              <w:top w:val="nil"/>
              <w:left w:val="nil"/>
              <w:bottom w:val="single" w:color="auto" w:sz="4" w:space="0"/>
              <w:right w:val="single" w:color="auto" w:sz="4" w:space="0"/>
            </w:tcBorders>
            <w:shd w:val="clear" w:color="auto" w:fill="auto"/>
            <w:noWrap/>
            <w:vAlign w:val="center"/>
          </w:tcPr>
          <w:p w14:paraId="209D1EF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24</w:t>
            </w:r>
          </w:p>
        </w:tc>
        <w:tc>
          <w:tcPr>
            <w:tcW w:w="0" w:type="auto"/>
            <w:tcBorders>
              <w:top w:val="nil"/>
              <w:left w:val="nil"/>
              <w:bottom w:val="single" w:color="auto" w:sz="4" w:space="0"/>
              <w:right w:val="single" w:color="auto" w:sz="4" w:space="0"/>
            </w:tcBorders>
            <w:shd w:val="clear" w:color="auto" w:fill="auto"/>
            <w:noWrap/>
            <w:vAlign w:val="center"/>
          </w:tcPr>
          <w:p w14:paraId="6E8430F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1814F7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E4992C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16964F7">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086A4E86">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603117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一般公共预算财政拨款</w:t>
            </w:r>
          </w:p>
        </w:tc>
        <w:tc>
          <w:tcPr>
            <w:tcW w:w="0" w:type="auto"/>
            <w:tcBorders>
              <w:top w:val="nil"/>
              <w:left w:val="nil"/>
              <w:bottom w:val="single" w:color="auto" w:sz="4" w:space="0"/>
              <w:right w:val="single" w:color="auto" w:sz="4" w:space="0"/>
            </w:tcBorders>
            <w:shd w:val="clear" w:color="auto" w:fill="auto"/>
            <w:noWrap/>
            <w:vAlign w:val="center"/>
          </w:tcPr>
          <w:p w14:paraId="497C18A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11</w:t>
            </w:r>
          </w:p>
        </w:tc>
        <w:tc>
          <w:tcPr>
            <w:tcW w:w="0" w:type="auto"/>
            <w:tcBorders>
              <w:top w:val="nil"/>
              <w:left w:val="nil"/>
              <w:bottom w:val="single" w:color="auto" w:sz="4" w:space="0"/>
              <w:right w:val="single" w:color="auto" w:sz="4" w:space="0"/>
            </w:tcBorders>
            <w:shd w:val="clear" w:color="auto" w:fill="auto"/>
            <w:noWrap/>
            <w:vAlign w:val="center"/>
          </w:tcPr>
          <w:p w14:paraId="4DC86AA4">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2603B4D">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6385EA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25</w:t>
            </w:r>
          </w:p>
        </w:tc>
        <w:tc>
          <w:tcPr>
            <w:tcW w:w="0" w:type="auto"/>
            <w:tcBorders>
              <w:top w:val="nil"/>
              <w:left w:val="nil"/>
              <w:bottom w:val="single" w:color="auto" w:sz="4" w:space="0"/>
              <w:right w:val="single" w:color="auto" w:sz="4" w:space="0"/>
            </w:tcBorders>
            <w:shd w:val="clear" w:color="auto" w:fill="auto"/>
            <w:noWrap/>
            <w:vAlign w:val="center"/>
          </w:tcPr>
          <w:p w14:paraId="1D1F09A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86FAEA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B13659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1614FC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019E1BA0">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C36A79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14:paraId="6043CF1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12</w:t>
            </w:r>
          </w:p>
        </w:tc>
        <w:tc>
          <w:tcPr>
            <w:tcW w:w="0" w:type="auto"/>
            <w:tcBorders>
              <w:top w:val="nil"/>
              <w:left w:val="nil"/>
              <w:bottom w:val="single" w:color="auto" w:sz="4" w:space="0"/>
              <w:right w:val="single" w:color="auto" w:sz="4" w:space="0"/>
            </w:tcBorders>
            <w:shd w:val="clear" w:color="auto" w:fill="auto"/>
            <w:noWrap/>
            <w:vAlign w:val="center"/>
          </w:tcPr>
          <w:p w14:paraId="7439BFA4">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3BC973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94A793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26</w:t>
            </w:r>
          </w:p>
        </w:tc>
        <w:tc>
          <w:tcPr>
            <w:tcW w:w="0" w:type="auto"/>
            <w:tcBorders>
              <w:top w:val="nil"/>
              <w:left w:val="nil"/>
              <w:bottom w:val="single" w:color="auto" w:sz="4" w:space="0"/>
              <w:right w:val="single" w:color="auto" w:sz="4" w:space="0"/>
            </w:tcBorders>
            <w:shd w:val="clear" w:color="auto" w:fill="auto"/>
            <w:noWrap/>
            <w:vAlign w:val="center"/>
          </w:tcPr>
          <w:p w14:paraId="40194AE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21FED6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6BD502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466C8C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7BEE4358">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24384B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50DA1C3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13</w:t>
            </w:r>
          </w:p>
        </w:tc>
        <w:tc>
          <w:tcPr>
            <w:tcW w:w="0" w:type="auto"/>
            <w:tcBorders>
              <w:top w:val="nil"/>
              <w:left w:val="nil"/>
              <w:bottom w:val="single" w:color="auto" w:sz="4" w:space="0"/>
              <w:right w:val="single" w:color="auto" w:sz="4" w:space="0"/>
            </w:tcBorders>
            <w:shd w:val="clear" w:color="auto" w:fill="auto"/>
            <w:noWrap/>
            <w:vAlign w:val="center"/>
          </w:tcPr>
          <w:p w14:paraId="697D1E32">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5C32783">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1105C2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27</w:t>
            </w:r>
          </w:p>
        </w:tc>
        <w:tc>
          <w:tcPr>
            <w:tcW w:w="0" w:type="auto"/>
            <w:tcBorders>
              <w:top w:val="nil"/>
              <w:left w:val="nil"/>
              <w:bottom w:val="single" w:color="auto" w:sz="4" w:space="0"/>
              <w:right w:val="single" w:color="auto" w:sz="4" w:space="0"/>
            </w:tcBorders>
            <w:shd w:val="clear" w:color="auto" w:fill="auto"/>
            <w:noWrap/>
            <w:vAlign w:val="center"/>
          </w:tcPr>
          <w:p w14:paraId="45A2969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B936FC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765657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6C353A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6D8C28E3">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005F4E70">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14:paraId="6841980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14</w:t>
            </w:r>
          </w:p>
        </w:tc>
        <w:tc>
          <w:tcPr>
            <w:tcW w:w="0" w:type="auto"/>
            <w:tcBorders>
              <w:top w:val="nil"/>
              <w:left w:val="nil"/>
              <w:bottom w:val="single" w:color="auto" w:sz="4" w:space="0"/>
              <w:right w:val="single" w:color="auto" w:sz="4" w:space="0"/>
            </w:tcBorders>
            <w:shd w:val="clear" w:color="auto" w:fill="auto"/>
            <w:noWrap/>
            <w:vAlign w:val="center"/>
          </w:tcPr>
          <w:p w14:paraId="3F023B34">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FFFFFF"/>
            <w:noWrap/>
            <w:vAlign w:val="center"/>
          </w:tcPr>
          <w:p w14:paraId="7EC876FE">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14:paraId="53788AF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28</w:t>
            </w:r>
          </w:p>
        </w:tc>
        <w:tc>
          <w:tcPr>
            <w:tcW w:w="0" w:type="auto"/>
            <w:tcBorders>
              <w:top w:val="nil"/>
              <w:left w:val="nil"/>
              <w:bottom w:val="single" w:color="auto" w:sz="4" w:space="0"/>
              <w:right w:val="single" w:color="auto" w:sz="4" w:space="0"/>
            </w:tcBorders>
            <w:shd w:val="clear" w:color="000000" w:fill="FFFFFF"/>
            <w:noWrap/>
            <w:vAlign w:val="center"/>
          </w:tcPr>
          <w:p w14:paraId="4B0A29B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FFFFFF"/>
            <w:noWrap/>
            <w:vAlign w:val="center"/>
          </w:tcPr>
          <w:p w14:paraId="0D91352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1C7AD4F">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B42C29C">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bl>
    <w:p w14:paraId="08FC640D">
      <w:pPr>
        <w:widowControl/>
        <w:jc w:val="left"/>
        <w:rPr>
          <w:rFonts w:ascii="Times New Roman" w:hAnsi="Times New Roman" w:eastAsia="仿宋_GB2312" w:cs="Times New Roman"/>
          <w:spacing w:val="-6"/>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010FDE98">
      <w:pPr>
        <w:widowControl/>
        <w:jc w:val="left"/>
        <w:rPr>
          <w:rFonts w:ascii="Times New Roman" w:hAnsi="Times New Roman" w:eastAsia="仿宋_GB2312" w:cs="Times New Roman"/>
          <w:spacing w:val="-6"/>
          <w:kern w:val="0"/>
          <w:sz w:val="24"/>
          <w:szCs w:val="24"/>
        </w:rPr>
      </w:pPr>
      <w:r>
        <w:rPr>
          <w:rFonts w:hint="eastAsia" w:ascii="Times New Roman" w:hAnsi="Times New Roman" w:eastAsia="仿宋_GB2312" w:cs="Times New Roman"/>
          <w:spacing w:val="-6"/>
          <w:kern w:val="0"/>
          <w:sz w:val="24"/>
          <w:szCs w:val="24"/>
        </w:rPr>
        <w:t>说明：</w:t>
      </w:r>
      <w:r>
        <w:rPr>
          <w:rFonts w:hint="eastAsia" w:ascii="Times New Roman" w:hAnsi="Times New Roman" w:eastAsia="仿宋_GB2312" w:cs="Times New Roman"/>
          <w:spacing w:val="-6"/>
          <w:kern w:val="0"/>
          <w:sz w:val="24"/>
          <w:szCs w:val="24"/>
          <w:lang w:val="en-US" w:eastAsia="zh-CN"/>
        </w:rPr>
        <w:t>本</w:t>
      </w:r>
      <w:r>
        <w:rPr>
          <w:rFonts w:hint="eastAsia" w:ascii="Times New Roman" w:hAnsi="Times New Roman" w:eastAsia="仿宋_GB2312" w:cs="Times New Roman"/>
          <w:spacing w:val="-6"/>
          <w:kern w:val="0"/>
          <w:sz w:val="24"/>
          <w:szCs w:val="24"/>
        </w:rPr>
        <w:t>单位没有</w:t>
      </w:r>
      <w:r>
        <w:rPr>
          <w:rFonts w:ascii="Times New Roman" w:hAnsi="Times New Roman" w:eastAsia="仿宋_GB2312" w:cs="Times New Roman"/>
          <w:spacing w:val="-6"/>
          <w:kern w:val="0"/>
          <w:sz w:val="24"/>
          <w:szCs w:val="24"/>
        </w:rPr>
        <w:t>一般公共预算</w:t>
      </w:r>
      <w:r>
        <w:rPr>
          <w:rFonts w:hint="eastAsia" w:ascii="Times New Roman" w:hAnsi="Times New Roman" w:eastAsia="仿宋_GB2312" w:cs="Times New Roman"/>
          <w:spacing w:val="-6"/>
          <w:kern w:val="0"/>
          <w:sz w:val="24"/>
          <w:szCs w:val="24"/>
        </w:rPr>
        <w:t>财政拨款收入，也没有使用</w:t>
      </w:r>
      <w:r>
        <w:rPr>
          <w:rFonts w:ascii="Times New Roman" w:hAnsi="Times New Roman" w:eastAsia="仿宋_GB2312" w:cs="Times New Roman"/>
          <w:spacing w:val="-6"/>
          <w:kern w:val="0"/>
          <w:sz w:val="24"/>
          <w:szCs w:val="24"/>
        </w:rPr>
        <w:t>一般公共预算</w:t>
      </w:r>
      <w:r>
        <w:rPr>
          <w:rFonts w:hint="eastAsia" w:ascii="Times New Roman" w:hAnsi="Times New Roman" w:eastAsia="仿宋_GB2312" w:cs="Times New Roman"/>
          <w:spacing w:val="-6"/>
          <w:kern w:val="0"/>
          <w:sz w:val="24"/>
          <w:szCs w:val="24"/>
        </w:rPr>
        <w:t>财政拨款收入支出，故本表无数据。</w:t>
      </w:r>
    </w:p>
    <w:p w14:paraId="185798ED">
      <w:pPr>
        <w:widowControl/>
        <w:jc w:val="center"/>
        <w:rPr>
          <w:rFonts w:ascii="Times New Roman" w:hAnsi="Times New Roman" w:eastAsia="方正小标宋_GBK" w:cs="Times New Roman"/>
          <w:kern w:val="0"/>
          <w:sz w:val="36"/>
          <w:szCs w:val="36"/>
        </w:rPr>
      </w:pPr>
    </w:p>
    <w:p w14:paraId="6DADA46B">
      <w:pPr>
        <w:widowControl/>
        <w:spacing w:after="156"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一般公共预算财政拨款支出决算表</w:t>
      </w:r>
      <w:bookmarkEnd w:id="1"/>
    </w:p>
    <w:p w14:paraId="69BAB548">
      <w:pPr>
        <w:widowControl/>
        <w:spacing w:before="156"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Cs w:val="21"/>
          <w:lang w:val="en-US" w:eastAsia="zh-CN"/>
        </w:rPr>
        <w:t>怀化市公共资源交易中心</w:t>
      </w:r>
      <w:r>
        <w:rPr>
          <w:rFonts w:ascii="Times New Roman" w:hAnsi="Times New Roman" w:eastAsia="仿宋_GB2312" w:cs="Times New Roman"/>
          <w:color w:val="000000"/>
          <w:kern w:val="0"/>
          <w:szCs w:val="21"/>
        </w:rPr>
        <w:t xml:space="preserve">                                                                              公开05表</w:t>
      </w:r>
    </w:p>
    <w:p w14:paraId="6B2C4796">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单位：万元</w:t>
      </w:r>
    </w:p>
    <w:tbl>
      <w:tblPr>
        <w:tblStyle w:val="8"/>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0FBD7A5F">
        <w:tblPrEx>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50E7215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05A5D69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5D4AD892">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2F50C58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23AA8DD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367E028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0200425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314FE04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12117198">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5237DE6F">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604B0739">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0C5E4B8B">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093ABB6A">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537A5632">
            <w:pPr>
              <w:widowControl/>
              <w:jc w:val="left"/>
              <w:rPr>
                <w:rFonts w:ascii="Times New Roman" w:hAnsi="Times New Roman" w:eastAsia="仿宋_GB2312" w:cs="Times New Roman"/>
                <w:kern w:val="0"/>
                <w:szCs w:val="21"/>
              </w:rPr>
            </w:pPr>
          </w:p>
        </w:tc>
      </w:tr>
      <w:tr w14:paraId="4046903A">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56E604A3">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207E7C4B">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43287420">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1C09AB93">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27326AA8">
            <w:pPr>
              <w:widowControl/>
              <w:jc w:val="left"/>
              <w:rPr>
                <w:rFonts w:ascii="Times New Roman" w:hAnsi="Times New Roman" w:eastAsia="仿宋_GB2312" w:cs="Times New Roman"/>
                <w:kern w:val="0"/>
                <w:szCs w:val="21"/>
              </w:rPr>
            </w:pPr>
          </w:p>
        </w:tc>
      </w:tr>
      <w:tr w14:paraId="3AC164E3">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782A98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148AD6B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52B5CBB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1EC71C5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6E47EA03">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0BB21C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5FA6C7F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14:paraId="598EFE5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6B557FA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2E4758C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EE1765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645676B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4" w:space="0"/>
            </w:tcBorders>
            <w:shd w:val="clear" w:color="auto" w:fill="auto"/>
            <w:vAlign w:val="center"/>
          </w:tcPr>
          <w:p w14:paraId="4BE00C6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14:paraId="15D5390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335DCF2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1FBE2DD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44E67E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0CCD8A8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4" w:space="0"/>
            </w:tcBorders>
            <w:shd w:val="clear" w:color="auto" w:fill="auto"/>
            <w:vAlign w:val="center"/>
          </w:tcPr>
          <w:p w14:paraId="6F92E9B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14:paraId="343AF0E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7E37277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1732EF1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C19AF2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43E29AA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4" w:space="0"/>
            </w:tcBorders>
            <w:shd w:val="clear" w:color="auto" w:fill="auto"/>
            <w:vAlign w:val="center"/>
          </w:tcPr>
          <w:p w14:paraId="732BCA6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14:paraId="3DBF0AA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52F70A1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2895FCA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646565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3D04B9C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4" w:space="0"/>
            </w:tcBorders>
            <w:shd w:val="clear" w:color="auto" w:fill="auto"/>
            <w:vAlign w:val="center"/>
          </w:tcPr>
          <w:p w14:paraId="5CE6F43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14:paraId="4833476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532AF5A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14B2842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D9AE68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02BF32B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4" w:space="0"/>
            </w:tcBorders>
            <w:shd w:val="clear" w:color="auto" w:fill="auto"/>
            <w:vAlign w:val="center"/>
          </w:tcPr>
          <w:p w14:paraId="6484767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14:paraId="34CAB5C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20B6D11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204E7FA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1A4369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8" w:space="0"/>
              <w:right w:val="single" w:color="auto" w:sz="4" w:space="0"/>
            </w:tcBorders>
            <w:shd w:val="clear" w:color="auto" w:fill="auto"/>
            <w:vAlign w:val="center"/>
          </w:tcPr>
          <w:p w14:paraId="75E8DF0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8" w:space="0"/>
              <w:right w:val="single" w:color="auto" w:sz="4" w:space="0"/>
            </w:tcBorders>
            <w:shd w:val="clear" w:color="auto" w:fill="auto"/>
            <w:vAlign w:val="center"/>
          </w:tcPr>
          <w:p w14:paraId="435689B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8" w:space="0"/>
              <w:right w:val="single" w:color="auto" w:sz="4" w:space="0"/>
            </w:tcBorders>
            <w:shd w:val="clear" w:color="auto" w:fill="auto"/>
            <w:vAlign w:val="center"/>
          </w:tcPr>
          <w:p w14:paraId="71847D3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8" w:space="0"/>
              <w:right w:val="single" w:color="auto" w:sz="8" w:space="0"/>
            </w:tcBorders>
            <w:shd w:val="clear" w:color="auto" w:fill="auto"/>
            <w:vAlign w:val="center"/>
          </w:tcPr>
          <w:p w14:paraId="05C0543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bl>
    <w:p w14:paraId="0A6C7C43">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23BC2CA4">
      <w:pPr>
        <w:widowControl/>
        <w:spacing w:before="12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说明：</w:t>
      </w:r>
      <w:r>
        <w:rPr>
          <w:rFonts w:hint="eastAsia" w:ascii="Times New Roman" w:hAnsi="Times New Roman" w:eastAsia="仿宋_GB2312" w:cs="Times New Roman"/>
          <w:kern w:val="0"/>
          <w:szCs w:val="21"/>
          <w:lang w:val="en-US" w:eastAsia="zh-CN"/>
        </w:rPr>
        <w:t>本</w:t>
      </w:r>
      <w:r>
        <w:rPr>
          <w:rFonts w:hint="eastAsia" w:ascii="Times New Roman" w:hAnsi="Times New Roman" w:eastAsia="仿宋_GB2312" w:cs="Times New Roman"/>
          <w:kern w:val="0"/>
          <w:szCs w:val="21"/>
        </w:rPr>
        <w:t>单位没有一般公共预算财政拨款收入，也没有使用一般公共预算财政拨款支出，故本表无数据。</w:t>
      </w:r>
    </w:p>
    <w:p w14:paraId="08A50F17">
      <w:pPr>
        <w:widowControl/>
        <w:jc w:val="left"/>
        <w:rPr>
          <w:rFonts w:ascii="Times New Roman" w:hAnsi="Times New Roman" w:eastAsia="仿宋_GB2312" w:cs="Times New Roman"/>
          <w:bCs/>
          <w:kern w:val="0"/>
          <w:szCs w:val="21"/>
        </w:rPr>
      </w:pPr>
    </w:p>
    <w:p w14:paraId="7A6C7241">
      <w:pPr>
        <w:widowControl/>
        <w:jc w:val="left"/>
        <w:rPr>
          <w:rFonts w:ascii="Times New Roman" w:hAnsi="Times New Roman" w:eastAsia="仿宋_GB2312" w:cs="Times New Roman"/>
          <w:bCs/>
          <w:kern w:val="0"/>
          <w:szCs w:val="21"/>
        </w:rPr>
      </w:pPr>
      <w:r>
        <w:br w:type="page"/>
      </w:r>
    </w:p>
    <w:p w14:paraId="6D012B17">
      <w:pPr>
        <w:widowControl/>
        <w:spacing w:after="120"/>
        <w:jc w:val="center"/>
        <w:textAlignment w:val="center"/>
        <w:rPr>
          <w:rFonts w:ascii="Times New Roman" w:hAnsi="Times New Roman" w:eastAsia="黑体" w:cs="Times New Roman"/>
          <w:color w:val="000000"/>
          <w:kern w:val="0"/>
          <w:sz w:val="36"/>
          <w:szCs w:val="36"/>
        </w:rPr>
      </w:pPr>
      <w:bookmarkStart w:id="2" w:name="RANGE!A1:I34"/>
      <w:r>
        <w:rPr>
          <w:rFonts w:ascii="Times New Roman" w:hAnsi="Times New Roman" w:eastAsia="黑体" w:cs="Times New Roman"/>
          <w:color w:val="000000"/>
          <w:kern w:val="0"/>
          <w:sz w:val="36"/>
          <w:szCs w:val="36"/>
        </w:rPr>
        <w:t>一般公共预算财政拨款基本支出决算明细表</w:t>
      </w:r>
      <w:bookmarkEnd w:id="2"/>
    </w:p>
    <w:p w14:paraId="65F5BD7D">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Cs w:val="21"/>
          <w:lang w:val="en-US" w:eastAsia="zh-CN"/>
        </w:rPr>
        <w:t>怀化市公共资源交易中心</w:t>
      </w:r>
      <w:r>
        <w:rPr>
          <w:rFonts w:ascii="Times New Roman" w:hAnsi="Times New Roman" w:eastAsia="仿宋_GB2312" w:cs="Times New Roman"/>
          <w:color w:val="000000"/>
          <w:kern w:val="0"/>
          <w:szCs w:val="21"/>
        </w:rPr>
        <w:t xml:space="preserve">                                                                                               公开06表</w:t>
      </w:r>
    </w:p>
    <w:p w14:paraId="690ABF11">
      <w:pPr>
        <w:widowControl/>
        <w:spacing w:line="240" w:lineRule="exact"/>
        <w:jc w:val="right"/>
        <w:rPr>
          <w:rFonts w:ascii="Times New Roman" w:hAnsi="Times New Roman" w:eastAsia="华文中宋" w:cs="Times New Roman"/>
          <w:color w:val="000000"/>
          <w:kern w:val="0"/>
          <w:szCs w:val="32"/>
        </w:rPr>
      </w:pP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单位：万元</w:t>
      </w:r>
    </w:p>
    <w:tbl>
      <w:tblPr>
        <w:tblStyle w:val="8"/>
        <w:tblW w:w="14627" w:type="dxa"/>
        <w:jc w:val="center"/>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14:paraId="31177022">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193322D8">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14:paraId="7AD1384E">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14:paraId="668FF2E2">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14:paraId="429CFCD3">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14:paraId="56FCF788">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14:paraId="2DFFEFE0">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62526ECA">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735068AE">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225FFAC9">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0379447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C341F9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noWrap/>
            <w:vAlign w:val="center"/>
          </w:tcPr>
          <w:p w14:paraId="509283B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66" w:type="dxa"/>
            <w:tcBorders>
              <w:top w:val="nil"/>
              <w:left w:val="nil"/>
              <w:bottom w:val="single" w:color="auto" w:sz="4" w:space="0"/>
              <w:right w:val="single" w:color="auto" w:sz="4" w:space="0"/>
            </w:tcBorders>
            <w:shd w:val="clear" w:color="auto" w:fill="auto"/>
            <w:noWrap/>
            <w:vAlign w:val="center"/>
          </w:tcPr>
          <w:p w14:paraId="769F4F8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287F614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14:paraId="76745C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14:paraId="132DD35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746F012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14:paraId="07DC0A3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14:paraId="261708A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EEB287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C6B44E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noWrap/>
            <w:vAlign w:val="center"/>
          </w:tcPr>
          <w:p w14:paraId="5004899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966" w:type="dxa"/>
            <w:tcBorders>
              <w:top w:val="nil"/>
              <w:left w:val="nil"/>
              <w:bottom w:val="single" w:color="auto" w:sz="4" w:space="0"/>
              <w:right w:val="single" w:color="auto" w:sz="4" w:space="0"/>
            </w:tcBorders>
            <w:shd w:val="clear" w:color="auto" w:fill="auto"/>
            <w:noWrap/>
            <w:vAlign w:val="center"/>
          </w:tcPr>
          <w:p w14:paraId="1EAE7E6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794BD0C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14:paraId="0567343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14:paraId="1F65713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68DF0E1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14:paraId="3106D42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14:paraId="5501578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AD527F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5CF2CF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noWrap/>
            <w:vAlign w:val="center"/>
          </w:tcPr>
          <w:p w14:paraId="00DD56A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966" w:type="dxa"/>
            <w:tcBorders>
              <w:top w:val="nil"/>
              <w:left w:val="nil"/>
              <w:bottom w:val="single" w:color="auto" w:sz="4" w:space="0"/>
              <w:right w:val="single" w:color="auto" w:sz="4" w:space="0"/>
            </w:tcBorders>
            <w:shd w:val="clear" w:color="auto" w:fill="auto"/>
            <w:noWrap/>
            <w:vAlign w:val="center"/>
          </w:tcPr>
          <w:p w14:paraId="6D11BC2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1CF86EC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14:paraId="6C1146E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14:paraId="65AA023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662B8C9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14:paraId="53E106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14:paraId="071699B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E6E5A7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682E15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noWrap/>
            <w:vAlign w:val="center"/>
          </w:tcPr>
          <w:p w14:paraId="38E8B08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966" w:type="dxa"/>
            <w:tcBorders>
              <w:top w:val="nil"/>
              <w:left w:val="nil"/>
              <w:bottom w:val="single" w:color="auto" w:sz="4" w:space="0"/>
              <w:right w:val="single" w:color="auto" w:sz="4" w:space="0"/>
            </w:tcBorders>
            <w:shd w:val="clear" w:color="auto" w:fill="auto"/>
            <w:noWrap/>
            <w:vAlign w:val="center"/>
          </w:tcPr>
          <w:p w14:paraId="5074ED1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22AB650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14:paraId="1B72FC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14:paraId="5F433E1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7C9D0C2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14:paraId="4493CA8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14:paraId="5EF54C1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BFC4F3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E624E8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noWrap/>
            <w:vAlign w:val="center"/>
          </w:tcPr>
          <w:p w14:paraId="53CCAFE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966" w:type="dxa"/>
            <w:tcBorders>
              <w:top w:val="nil"/>
              <w:left w:val="nil"/>
              <w:bottom w:val="single" w:color="auto" w:sz="4" w:space="0"/>
              <w:right w:val="single" w:color="auto" w:sz="4" w:space="0"/>
            </w:tcBorders>
            <w:shd w:val="clear" w:color="auto" w:fill="auto"/>
            <w:noWrap/>
            <w:vAlign w:val="center"/>
          </w:tcPr>
          <w:p w14:paraId="6C541AD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738309E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14:paraId="5DC011E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14:paraId="7EC517A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2CBA3C4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14:paraId="729DC1B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14:paraId="7D55461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245D73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6D6E69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noWrap/>
            <w:vAlign w:val="center"/>
          </w:tcPr>
          <w:p w14:paraId="09CD44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966" w:type="dxa"/>
            <w:tcBorders>
              <w:top w:val="nil"/>
              <w:left w:val="nil"/>
              <w:bottom w:val="single" w:color="auto" w:sz="4" w:space="0"/>
              <w:right w:val="single" w:color="auto" w:sz="4" w:space="0"/>
            </w:tcBorders>
            <w:shd w:val="clear" w:color="auto" w:fill="auto"/>
            <w:noWrap/>
            <w:vAlign w:val="center"/>
          </w:tcPr>
          <w:p w14:paraId="53433D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72979D0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14:paraId="41FB2B1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14:paraId="796EB4B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1D355F7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14:paraId="7BC0DCC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14:paraId="6F34A86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1F59C6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8B5C67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noWrap/>
            <w:vAlign w:val="center"/>
          </w:tcPr>
          <w:p w14:paraId="0D2415A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966" w:type="dxa"/>
            <w:tcBorders>
              <w:top w:val="nil"/>
              <w:left w:val="nil"/>
              <w:bottom w:val="single" w:color="auto" w:sz="4" w:space="0"/>
              <w:right w:val="single" w:color="auto" w:sz="4" w:space="0"/>
            </w:tcBorders>
            <w:shd w:val="clear" w:color="auto" w:fill="auto"/>
            <w:noWrap/>
            <w:vAlign w:val="center"/>
          </w:tcPr>
          <w:p w14:paraId="6577C46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5A122D4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14:paraId="6638C4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14:paraId="105BFA5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0345F32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14:paraId="09F740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14:paraId="550F045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F41022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F96EC3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noWrap/>
            <w:vAlign w:val="center"/>
          </w:tcPr>
          <w:p w14:paraId="391D336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966" w:type="dxa"/>
            <w:tcBorders>
              <w:top w:val="nil"/>
              <w:left w:val="nil"/>
              <w:bottom w:val="single" w:color="auto" w:sz="4" w:space="0"/>
              <w:right w:val="single" w:color="auto" w:sz="4" w:space="0"/>
            </w:tcBorders>
            <w:shd w:val="clear" w:color="auto" w:fill="auto"/>
            <w:noWrap/>
            <w:vAlign w:val="center"/>
          </w:tcPr>
          <w:p w14:paraId="62A1807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34A0885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14:paraId="551F695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14:paraId="4F67376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2116D9E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14:paraId="358F21B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14:paraId="74EED9D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A5764C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2A1999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noWrap/>
            <w:vAlign w:val="center"/>
          </w:tcPr>
          <w:p w14:paraId="005F0EB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966" w:type="dxa"/>
            <w:tcBorders>
              <w:top w:val="nil"/>
              <w:left w:val="nil"/>
              <w:bottom w:val="single" w:color="auto" w:sz="4" w:space="0"/>
              <w:right w:val="single" w:color="auto" w:sz="4" w:space="0"/>
            </w:tcBorders>
            <w:shd w:val="clear" w:color="auto" w:fill="auto"/>
            <w:noWrap/>
            <w:vAlign w:val="center"/>
          </w:tcPr>
          <w:p w14:paraId="516AAB7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7852A32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14:paraId="15F72B4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14:paraId="62312A0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3DC33AA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14:paraId="3138E77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14:paraId="449B5F9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C72E1A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2841A6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noWrap/>
            <w:vAlign w:val="center"/>
          </w:tcPr>
          <w:p w14:paraId="510D37C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966" w:type="dxa"/>
            <w:tcBorders>
              <w:top w:val="nil"/>
              <w:left w:val="nil"/>
              <w:bottom w:val="single" w:color="auto" w:sz="4" w:space="0"/>
              <w:right w:val="single" w:color="auto" w:sz="4" w:space="0"/>
            </w:tcBorders>
            <w:shd w:val="clear" w:color="auto" w:fill="auto"/>
            <w:noWrap/>
            <w:vAlign w:val="center"/>
          </w:tcPr>
          <w:p w14:paraId="443A048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41D2B82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14:paraId="7056B38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14:paraId="13B0A89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538F126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14:paraId="11C9C8C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14:paraId="0648EE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BCF2C7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85BE69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noWrap/>
            <w:vAlign w:val="center"/>
          </w:tcPr>
          <w:p w14:paraId="18AEA46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966" w:type="dxa"/>
            <w:tcBorders>
              <w:top w:val="nil"/>
              <w:left w:val="nil"/>
              <w:bottom w:val="single" w:color="auto" w:sz="4" w:space="0"/>
              <w:right w:val="single" w:color="auto" w:sz="4" w:space="0"/>
            </w:tcBorders>
            <w:shd w:val="clear" w:color="auto" w:fill="auto"/>
            <w:noWrap/>
            <w:vAlign w:val="center"/>
          </w:tcPr>
          <w:p w14:paraId="78112B2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4B670E5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14:paraId="2E45DE1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14:paraId="30DCFD3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0E2B5CC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14:paraId="377906E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14:paraId="081A803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914F7E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6A2121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noWrap/>
            <w:vAlign w:val="center"/>
          </w:tcPr>
          <w:p w14:paraId="31FCD33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966" w:type="dxa"/>
            <w:tcBorders>
              <w:top w:val="nil"/>
              <w:left w:val="nil"/>
              <w:bottom w:val="single" w:color="auto" w:sz="4" w:space="0"/>
              <w:right w:val="single" w:color="auto" w:sz="4" w:space="0"/>
            </w:tcBorders>
            <w:shd w:val="clear" w:color="auto" w:fill="auto"/>
            <w:noWrap/>
            <w:vAlign w:val="center"/>
          </w:tcPr>
          <w:p w14:paraId="31C1D26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6BA2FD7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14:paraId="4CABEB1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14:paraId="4E8EB73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6CFAA1E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14:paraId="1DB9421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14:paraId="6743C92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858D84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FD07C9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noWrap/>
            <w:vAlign w:val="center"/>
          </w:tcPr>
          <w:p w14:paraId="2023358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966" w:type="dxa"/>
            <w:tcBorders>
              <w:top w:val="nil"/>
              <w:left w:val="nil"/>
              <w:bottom w:val="single" w:color="auto" w:sz="4" w:space="0"/>
              <w:right w:val="single" w:color="auto" w:sz="4" w:space="0"/>
            </w:tcBorders>
            <w:shd w:val="clear" w:color="auto" w:fill="auto"/>
            <w:noWrap/>
            <w:vAlign w:val="center"/>
          </w:tcPr>
          <w:p w14:paraId="635C5F7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68E9231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14:paraId="460CF54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14:paraId="45D2809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74B8E1A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14:paraId="0D6DACD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14:paraId="1F5A5D2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91298E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441E87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noWrap/>
            <w:vAlign w:val="center"/>
          </w:tcPr>
          <w:p w14:paraId="29A03BE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966" w:type="dxa"/>
            <w:tcBorders>
              <w:top w:val="nil"/>
              <w:left w:val="nil"/>
              <w:bottom w:val="single" w:color="auto" w:sz="4" w:space="0"/>
              <w:right w:val="single" w:color="auto" w:sz="4" w:space="0"/>
            </w:tcBorders>
            <w:shd w:val="clear" w:color="auto" w:fill="auto"/>
            <w:noWrap/>
            <w:vAlign w:val="center"/>
          </w:tcPr>
          <w:p w14:paraId="13DEFBE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04B5658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14:paraId="03E961A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14:paraId="7DC20C2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45966C8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14:paraId="58396CD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14:paraId="5AB557A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4BC034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674BB7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noWrap/>
            <w:vAlign w:val="center"/>
          </w:tcPr>
          <w:p w14:paraId="351F75E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7F3997E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5D8ED63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14:paraId="3FAC33A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14:paraId="429363F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3C87830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14:paraId="19D9B40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14:paraId="12732C7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579EC4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7DBEE5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noWrap/>
            <w:vAlign w:val="center"/>
          </w:tcPr>
          <w:p w14:paraId="587BC9A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966" w:type="dxa"/>
            <w:tcBorders>
              <w:top w:val="nil"/>
              <w:left w:val="nil"/>
              <w:bottom w:val="single" w:color="auto" w:sz="4" w:space="0"/>
              <w:right w:val="single" w:color="auto" w:sz="4" w:space="0"/>
            </w:tcBorders>
            <w:shd w:val="clear" w:color="auto" w:fill="auto"/>
            <w:noWrap/>
            <w:vAlign w:val="center"/>
          </w:tcPr>
          <w:p w14:paraId="5E9072D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44F9163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14:paraId="71B83D3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14:paraId="5CA610A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2F7A755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14:paraId="0B992D6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14:paraId="4FB6CAE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DA0027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BCB67E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noWrap/>
            <w:vAlign w:val="center"/>
          </w:tcPr>
          <w:p w14:paraId="614D7F6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966" w:type="dxa"/>
            <w:tcBorders>
              <w:top w:val="nil"/>
              <w:left w:val="nil"/>
              <w:bottom w:val="single" w:color="auto" w:sz="4" w:space="0"/>
              <w:right w:val="single" w:color="auto" w:sz="4" w:space="0"/>
            </w:tcBorders>
            <w:shd w:val="clear" w:color="auto" w:fill="auto"/>
            <w:noWrap/>
            <w:vAlign w:val="center"/>
          </w:tcPr>
          <w:p w14:paraId="498C036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78D1D07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14:paraId="4ECCE41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14:paraId="4EA26DD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2BE08F9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14:paraId="68ACE3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14:paraId="7C6D87D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E3E8D0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8E2335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noWrap/>
            <w:vAlign w:val="center"/>
          </w:tcPr>
          <w:p w14:paraId="6D0B3AB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966" w:type="dxa"/>
            <w:tcBorders>
              <w:top w:val="nil"/>
              <w:left w:val="nil"/>
              <w:bottom w:val="single" w:color="auto" w:sz="4" w:space="0"/>
              <w:right w:val="single" w:color="auto" w:sz="4" w:space="0"/>
            </w:tcBorders>
            <w:shd w:val="clear" w:color="auto" w:fill="auto"/>
            <w:noWrap/>
            <w:vAlign w:val="center"/>
          </w:tcPr>
          <w:p w14:paraId="27C5AE9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6479D7A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14:paraId="3C2F872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14:paraId="1D1EE6D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4381F01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14:paraId="10DDAFD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14:paraId="65ED0C3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D1A17E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7BC308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noWrap/>
            <w:vAlign w:val="center"/>
          </w:tcPr>
          <w:p w14:paraId="0F0C2FE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966" w:type="dxa"/>
            <w:tcBorders>
              <w:top w:val="nil"/>
              <w:left w:val="nil"/>
              <w:bottom w:val="single" w:color="auto" w:sz="4" w:space="0"/>
              <w:right w:val="single" w:color="auto" w:sz="4" w:space="0"/>
            </w:tcBorders>
            <w:shd w:val="clear" w:color="auto" w:fill="auto"/>
            <w:noWrap/>
            <w:vAlign w:val="center"/>
          </w:tcPr>
          <w:p w14:paraId="158EC69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02CA273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14:paraId="0B7F3AA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14:paraId="06558A8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66B8CC9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14:paraId="0ED52F2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14:paraId="6B0CB4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D56B30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02AB1C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noWrap/>
            <w:vAlign w:val="center"/>
          </w:tcPr>
          <w:p w14:paraId="53B1139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966" w:type="dxa"/>
            <w:tcBorders>
              <w:top w:val="nil"/>
              <w:left w:val="nil"/>
              <w:bottom w:val="single" w:color="auto" w:sz="4" w:space="0"/>
              <w:right w:val="single" w:color="auto" w:sz="4" w:space="0"/>
            </w:tcBorders>
            <w:shd w:val="clear" w:color="auto" w:fill="auto"/>
            <w:noWrap/>
            <w:vAlign w:val="center"/>
          </w:tcPr>
          <w:p w14:paraId="1E1A11B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6364A37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14:paraId="6367A9D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14:paraId="76538F4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2C2BBB0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14:paraId="01449B8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14:paraId="1E58ABD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8FDEA3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A9EE58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noWrap/>
            <w:vAlign w:val="center"/>
          </w:tcPr>
          <w:p w14:paraId="2EA90F2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966" w:type="dxa"/>
            <w:tcBorders>
              <w:top w:val="nil"/>
              <w:left w:val="nil"/>
              <w:bottom w:val="single" w:color="auto" w:sz="4" w:space="0"/>
              <w:right w:val="single" w:color="auto" w:sz="4" w:space="0"/>
            </w:tcBorders>
            <w:shd w:val="clear" w:color="auto" w:fill="auto"/>
            <w:noWrap/>
            <w:vAlign w:val="center"/>
          </w:tcPr>
          <w:p w14:paraId="1B5358E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380F0D8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14:paraId="6BF1156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14:paraId="5505F99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1AA6FB0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14:paraId="2CF8D04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14:paraId="76D488D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6716E9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F787D9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noWrap/>
            <w:vAlign w:val="center"/>
          </w:tcPr>
          <w:p w14:paraId="25FFC18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966" w:type="dxa"/>
            <w:tcBorders>
              <w:top w:val="nil"/>
              <w:left w:val="nil"/>
              <w:bottom w:val="single" w:color="auto" w:sz="4" w:space="0"/>
              <w:right w:val="single" w:color="auto" w:sz="4" w:space="0"/>
            </w:tcBorders>
            <w:shd w:val="clear" w:color="auto" w:fill="auto"/>
            <w:noWrap/>
            <w:vAlign w:val="center"/>
          </w:tcPr>
          <w:p w14:paraId="64B0FA7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66C0FD0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14:paraId="56D6A25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14:paraId="6231D4D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7F60059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14:paraId="69C060C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14:paraId="5A3CE7B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18F99B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10DC74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noWrap/>
            <w:vAlign w:val="center"/>
          </w:tcPr>
          <w:p w14:paraId="1F099BB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966" w:type="dxa"/>
            <w:tcBorders>
              <w:top w:val="nil"/>
              <w:left w:val="nil"/>
              <w:bottom w:val="single" w:color="auto" w:sz="4" w:space="0"/>
              <w:right w:val="single" w:color="auto" w:sz="4" w:space="0"/>
            </w:tcBorders>
            <w:shd w:val="clear" w:color="auto" w:fill="auto"/>
            <w:noWrap/>
            <w:vAlign w:val="center"/>
          </w:tcPr>
          <w:p w14:paraId="78C4D94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503F4B5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14:paraId="217D70C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14:paraId="6CB11C9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65E0ABD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14:paraId="5D6EA20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14:paraId="16C823A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467DE0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AC2BCB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noWrap/>
            <w:vAlign w:val="center"/>
          </w:tcPr>
          <w:p w14:paraId="70129F6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966" w:type="dxa"/>
            <w:tcBorders>
              <w:top w:val="nil"/>
              <w:left w:val="nil"/>
              <w:bottom w:val="single" w:color="auto" w:sz="4" w:space="0"/>
              <w:right w:val="single" w:color="auto" w:sz="4" w:space="0"/>
            </w:tcBorders>
            <w:shd w:val="clear" w:color="auto" w:fill="auto"/>
            <w:noWrap/>
            <w:vAlign w:val="center"/>
          </w:tcPr>
          <w:p w14:paraId="63213F3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4108A07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14:paraId="1DCB576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14:paraId="7EA1A67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44A4A13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14:paraId="2AAB53E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14:paraId="1BDF89C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14:paraId="39B350C2">
            <w:pPr>
              <w:widowControl/>
              <w:jc w:val="left"/>
              <w:rPr>
                <w:rFonts w:ascii="Times New Roman" w:hAnsi="Times New Roman" w:eastAsia="仿宋_GB2312" w:cs="Times New Roman"/>
                <w:color w:val="000000"/>
                <w:kern w:val="0"/>
                <w:szCs w:val="20"/>
              </w:rPr>
            </w:pPr>
          </w:p>
          <w:tbl>
            <w:tblPr>
              <w:tblStyle w:val="8"/>
              <w:tblW w:w="3946" w:type="dxa"/>
              <w:tblInd w:w="0" w:type="dxa"/>
              <w:tblLayout w:type="fixed"/>
              <w:tblCellMar>
                <w:top w:w="0" w:type="dxa"/>
                <w:left w:w="108" w:type="dxa"/>
                <w:bottom w:w="0" w:type="dxa"/>
                <w:right w:w="108" w:type="dxa"/>
              </w:tblCellMar>
            </w:tblPr>
            <w:tblGrid>
              <w:gridCol w:w="3946"/>
            </w:tblGrid>
            <w:tr w14:paraId="6E4C3DFF">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46031">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经常性赠与</w:t>
                  </w:r>
                </w:p>
              </w:tc>
            </w:tr>
            <w:tr w14:paraId="3F7C7FED">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881F1">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资本性赠与</w:t>
                  </w:r>
                </w:p>
              </w:tc>
            </w:tr>
          </w:tbl>
          <w:p w14:paraId="6ABE882B">
            <w:pPr>
              <w:widowControl/>
              <w:jc w:val="left"/>
              <w:rPr>
                <w:rFonts w:ascii="Times New Roman" w:hAnsi="Times New Roman" w:eastAsia="仿宋_GB2312" w:cs="Times New Roman"/>
                <w:color w:val="000000"/>
                <w:kern w:val="0"/>
                <w:szCs w:val="20"/>
              </w:rPr>
            </w:pPr>
          </w:p>
          <w:tbl>
            <w:tblPr>
              <w:tblStyle w:val="8"/>
              <w:tblW w:w="3946" w:type="dxa"/>
              <w:tblInd w:w="0" w:type="dxa"/>
              <w:tblLayout w:type="fixed"/>
              <w:tblCellMar>
                <w:top w:w="0" w:type="dxa"/>
                <w:left w:w="108" w:type="dxa"/>
                <w:bottom w:w="0" w:type="dxa"/>
                <w:right w:w="108" w:type="dxa"/>
              </w:tblCellMar>
            </w:tblPr>
            <w:tblGrid>
              <w:gridCol w:w="3946"/>
            </w:tblGrid>
            <w:tr w14:paraId="34B9D4EF">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CD978">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经常性赠与</w:t>
                  </w:r>
                </w:p>
              </w:tc>
            </w:tr>
            <w:tr w14:paraId="461C5657">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2F9BC">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资本性赠与</w:t>
                  </w:r>
                </w:p>
              </w:tc>
            </w:tr>
          </w:tbl>
          <w:p w14:paraId="4B5E2012">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14:paraId="566BD4B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66E144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AB239E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noWrap/>
            <w:vAlign w:val="center"/>
          </w:tcPr>
          <w:p w14:paraId="7C47B5F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966" w:type="dxa"/>
            <w:tcBorders>
              <w:top w:val="nil"/>
              <w:left w:val="nil"/>
              <w:bottom w:val="single" w:color="auto" w:sz="4" w:space="0"/>
              <w:right w:val="single" w:color="auto" w:sz="4" w:space="0"/>
            </w:tcBorders>
            <w:shd w:val="clear" w:color="auto" w:fill="auto"/>
            <w:noWrap/>
            <w:vAlign w:val="center"/>
          </w:tcPr>
          <w:p w14:paraId="05FCB68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76B95B8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14:paraId="1701FC6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14:paraId="69ADCF2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6FEF62F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14:paraId="5DDFCEC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14:paraId="171A07B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C37165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7E70F1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noWrap/>
            <w:vAlign w:val="center"/>
          </w:tcPr>
          <w:p w14:paraId="49EE19E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966" w:type="dxa"/>
            <w:tcBorders>
              <w:top w:val="nil"/>
              <w:left w:val="nil"/>
              <w:bottom w:val="single" w:color="auto" w:sz="4" w:space="0"/>
              <w:right w:val="single" w:color="auto" w:sz="4" w:space="0"/>
            </w:tcBorders>
            <w:shd w:val="clear" w:color="auto" w:fill="auto"/>
            <w:noWrap/>
            <w:vAlign w:val="center"/>
          </w:tcPr>
          <w:p w14:paraId="2415B26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058EDDD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14:paraId="3641FFD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14:paraId="4B9F155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6AEEB2B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14:paraId="5ADD73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14:paraId="5CF5794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16E885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B986BB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noWrap/>
            <w:vAlign w:val="center"/>
          </w:tcPr>
          <w:p w14:paraId="6D3BB57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3D870B0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5A0BA29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14:paraId="6BAB60B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14:paraId="69EEED7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3C5547B5">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008566E8">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4F4ED24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626B8D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08DA95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noWrap/>
            <w:vAlign w:val="center"/>
          </w:tcPr>
          <w:p w14:paraId="1854E03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66" w:type="dxa"/>
            <w:tcBorders>
              <w:top w:val="nil"/>
              <w:left w:val="nil"/>
              <w:bottom w:val="single" w:color="auto" w:sz="4" w:space="0"/>
              <w:right w:val="single" w:color="auto" w:sz="4" w:space="0"/>
            </w:tcBorders>
            <w:shd w:val="clear" w:color="auto" w:fill="auto"/>
            <w:noWrap/>
            <w:vAlign w:val="center"/>
          </w:tcPr>
          <w:p w14:paraId="5E7282A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40870E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14:paraId="0738A87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center"/>
          </w:tcPr>
          <w:p w14:paraId="3652253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3391F55F">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5BB40693">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5C4263B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579CCD0">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AF37FD3">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966" w:type="dxa"/>
            <w:tcBorders>
              <w:top w:val="nil"/>
              <w:left w:val="nil"/>
              <w:bottom w:val="single" w:color="auto" w:sz="4" w:space="0"/>
              <w:right w:val="single" w:color="auto" w:sz="4" w:space="0"/>
            </w:tcBorders>
            <w:shd w:val="clear" w:color="auto" w:fill="auto"/>
            <w:noWrap/>
            <w:vAlign w:val="center"/>
          </w:tcPr>
          <w:p w14:paraId="397BECB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14:paraId="27EEA795">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noWrap/>
            <w:vAlign w:val="center"/>
          </w:tcPr>
          <w:p w14:paraId="6007B3A9">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r>
    </w:tbl>
    <w:p w14:paraId="36159E04">
      <w:pPr>
        <w:widowControl/>
        <w:jc w:val="left"/>
        <w:rPr>
          <w:rFonts w:ascii="Times New Roman" w:hAnsi="Times New Roman" w:eastAsia="仿宋_GB2312" w:cs="Times New Roman"/>
          <w:color w:val="000000"/>
          <w:kern w:val="0"/>
          <w:szCs w:val="24"/>
        </w:rPr>
      </w:pPr>
      <w:r>
        <w:rPr>
          <w:rFonts w:hint="eastAsia" w:ascii="Times New Roman" w:hAnsi="Times New Roman" w:eastAsia="仿宋_GB2312" w:cs="Times New Roman"/>
          <w:color w:val="000000"/>
          <w:kern w:val="0"/>
          <w:szCs w:val="24"/>
        </w:rPr>
        <w:t>说明</w:t>
      </w:r>
      <w:r>
        <w:rPr>
          <w:rFonts w:ascii="Times New Roman" w:hAnsi="Times New Roman" w:eastAsia="仿宋_GB2312" w:cs="Times New Roman"/>
          <w:color w:val="000000"/>
          <w:kern w:val="0"/>
          <w:szCs w:val="24"/>
        </w:rPr>
        <w:t>：</w:t>
      </w:r>
      <w:r>
        <w:rPr>
          <w:rFonts w:hint="eastAsia" w:ascii="Times New Roman" w:hAnsi="Times New Roman" w:eastAsia="仿宋_GB2312" w:cs="Times New Roman"/>
          <w:color w:val="000000"/>
          <w:kern w:val="0"/>
          <w:szCs w:val="24"/>
          <w:lang w:val="en-US" w:eastAsia="zh-CN"/>
        </w:rPr>
        <w:t>本</w:t>
      </w:r>
      <w:r>
        <w:rPr>
          <w:rFonts w:hint="eastAsia" w:ascii="Times New Roman" w:hAnsi="Times New Roman" w:eastAsia="仿宋_GB2312" w:cs="Times New Roman"/>
          <w:color w:val="000000"/>
          <w:kern w:val="0"/>
          <w:szCs w:val="24"/>
        </w:rPr>
        <w:t>单位没有一般公共预算财政拨款收入，也没有使用一般公共预算财政拨款基本支出，故本表无数据。</w:t>
      </w:r>
    </w:p>
    <w:p w14:paraId="46260309">
      <w:pPr>
        <w:pStyle w:val="2"/>
      </w:pPr>
    </w:p>
    <w:p w14:paraId="73090614">
      <w:pPr>
        <w:widowControl/>
        <w:spacing w:line="400" w:lineRule="exact"/>
        <w:jc w:val="center"/>
        <w:textAlignment w:val="center"/>
        <w:rPr>
          <w:rFonts w:ascii="Times New Roman" w:hAnsi="Times New Roman" w:eastAsia="仿宋_GB2312" w:cs="Times New Roman"/>
          <w:color w:val="000000"/>
          <w:kern w:val="0"/>
          <w:sz w:val="32"/>
          <w:szCs w:val="32"/>
        </w:rPr>
      </w:pPr>
    </w:p>
    <w:p w14:paraId="06AC7612">
      <w:pPr>
        <w:widowControl/>
        <w:spacing w:after="156"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政府性基金预算财政拨款收入支出决算表</w:t>
      </w:r>
    </w:p>
    <w:p w14:paraId="3899FF59">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公开07表</w:t>
      </w:r>
    </w:p>
    <w:p w14:paraId="2A73F7EC">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val="en-US" w:eastAsia="zh-CN"/>
        </w:rPr>
        <w:t>怀化市公共资源交易中心</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8"/>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7CA4610E">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FD9AF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项 </w:t>
            </w:r>
            <w:r>
              <w:rPr>
                <w:rStyle w:val="16"/>
                <w:rFonts w:hint="default" w:ascii="Times New Roman" w:hAnsi="Times New Roman" w:eastAsia="仿宋_GB2312" w:cs="Times New Roman"/>
                <w:b/>
                <w:bCs/>
              </w:rPr>
              <w:t xml:space="preserve">   </w:t>
            </w:r>
            <w:r>
              <w:rPr>
                <w:rStyle w:val="17"/>
                <w:rFonts w:hint="default" w:ascii="Times New Roman" w:hAnsi="Times New Roman" w:eastAsia="仿宋_GB2312" w:cs="Times New Roman"/>
                <w:b/>
                <w:bCs/>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8BC7E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159D6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3A0A9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A5D3D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年末结转和结余</w:t>
            </w:r>
          </w:p>
        </w:tc>
      </w:tr>
      <w:tr w14:paraId="38ABA09B">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81C2C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27BFB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C35FC3">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69C97D">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EB650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0C32F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46767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45532E">
            <w:pPr>
              <w:widowControl/>
              <w:jc w:val="center"/>
              <w:rPr>
                <w:rFonts w:ascii="Times New Roman" w:hAnsi="Times New Roman" w:eastAsia="仿宋_GB2312" w:cs="Times New Roman"/>
                <w:color w:val="000000"/>
                <w:sz w:val="24"/>
                <w:szCs w:val="24"/>
              </w:rPr>
            </w:pPr>
          </w:p>
        </w:tc>
      </w:tr>
      <w:tr w14:paraId="6875BBF6">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0C888">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457750">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0BAAEC">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F16AEC">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DFF9E8">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0DB583">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6C786B">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2D1E7A">
            <w:pPr>
              <w:jc w:val="center"/>
              <w:rPr>
                <w:rFonts w:ascii="Times New Roman" w:hAnsi="Times New Roman" w:eastAsia="仿宋_GB2312" w:cs="Times New Roman"/>
                <w:color w:val="000000"/>
                <w:sz w:val="24"/>
                <w:szCs w:val="24"/>
              </w:rPr>
            </w:pPr>
          </w:p>
        </w:tc>
      </w:tr>
      <w:tr w14:paraId="3D579C2A">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3E1D96">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882467">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605B56">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282C0C">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B6898B">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C49CEF">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F59E71">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73AD57">
            <w:pPr>
              <w:jc w:val="center"/>
              <w:rPr>
                <w:rFonts w:ascii="Times New Roman" w:hAnsi="Times New Roman" w:eastAsia="仿宋_GB2312" w:cs="Times New Roman"/>
                <w:color w:val="000000"/>
                <w:sz w:val="24"/>
                <w:szCs w:val="24"/>
              </w:rPr>
            </w:pPr>
          </w:p>
        </w:tc>
      </w:tr>
      <w:tr w14:paraId="050E0483">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CF20B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6E7C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1081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9EAB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B53F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6E23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FA4E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6</w:t>
            </w:r>
          </w:p>
        </w:tc>
      </w:tr>
      <w:tr w14:paraId="13E8F671">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7E78D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52E07">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EC04C">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717EC">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A1E66">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6F7F5">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1A66D">
            <w:pPr>
              <w:jc w:val="center"/>
              <w:rPr>
                <w:rFonts w:ascii="Times New Roman" w:hAnsi="Times New Roman" w:eastAsia="仿宋_GB2312" w:cs="Times New Roman"/>
                <w:color w:val="000000"/>
                <w:sz w:val="24"/>
                <w:szCs w:val="24"/>
              </w:rPr>
            </w:pPr>
          </w:p>
        </w:tc>
      </w:tr>
      <w:tr w14:paraId="7F0117CA">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81AB4">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81A63">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B206A">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47521">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3477B">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A772D">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B51EE">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9688A">
            <w:pPr>
              <w:rPr>
                <w:rFonts w:ascii="Times New Roman" w:hAnsi="Times New Roman" w:eastAsia="仿宋_GB2312" w:cs="Times New Roman"/>
                <w:color w:val="000000"/>
                <w:sz w:val="24"/>
                <w:szCs w:val="24"/>
              </w:rPr>
            </w:pPr>
          </w:p>
        </w:tc>
      </w:tr>
      <w:tr w14:paraId="6CED9E18">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E55A3">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C3D4F">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CE5C4">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D6680">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0857F">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BD842">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0675E">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25232">
            <w:pPr>
              <w:rPr>
                <w:rFonts w:ascii="Times New Roman" w:hAnsi="Times New Roman" w:eastAsia="仿宋_GB2312" w:cs="Times New Roman"/>
                <w:color w:val="000000"/>
                <w:sz w:val="24"/>
                <w:szCs w:val="24"/>
              </w:rPr>
            </w:pPr>
          </w:p>
        </w:tc>
      </w:tr>
      <w:tr w14:paraId="48733368">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89CFA">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132BD">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3EB2F">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BAA05">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E7463">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ED3F9">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1C83A">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F1747">
            <w:pPr>
              <w:rPr>
                <w:rFonts w:ascii="Times New Roman" w:hAnsi="Times New Roman" w:eastAsia="仿宋_GB2312" w:cs="Times New Roman"/>
                <w:color w:val="000000"/>
                <w:sz w:val="24"/>
                <w:szCs w:val="24"/>
              </w:rPr>
            </w:pPr>
          </w:p>
        </w:tc>
      </w:tr>
      <w:tr w14:paraId="264E67F2">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EA310">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4174C">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15768">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C9B64">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2AE59">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84E18">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324A9">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22FD7">
            <w:pPr>
              <w:rPr>
                <w:rFonts w:ascii="Times New Roman" w:hAnsi="Times New Roman" w:eastAsia="仿宋_GB2312" w:cs="Times New Roman"/>
                <w:color w:val="000000"/>
                <w:sz w:val="24"/>
                <w:szCs w:val="24"/>
              </w:rPr>
            </w:pPr>
          </w:p>
        </w:tc>
      </w:tr>
      <w:tr w14:paraId="671ED29A">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FD73F">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20791">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A8E34">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09369">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0D8D9">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96252">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1821F">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6EB2A">
            <w:pPr>
              <w:rPr>
                <w:rFonts w:ascii="Times New Roman" w:hAnsi="Times New Roman" w:eastAsia="仿宋_GB2312" w:cs="Times New Roman"/>
                <w:color w:val="000000"/>
                <w:sz w:val="24"/>
                <w:szCs w:val="24"/>
              </w:rPr>
            </w:pPr>
          </w:p>
        </w:tc>
      </w:tr>
      <w:tr w14:paraId="43A66465">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407F3">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AF846">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C9399">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20F35">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8A4D3">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9A49B">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A7FBB">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A919D">
            <w:pPr>
              <w:rPr>
                <w:rFonts w:ascii="Times New Roman" w:hAnsi="Times New Roman" w:eastAsia="仿宋_GB2312" w:cs="Times New Roman"/>
                <w:color w:val="000000"/>
                <w:sz w:val="24"/>
                <w:szCs w:val="24"/>
              </w:rPr>
            </w:pPr>
          </w:p>
        </w:tc>
      </w:tr>
    </w:tbl>
    <w:p w14:paraId="4FCB5B8D">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注：本表反映部门本年度政府性基金预算财政拨款收入、支出及结转和结余情况。</w:t>
      </w:r>
    </w:p>
    <w:p w14:paraId="16BF0023">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说明：</w:t>
      </w:r>
      <w:r>
        <w:rPr>
          <w:rFonts w:hint="eastAsia" w:ascii="Times New Roman" w:hAnsi="Times New Roman" w:eastAsia="仿宋_GB2312" w:cs="Times New Roman"/>
          <w:color w:val="000000"/>
          <w:kern w:val="0"/>
          <w:sz w:val="24"/>
          <w:szCs w:val="24"/>
          <w:lang w:val="en-US" w:eastAsia="zh-CN"/>
        </w:rPr>
        <w:t>本</w:t>
      </w:r>
      <w:r>
        <w:rPr>
          <w:rFonts w:ascii="Times New Roman" w:hAnsi="Times New Roman" w:eastAsia="仿宋_GB2312" w:cs="Times New Roman"/>
          <w:color w:val="000000"/>
          <w:kern w:val="0"/>
          <w:sz w:val="24"/>
          <w:szCs w:val="24"/>
        </w:rPr>
        <w:t>单位没有政府性基金收入，也没有使用政府性基金安排的支出，故本表无数据。</w:t>
      </w:r>
    </w:p>
    <w:p w14:paraId="64B0699B">
      <w:pPr>
        <w:widowControl/>
        <w:jc w:val="center"/>
        <w:rPr>
          <w:rFonts w:ascii="Times New Roman" w:hAnsi="Times New Roman" w:eastAsia="方正小标宋_GBK" w:cs="Times New Roman"/>
          <w:color w:val="000000"/>
          <w:kern w:val="0"/>
          <w:sz w:val="36"/>
          <w:szCs w:val="36"/>
        </w:rPr>
      </w:pPr>
    </w:p>
    <w:p w14:paraId="55A3FD33">
      <w:pPr>
        <w:widowControl/>
        <w:spacing w:line="400" w:lineRule="exact"/>
        <w:textAlignment w:val="center"/>
        <w:rPr>
          <w:rFonts w:ascii="Times New Roman" w:hAnsi="Times New Roman" w:eastAsia="黑体" w:cs="Times New Roman"/>
          <w:color w:val="000000"/>
          <w:kern w:val="0"/>
          <w:sz w:val="36"/>
          <w:szCs w:val="36"/>
        </w:rPr>
      </w:pPr>
    </w:p>
    <w:p w14:paraId="5F02CD09">
      <w:pPr>
        <w:widowControl/>
        <w:spacing w:after="156"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国有资本经营预算财政拨款支出决算表</w:t>
      </w:r>
    </w:p>
    <w:p w14:paraId="6C4895FB">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公开08表</w:t>
      </w:r>
    </w:p>
    <w:p w14:paraId="08F542C2">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val="en-US" w:eastAsia="zh-CN"/>
        </w:rPr>
        <w:t>怀化市公共资源交易中心</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8"/>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14:paraId="5C5F4E9F">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8F83A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项 </w:t>
            </w:r>
            <w:r>
              <w:rPr>
                <w:rFonts w:ascii="Times New Roman" w:hAnsi="Times New Roman" w:eastAsia="仿宋_GB2312" w:cs="Times New Roman"/>
                <w:b/>
                <w:bCs/>
                <w:color w:val="000000"/>
                <w:kern w:val="0"/>
                <w:sz w:val="22"/>
              </w:rPr>
              <w:t xml:space="preserve">   </w:t>
            </w:r>
            <w:r>
              <w:rPr>
                <w:rStyle w:val="18"/>
                <w:rFonts w:hint="default" w:ascii="Times New Roman" w:hAnsi="Times New Roman" w:eastAsia="仿宋_GB2312" w:cs="Times New Roman"/>
                <w:b/>
                <w:bCs/>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1D62E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r>
      <w:tr w14:paraId="64FB8AA8">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39D3C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2A599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5816B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C6C2C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FFA04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r>
      <w:tr w14:paraId="2F955FB1">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45086C">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680AE1">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FD7198">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28FB12">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AB110A">
            <w:pPr>
              <w:jc w:val="center"/>
              <w:rPr>
                <w:rFonts w:ascii="Times New Roman" w:hAnsi="Times New Roman" w:eastAsia="仿宋_GB2312" w:cs="Times New Roman"/>
                <w:color w:val="000000"/>
                <w:sz w:val="24"/>
                <w:szCs w:val="24"/>
              </w:rPr>
            </w:pPr>
          </w:p>
        </w:tc>
      </w:tr>
      <w:tr w14:paraId="7A1662DA">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0D22CD">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856978">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CD8222">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47F068">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7C042">
            <w:pPr>
              <w:jc w:val="center"/>
              <w:rPr>
                <w:rFonts w:ascii="Times New Roman" w:hAnsi="Times New Roman" w:eastAsia="仿宋_GB2312" w:cs="Times New Roman"/>
                <w:color w:val="000000"/>
                <w:sz w:val="24"/>
                <w:szCs w:val="24"/>
              </w:rPr>
            </w:pPr>
          </w:p>
        </w:tc>
      </w:tr>
      <w:tr w14:paraId="14F3B712">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2AD45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881E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5B1F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48D7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r>
      <w:tr w14:paraId="141C956A">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4E0A9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92B5A">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F5584">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37541">
            <w:pPr>
              <w:jc w:val="center"/>
              <w:rPr>
                <w:rFonts w:ascii="Times New Roman" w:hAnsi="Times New Roman" w:eastAsia="仿宋_GB2312" w:cs="Times New Roman"/>
                <w:color w:val="000000"/>
                <w:sz w:val="24"/>
                <w:szCs w:val="24"/>
              </w:rPr>
            </w:pPr>
          </w:p>
        </w:tc>
      </w:tr>
      <w:tr w14:paraId="538AA765">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9AFF1">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93A06">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D015E">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AB386">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CB0C9">
            <w:pPr>
              <w:rPr>
                <w:rFonts w:ascii="Times New Roman" w:hAnsi="Times New Roman" w:eastAsia="仿宋_GB2312" w:cs="Times New Roman"/>
                <w:color w:val="000000"/>
                <w:sz w:val="24"/>
                <w:szCs w:val="24"/>
              </w:rPr>
            </w:pPr>
          </w:p>
        </w:tc>
      </w:tr>
      <w:tr w14:paraId="265BB198">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ECE10">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DC51D">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52D1D">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5F49E">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D32CD">
            <w:pPr>
              <w:rPr>
                <w:rFonts w:ascii="Times New Roman" w:hAnsi="Times New Roman" w:eastAsia="仿宋_GB2312" w:cs="Times New Roman"/>
                <w:color w:val="000000"/>
                <w:sz w:val="24"/>
                <w:szCs w:val="24"/>
              </w:rPr>
            </w:pPr>
          </w:p>
        </w:tc>
      </w:tr>
      <w:tr w14:paraId="08375AA8">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354B1">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0F92B">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29BCD">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8D753">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D30D5">
            <w:pPr>
              <w:rPr>
                <w:rFonts w:ascii="Times New Roman" w:hAnsi="Times New Roman" w:eastAsia="宋体" w:cs="Times New Roman"/>
                <w:color w:val="000000"/>
                <w:sz w:val="24"/>
                <w:szCs w:val="24"/>
              </w:rPr>
            </w:pPr>
          </w:p>
        </w:tc>
      </w:tr>
      <w:tr w14:paraId="7BE22CB5">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9CBD8">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2BAB4">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CBCF1">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679C0">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0956A">
            <w:pPr>
              <w:rPr>
                <w:rFonts w:ascii="Times New Roman" w:hAnsi="Times New Roman" w:eastAsia="宋体" w:cs="Times New Roman"/>
                <w:color w:val="000000"/>
                <w:sz w:val="24"/>
                <w:szCs w:val="24"/>
              </w:rPr>
            </w:pPr>
          </w:p>
        </w:tc>
      </w:tr>
      <w:tr w14:paraId="0094FDC5">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B5C76">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9562F">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AAE65">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7B8D7">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0CABC">
            <w:pPr>
              <w:rPr>
                <w:rFonts w:ascii="Times New Roman" w:hAnsi="Times New Roman" w:eastAsia="宋体" w:cs="Times New Roman"/>
                <w:color w:val="000000"/>
                <w:sz w:val="24"/>
                <w:szCs w:val="24"/>
              </w:rPr>
            </w:pPr>
          </w:p>
        </w:tc>
      </w:tr>
      <w:tr w14:paraId="104F33E4">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7B8E6">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EE8C1">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FE022">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E0033">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DD10B">
            <w:pPr>
              <w:rPr>
                <w:rFonts w:ascii="Times New Roman" w:hAnsi="Times New Roman" w:eastAsia="宋体" w:cs="Times New Roman"/>
                <w:color w:val="000000"/>
                <w:sz w:val="24"/>
                <w:szCs w:val="24"/>
              </w:rPr>
            </w:pPr>
          </w:p>
        </w:tc>
      </w:tr>
    </w:tbl>
    <w:p w14:paraId="615E9DEF">
      <w:pPr>
        <w:widowControl/>
        <w:spacing w:before="120"/>
        <w:jc w:val="left"/>
        <w:textAlignment w:val="center"/>
        <w:rPr>
          <w:rFonts w:ascii="Times New Roman" w:hAnsi="Times New Roman" w:eastAsia="宋体" w:cs="Times New Roman"/>
          <w:color w:val="000000"/>
          <w:kern w:val="0"/>
          <w:sz w:val="24"/>
          <w:szCs w:val="24"/>
        </w:rPr>
      </w:pPr>
      <w:r>
        <w:rPr>
          <w:rFonts w:ascii="Times New Roman" w:hAnsi="Times New Roman" w:eastAsia="仿宋_GB2312" w:cs="Times New Roman"/>
          <w:color w:val="000000"/>
          <w:kern w:val="0"/>
          <w:sz w:val="24"/>
          <w:szCs w:val="24"/>
        </w:rPr>
        <w:t>注：本表反映部门本年度国有资本经营预算财政拨款支出情况。</w:t>
      </w:r>
    </w:p>
    <w:p w14:paraId="609E391F">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说明：</w:t>
      </w:r>
      <w:r>
        <w:rPr>
          <w:rFonts w:hint="eastAsia" w:ascii="Times New Roman" w:hAnsi="Times New Roman" w:eastAsia="仿宋_GB2312" w:cs="Times New Roman"/>
          <w:color w:val="000000"/>
          <w:kern w:val="0"/>
          <w:sz w:val="24"/>
          <w:szCs w:val="24"/>
          <w:lang w:val="en-US" w:eastAsia="zh-CN"/>
        </w:rPr>
        <w:t>本</w:t>
      </w:r>
      <w:r>
        <w:rPr>
          <w:rFonts w:ascii="Times New Roman" w:hAnsi="Times New Roman" w:eastAsia="仿宋_GB2312" w:cs="Times New Roman"/>
          <w:color w:val="000000"/>
          <w:kern w:val="0"/>
          <w:sz w:val="24"/>
          <w:szCs w:val="24"/>
        </w:rPr>
        <w:t>单位没有使用国有资本经营预算安排的支出，故本表无数据。</w:t>
      </w:r>
    </w:p>
    <w:p w14:paraId="047B21EE">
      <w:pPr>
        <w:widowControl/>
        <w:jc w:val="center"/>
        <w:rPr>
          <w:rFonts w:ascii="Times New Roman" w:hAnsi="Times New Roman" w:eastAsia="方正小标宋_GBK" w:cs="Times New Roman"/>
          <w:color w:val="000000"/>
          <w:kern w:val="0"/>
          <w:sz w:val="36"/>
          <w:szCs w:val="36"/>
        </w:rPr>
      </w:pPr>
    </w:p>
    <w:p w14:paraId="700C1EDF">
      <w:pPr>
        <w:pStyle w:val="2"/>
        <w:spacing w:line="400" w:lineRule="exact"/>
        <w:rPr>
          <w:rFonts w:ascii="Times New Roman" w:hAnsi="Times New Roman" w:eastAsia="华文中宋" w:cs="Times New Roman"/>
          <w:color w:val="000000"/>
          <w:kern w:val="0"/>
          <w:sz w:val="32"/>
          <w:szCs w:val="32"/>
        </w:rPr>
      </w:pPr>
    </w:p>
    <w:p w14:paraId="75E48C80">
      <w:pPr>
        <w:widowControl/>
        <w:spacing w:after="156"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财政拨款“三公”经费支出决算表</w:t>
      </w:r>
    </w:p>
    <w:p w14:paraId="33EF4F5D">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公开09表</w:t>
      </w:r>
    </w:p>
    <w:p w14:paraId="6AE07C15">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rPr>
        <w:t>部门：</w:t>
      </w:r>
      <w:r>
        <w:rPr>
          <w:rFonts w:hint="eastAsia" w:ascii="Times New Roman" w:hAnsi="Times New Roman" w:eastAsia="楷体_GB2312" w:cs="Times New Roman"/>
          <w:color w:val="000000"/>
          <w:kern w:val="0"/>
          <w:sz w:val="20"/>
          <w:szCs w:val="20"/>
          <w:lang w:val="en-US" w:eastAsia="zh-CN"/>
        </w:rPr>
        <w:t>怀化市公共资源交易中心</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hint="eastAsia" w:ascii="Times New Roman" w:hAnsi="Times New Roman" w:eastAsia="楷体_GB2312" w:cs="Times New Roman"/>
          <w:color w:val="000000"/>
          <w:sz w:val="20"/>
          <w:szCs w:val="20"/>
          <w:lang w:val="en-US" w:eastAsia="zh-CN"/>
        </w:rPr>
        <w:t xml:space="preserve">    </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单位：万元</w:t>
      </w:r>
    </w:p>
    <w:tbl>
      <w:tblPr>
        <w:tblStyle w:val="8"/>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14:paraId="241EA3AD">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F8A6A2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56BB73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决算数</w:t>
            </w:r>
          </w:p>
        </w:tc>
      </w:tr>
      <w:tr w14:paraId="68C198D1">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6ACBD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C30D6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A302C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19E54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54904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2D82E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D02F4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200A3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r>
      <w:tr w14:paraId="63209F7F">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6586A9">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53D2ED">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491C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6D32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3761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DC56DE">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3E5F39">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AC7727">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4AC7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DCE9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8A4A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5ABF72">
            <w:pPr>
              <w:jc w:val="center"/>
              <w:rPr>
                <w:rFonts w:ascii="Times New Roman" w:hAnsi="Times New Roman" w:eastAsia="仿宋_GB2312" w:cs="Times New Roman"/>
                <w:color w:val="000000"/>
                <w:sz w:val="22"/>
              </w:rPr>
            </w:pPr>
          </w:p>
        </w:tc>
      </w:tr>
      <w:tr w14:paraId="02047D6F">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EAB9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16C1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D353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AB61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374F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3A36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FC0C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182F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6BAE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B3CF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7B67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CD70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r>
      <w:tr w14:paraId="64468F23">
        <w:tblPrEx>
          <w:tblCellMar>
            <w:top w:w="0" w:type="dxa"/>
            <w:left w:w="108" w:type="dxa"/>
            <w:bottom w:w="0" w:type="dxa"/>
            <w:right w:w="108" w:type="dxa"/>
          </w:tblCellMar>
        </w:tblPrEx>
        <w:trPr>
          <w:trHeight w:val="579"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43CD4">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6.00</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B6B74">
            <w:pPr>
              <w:jc w:val="right"/>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D9827">
            <w:pPr>
              <w:jc w:val="right"/>
              <w:rPr>
                <w:rFonts w:ascii="Times New Roman" w:hAnsi="Times New Roman" w:eastAsia="仿宋_GB2312" w:cs="Times New Roman"/>
                <w:color w:val="000000"/>
                <w:sz w:val="22"/>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2A624">
            <w:pPr>
              <w:jc w:val="right"/>
              <w:rPr>
                <w:rFonts w:ascii="Times New Roman" w:hAnsi="Times New Roman" w:eastAsia="仿宋_GB2312" w:cs="Times New Roman"/>
                <w:color w:val="000000"/>
                <w:sz w:val="22"/>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D0BFF">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5.00</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C54E3">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1.00</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CCBD7">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lang w:val="en-US" w:eastAsia="zh-CN"/>
              </w:rPr>
              <w:t>2.51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FF370">
            <w:pPr>
              <w:jc w:val="right"/>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486C2">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2.21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75270">
            <w:pPr>
              <w:rPr>
                <w:rFonts w:ascii="Times New Roman" w:hAnsi="Times New Roman" w:eastAsia="仿宋_GB2312" w:cs="Times New Roman"/>
                <w:color w:val="000000"/>
                <w:sz w:val="22"/>
              </w:rPr>
            </w:pP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EE1E2">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2.21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19C5F">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0.30</w:t>
            </w:r>
          </w:p>
        </w:tc>
      </w:tr>
    </w:tbl>
    <w:p w14:paraId="6475F74E">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p w14:paraId="62240576">
      <w:pPr>
        <w:widowControl/>
        <w:spacing w:before="120"/>
        <w:jc w:val="left"/>
        <w:textAlignment w:val="center"/>
        <w:rPr>
          <w:rFonts w:ascii="Times New Roman" w:hAnsi="Times New Roman" w:eastAsia="仿宋_GB2312" w:cs="Times New Roman"/>
          <w:color w:val="000000"/>
          <w:kern w:val="0"/>
          <w:sz w:val="24"/>
          <w:szCs w:val="24"/>
        </w:rPr>
      </w:pPr>
    </w:p>
    <w:p w14:paraId="2855E219">
      <w:pPr>
        <w:widowControl/>
        <w:spacing w:before="120"/>
        <w:jc w:val="left"/>
        <w:textAlignment w:val="center"/>
        <w:rPr>
          <w:rFonts w:ascii="Times New Roman" w:hAnsi="Times New Roman" w:eastAsia="仿宋_GB2312" w:cs="Times New Roman"/>
          <w:color w:val="000000"/>
          <w:kern w:val="0"/>
          <w:sz w:val="24"/>
          <w:szCs w:val="24"/>
        </w:rPr>
      </w:pPr>
    </w:p>
    <w:p w14:paraId="4CFC8FDF">
      <w:pPr>
        <w:autoSpaceDE w:val="0"/>
        <w:autoSpaceDN w:val="0"/>
        <w:adjustRightInd w:val="0"/>
        <w:ind w:left="315" w:leftChars="150"/>
        <w:jc w:val="left"/>
        <w:rPr>
          <w:rFonts w:ascii="Times New Roman" w:hAnsi="Times New Roman" w:eastAsia="宋体" w:cs="Times New Roman"/>
          <w:kern w:val="0"/>
          <w:sz w:val="24"/>
          <w:szCs w:val="24"/>
        </w:rPr>
      </w:pPr>
    </w:p>
    <w:p w14:paraId="420CE2EC">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br w:type="page"/>
      </w:r>
    </w:p>
    <w:p w14:paraId="194B2660">
      <w:pPr>
        <w:pStyle w:val="13"/>
        <w:rPr>
          <w:rFonts w:ascii="Times New Roman" w:hAnsi="Times New Roman" w:cs="Times New Roman"/>
          <w:sz w:val="72"/>
          <w:szCs w:val="72"/>
        </w:rPr>
      </w:pPr>
    </w:p>
    <w:p w14:paraId="4644ADB7">
      <w:pPr>
        <w:pStyle w:val="13"/>
        <w:rPr>
          <w:rFonts w:ascii="Times New Roman" w:hAnsi="Times New Roman" w:cs="Times New Roman"/>
          <w:sz w:val="72"/>
          <w:szCs w:val="72"/>
        </w:rPr>
      </w:pPr>
    </w:p>
    <w:p w14:paraId="1F6722E2">
      <w:pPr>
        <w:pStyle w:val="13"/>
        <w:rPr>
          <w:rFonts w:ascii="Times New Roman" w:hAnsi="Times New Roman" w:cs="Times New Roman"/>
          <w:sz w:val="72"/>
          <w:szCs w:val="72"/>
        </w:rPr>
      </w:pPr>
    </w:p>
    <w:p w14:paraId="62D0A559">
      <w:pPr>
        <w:pStyle w:val="13"/>
        <w:jc w:val="center"/>
        <w:rPr>
          <w:rFonts w:ascii="Times New Roman" w:hAnsi="Times New Roman" w:cs="Times New Roman"/>
          <w:sz w:val="72"/>
          <w:szCs w:val="72"/>
        </w:rPr>
      </w:pPr>
    </w:p>
    <w:p w14:paraId="73E9ECAA">
      <w:pPr>
        <w:pStyle w:val="13"/>
        <w:jc w:val="center"/>
        <w:rPr>
          <w:rFonts w:ascii="Times New Roman" w:hAnsi="Times New Roman" w:eastAsia="方正小标宋_GBK" w:cs="Times New Roman"/>
          <w:sz w:val="72"/>
          <w:szCs w:val="72"/>
        </w:rPr>
      </w:pPr>
    </w:p>
    <w:p w14:paraId="1076768E">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1D6E9C9E">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53CB794A">
      <w:pPr>
        <w:widowControl/>
        <w:jc w:val="left"/>
        <w:rPr>
          <w:rFonts w:ascii="Times New Roman" w:hAnsi="Times New Roman" w:cs="Times New Roman"/>
          <w:sz w:val="32"/>
          <w:szCs w:val="32"/>
        </w:rPr>
      </w:pPr>
      <w:r>
        <w:br w:type="page"/>
      </w:r>
    </w:p>
    <w:p w14:paraId="496C0A7B">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4F1CCC89">
      <w:pPr>
        <w:pStyle w:val="13"/>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rPr>
        <w:t>2215.95</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381.74</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20.81</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增加了支付</w:t>
      </w:r>
      <w:r>
        <w:rPr>
          <w:rFonts w:hint="eastAsia" w:ascii="Times New Roman" w:hAnsi="Times New Roman" w:eastAsia="仿宋_GB2312" w:cs="Times New Roman"/>
          <w:sz w:val="32"/>
          <w:szCs w:val="32"/>
          <w:highlight w:val="none"/>
        </w:rPr>
        <w:t>湖南省公共资源交易信息化平台“六统一”建设项目</w:t>
      </w:r>
      <w:r>
        <w:rPr>
          <w:rFonts w:hint="eastAsia" w:ascii="Times New Roman" w:hAnsi="Times New Roman" w:eastAsia="仿宋_GB2312" w:cs="Times New Roman"/>
          <w:sz w:val="32"/>
          <w:szCs w:val="32"/>
          <w:highlight w:val="none"/>
          <w:lang w:eastAsia="zh-CN"/>
        </w:rPr>
        <w:t>的</w:t>
      </w:r>
      <w:r>
        <w:rPr>
          <w:rFonts w:hint="eastAsia" w:ascii="Times New Roman" w:hAnsi="Times New Roman" w:eastAsia="仿宋_GB2312" w:cs="Times New Roman"/>
          <w:sz w:val="32"/>
          <w:szCs w:val="32"/>
          <w:highlight w:val="none"/>
          <w:lang w:val="en-US" w:eastAsia="zh-CN"/>
        </w:rPr>
        <w:t>资金</w:t>
      </w:r>
      <w:r>
        <w:rPr>
          <w:rFonts w:hint="eastAsia" w:ascii="Times New Roman" w:hAnsi="Times New Roman" w:eastAsia="仿宋_GB2312" w:cs="Times New Roman"/>
          <w:sz w:val="32"/>
          <w:szCs w:val="32"/>
          <w:highlight w:val="none"/>
        </w:rPr>
        <w:t>。</w:t>
      </w:r>
    </w:p>
    <w:p w14:paraId="15C05C20">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053FF83B">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rPr>
        <w:t>2215.95</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rPr>
        <w:t>2215.95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44CDEFA2">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50A8338F">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rPr>
        <w:t>2215.95</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1264.03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57.04</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rPr>
        <w:t>951.93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42.96</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40F3F3A6">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26859A4C">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万元，与上年相比</w:t>
      </w:r>
      <w:r>
        <w:rPr>
          <w:rFonts w:hint="eastAsia" w:ascii="Times New Roman" w:hAnsi="Times New Roman" w:eastAsia="仿宋_GB2312" w:cs="Times New Roman"/>
          <w:sz w:val="32"/>
          <w:szCs w:val="32"/>
          <w:lang w:val="en-US" w:eastAsia="zh-CN"/>
        </w:rPr>
        <w:t>无变动</w:t>
      </w:r>
      <w:r>
        <w:rPr>
          <w:rFonts w:hint="eastAsia" w:ascii="Times New Roman" w:hAnsi="Times New Roman" w:eastAsia="仿宋_GB2312" w:cs="Times New Roman"/>
          <w:sz w:val="32"/>
          <w:szCs w:val="32"/>
          <w:lang w:eastAsia="zh-CN"/>
        </w:rPr>
        <w:t>。</w:t>
      </w:r>
    </w:p>
    <w:p w14:paraId="5B08F43A">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14378A19">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3331B87C">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w:t>
      </w:r>
      <w:r>
        <w:rPr>
          <w:rFonts w:hint="eastAsia" w:ascii="Times New Roman" w:hAnsi="Times New Roman" w:eastAsia="仿宋_GB2312" w:cs="Times New Roman"/>
          <w:sz w:val="32"/>
          <w:szCs w:val="32"/>
          <w:lang w:val="en-US" w:eastAsia="zh-CN"/>
        </w:rPr>
        <w:t>无变动。</w:t>
      </w:r>
    </w:p>
    <w:p w14:paraId="4A7A9856">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3B8F6DA0">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rPr>
        <w:t>年度本单位无一般公共财政预算拨款，因此无一般公共预算财政拨款支出。</w:t>
      </w:r>
    </w:p>
    <w:p w14:paraId="321A1077">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4688DEFB">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55997B75">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4EFB391D">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rPr>
        <w:t>年度本单位无一般公共预算财政拨款基本支出拨款收入，也没有使用一般公共预算财政拨款基本支出拨款安排的支出</w:t>
      </w:r>
      <w:r>
        <w:rPr>
          <w:rFonts w:ascii="Times New Roman" w:hAnsi="Times New Roman" w:eastAsia="仿宋_GB2312" w:cs="Times New Roman"/>
          <w:sz w:val="32"/>
          <w:szCs w:val="32"/>
        </w:rPr>
        <w:t>，其中：</w:t>
      </w:r>
    </w:p>
    <w:p w14:paraId="444A2CA1">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18824F7C">
      <w:pPr>
        <w:pStyle w:val="13"/>
        <w:overflowPunct w:val="0"/>
        <w:autoSpaceDE/>
        <w:autoSpaceDN/>
        <w:spacing w:line="600" w:lineRule="exact"/>
        <w:ind w:firstLine="640" w:firstLineChars="200"/>
        <w:jc w:val="both"/>
        <w:rPr>
          <w:rFonts w:hint="eastAsia" w:ascii="Times New Roman" w:hAnsi="Times New Roman" w:eastAsia="仿宋_GB2312" w:cs="Times New Roman"/>
          <w:b/>
          <w:sz w:val="32"/>
          <w:szCs w:val="32"/>
          <w:lang w:val="en-US" w:eastAsia="zh-CN"/>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6E7D90BF">
      <w:pPr>
        <w:pStyle w:val="13"/>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14:paraId="5B15640D">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3D4084BC">
      <w:pPr>
        <w:pStyle w:val="13"/>
        <w:overflowPunct w:val="0"/>
        <w:autoSpaceDE/>
        <w:autoSpaceDN/>
        <w:spacing w:line="600" w:lineRule="exact"/>
        <w:ind w:firstLine="640" w:firstLineChars="200"/>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2.51</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41.83</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1.5</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37.41%</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highlight w:val="none"/>
        </w:rPr>
        <w:t>厉行勤俭节约</w:t>
      </w:r>
      <w:r>
        <w:rPr>
          <w:rFonts w:ascii="Times New Roman" w:hAnsi="Times New Roman" w:eastAsia="仿宋_GB2312" w:cs="Times New Roman"/>
          <w:sz w:val="32"/>
          <w:szCs w:val="32"/>
          <w:highlight w:val="none"/>
        </w:rPr>
        <w:t>。决算数小于上年数的主要原因是</w:t>
      </w:r>
      <w:r>
        <w:rPr>
          <w:rFonts w:hint="eastAsia" w:ascii="Times New Roman" w:hAnsi="Times New Roman" w:eastAsia="仿宋_GB2312"/>
          <w:sz w:val="32"/>
          <w:szCs w:val="32"/>
          <w:highlight w:val="none"/>
        </w:rPr>
        <w:t>压缩“三公”经费，厉行勤俭节约</w:t>
      </w:r>
      <w:r>
        <w:rPr>
          <w:rFonts w:ascii="Times New Roman" w:hAnsi="Times New Roman" w:eastAsia="仿宋_GB2312" w:cs="Times New Roman"/>
          <w:sz w:val="32"/>
          <w:szCs w:val="32"/>
          <w:highlight w:val="none"/>
        </w:rPr>
        <w:t>。</w:t>
      </w:r>
    </w:p>
    <w:p w14:paraId="046C8C5D">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309D3796">
      <w:pPr>
        <w:pStyle w:val="13"/>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eastAsia="zh-CN"/>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w:t>
      </w:r>
      <w:r>
        <w:rPr>
          <w:rFonts w:hint="eastAsia" w:ascii="Times New Roman" w:hAnsi="Times New Roman" w:eastAsia="仿宋_GB2312" w:cs="Times New Roman"/>
          <w:sz w:val="32"/>
          <w:szCs w:val="32"/>
          <w:lang w:val="en-US" w:eastAsia="zh-CN"/>
        </w:rPr>
        <w:t>无变动</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w:t>
      </w:r>
      <w:r>
        <w:rPr>
          <w:rFonts w:hint="eastAsia" w:ascii="Times New Roman" w:hAnsi="Times New Roman" w:eastAsia="仿宋_GB2312" w:cs="Times New Roman"/>
          <w:sz w:val="32"/>
          <w:szCs w:val="32"/>
          <w:lang w:eastAsia="zh-CN"/>
        </w:rPr>
        <w:t>。</w:t>
      </w:r>
    </w:p>
    <w:p w14:paraId="57F1A95B">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2.21</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44.20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1.09</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33.03%</w:t>
      </w:r>
      <w:r>
        <w:rPr>
          <w:rFonts w:ascii="Times New Roman" w:hAnsi="Times New Roman" w:eastAsia="仿宋_GB2312" w:cs="Times New Roman"/>
          <w:sz w:val="32"/>
          <w:szCs w:val="32"/>
        </w:rPr>
        <w:t>。其中：</w:t>
      </w:r>
    </w:p>
    <w:p w14:paraId="11D068AE">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w:t>
      </w:r>
      <w:r>
        <w:rPr>
          <w:rFonts w:hint="eastAsia" w:ascii="Times New Roman" w:hAnsi="Times New Roman" w:eastAsia="仿宋_GB2312" w:cs="Times New Roman"/>
          <w:sz w:val="32"/>
          <w:szCs w:val="32"/>
          <w:lang w:val="en-US" w:eastAsia="zh-CN"/>
        </w:rPr>
        <w:t>无变动。</w:t>
      </w:r>
    </w:p>
    <w:p w14:paraId="7C0020D4">
      <w:pPr>
        <w:pStyle w:val="13"/>
        <w:overflowPunct w:val="0"/>
        <w:autoSpaceDE/>
        <w:autoSpaceDN/>
        <w:spacing w:line="600" w:lineRule="exact"/>
        <w:ind w:firstLine="640" w:firstLineChars="200"/>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2.21</w:t>
      </w:r>
      <w:r>
        <w:rPr>
          <w:rFonts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val="en-US" w:eastAsia="zh-CN"/>
        </w:rPr>
        <w:t>车辆年检费0.06万元、维修及保养费用1.15万元、车辆油料费1万元</w:t>
      </w:r>
      <w:r>
        <w:rPr>
          <w:rFonts w:ascii="Times New Roman" w:hAnsi="Times New Roman" w:eastAsia="仿宋_GB2312" w:cs="Times New Roman"/>
          <w:sz w:val="32"/>
          <w:szCs w:val="32"/>
        </w:rPr>
        <w:t>支出，完成预算的</w:t>
      </w:r>
      <w:r>
        <w:rPr>
          <w:rFonts w:hint="eastAsia" w:ascii="Times New Roman" w:hAnsi="Times New Roman" w:eastAsia="仿宋_GB2312" w:cs="Times New Roman"/>
          <w:sz w:val="32"/>
          <w:szCs w:val="32"/>
          <w:lang w:val="en-US" w:eastAsia="zh-CN"/>
        </w:rPr>
        <w:t>44.20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1.09</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33.03%</w:t>
      </w:r>
      <w:r>
        <w:rPr>
          <w:rFonts w:ascii="Times New Roman" w:hAnsi="Times New Roman" w:eastAsia="仿宋_GB2312" w:cs="Times New Roman"/>
          <w:sz w:val="32"/>
          <w:szCs w:val="32"/>
        </w:rPr>
        <w:t>。决算数小于预</w:t>
      </w:r>
      <w:r>
        <w:rPr>
          <w:rFonts w:ascii="Times New Roman" w:hAnsi="Times New Roman" w:eastAsia="仿宋_GB2312" w:cs="Times New Roman"/>
          <w:sz w:val="32"/>
          <w:szCs w:val="32"/>
          <w:highlight w:val="none"/>
        </w:rPr>
        <w:t>算数的主要原因是</w:t>
      </w:r>
      <w:r>
        <w:rPr>
          <w:rFonts w:hint="eastAsia" w:ascii="Times New Roman" w:hAnsi="Times New Roman" w:eastAsia="仿宋_GB2312" w:cs="Times New Roman"/>
          <w:sz w:val="32"/>
          <w:szCs w:val="32"/>
          <w:highlight w:val="none"/>
        </w:rPr>
        <w:t>厉行勤俭节约</w:t>
      </w:r>
      <w:r>
        <w:rPr>
          <w:rFonts w:ascii="Times New Roman" w:hAnsi="Times New Roman" w:eastAsia="仿宋_GB2312" w:cs="Times New Roman"/>
          <w:sz w:val="32"/>
          <w:szCs w:val="32"/>
          <w:highlight w:val="none"/>
        </w:rPr>
        <w:t>。决算数小于上年数的主要原因是</w:t>
      </w:r>
      <w:r>
        <w:rPr>
          <w:rFonts w:hint="eastAsia" w:ascii="Times New Roman" w:hAnsi="Times New Roman" w:eastAsia="仿宋_GB2312" w:cs="Times New Roman"/>
          <w:sz w:val="32"/>
          <w:szCs w:val="32"/>
          <w:highlight w:val="none"/>
        </w:rPr>
        <w:t>压缩“三公”经费，厉行勤俭节约</w:t>
      </w:r>
      <w:r>
        <w:rPr>
          <w:rFonts w:ascii="Times New Roman" w:hAnsi="Times New Roman" w:eastAsia="仿宋_GB2312" w:cs="Times New Roman"/>
          <w:sz w:val="32"/>
          <w:szCs w:val="32"/>
          <w:highlight w:val="none"/>
        </w:rPr>
        <w:t>。截止2024年12月31日，</w:t>
      </w:r>
      <w:r>
        <w:rPr>
          <w:rFonts w:hint="eastAsia" w:ascii="Times New Roman" w:hAnsi="Times New Roman" w:eastAsia="仿宋_GB2312" w:cs="Times New Roman"/>
          <w:sz w:val="32"/>
          <w:szCs w:val="32"/>
          <w:highlight w:val="none"/>
          <w:lang w:val="en-US" w:eastAsia="zh-CN"/>
        </w:rPr>
        <w:t>本</w:t>
      </w:r>
      <w:r>
        <w:rPr>
          <w:rFonts w:ascii="Times New Roman" w:hAnsi="Times New Roman" w:eastAsia="仿宋_GB2312" w:cs="Times New Roman"/>
          <w:sz w:val="32"/>
          <w:szCs w:val="32"/>
          <w:highlight w:val="none"/>
        </w:rPr>
        <w:t>单位开支财政拨款的公务用车保有量为</w:t>
      </w:r>
      <w:r>
        <w:rPr>
          <w:rFonts w:hint="eastAsia" w:ascii="Times New Roman" w:hAnsi="Times New Roman" w:eastAsia="仿宋_GB2312" w:cs="Times New Roman"/>
          <w:sz w:val="32"/>
          <w:szCs w:val="32"/>
          <w:highlight w:val="none"/>
          <w:lang w:val="en-US" w:eastAsia="zh-CN"/>
        </w:rPr>
        <w:t>1</w:t>
      </w:r>
      <w:r>
        <w:rPr>
          <w:rFonts w:ascii="Times New Roman" w:hAnsi="Times New Roman" w:eastAsia="仿宋_GB2312" w:cs="Times New Roman"/>
          <w:sz w:val="32"/>
          <w:szCs w:val="32"/>
          <w:highlight w:val="none"/>
        </w:rPr>
        <w:t>辆。</w:t>
      </w:r>
    </w:p>
    <w:p w14:paraId="48928353">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0.3</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30.00</w:t>
      </w:r>
      <w:r>
        <w:rPr>
          <w:rFonts w:ascii="Times New Roman" w:hAnsi="Times New Roman" w:eastAsia="仿宋_GB2312" w:cs="Times New Roman"/>
          <w:sz w:val="32"/>
          <w:szCs w:val="32"/>
        </w:rPr>
        <w:t>%；与上年相比</w:t>
      </w:r>
      <w:r>
        <w:rPr>
          <w:rFonts w:hint="eastAsia" w:ascii="Times New Roman" w:hAnsi="Times New Roman" w:eastAsia="仿宋_GB2312" w:cs="Times New Roman"/>
          <w:sz w:val="32"/>
          <w:szCs w:val="32"/>
          <w:lang w:val="en-US" w:eastAsia="zh-CN"/>
        </w:rPr>
        <w:t>减少0.41</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降低57.75</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highlight w:val="none"/>
          <w:lang w:val="en-US" w:eastAsia="zh-CN"/>
        </w:rPr>
        <w:t>本年度来访团数量较少</w:t>
      </w:r>
      <w:r>
        <w:rPr>
          <w:rFonts w:ascii="Times New Roman" w:hAnsi="Times New Roman" w:eastAsia="仿宋_GB2312" w:cs="Times New Roman"/>
          <w:sz w:val="32"/>
          <w:szCs w:val="32"/>
          <w:highlight w:val="none"/>
        </w:rPr>
        <w:t>。决算数</w:t>
      </w:r>
      <w:r>
        <w:rPr>
          <w:rFonts w:hint="eastAsia" w:ascii="Times New Roman" w:hAnsi="Times New Roman" w:eastAsia="仿宋_GB2312" w:cs="Times New Roman"/>
          <w:sz w:val="32"/>
          <w:szCs w:val="32"/>
          <w:highlight w:val="none"/>
          <w:lang w:val="en-US" w:eastAsia="zh-CN"/>
        </w:rPr>
        <w:t>小于</w:t>
      </w:r>
      <w:r>
        <w:rPr>
          <w:rFonts w:ascii="Times New Roman" w:hAnsi="Times New Roman" w:eastAsia="仿宋_GB2312" w:cs="Times New Roman"/>
          <w:sz w:val="32"/>
          <w:szCs w:val="32"/>
          <w:highlight w:val="none"/>
        </w:rPr>
        <w:t>上年数的主要原因是</w:t>
      </w:r>
      <w:r>
        <w:rPr>
          <w:rFonts w:hint="eastAsia" w:ascii="Times New Roman" w:hAnsi="Times New Roman" w:eastAsia="仿宋_GB2312" w:cs="Times New Roman"/>
          <w:sz w:val="32"/>
          <w:szCs w:val="32"/>
          <w:highlight w:val="none"/>
          <w:lang w:val="en-US" w:eastAsia="zh-CN"/>
        </w:rPr>
        <w:t>本年度来访团数量减少</w:t>
      </w:r>
      <w:r>
        <w:rPr>
          <w:rFonts w:ascii="Times New Roman" w:hAnsi="Times New Roman" w:eastAsia="仿宋_GB2312" w:cs="Times New Roman"/>
          <w:sz w:val="32"/>
          <w:szCs w:val="32"/>
          <w:highlight w:val="none"/>
        </w:rPr>
        <w:t>。2024年度共接待来访团组</w:t>
      </w:r>
      <w:r>
        <w:rPr>
          <w:rFonts w:hint="eastAsia" w:ascii="Times New Roman" w:hAnsi="Times New Roman" w:eastAsia="仿宋_GB2312" w:cs="Times New Roman"/>
          <w:sz w:val="32"/>
          <w:szCs w:val="32"/>
          <w:highlight w:val="none"/>
          <w:lang w:val="en-US" w:eastAsia="zh-CN"/>
        </w:rPr>
        <w:t>3</w:t>
      </w:r>
      <w:r>
        <w:rPr>
          <w:rFonts w:ascii="Times New Roman" w:hAnsi="Times New Roman" w:eastAsia="仿宋_GB2312" w:cs="Times New Roman"/>
          <w:sz w:val="32"/>
          <w:szCs w:val="32"/>
          <w:highlight w:val="none"/>
        </w:rPr>
        <w:t>个、来宾</w:t>
      </w:r>
      <w:r>
        <w:rPr>
          <w:rFonts w:hint="eastAsia" w:ascii="Times New Roman" w:hAnsi="Times New Roman" w:eastAsia="仿宋_GB2312" w:cs="Times New Roman"/>
          <w:sz w:val="32"/>
          <w:szCs w:val="32"/>
          <w:highlight w:val="none"/>
          <w:lang w:val="en-US" w:eastAsia="zh-CN"/>
        </w:rPr>
        <w:t>21</w:t>
      </w:r>
      <w:r>
        <w:rPr>
          <w:rFonts w:ascii="Times New Roman" w:hAnsi="Times New Roman" w:eastAsia="仿宋_GB2312" w:cs="Times New Roman"/>
          <w:sz w:val="32"/>
          <w:szCs w:val="32"/>
          <w:highlight w:val="none"/>
        </w:rPr>
        <w:t>人次</w:t>
      </w:r>
      <w:r>
        <w:rPr>
          <w:rFonts w:hint="eastAsia" w:ascii="Times New Roman" w:hAnsi="Times New Roman" w:eastAsia="仿宋_GB2312" w:cs="Times New Roman"/>
          <w:sz w:val="32"/>
          <w:szCs w:val="32"/>
          <w:highlight w:val="none"/>
          <w:lang w:eastAsia="zh-CN"/>
        </w:rPr>
        <w:t>，</w:t>
      </w:r>
      <w:r>
        <w:rPr>
          <w:rFonts w:ascii="Times New Roman" w:hAnsi="Times New Roman" w:eastAsia="仿宋_GB2312" w:cs="Times New Roman"/>
          <w:sz w:val="32"/>
          <w:szCs w:val="32"/>
          <w:highlight w:val="none"/>
        </w:rPr>
        <w:t>发生的接待支出主</w:t>
      </w:r>
      <w:r>
        <w:rPr>
          <w:rFonts w:ascii="Times New Roman" w:hAnsi="Times New Roman" w:eastAsia="仿宋_GB2312" w:cs="Times New Roman"/>
          <w:sz w:val="32"/>
          <w:szCs w:val="32"/>
        </w:rPr>
        <w:t>要是</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衡阳市公共资源交易中心</w:t>
      </w:r>
      <w:r>
        <w:rPr>
          <w:rFonts w:hint="eastAsia" w:ascii="Times New Roman" w:hAnsi="Times New Roman" w:eastAsia="仿宋_GB2312" w:cs="Times New Roman"/>
          <w:sz w:val="32"/>
          <w:szCs w:val="32"/>
          <w:lang w:val="en-US" w:eastAsia="zh-CN"/>
        </w:rPr>
        <w:t>6人次，来我单位学习考察；深渡苗族乡人民政府7人次，来我单位汇报交流；湘潭市公共资源交易中心8人次，来我单位学习交流。</w:t>
      </w:r>
    </w:p>
    <w:p w14:paraId="09233FF4">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66C177B9">
      <w:pPr>
        <w:pStyle w:val="13"/>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本单位没有政府性基金收入，也没有使用政府性基金安排的支出。</w:t>
      </w:r>
    </w:p>
    <w:p w14:paraId="3B5ED788">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14:paraId="5CB1B286">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主要原因是：本部门不属于行政单位和参照公务员管理事业单位。</w:t>
      </w:r>
    </w:p>
    <w:p w14:paraId="31CF4D34">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14:paraId="55682AAF">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2024年本部门</w:t>
      </w:r>
      <w:r>
        <w:rPr>
          <w:rFonts w:hint="eastAsia" w:ascii="Times New Roman" w:hAnsi="Times New Roman" w:eastAsia="仿宋_GB2312" w:cs="Times New Roman"/>
          <w:sz w:val="32"/>
          <w:szCs w:val="32"/>
          <w:lang w:val="en-US" w:eastAsia="zh-CN"/>
        </w:rPr>
        <w:t>无</w:t>
      </w:r>
      <w:r>
        <w:rPr>
          <w:rFonts w:ascii="Times New Roman" w:hAnsi="Times New Roman" w:eastAsia="仿宋_GB2312" w:cs="Times New Roman"/>
          <w:sz w:val="32"/>
          <w:szCs w:val="32"/>
        </w:rPr>
        <w:t>会议费</w:t>
      </w:r>
      <w:r>
        <w:rPr>
          <w:rFonts w:hint="eastAsia" w:ascii="Times New Roman" w:hAnsi="Times New Roman" w:eastAsia="仿宋_GB2312" w:cs="Times New Roman"/>
          <w:sz w:val="32"/>
          <w:szCs w:val="32"/>
          <w:lang w:val="en-US" w:eastAsia="zh-CN"/>
        </w:rPr>
        <w:t>支出</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开支培训费</w:t>
      </w:r>
      <w:r>
        <w:rPr>
          <w:rFonts w:hint="eastAsia" w:ascii="Times New Roman" w:hAnsi="Times New Roman" w:eastAsia="仿宋_GB2312" w:cs="Times New Roman"/>
          <w:sz w:val="32"/>
          <w:szCs w:val="32"/>
          <w:lang w:val="en-US" w:eastAsia="zh-CN"/>
        </w:rPr>
        <w:t>1.38</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用于开展</w:t>
      </w:r>
      <w:r>
        <w:rPr>
          <w:rFonts w:hint="eastAsia" w:ascii="Times New Roman" w:hAnsi="Times New Roman" w:eastAsia="仿宋_GB2312" w:cs="Times New Roman"/>
          <w:sz w:val="32"/>
          <w:szCs w:val="32"/>
        </w:rPr>
        <w:t>事业单位</w:t>
      </w:r>
      <w:r>
        <w:rPr>
          <w:rFonts w:hint="eastAsia" w:ascii="Times New Roman" w:hAnsi="Times New Roman" w:eastAsia="仿宋_GB2312" w:cs="Times New Roman"/>
          <w:sz w:val="32"/>
          <w:szCs w:val="32"/>
          <w:lang w:eastAsia="zh-CN"/>
        </w:rPr>
        <w:t>工作人员</w:t>
      </w:r>
      <w:r>
        <w:rPr>
          <w:rFonts w:ascii="Times New Roman" w:hAnsi="Times New Roman" w:eastAsia="仿宋_GB2312" w:cs="Times New Roman"/>
          <w:sz w:val="32"/>
          <w:szCs w:val="32"/>
        </w:rPr>
        <w:t>培训，人数</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人</w:t>
      </w:r>
      <w:r>
        <w:rPr>
          <w:rFonts w:hint="eastAsia" w:ascii="Times New Roman" w:hAnsi="Times New Roman" w:eastAsia="仿宋_GB2312" w:cs="Times New Roman"/>
          <w:sz w:val="32"/>
          <w:szCs w:val="32"/>
          <w:lang w:eastAsia="zh-CN"/>
        </w:rPr>
        <w:t>，培训费</w:t>
      </w:r>
      <w:r>
        <w:rPr>
          <w:rFonts w:hint="eastAsia" w:ascii="Times New Roman" w:hAnsi="Times New Roman" w:eastAsia="仿宋_GB2312" w:cs="Times New Roman"/>
          <w:sz w:val="32"/>
          <w:szCs w:val="32"/>
          <w:lang w:val="en-US" w:eastAsia="zh-CN"/>
        </w:rPr>
        <w:t>0.02万元</w:t>
      </w:r>
      <w:r>
        <w:rPr>
          <w:rFonts w:hint="eastAsia" w:ascii="Times New Roman" w:hAnsi="Times New Roman" w:eastAsia="仿宋_GB2312" w:cs="Times New Roman"/>
          <w:sz w:val="32"/>
          <w:szCs w:val="32"/>
          <w:lang w:eastAsia="zh-CN"/>
        </w:rPr>
        <w:t>；用于参加2023（第八届）公共资源交易中心主任年会会议培训，</w:t>
      </w:r>
      <w:r>
        <w:rPr>
          <w:rFonts w:ascii="Times New Roman" w:hAnsi="Times New Roman" w:eastAsia="仿宋_GB2312" w:cs="Times New Roman"/>
          <w:sz w:val="32"/>
          <w:szCs w:val="32"/>
        </w:rPr>
        <w:t>人数</w:t>
      </w:r>
      <w:r>
        <w:rPr>
          <w:rFonts w:hint="eastAsia" w:ascii="Times New Roman" w:hAnsi="Times New Roman" w:eastAsia="仿宋_GB2312" w:cs="Times New Roman"/>
          <w:sz w:val="32"/>
          <w:szCs w:val="32"/>
          <w:lang w:val="en-US" w:eastAsia="zh-CN"/>
        </w:rPr>
        <w:t>3人，培训费0.6万元；</w:t>
      </w:r>
      <w:r>
        <w:rPr>
          <w:rFonts w:hint="eastAsia" w:ascii="Times New Roman" w:hAnsi="Times New Roman" w:eastAsia="仿宋_GB2312" w:cs="Times New Roman"/>
          <w:sz w:val="32"/>
          <w:szCs w:val="32"/>
          <w:lang w:eastAsia="zh-CN"/>
        </w:rPr>
        <w:t>用于参加</w:t>
      </w:r>
      <w:r>
        <w:rPr>
          <w:rFonts w:hint="eastAsia" w:ascii="Times New Roman" w:hAnsi="Times New Roman" w:eastAsia="仿宋_GB2312" w:cs="Times New Roman"/>
          <w:sz w:val="32"/>
          <w:szCs w:val="32"/>
          <w:lang w:val="en-US" w:eastAsia="zh-CN"/>
        </w:rPr>
        <w:t>2024年日报社通讯员培训，</w:t>
      </w:r>
      <w:r>
        <w:rPr>
          <w:rFonts w:ascii="Times New Roman" w:hAnsi="Times New Roman" w:eastAsia="仿宋_GB2312" w:cs="Times New Roman"/>
          <w:sz w:val="32"/>
          <w:szCs w:val="32"/>
        </w:rPr>
        <w:t>人数</w:t>
      </w:r>
      <w:r>
        <w:rPr>
          <w:rFonts w:hint="eastAsia" w:ascii="Times New Roman" w:hAnsi="Times New Roman" w:eastAsia="仿宋_GB2312" w:cs="Times New Roman"/>
          <w:sz w:val="32"/>
          <w:szCs w:val="32"/>
          <w:lang w:val="en-US" w:eastAsia="zh-CN"/>
        </w:rPr>
        <w:t>1人，培训费0.2万元；用于参加人事工作专题培训，</w:t>
      </w:r>
      <w:r>
        <w:rPr>
          <w:rFonts w:ascii="Times New Roman" w:hAnsi="Times New Roman" w:eastAsia="仿宋_GB2312" w:cs="Times New Roman"/>
          <w:sz w:val="32"/>
          <w:szCs w:val="32"/>
        </w:rPr>
        <w:t>人数</w:t>
      </w:r>
      <w:r>
        <w:rPr>
          <w:rFonts w:hint="eastAsia" w:ascii="Times New Roman" w:hAnsi="Times New Roman" w:eastAsia="仿宋_GB2312" w:cs="Times New Roman"/>
          <w:sz w:val="32"/>
          <w:szCs w:val="32"/>
          <w:lang w:val="en-US" w:eastAsia="zh-CN"/>
        </w:rPr>
        <w:t>2人，培训费0.56万元；</w:t>
      </w:r>
      <w:r>
        <w:rPr>
          <w:rFonts w:hint="eastAsia" w:ascii="Times New Roman" w:hAnsi="Times New Roman" w:eastAsia="仿宋_GB2312" w:cs="Times New Roman"/>
          <w:sz w:val="32"/>
          <w:szCs w:val="32"/>
        </w:rPr>
        <w:t>无举办节庆、晚会、论坛、赛事活动支出</w:t>
      </w:r>
      <w:r>
        <w:rPr>
          <w:rFonts w:hint="eastAsia" w:ascii="Times New Roman" w:hAnsi="Times New Roman" w:eastAsia="仿宋_GB2312" w:cs="Times New Roman"/>
          <w:sz w:val="32"/>
          <w:szCs w:val="32"/>
          <w:lang w:eastAsia="zh-CN"/>
        </w:rPr>
        <w:t>。</w:t>
      </w:r>
    </w:p>
    <w:p w14:paraId="0D7DCACD">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十一、关于政府采购支出说明</w:t>
      </w:r>
    </w:p>
    <w:p w14:paraId="0552A128">
      <w:pPr>
        <w:pStyle w:val="13"/>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414.56</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414.56</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rPr>
        <w:t>414.56</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rPr>
        <w:t>414.56</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w:t>
      </w:r>
    </w:p>
    <w:p w14:paraId="7815481B">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十二、关于国有资产占用情况说明</w:t>
      </w:r>
    </w:p>
    <w:p w14:paraId="30BCB2EF">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辆，其他用车主要是</w:t>
      </w:r>
      <w:r>
        <w:rPr>
          <w:rFonts w:hint="eastAsia" w:ascii="Times New Roman" w:hAnsi="Times New Roman" w:eastAsia="仿宋_GB2312" w:cs="Times New Roman"/>
          <w:color w:val="auto"/>
          <w:sz w:val="32"/>
          <w:szCs w:val="32"/>
        </w:rPr>
        <w:t>单位公务活动用车</w:t>
      </w:r>
      <w:r>
        <w:rPr>
          <w:rFonts w:ascii="Times New Roman" w:hAnsi="Times New Roman" w:eastAsia="仿宋_GB2312" w:cs="Times New Roman"/>
          <w:color w:val="auto"/>
          <w:sz w:val="32"/>
          <w:szCs w:val="32"/>
        </w:rPr>
        <w:t>；单位价值100万元以上设备（不含车辆）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6D1F0033">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06C8C616">
      <w:pPr>
        <w:overflowPunct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lang w:val="en-US" w:eastAsia="zh-CN"/>
        </w:rPr>
        <w:t>1</w:t>
      </w:r>
      <w:r>
        <w:rPr>
          <w:rFonts w:ascii="Times New Roman" w:hAnsi="Times New Roman" w:eastAsia="仿宋_GB2312" w:cs="Times New Roman"/>
          <w:kern w:val="0"/>
          <w:sz w:val="32"/>
          <w:szCs w:val="32"/>
        </w:rPr>
        <w:t>个，共涉及资金</w:t>
      </w:r>
      <w:r>
        <w:rPr>
          <w:rFonts w:hint="eastAsia" w:ascii="Times New Roman" w:hAnsi="Times New Roman" w:eastAsia="仿宋_GB2312" w:cs="Times New Roman"/>
          <w:kern w:val="0"/>
          <w:sz w:val="32"/>
          <w:szCs w:val="32"/>
        </w:rPr>
        <w:t>2215.95</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1</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rPr>
        <w:t>951.93</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42.96</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二是部门评价开展情况。</w:t>
      </w:r>
      <w:r>
        <w:rPr>
          <w:rFonts w:ascii="Times New Roman" w:hAnsi="Times New Roman" w:eastAsia="仿宋_GB2312" w:cs="Times New Roman"/>
          <w:kern w:val="0"/>
          <w:sz w:val="32"/>
          <w:szCs w:val="32"/>
        </w:rPr>
        <w:t>组织对所属单位2024年度</w:t>
      </w:r>
      <w:r>
        <w:rPr>
          <w:rFonts w:hint="eastAsia" w:ascii="Times New Roman" w:hAnsi="Times New Roman" w:eastAsia="仿宋_GB2312" w:cs="Times New Roman"/>
          <w:kern w:val="0"/>
          <w:sz w:val="32"/>
          <w:szCs w:val="32"/>
          <w:lang w:eastAsia="zh-CN"/>
        </w:rPr>
        <w:t>“</w:t>
      </w:r>
      <w:r>
        <w:rPr>
          <w:rFonts w:hint="eastAsia" w:ascii="Times New Roman" w:hAnsi="Times New Roman" w:eastAsia="仿宋_GB2312" w:cs="Times New Roman"/>
          <w:kern w:val="0"/>
          <w:sz w:val="32"/>
          <w:szCs w:val="32"/>
          <w:lang w:val="en-US" w:eastAsia="zh-CN"/>
        </w:rPr>
        <w:t>专项业务（工作）</w:t>
      </w:r>
      <w:r>
        <w:rPr>
          <w:rFonts w:hint="eastAsia" w:ascii="Times New Roman" w:hAnsi="Times New Roman" w:eastAsia="仿宋_GB2312" w:cs="Times New Roman"/>
          <w:kern w:val="0"/>
          <w:sz w:val="32"/>
          <w:szCs w:val="32"/>
        </w:rPr>
        <w:t>经费</w:t>
      </w:r>
      <w:r>
        <w:rPr>
          <w:rFonts w:hint="eastAsia" w:ascii="Times New Roman" w:hAnsi="Times New Roman" w:eastAsia="仿宋_GB2312" w:cs="Times New Roman"/>
          <w:kern w:val="0"/>
          <w:sz w:val="32"/>
          <w:szCs w:val="32"/>
          <w:lang w:eastAsia="zh-CN"/>
        </w:rPr>
        <w:t>”</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kern w:val="0"/>
          <w:sz w:val="32"/>
          <w:szCs w:val="32"/>
        </w:rPr>
        <w:t>个项目开展了部门评价，涉及一般公共预算支出</w:t>
      </w:r>
      <w:r>
        <w:rPr>
          <w:rFonts w:hint="eastAsia" w:ascii="Times New Roman" w:hAnsi="Times New Roman" w:eastAsia="仿宋_GB2312" w:cs="Times New Roman"/>
          <w:kern w:val="0"/>
          <w:sz w:val="32"/>
          <w:szCs w:val="32"/>
        </w:rPr>
        <w:t>951.93</w:t>
      </w:r>
      <w:r>
        <w:rPr>
          <w:rFonts w:ascii="Times New Roman" w:hAnsi="Times New Roman" w:eastAsia="仿宋_GB2312" w:cs="Times New Roman"/>
          <w:kern w:val="0"/>
          <w:sz w:val="32"/>
          <w:szCs w:val="32"/>
        </w:rPr>
        <w:t>万元，政府性基金预算支出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万元，国有资本经营预算支出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万元，社会保险基金预算支出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p>
    <w:p w14:paraId="33E55C9D">
      <w:pPr>
        <w:overflowPunct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2403.13</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rPr>
        <w:t>2215.95</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92.21</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96.22</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hint="eastAsia" w:ascii="Times New Roman" w:hAnsi="Times New Roman" w:eastAsia="仿宋_GB2312" w:cs="Times New Roman"/>
          <w:sz w:val="32"/>
          <w:szCs w:val="32"/>
        </w:rPr>
        <w:t>“优秀”</w:t>
      </w:r>
      <w:r>
        <w:rPr>
          <w:rFonts w:ascii="Times New Roman" w:hAnsi="Times New Roman" w:eastAsia="仿宋_GB2312" w:cs="Times New Roman"/>
          <w:sz w:val="32"/>
          <w:szCs w:val="32"/>
        </w:rPr>
        <w:t>。</w:t>
      </w:r>
    </w:p>
    <w:p w14:paraId="7E37FCC8">
      <w:pPr>
        <w:overflowPunct w:val="0"/>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2024年，本单位坚持以习近平新时代中国特色社会主义思想为指导，全面贯彻落实党的二十大和二十届二中、三中全会精神，锚定“三高四新”美好蓝图，在市委市政府的正确领导下，坚持守正创新，勇毅前行，全市公共资源交易工作稳步向前，营商环境不断优化。全年全市完成公共资源进场交易项目1534宗，同比增长23.81%；交易总额293.74亿元，同比增长18.59%，增收资金1555.53万元，节约资金11.86亿元，实现交易总量与交易总额“双量齐增”，交易总额位列全省14个市州第5，创历史新高。</w:t>
      </w:r>
    </w:p>
    <w:p w14:paraId="44EB539D">
      <w:pPr>
        <w:pStyle w:val="13"/>
        <w:overflowPunct w:val="0"/>
        <w:autoSpaceDE/>
        <w:autoSpaceDN/>
        <w:spacing w:line="600" w:lineRule="exact"/>
        <w:ind w:firstLine="640" w:firstLineChars="200"/>
        <w:jc w:val="both"/>
        <w:rPr>
          <w:rFonts w:ascii="Times New Roman" w:hAnsi="Times New Roman" w:eastAsia="仿宋_GB2312" w:cs="Times New Roman"/>
          <w:color w:val="auto"/>
          <w:sz w:val="72"/>
          <w:szCs w:val="72"/>
        </w:rPr>
      </w:pPr>
      <w:r>
        <w:rPr>
          <w:rFonts w:ascii="Times New Roman" w:hAnsi="Times New Roman" w:eastAsia="楷体_GB2312" w:cs="Times New Roman"/>
          <w:b/>
          <w:bCs/>
          <w:color w:val="auto"/>
          <w:kern w:val="2"/>
          <w:sz w:val="32"/>
          <w:szCs w:val="32"/>
        </w:rPr>
        <w:t>（三）评价结果应用情况。</w:t>
      </w:r>
      <w:r>
        <w:rPr>
          <w:rFonts w:hint="eastAsia" w:ascii="Times New Roman" w:hAnsi="Times New Roman" w:eastAsia="仿宋_GB2312" w:cs="Times New Roman"/>
          <w:color w:val="auto"/>
          <w:sz w:val="32"/>
          <w:szCs w:val="32"/>
          <w:lang w:val="en-US" w:eastAsia="zh-CN"/>
        </w:rPr>
        <w:t>本单位</w:t>
      </w:r>
      <w:r>
        <w:rPr>
          <w:rFonts w:hint="eastAsia" w:ascii="Times New Roman" w:hAnsi="Times New Roman" w:eastAsia="仿宋_GB2312" w:cs="Times New Roman"/>
          <w:color w:val="auto"/>
          <w:sz w:val="32"/>
          <w:szCs w:val="32"/>
        </w:rPr>
        <w:t>将绩效自评结果作为完善政策、预算安排和改进管理的重要依据，进一步提升财政资源配置效率和资金使用效益。</w:t>
      </w:r>
    </w:p>
    <w:p w14:paraId="68CEB644">
      <w:pPr>
        <w:pStyle w:val="2"/>
      </w:pPr>
    </w:p>
    <w:p w14:paraId="74FD2A2B">
      <w:pPr>
        <w:pStyle w:val="13"/>
        <w:jc w:val="center"/>
        <w:rPr>
          <w:rFonts w:ascii="Times New Roman" w:hAnsi="Times New Roman" w:cs="Times New Roman"/>
          <w:sz w:val="72"/>
          <w:szCs w:val="72"/>
        </w:rPr>
      </w:pPr>
    </w:p>
    <w:p w14:paraId="54940C94">
      <w:pPr>
        <w:pStyle w:val="13"/>
        <w:jc w:val="center"/>
        <w:rPr>
          <w:rFonts w:ascii="Times New Roman" w:hAnsi="Times New Roman" w:cs="Times New Roman"/>
          <w:sz w:val="72"/>
          <w:szCs w:val="72"/>
        </w:rPr>
      </w:pPr>
    </w:p>
    <w:p w14:paraId="7AC7D9C1">
      <w:pPr>
        <w:pStyle w:val="13"/>
        <w:jc w:val="center"/>
        <w:rPr>
          <w:rFonts w:ascii="Times New Roman" w:hAnsi="Times New Roman" w:cs="Times New Roman"/>
          <w:sz w:val="72"/>
          <w:szCs w:val="72"/>
        </w:rPr>
      </w:pPr>
    </w:p>
    <w:p w14:paraId="2EA19DCF">
      <w:pPr>
        <w:pStyle w:val="13"/>
        <w:jc w:val="center"/>
        <w:rPr>
          <w:rFonts w:ascii="Times New Roman" w:hAnsi="Times New Roman" w:cs="Times New Roman"/>
          <w:sz w:val="72"/>
          <w:szCs w:val="72"/>
        </w:rPr>
      </w:pPr>
    </w:p>
    <w:p w14:paraId="179E421D">
      <w:pPr>
        <w:pStyle w:val="13"/>
        <w:jc w:val="center"/>
        <w:rPr>
          <w:rFonts w:ascii="Times New Roman" w:hAnsi="Times New Roman" w:cs="Times New Roman"/>
          <w:sz w:val="72"/>
          <w:szCs w:val="72"/>
        </w:rPr>
      </w:pPr>
    </w:p>
    <w:p w14:paraId="32EA5F3C">
      <w:pPr>
        <w:pStyle w:val="13"/>
        <w:jc w:val="center"/>
        <w:rPr>
          <w:rFonts w:ascii="Times New Roman" w:hAnsi="Times New Roman" w:cs="Times New Roman"/>
          <w:sz w:val="72"/>
          <w:szCs w:val="72"/>
        </w:rPr>
      </w:pPr>
    </w:p>
    <w:p w14:paraId="509F700B">
      <w:pPr>
        <w:pStyle w:val="13"/>
        <w:jc w:val="center"/>
        <w:rPr>
          <w:rFonts w:ascii="Times New Roman" w:hAnsi="Times New Roman" w:cs="Times New Roman"/>
          <w:sz w:val="72"/>
          <w:szCs w:val="72"/>
        </w:rPr>
      </w:pPr>
    </w:p>
    <w:p w14:paraId="62DBFCC0">
      <w:pPr>
        <w:pStyle w:val="13"/>
        <w:jc w:val="center"/>
        <w:rPr>
          <w:rFonts w:ascii="Times New Roman" w:hAnsi="Times New Roman" w:cs="Times New Roman"/>
          <w:sz w:val="72"/>
          <w:szCs w:val="72"/>
        </w:rPr>
      </w:pPr>
    </w:p>
    <w:p w14:paraId="6D913598">
      <w:pPr>
        <w:pStyle w:val="13"/>
        <w:jc w:val="center"/>
        <w:rPr>
          <w:rFonts w:ascii="Times New Roman" w:hAnsi="Times New Roman" w:cs="Times New Roman"/>
          <w:sz w:val="72"/>
          <w:szCs w:val="72"/>
        </w:rPr>
      </w:pPr>
    </w:p>
    <w:p w14:paraId="7D7D1844">
      <w:pPr>
        <w:pStyle w:val="13"/>
        <w:jc w:val="center"/>
        <w:rPr>
          <w:rFonts w:ascii="Times New Roman" w:hAnsi="Times New Roman" w:cs="Times New Roman"/>
          <w:sz w:val="72"/>
          <w:szCs w:val="72"/>
        </w:rPr>
      </w:pPr>
    </w:p>
    <w:p w14:paraId="5D00D0C8">
      <w:pPr>
        <w:pStyle w:val="13"/>
        <w:jc w:val="center"/>
        <w:rPr>
          <w:rFonts w:ascii="Times New Roman" w:hAnsi="Times New Roman" w:cs="Times New Roman"/>
          <w:sz w:val="72"/>
          <w:szCs w:val="72"/>
        </w:rPr>
      </w:pPr>
    </w:p>
    <w:p w14:paraId="0F0130C6">
      <w:pPr>
        <w:pStyle w:val="13"/>
        <w:jc w:val="center"/>
        <w:rPr>
          <w:rFonts w:ascii="Times New Roman" w:hAnsi="Times New Roman" w:cs="Times New Roman"/>
          <w:sz w:val="72"/>
          <w:szCs w:val="72"/>
        </w:rPr>
      </w:pPr>
    </w:p>
    <w:p w14:paraId="4CB19385">
      <w:pPr>
        <w:pStyle w:val="13"/>
        <w:jc w:val="center"/>
        <w:rPr>
          <w:rFonts w:ascii="Times New Roman" w:hAnsi="Times New Roman" w:cs="Times New Roman"/>
          <w:sz w:val="72"/>
          <w:szCs w:val="72"/>
        </w:rPr>
      </w:pPr>
    </w:p>
    <w:p w14:paraId="1FC8F02F">
      <w:pPr>
        <w:pStyle w:val="13"/>
        <w:jc w:val="center"/>
        <w:rPr>
          <w:rFonts w:ascii="Times New Roman" w:hAnsi="Times New Roman" w:cs="Times New Roman"/>
          <w:sz w:val="72"/>
          <w:szCs w:val="72"/>
        </w:rPr>
      </w:pPr>
    </w:p>
    <w:p w14:paraId="22A6D65B">
      <w:pPr>
        <w:pStyle w:val="13"/>
        <w:jc w:val="center"/>
        <w:rPr>
          <w:rFonts w:ascii="Times New Roman" w:hAnsi="Times New Roman" w:cs="Times New Roman"/>
          <w:sz w:val="72"/>
          <w:szCs w:val="72"/>
        </w:rPr>
      </w:pPr>
    </w:p>
    <w:p w14:paraId="546B808F">
      <w:pPr>
        <w:pStyle w:val="13"/>
        <w:jc w:val="both"/>
        <w:rPr>
          <w:rFonts w:ascii="Times New Roman" w:hAnsi="Times New Roman" w:cs="Times New Roman"/>
          <w:sz w:val="72"/>
          <w:szCs w:val="72"/>
        </w:rPr>
      </w:pPr>
    </w:p>
    <w:p w14:paraId="091BB303">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0818702B">
      <w:pPr>
        <w:widowControl/>
        <w:jc w:val="left"/>
        <w:rPr>
          <w:rFonts w:ascii="Times New Roman" w:hAnsi="Times New Roman" w:cs="Times New Roman"/>
          <w:color w:val="000000"/>
          <w:kern w:val="0"/>
          <w:sz w:val="32"/>
          <w:szCs w:val="32"/>
        </w:rPr>
      </w:pPr>
    </w:p>
    <w:p w14:paraId="7B5B27FA">
      <w:pPr>
        <w:pStyle w:val="13"/>
        <w:spacing w:line="600" w:lineRule="exact"/>
        <w:ind w:firstLine="640" w:firstLineChars="200"/>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一、财政拨款收入：指单位本年度从市级财政部门取得的财政拨款。</w:t>
      </w:r>
    </w:p>
    <w:p w14:paraId="6625129D">
      <w:pPr>
        <w:pStyle w:val="13"/>
        <w:spacing w:line="600" w:lineRule="exact"/>
        <w:ind w:firstLine="640" w:firstLineChars="200"/>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二、上级补助收入：指事业单位从主管部门和上级单位取得的非财政补助收入。</w:t>
      </w:r>
    </w:p>
    <w:p w14:paraId="4D4BC633">
      <w:pPr>
        <w:pStyle w:val="13"/>
        <w:spacing w:line="600" w:lineRule="exact"/>
        <w:ind w:firstLine="640" w:firstLineChars="200"/>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三、事业收入：指事业单位开展专业业务活动及其辅助活动取得的收入，事业单位收到的财政专户实际核拨的教育收费等资金在此反映。</w:t>
      </w:r>
    </w:p>
    <w:p w14:paraId="3A1C30EB">
      <w:pPr>
        <w:pStyle w:val="13"/>
        <w:spacing w:line="600" w:lineRule="exact"/>
        <w:ind w:firstLine="640" w:firstLineChars="200"/>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四、经营收入：指事业单位在专业业务活动及其辅助活动之外开展非独立核算经营活动取得的收入。</w:t>
      </w:r>
    </w:p>
    <w:p w14:paraId="17178057">
      <w:pPr>
        <w:pStyle w:val="13"/>
        <w:spacing w:line="600" w:lineRule="exact"/>
        <w:ind w:firstLine="640" w:firstLineChars="200"/>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五、附属单位缴款：指事业单位附属独立核算单位按照有关规定上缴的收入。</w:t>
      </w:r>
    </w:p>
    <w:p w14:paraId="72A12C30">
      <w:pPr>
        <w:pStyle w:val="13"/>
        <w:spacing w:line="600" w:lineRule="exact"/>
        <w:ind w:firstLine="640" w:firstLineChars="200"/>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六、其他收入：指单位取得的除上述“财政拨款收入”、“事业收入”、“经营收入”等以外的各项收入。</w:t>
      </w:r>
    </w:p>
    <w:p w14:paraId="0B21D1A6">
      <w:pPr>
        <w:pStyle w:val="13"/>
        <w:spacing w:line="600" w:lineRule="exact"/>
        <w:ind w:firstLine="640" w:firstLineChars="200"/>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七、用事业基金弥补收支差额：指事业单位用事业基金弥补当年收支差额的数额。</w:t>
      </w:r>
    </w:p>
    <w:p w14:paraId="24DBEB7F">
      <w:pPr>
        <w:pStyle w:val="13"/>
        <w:spacing w:line="600" w:lineRule="exact"/>
        <w:ind w:firstLine="640" w:firstLineChars="200"/>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八、年初结转和结余：指单位上年结转本年使用的基本支出结转、项目支出结转和结余和经营结余。</w:t>
      </w:r>
    </w:p>
    <w:p w14:paraId="69470F6B">
      <w:pPr>
        <w:pStyle w:val="13"/>
        <w:spacing w:line="600" w:lineRule="exact"/>
        <w:ind w:firstLine="640" w:firstLineChars="200"/>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九、一般公共服务（类）人大事务（款）行政运行（项）：指人大常委会办公厅用于保障机构正常运行、开展日常工作的基本支出。</w:t>
      </w:r>
    </w:p>
    <w:p w14:paraId="4AAEF2F0">
      <w:pPr>
        <w:pStyle w:val="13"/>
        <w:spacing w:line="600" w:lineRule="exact"/>
        <w:ind w:firstLine="640" w:firstLineChars="200"/>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十、结余分配：指事业单位按规定对非财政补助结余资金提取的职工福利基金、事业基金和缴纳的所得税，以及减少单位按规定应缴回的基本建设竣工项目结余资金。</w:t>
      </w:r>
    </w:p>
    <w:p w14:paraId="1FD20D72">
      <w:pPr>
        <w:pStyle w:val="13"/>
        <w:spacing w:line="600" w:lineRule="exact"/>
        <w:ind w:firstLine="640" w:firstLineChars="200"/>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十一、年末结转和结余资金：指本年度或以前年度预算安排、因客观条件发生变化无法按原计划实施，需要延迟到以后年度按有关规定继续使用的资金。</w:t>
      </w:r>
    </w:p>
    <w:p w14:paraId="39E75FE7">
      <w:pPr>
        <w:pStyle w:val="13"/>
        <w:spacing w:line="600" w:lineRule="exact"/>
        <w:ind w:firstLine="640" w:firstLineChars="200"/>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十二、基本支出：指为保障机构正常运转、完成日常工作任务而发生的人员支出和公用支出。</w:t>
      </w:r>
    </w:p>
    <w:p w14:paraId="4DB45A24">
      <w:pPr>
        <w:pStyle w:val="13"/>
        <w:spacing w:line="600" w:lineRule="exact"/>
        <w:ind w:firstLine="640" w:firstLineChars="200"/>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十三、项目支出：指在基本支出之外为完成特定的行政任务或事业发展目标所发生的支出。</w:t>
      </w:r>
    </w:p>
    <w:p w14:paraId="5DADB0E1">
      <w:pPr>
        <w:pStyle w:val="13"/>
        <w:spacing w:line="600" w:lineRule="exact"/>
        <w:ind w:firstLine="640" w:firstLineChars="200"/>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十四、上缴上级支出：指事业单位按照财政部门和主管部门的规定上缴上级单位的支出。十五、经营支出：指事业单位在专业业务活动及其辅助活动之外开展非独立核算经营活动发生的支出。</w:t>
      </w:r>
    </w:p>
    <w:p w14:paraId="64DCB640">
      <w:pPr>
        <w:pStyle w:val="13"/>
        <w:spacing w:line="600" w:lineRule="exact"/>
        <w:ind w:firstLine="640" w:firstLineChars="200"/>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十五、经营支出：指事业单位在专业业务活动及其辅助活动之外开展非独立核算经营活动发生的支出。</w:t>
      </w:r>
    </w:p>
    <w:p w14:paraId="425136F8">
      <w:pPr>
        <w:pStyle w:val="13"/>
        <w:spacing w:line="600" w:lineRule="exact"/>
        <w:ind w:firstLine="640" w:firstLineChars="200"/>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十六、对附属单位补助支出：指事业单位用财政补助收入之外的收入对附属单位补助发生的支出。</w:t>
      </w:r>
    </w:p>
    <w:p w14:paraId="4AC402C3">
      <w:pPr>
        <w:pStyle w:val="13"/>
        <w:spacing w:line="600" w:lineRule="exact"/>
        <w:ind w:firstLine="640" w:firstLineChars="200"/>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十七、“三公”经费：指市级部门用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34B96C02">
      <w:pPr>
        <w:pStyle w:val="13"/>
        <w:spacing w:line="600" w:lineRule="exact"/>
        <w:ind w:firstLine="640" w:firstLineChars="200"/>
        <w:rPr>
          <w:rFonts w:ascii="Times New Roman" w:hAnsi="Times New Roman" w:eastAsia="楷体_GB2312" w:cs="Times New Roman"/>
          <w:b/>
          <w:bCs/>
          <w:i/>
          <w:color w:val="auto"/>
          <w:sz w:val="32"/>
          <w:szCs w:val="32"/>
        </w:rPr>
      </w:pPr>
      <w:r>
        <w:rPr>
          <w:rFonts w:hint="eastAsia" w:ascii="Times New Roman" w:hAnsi="Times New Roman" w:eastAsia="仿宋_GB2312" w:cs="Times New Roman"/>
          <w:color w:val="000000"/>
          <w:kern w:val="0"/>
          <w:sz w:val="32"/>
          <w:szCs w:val="32"/>
        </w:rPr>
        <w:t>十八、机关运行经费：指为保障行政单位（含参照公务员法管理的事业单位）运行用于购买货物和服务的各项资金，包括办公费、印刷费、差旅费、会议费、日常维修费、专用材料及办公用房水电费、物业管理费、公务用车运行维护费等。在财政部有明确规定前，“机关运行经费”指一般公共预算安排的基本支出中的“商品和服务支出”经费。</w:t>
      </w:r>
    </w:p>
    <w:p w14:paraId="0A0385F3">
      <w:pPr>
        <w:pStyle w:val="13"/>
        <w:jc w:val="center"/>
        <w:rPr>
          <w:rFonts w:ascii="Times New Roman" w:hAnsi="Times New Roman" w:cs="Times New Roman"/>
          <w:sz w:val="72"/>
          <w:szCs w:val="72"/>
        </w:rPr>
      </w:pPr>
    </w:p>
    <w:p w14:paraId="20CB5C9C">
      <w:pPr>
        <w:pStyle w:val="13"/>
        <w:jc w:val="center"/>
        <w:rPr>
          <w:rFonts w:ascii="Times New Roman" w:hAnsi="Times New Roman" w:cs="Times New Roman"/>
          <w:sz w:val="72"/>
          <w:szCs w:val="72"/>
        </w:rPr>
      </w:pPr>
    </w:p>
    <w:p w14:paraId="33325394">
      <w:pPr>
        <w:pStyle w:val="13"/>
        <w:jc w:val="center"/>
        <w:rPr>
          <w:rFonts w:ascii="Times New Roman" w:hAnsi="Times New Roman" w:cs="Times New Roman"/>
          <w:sz w:val="72"/>
          <w:szCs w:val="72"/>
        </w:rPr>
      </w:pPr>
    </w:p>
    <w:p w14:paraId="08646D4F">
      <w:pPr>
        <w:pStyle w:val="13"/>
        <w:jc w:val="center"/>
        <w:rPr>
          <w:rFonts w:ascii="Times New Roman" w:hAnsi="Times New Roman" w:cs="Times New Roman"/>
          <w:sz w:val="72"/>
          <w:szCs w:val="72"/>
        </w:rPr>
      </w:pPr>
    </w:p>
    <w:p w14:paraId="574FCAB2">
      <w:pPr>
        <w:pStyle w:val="13"/>
        <w:jc w:val="center"/>
        <w:rPr>
          <w:rFonts w:ascii="Times New Roman" w:hAnsi="Times New Roman" w:cs="Times New Roman"/>
          <w:sz w:val="72"/>
          <w:szCs w:val="72"/>
        </w:rPr>
      </w:pPr>
    </w:p>
    <w:p w14:paraId="6C44D071">
      <w:pPr>
        <w:pStyle w:val="13"/>
        <w:jc w:val="center"/>
        <w:rPr>
          <w:rFonts w:ascii="Times New Roman" w:hAnsi="Times New Roman" w:cs="Times New Roman"/>
          <w:sz w:val="72"/>
          <w:szCs w:val="72"/>
        </w:rPr>
      </w:pPr>
    </w:p>
    <w:p w14:paraId="7993BCCC">
      <w:pPr>
        <w:pStyle w:val="13"/>
        <w:jc w:val="center"/>
        <w:rPr>
          <w:rFonts w:ascii="Times New Roman" w:hAnsi="Times New Roman" w:cs="Times New Roman"/>
          <w:sz w:val="72"/>
          <w:szCs w:val="72"/>
        </w:rPr>
      </w:pPr>
    </w:p>
    <w:p w14:paraId="0E9587DB">
      <w:pPr>
        <w:pStyle w:val="13"/>
        <w:jc w:val="both"/>
        <w:rPr>
          <w:rFonts w:ascii="Times New Roman" w:hAnsi="Times New Roman" w:cs="Times New Roman"/>
          <w:sz w:val="72"/>
          <w:szCs w:val="72"/>
        </w:rPr>
      </w:pPr>
    </w:p>
    <w:p w14:paraId="38587C9A">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7ED2982D">
      <w:pPr>
        <w:rPr>
          <w:rFonts w:ascii="Times New Roman" w:hAnsi="Times New Roman" w:cs="Times New Roman"/>
          <w:sz w:val="72"/>
          <w:szCs w:val="72"/>
        </w:rPr>
      </w:pPr>
    </w:p>
    <w:p w14:paraId="569DF726">
      <w:pPr>
        <w:pStyle w:val="13"/>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ascii="Times New Roman" w:hAnsi="Times New Roman" w:eastAsia="仿宋_GB2312" w:cs="Times New Roman"/>
          <w:sz w:val="32"/>
          <w:szCs w:val="32"/>
        </w:rPr>
        <w:t>2024年度部门整体支出绩效自评报告。</w:t>
      </w:r>
    </w:p>
    <w:p w14:paraId="7A25CA10">
      <w:pPr>
        <w:pStyle w:val="13"/>
        <w:spacing w:line="60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二、2024年度</w:t>
      </w:r>
      <w:bookmarkStart w:id="3" w:name="_GoBack"/>
      <w:bookmarkEnd w:id="3"/>
      <w:r>
        <w:rPr>
          <w:rFonts w:hint="eastAsia" w:ascii="Times New Roman" w:hAnsi="Times New Roman" w:eastAsia="仿宋_GB2312" w:cs="Times New Roman"/>
          <w:sz w:val="32"/>
          <w:szCs w:val="32"/>
          <w:lang w:val="en-US" w:eastAsia="zh-CN"/>
        </w:rPr>
        <w:t>项目支出绩效自评报告</w:t>
      </w:r>
    </w:p>
    <w:p w14:paraId="07EE803B">
      <w:pPr>
        <w:pStyle w:val="13"/>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三</w:t>
      </w:r>
      <w:r>
        <w:rPr>
          <w:rFonts w:hint="eastAsia"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rPr>
        <w:t>年度部门预算公开表。</w:t>
      </w:r>
    </w:p>
    <w:p w14:paraId="59344EE3">
      <w:pPr>
        <w:pStyle w:val="13"/>
        <w:jc w:val="center"/>
        <w:rPr>
          <w:rFonts w:ascii="Times New Roman" w:hAnsi="Times New Roman" w:cs="Times New Roman"/>
          <w:sz w:val="72"/>
          <w:szCs w:val="72"/>
        </w:rPr>
      </w:pPr>
    </w:p>
    <w:p w14:paraId="046BF1E1">
      <w:pPr>
        <w:pStyle w:val="13"/>
        <w:jc w:val="center"/>
        <w:rPr>
          <w:rFonts w:ascii="Times New Roman" w:hAnsi="Times New Roman" w:cs="Times New Roman"/>
          <w:sz w:val="72"/>
          <w:szCs w:val="72"/>
        </w:rPr>
      </w:pPr>
    </w:p>
    <w:p w14:paraId="0ED5EECB">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10" w:usb3="00000000" w:csb0="00040000" w:csb1="00000000"/>
  </w:font>
  <w:font w:name="方正小标宋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7914A9">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BB6EA">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C5E0B">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A4A7">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5" name="文本框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28800" cy="1828800"/>
                      </a:xfrm>
                      <a:prstGeom prst="rect">
                        <a:avLst/>
                      </a:prstGeom>
                      <a:noFill/>
                      <a:ln>
                        <a:noFill/>
                      </a:ln>
                    </wps:spPr>
                    <wps:style>
                      <a:lnRef idx="0">
                        <a:srgbClr val="FFFFFF"/>
                      </a:lnRef>
                      <a:fillRef idx="0">
                        <a:srgbClr val="FFFFFF"/>
                      </a:fillRef>
                      <a:effectRef idx="0">
                        <a:schemeClr val="accent1"/>
                      </a:effectRef>
                      <a:fontRef idx="minor">
                        <a:schemeClr val="dk1"/>
                      </a:fontRef>
                    </wps:style>
                    <wps:txbx>
                      <w:txbxContent>
                        <w:p w14:paraId="5670B91B">
                          <w:pPr>
                            <w:pStyle w:val="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rtlCol="0" anchor="t" upright="0">
                      <a:spAutoFit/>
                    </wps:bodyPr>
                  </wps:wsp>
                </a:graphicData>
              </a:graphic>
            </wp:anchor>
          </w:drawing>
        </mc:Choice>
        <mc:Fallback>
          <w:pict>
            <v:rect id="文本框 5"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l1uVLQAAAABQEAAA8AAAAAAAAA&#10;AQAgAAAAIgAAAGRycy9kb3ducmV2LnhtbFBLAQIUABQAAAAIAIdO4kDzQS4XGQIAADcEAAAOAAAA&#10;AAAAAAEAIAAAAB8BAABkcnMvZTJvRG9jLnhtbFBLBQYAAAAABgAGAFkBAACqBQAAAAA=&#10;">
              <v:fill on="f" focussize="0,0"/>
              <v:stroke on="f"/>
              <v:imagedata o:title=""/>
              <o:lock v:ext="edit" aspectratio="t"/>
              <v:textbox inset="0mm,0mm,0mm,0mm" style="mso-fit-shape-to-text:t;">
                <w:txbxContent>
                  <w:p w14:paraId="5670B91B">
                    <w:pPr>
                      <w:pStyle w:val="6"/>
                    </w:pPr>
                    <w:r>
                      <w:fldChar w:fldCharType="begin"/>
                    </w:r>
                    <w:r>
                      <w:instrText xml:space="preserve"> PAGE  \* MERGEFORMAT </w:instrText>
                    </w:r>
                    <w:r>
                      <w:fldChar w:fldCharType="separate"/>
                    </w:r>
                    <w:r>
                      <w:t>20</w:t>
                    </w:r>
                    <w: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8099E"/>
    <w:rsid w:val="009049D8"/>
    <w:rsid w:val="00991ADF"/>
    <w:rsid w:val="012670EA"/>
    <w:rsid w:val="012F7254"/>
    <w:rsid w:val="016F0A91"/>
    <w:rsid w:val="02CD2EFC"/>
    <w:rsid w:val="02D95F19"/>
    <w:rsid w:val="03FE0DB2"/>
    <w:rsid w:val="042A6435"/>
    <w:rsid w:val="04454353"/>
    <w:rsid w:val="0487056E"/>
    <w:rsid w:val="052667C0"/>
    <w:rsid w:val="05365ED8"/>
    <w:rsid w:val="059A3EA8"/>
    <w:rsid w:val="05B253F0"/>
    <w:rsid w:val="060F3BD8"/>
    <w:rsid w:val="06376252"/>
    <w:rsid w:val="06E25862"/>
    <w:rsid w:val="073F1F2E"/>
    <w:rsid w:val="07ED44BE"/>
    <w:rsid w:val="0802440D"/>
    <w:rsid w:val="082B571B"/>
    <w:rsid w:val="08FA34C7"/>
    <w:rsid w:val="099C43A0"/>
    <w:rsid w:val="0B09160F"/>
    <w:rsid w:val="0B58610E"/>
    <w:rsid w:val="0B5A630E"/>
    <w:rsid w:val="0B9F1C6E"/>
    <w:rsid w:val="0C2661F0"/>
    <w:rsid w:val="0CE51C08"/>
    <w:rsid w:val="0D0D5ADA"/>
    <w:rsid w:val="0D5D3678"/>
    <w:rsid w:val="0DA815B3"/>
    <w:rsid w:val="0DAD0977"/>
    <w:rsid w:val="0DBF4B4E"/>
    <w:rsid w:val="0E3E5A73"/>
    <w:rsid w:val="0FC63043"/>
    <w:rsid w:val="0FED59A3"/>
    <w:rsid w:val="103619C1"/>
    <w:rsid w:val="108B0B83"/>
    <w:rsid w:val="112A0531"/>
    <w:rsid w:val="112D5EC0"/>
    <w:rsid w:val="11BF336F"/>
    <w:rsid w:val="12961F72"/>
    <w:rsid w:val="12AB744F"/>
    <w:rsid w:val="12C7247D"/>
    <w:rsid w:val="132A443C"/>
    <w:rsid w:val="13A4281C"/>
    <w:rsid w:val="13DB5B12"/>
    <w:rsid w:val="151E5625"/>
    <w:rsid w:val="15741F45"/>
    <w:rsid w:val="15814E30"/>
    <w:rsid w:val="163A7468"/>
    <w:rsid w:val="167D1103"/>
    <w:rsid w:val="16A0625A"/>
    <w:rsid w:val="16A15AA8"/>
    <w:rsid w:val="16B72124"/>
    <w:rsid w:val="16BE13C6"/>
    <w:rsid w:val="170147EB"/>
    <w:rsid w:val="187C1F63"/>
    <w:rsid w:val="18CB084B"/>
    <w:rsid w:val="19DB686C"/>
    <w:rsid w:val="1A253F8B"/>
    <w:rsid w:val="1B1C534B"/>
    <w:rsid w:val="1B9163F8"/>
    <w:rsid w:val="1C3B4DCB"/>
    <w:rsid w:val="1C550B58"/>
    <w:rsid w:val="1C552941"/>
    <w:rsid w:val="1CFE15FD"/>
    <w:rsid w:val="1DE2451A"/>
    <w:rsid w:val="1E672AA3"/>
    <w:rsid w:val="1E734D0E"/>
    <w:rsid w:val="1F6D7F66"/>
    <w:rsid w:val="1F8359DC"/>
    <w:rsid w:val="1FF2321C"/>
    <w:rsid w:val="2162039F"/>
    <w:rsid w:val="216D6944"/>
    <w:rsid w:val="218E68BA"/>
    <w:rsid w:val="21C270F6"/>
    <w:rsid w:val="21D02A2F"/>
    <w:rsid w:val="24433A9F"/>
    <w:rsid w:val="24C6497E"/>
    <w:rsid w:val="250F55BF"/>
    <w:rsid w:val="257D111F"/>
    <w:rsid w:val="25D31F04"/>
    <w:rsid w:val="263317DE"/>
    <w:rsid w:val="269404CF"/>
    <w:rsid w:val="26D60AE7"/>
    <w:rsid w:val="27DF1C1D"/>
    <w:rsid w:val="28221B0A"/>
    <w:rsid w:val="283C7070"/>
    <w:rsid w:val="28862099"/>
    <w:rsid w:val="28B2048C"/>
    <w:rsid w:val="29456BF7"/>
    <w:rsid w:val="294C2B55"/>
    <w:rsid w:val="29A4377E"/>
    <w:rsid w:val="29BD7D3C"/>
    <w:rsid w:val="2AF379F7"/>
    <w:rsid w:val="2BFD6098"/>
    <w:rsid w:val="2C22657D"/>
    <w:rsid w:val="2EF97A69"/>
    <w:rsid w:val="2FA86D99"/>
    <w:rsid w:val="2FA954B0"/>
    <w:rsid w:val="2FEA115F"/>
    <w:rsid w:val="30C45E54"/>
    <w:rsid w:val="312A215B"/>
    <w:rsid w:val="32072437"/>
    <w:rsid w:val="320D43F4"/>
    <w:rsid w:val="32563E27"/>
    <w:rsid w:val="325841E3"/>
    <w:rsid w:val="32A23168"/>
    <w:rsid w:val="3310712F"/>
    <w:rsid w:val="336D4581"/>
    <w:rsid w:val="337551E4"/>
    <w:rsid w:val="342015F4"/>
    <w:rsid w:val="34B34216"/>
    <w:rsid w:val="355D23D3"/>
    <w:rsid w:val="35620A96"/>
    <w:rsid w:val="35D07049"/>
    <w:rsid w:val="35D22DC1"/>
    <w:rsid w:val="35EF4FB6"/>
    <w:rsid w:val="36412810"/>
    <w:rsid w:val="36967F41"/>
    <w:rsid w:val="36E44B5A"/>
    <w:rsid w:val="37152F66"/>
    <w:rsid w:val="385E6B8E"/>
    <w:rsid w:val="386D6DD1"/>
    <w:rsid w:val="38DE382B"/>
    <w:rsid w:val="39634D9B"/>
    <w:rsid w:val="39EE1BE8"/>
    <w:rsid w:val="3A7B57D6"/>
    <w:rsid w:val="3B806E1C"/>
    <w:rsid w:val="3BA0301A"/>
    <w:rsid w:val="3BB0325D"/>
    <w:rsid w:val="3C3A346E"/>
    <w:rsid w:val="3CB50487"/>
    <w:rsid w:val="3CDB07AE"/>
    <w:rsid w:val="3CDC4526"/>
    <w:rsid w:val="3D89020A"/>
    <w:rsid w:val="3E1F0B6E"/>
    <w:rsid w:val="3FAD415A"/>
    <w:rsid w:val="3FC76E01"/>
    <w:rsid w:val="401A339B"/>
    <w:rsid w:val="403E79A1"/>
    <w:rsid w:val="40A846FB"/>
    <w:rsid w:val="40FC0CF2"/>
    <w:rsid w:val="41395A15"/>
    <w:rsid w:val="4151103E"/>
    <w:rsid w:val="41E40104"/>
    <w:rsid w:val="42B0448A"/>
    <w:rsid w:val="43D530A6"/>
    <w:rsid w:val="44112D07"/>
    <w:rsid w:val="46C6602A"/>
    <w:rsid w:val="47ED4C94"/>
    <w:rsid w:val="48AA54D8"/>
    <w:rsid w:val="4ACE54AE"/>
    <w:rsid w:val="4D0A41B2"/>
    <w:rsid w:val="4D95695B"/>
    <w:rsid w:val="4E4D0DDF"/>
    <w:rsid w:val="4EB32846"/>
    <w:rsid w:val="4F033995"/>
    <w:rsid w:val="4FC926E8"/>
    <w:rsid w:val="4FF43478"/>
    <w:rsid w:val="50E7376D"/>
    <w:rsid w:val="51247B9B"/>
    <w:rsid w:val="51FE2F04"/>
    <w:rsid w:val="523A6D37"/>
    <w:rsid w:val="5256584E"/>
    <w:rsid w:val="535E4FF9"/>
    <w:rsid w:val="538A5761"/>
    <w:rsid w:val="53D15B26"/>
    <w:rsid w:val="54D03EB6"/>
    <w:rsid w:val="54E7647B"/>
    <w:rsid w:val="55BC2260"/>
    <w:rsid w:val="560C332E"/>
    <w:rsid w:val="567F61F6"/>
    <w:rsid w:val="57776ECD"/>
    <w:rsid w:val="57C97313"/>
    <w:rsid w:val="57DD4F82"/>
    <w:rsid w:val="587F416D"/>
    <w:rsid w:val="58D2085F"/>
    <w:rsid w:val="59D71692"/>
    <w:rsid w:val="59E20F76"/>
    <w:rsid w:val="5A243F3D"/>
    <w:rsid w:val="5A3E1E6B"/>
    <w:rsid w:val="5A763E4D"/>
    <w:rsid w:val="5AA77AC9"/>
    <w:rsid w:val="5ACC12DE"/>
    <w:rsid w:val="5B2555BE"/>
    <w:rsid w:val="5B266F2F"/>
    <w:rsid w:val="5B353AA8"/>
    <w:rsid w:val="5B3E6680"/>
    <w:rsid w:val="5BDC3DD8"/>
    <w:rsid w:val="5C084598"/>
    <w:rsid w:val="5C17168C"/>
    <w:rsid w:val="5C182A2D"/>
    <w:rsid w:val="5C4A6129"/>
    <w:rsid w:val="5CAC6CBC"/>
    <w:rsid w:val="5D3C099D"/>
    <w:rsid w:val="5DA87DE0"/>
    <w:rsid w:val="5DE3467B"/>
    <w:rsid w:val="5E375E64"/>
    <w:rsid w:val="5F102043"/>
    <w:rsid w:val="5F2B0CC9"/>
    <w:rsid w:val="61646714"/>
    <w:rsid w:val="62223DB3"/>
    <w:rsid w:val="62593D9F"/>
    <w:rsid w:val="628A41A3"/>
    <w:rsid w:val="63F55D49"/>
    <w:rsid w:val="644C7B14"/>
    <w:rsid w:val="66427359"/>
    <w:rsid w:val="670818F0"/>
    <w:rsid w:val="676E54FE"/>
    <w:rsid w:val="67902011"/>
    <w:rsid w:val="67D57A24"/>
    <w:rsid w:val="6956755C"/>
    <w:rsid w:val="69584DB0"/>
    <w:rsid w:val="6AB06C13"/>
    <w:rsid w:val="6ACD4380"/>
    <w:rsid w:val="6AE20BF4"/>
    <w:rsid w:val="6BD101B5"/>
    <w:rsid w:val="6D0F05C1"/>
    <w:rsid w:val="6DB427D1"/>
    <w:rsid w:val="6DFE57FA"/>
    <w:rsid w:val="6E6B1671"/>
    <w:rsid w:val="6EC74798"/>
    <w:rsid w:val="6ED21161"/>
    <w:rsid w:val="6F3911E0"/>
    <w:rsid w:val="6F563B40"/>
    <w:rsid w:val="701B6B38"/>
    <w:rsid w:val="70EB3220"/>
    <w:rsid w:val="716F713B"/>
    <w:rsid w:val="73836205"/>
    <w:rsid w:val="738C0C26"/>
    <w:rsid w:val="73B21561"/>
    <w:rsid w:val="742970E4"/>
    <w:rsid w:val="746A1E3C"/>
    <w:rsid w:val="74AF2788"/>
    <w:rsid w:val="75134281"/>
    <w:rsid w:val="75445EBA"/>
    <w:rsid w:val="75947170"/>
    <w:rsid w:val="76236746"/>
    <w:rsid w:val="766F7295"/>
    <w:rsid w:val="7721621A"/>
    <w:rsid w:val="774150D6"/>
    <w:rsid w:val="777F5BFE"/>
    <w:rsid w:val="77EB6B08"/>
    <w:rsid w:val="78A51694"/>
    <w:rsid w:val="78D15FE5"/>
    <w:rsid w:val="791800B8"/>
    <w:rsid w:val="79951709"/>
    <w:rsid w:val="79DF1AB2"/>
    <w:rsid w:val="7C5D3582"/>
    <w:rsid w:val="7C923CDE"/>
    <w:rsid w:val="7D5A2578"/>
    <w:rsid w:val="7D6667D0"/>
    <w:rsid w:val="7D8949DC"/>
    <w:rsid w:val="7E3F4209"/>
    <w:rsid w:val="7E6E42D6"/>
    <w:rsid w:val="7E834226"/>
    <w:rsid w:val="7F1135E0"/>
    <w:rsid w:val="7F995383"/>
  </w:rsids>
  <m:mathPr>
    <m:mathFont m:val="Cambria Math"/>
    <m:brkBin m:val="before"/>
    <m:brkBinSub m:val="--"/>
    <m:smallFrac m:val="0"/>
    <m:dispDef/>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4.xml"/><Relationship Id="rId10" Type="http://schemas.openxmlformats.org/officeDocument/2006/relationships/customXml" Target="../customXml/item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Properties xmlns="http://schemas.openxmlformats.org/officeDocument/2006/custom-properties" xmlns:vt="http://schemas.openxmlformats.org/officeDocument/2006/docPropsVTypes">
  <property fmtid="{D5CDD505-2E9C-101B-9397-08002B2CF9AE}" pid="2" name="KSOProductBuildVer">
    <vt:lpwstr>2052-11.8.2.12009</vt:lpwstr>
  </property>
  <property fmtid="{D5CDD505-2E9C-101B-9397-08002B2CF9AE}" pid="3" name="ICV">
    <vt:lpwstr>BB7B6AA21D207914D6FDA268992A22D6</vt:lpwstr>
  </property>
</Properties>
</file>

<file path=customXml/item3.xml><?xml version="1.0" encoding="utf-8"?>
<Properties xmlns="http://schemas.openxmlformats.org/officeDocument/2006/extended-properties" xmlns:vt="http://schemas.openxmlformats.org/officeDocument/2006/docPropsVTypes">
  <Template>Normal</Template>
  <TotalTime>1</TotalTime>
  <Pages>25</Pages>
  <Words>1463</Words>
  <Characters>8342</Characters>
  <Application>Microsoft Office Word</Application>
  <DocSecurity>0</DocSecurity>
  <Lines>69</Lines>
  <Paragraphs>19</Paragraphs>
  <ScaleCrop>false</ScaleCrop>
  <Company>Microsoft</Company>
  <LinksUpToDate>false</LinksUpToDate>
  <CharactersWithSpaces>9786</CharactersWithSpaces>
  <SharedDoc>false</SharedDoc>
  <HyperlinksChanged>false</HyperlinksChanged>
  <AppVersion>14.0000</AppVersion>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周亮辉 null</cp:lastModifiedBy>
  <cp:revision>2</cp:revision>
  <cp:lastPrinted>2024-08-08T18:20:00Z</cp:lastPrinted>
  <dcterms:created xsi:type="dcterms:W3CDTF">2025-08-18T10:17:00Z</dcterms:created>
  <dcterms:modified xsi:type="dcterms:W3CDTF">2025-08-18T10:17:00Z</dcterms:modified>
</cp:core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1b6729a-5e3a-48c9-9cfa-b72d6638b2a2}">
  <ds:schemaRefs/>
</ds:datastoreItem>
</file>

<file path=customXml/itemProps3.xml><?xml version="1.0" encoding="utf-8"?>
<ds:datastoreItem xmlns:ds="http://schemas.openxmlformats.org/officeDocument/2006/customXml" ds:itemID="{91ef2005-cd14-4398-a46e-8f880e19a70f}">
  <ds:schemaRefs/>
</ds:datastoreItem>
</file>

<file path=customXml/itemProps4.xml><?xml version="1.0" encoding="utf-8"?>
<ds:datastoreItem xmlns:ds="http://schemas.openxmlformats.org/officeDocument/2006/customXml" ds:itemID="{0151de36-4a05-4449-97b9-025503b85db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25</Pages>
  <Words>1812</Words>
  <Characters>2028</Characters>
  <Lines>69</Lines>
  <Paragraphs>19</Paragraphs>
  <TotalTime>769</TotalTime>
  <ScaleCrop>false</ScaleCrop>
  <LinksUpToDate>false</LinksUpToDate>
  <CharactersWithSpaces>2430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2025-08-18T10:17:00Z</dcterms:created>
  <dc:creator>李航 null</dc:creator>
  <cp:lastModifiedBy>左耳想闭关</cp:lastModifiedBy>
  <cp:lastPrinted>2025-09-24T02:04:00Z</cp:lastPrinted>
  <dcterms:modified xsi:type="dcterms:W3CDTF">2025-09-26T07:20:23Z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BB7B6AA21D207914D6FDA268992A22D6</vt:lpwstr>
  </property>
  <property fmtid="{D5CDD505-2E9C-101B-9397-08002B2CF9AE}" pid="4" name="KSOTemplateDocerSaveRecord">
    <vt:lpwstr>eyJoZGlkIjoiOTcyMzc3Y2M0MzI3OWU2Mzk1MzhmMDAxMmVkNmIzZTAiLCJ1c2VySWQiOiIxMTgxODcyMTY4In0=</vt:lpwstr>
  </property>
</Properties>
</file>