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530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74E36C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703504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6A6D07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（一）机构设置情况</w:t>
      </w:r>
    </w:p>
    <w:p w14:paraId="07E1B1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eastAsia="zh-CN"/>
        </w:rPr>
        <w:t>怀化市市场监督管理局直属二局是怀化市市场监督管理局的派出机构，主管市场监督管理和行政执法工作。单位内设办公室、信用监管股、登记注册股、特种设备安全监管股、价格监督检查和反不正当竞争股、药械化监管股、食品安全监督管理股和河西市场监管所（消费者权益保护股）共</w:t>
      </w:r>
      <w:r>
        <w:rPr>
          <w:rFonts w:hint="eastAsia" w:ascii="仿宋_GB2312" w:hAnsi="仿宋_GB2312" w:eastAsia="仿宋_GB2312" w:cs="仿宋_GB2312"/>
          <w:i w:val="0"/>
          <w:iCs w:val="0"/>
          <w:caps w:val="0"/>
          <w:color w:val="000000"/>
          <w:spacing w:val="0"/>
          <w:sz w:val="32"/>
          <w:szCs w:val="32"/>
          <w:shd w:val="clear" w:fill="FFFFFF"/>
          <w:lang w:val="en-US" w:eastAsia="zh-CN"/>
        </w:rPr>
        <w:t>8个股、室、所。</w:t>
      </w:r>
    </w:p>
    <w:p w14:paraId="2D98F4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（二）人员编制情况</w:t>
      </w:r>
    </w:p>
    <w:p w14:paraId="217C8B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rPr>
      </w:pPr>
      <w:r>
        <w:rPr>
          <w:rFonts w:hint="eastAsia" w:ascii="仿宋_GB2312" w:hAnsi="仿宋_GB2312" w:eastAsia="仿宋_GB2312" w:cs="仿宋_GB2312"/>
          <w:i w:val="0"/>
          <w:iCs w:val="0"/>
          <w:caps w:val="0"/>
          <w:color w:val="000000"/>
          <w:spacing w:val="0"/>
          <w:sz w:val="32"/>
          <w:szCs w:val="32"/>
          <w:shd w:val="clear" w:fill="FFFFFF"/>
          <w:lang w:val="en-US" w:eastAsia="zh-CN"/>
        </w:rPr>
        <w:t>截至2023年12月，</w:t>
      </w:r>
      <w:r>
        <w:rPr>
          <w:rFonts w:hint="eastAsia" w:ascii="仿宋_GB2312" w:hAnsi="仿宋_GB2312" w:eastAsia="仿宋_GB2312" w:cs="仿宋_GB2312"/>
          <w:i w:val="0"/>
          <w:iCs w:val="0"/>
          <w:caps w:val="0"/>
          <w:color w:val="000000"/>
          <w:spacing w:val="0"/>
          <w:sz w:val="32"/>
          <w:szCs w:val="32"/>
          <w:shd w:val="clear" w:fill="FFFFFF"/>
          <w:lang w:eastAsia="zh-CN"/>
        </w:rPr>
        <w:t>怀化市市场监督管理局直属二局核定编制数</w:t>
      </w:r>
      <w:r>
        <w:rPr>
          <w:rFonts w:hint="eastAsia" w:ascii="仿宋_GB2312" w:hAnsi="仿宋_GB2312" w:eastAsia="仿宋_GB2312" w:cs="仿宋_GB2312"/>
          <w:i w:val="0"/>
          <w:iCs w:val="0"/>
          <w:caps w:val="0"/>
          <w:color w:val="000000"/>
          <w:spacing w:val="0"/>
          <w:sz w:val="32"/>
          <w:szCs w:val="32"/>
          <w:shd w:val="clear" w:fill="FFFFFF"/>
          <w:lang w:val="en-US" w:eastAsia="zh-CN"/>
        </w:rPr>
        <w:t>43名，实有在职人员38名。</w:t>
      </w:r>
    </w:p>
    <w:p w14:paraId="34CD7D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（三）主要职能职责</w:t>
      </w:r>
    </w:p>
    <w:p w14:paraId="4DAA1D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1.负责分局辖区市场监督管理和行政执法的有关工作。</w:t>
      </w:r>
    </w:p>
    <w:p w14:paraId="6B81CD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2.负责分局辖区各类企业、农民专业合作社和从事经营活动的单位、个人等市场主体的登记注册并监督管理，承担依法查处取缔无照经营的责任。</w:t>
      </w:r>
    </w:p>
    <w:p w14:paraId="5AE3FD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3.承担依法规范和维护各类市场经营秩序的责任，负责监督管理市场交易行为和网络商品交易及有关服务的行为。</w:t>
      </w:r>
    </w:p>
    <w:p w14:paraId="10F82B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4.承担监督管理流通领域商品质量的责任，组织开展有关服务领域消费维权工作，按分工查处假冒伪劣等违法行为，指导消费者咨询、申诉、举报受理处理和网络体系建设等工作，保护经营者、消费者合法权益。</w:t>
      </w:r>
    </w:p>
    <w:p w14:paraId="098EAF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5.承担查处违法直销和传销案件的责任，依法监督管理直销企业和直销员及其直销活动。</w:t>
      </w:r>
    </w:p>
    <w:p w14:paraId="1F7EE0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6.依法查处不正当竞争、商业贿赂、走私贩私等经济违法行为。 </w:t>
      </w:r>
    </w:p>
    <w:p w14:paraId="646A42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7.负责依法监督管理经纪人、经纪机构及经纪活动。</w:t>
      </w:r>
    </w:p>
    <w:p w14:paraId="6D1FD6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8.依法实施合同行政监督管理，负责管理股权出质登记、动产抵押物登记，组织监督管理拍卖行为，负责依法查处合同欺诈等违法行为。     </w:t>
      </w:r>
    </w:p>
    <w:p w14:paraId="768AC5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9.指导分局辖区广告业发展，负责广告活动的监督管理工作。</w:t>
      </w:r>
    </w:p>
    <w:p w14:paraId="2BC89F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10.负责商标监督管理工作，依法保护商标专用权和查处商标侵权行为，协调处理商标争议事宜，加强中国驰名商标、省著名商标的保护工作。负责特殊标志、官方标志的保护。</w:t>
      </w:r>
    </w:p>
    <w:p w14:paraId="2494B8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11.组织指导企业、个体工商户、商品交易市场信用分类管理，研究分析并依法发布市场主体登记注册基础信息，为政府决策和社会公众提供相关信息服务。</w:t>
      </w:r>
    </w:p>
    <w:p w14:paraId="444906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12.负责个体工商户、私营企业经营行为的服务和监督管理。</w:t>
      </w:r>
    </w:p>
    <w:p w14:paraId="1B246C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13.承办市局及经开区管委会交办的其他事项。</w:t>
      </w:r>
    </w:p>
    <w:p w14:paraId="7093D6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（四）绩效目标设定情况</w:t>
      </w:r>
    </w:p>
    <w:p w14:paraId="25C872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2023年部门年初预算437.71万元，其中，基本支出437.71万元。整体绩效目标包括：1.加强基础建设，提升队伍素质；2.加强市场监管，守牢安全底线；3.优化营商环境，助力市场发展。</w:t>
      </w:r>
    </w:p>
    <w:p w14:paraId="7CE0BE1D">
      <w:pPr>
        <w:keepNext w:val="0"/>
        <w:keepLines w:val="0"/>
        <w:pageBreakBefore w:val="0"/>
        <w:numPr>
          <w:ilvl w:val="0"/>
          <w:numId w:val="0"/>
        </w:numPr>
        <w:kinsoku/>
        <w:wordWrap/>
        <w:overflowPunct/>
        <w:topLinePunct w:val="0"/>
        <w:autoSpaceDE/>
        <w:autoSpaceDN/>
        <w:bidi w:val="0"/>
        <w:adjustRightInd/>
        <w:snapToGrid w:val="0"/>
        <w:spacing w:line="520" w:lineRule="exact"/>
        <w:ind w:firstLine="0"/>
        <w:jc w:val="both"/>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39CB89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（一）预算执行、使用、管理总体情况。</w:t>
      </w:r>
    </w:p>
    <w:p w14:paraId="10F61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2023年本部门整体支出502.37万元，基本支出490.37万元，项目支出12万元。工资福利支出429.94万元，商品服务支出30.66万元，对个人和家庭补助32.84万元，资本性支出8.93万元。</w:t>
      </w:r>
    </w:p>
    <w:p w14:paraId="2158C5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（二）部门预算执行情况</w:t>
      </w:r>
    </w:p>
    <w:p w14:paraId="67D931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1.基本支出情况</w:t>
      </w:r>
    </w:p>
    <w:p w14:paraId="72D048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2023年本部门基本支出490.37万元。其中人员经费支出462.77万元，主要用于保障单位人员工资及社会保障交费，离退休费及单位职工住房公积金等开支；日常公用经费支出27.59万元，主要用于保障日常工作开展。</w:t>
      </w:r>
    </w:p>
    <w:p w14:paraId="49BC24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2.项目支出情况</w:t>
      </w:r>
    </w:p>
    <w:p w14:paraId="096EF5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本部门项目支出12万元，为中央食品监管补助资金。包括基层监管所执法装备补助6万元和基层监管所能力建设6万元。其中，商品和服务支出3.07万元，资本性支出8.93万元，主要用于基层监管所能力建设和执法装备补充。</w:t>
      </w:r>
    </w:p>
    <w:p w14:paraId="0FC4F4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（三）"三公"经费使用和管理情况</w:t>
      </w:r>
    </w:p>
    <w:p w14:paraId="19BD6C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2023年本部门无“三公”经费预算及支出。</w:t>
      </w:r>
    </w:p>
    <w:p w14:paraId="52CEE0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三、政府性基金预算支出情况</w:t>
      </w:r>
    </w:p>
    <w:p w14:paraId="547729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03639E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四、国有资本经营预算支出情况</w:t>
      </w:r>
    </w:p>
    <w:p w14:paraId="6194E4E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0A626D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五、社会保险基金预算支出情况</w:t>
      </w:r>
    </w:p>
    <w:p w14:paraId="1AB789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192AE0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4DEACC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14:paraId="365D16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综合评价满分100分，自评得分98分。</w:t>
      </w:r>
    </w:p>
    <w:p w14:paraId="7CA600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（二）综合评价情况</w:t>
      </w:r>
    </w:p>
    <w:p w14:paraId="347E1B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2023年部门年初预算437.71万元，其中，基本支出437.71万元。整体绩效目标包括：1.加强基础建设，提升队伍素质；2.加强市场监管，守牢安全底线；3.优化营商环境，助力市场发展。</w:t>
      </w:r>
    </w:p>
    <w:p w14:paraId="5DA334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围绕整体绩效目标及预算配置，以部门绩效评价为资金分配的依据，建立了财务管理制度和经费开支审批管理办法，严格制度的执行，严格支出审批报销程序，做到无虚列套取,无截留、挤占、挪用,无开支超预算或超标准等情况。同时，单位制定了详细的资产管理办法，对资产申购、采购、分配、保管、处置以及责任赔偿等细则进行规定，并明确专人负责机关固定资产管理。</w:t>
      </w:r>
    </w:p>
    <w:p w14:paraId="29B6B6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eastAsia="zh-CN"/>
        </w:rPr>
      </w:pPr>
      <w:r>
        <w:rPr>
          <w:rFonts w:hint="eastAsia" w:ascii="仿宋_GB2312" w:eastAsia="仿宋_GB2312" w:cs="仿宋_GB2312"/>
          <w:i w:val="0"/>
          <w:iCs w:val="0"/>
          <w:caps w:val="0"/>
          <w:color w:val="000000"/>
          <w:spacing w:val="0"/>
          <w:sz w:val="32"/>
          <w:szCs w:val="32"/>
          <w:shd w:val="clear" w:fill="FFFFFF"/>
          <w:lang w:eastAsia="zh-CN"/>
        </w:rPr>
        <w:t>在职责履行和履职效益方面：</w:t>
      </w:r>
    </w:p>
    <w:p w14:paraId="647B181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1.市场监管所办公区修缮一新，添置了一批办公设施，购置4台电动车配置监管执法和消费维权一线提升工作效能；制度、职责和流程上墙，规范化建设加强，政务公开初步完善，清廉文化宣传加强。重视素质建设，邀请市局12315、法制、特设、执法支队业务骨干培训业务，组织参加省市局食品、药品、药械化、特种设备业务培训和全市系统案件评查，人员素质得以提升。</w:t>
      </w:r>
    </w:p>
    <w:p w14:paraId="02DC50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eastAsia" w:ascii="仿宋_GB2312" w:eastAsia="仿宋_GB2312" w:cs="仿宋_GB2312"/>
          <w:b/>
          <w:bCs/>
          <w:i w:val="0"/>
          <w:iCs w:val="0"/>
          <w:caps w:val="0"/>
          <w:color w:val="000000"/>
          <w:spacing w:val="0"/>
          <w:sz w:val="32"/>
          <w:szCs w:val="32"/>
          <w:shd w:val="clear" w:fill="FFFFFF"/>
          <w:lang w:val="en-US" w:eastAsia="zh-CN"/>
        </w:rPr>
        <w:t>加强食品安全监管。</w:t>
      </w:r>
      <w:r>
        <w:rPr>
          <w:rFonts w:hint="eastAsia" w:ascii="仿宋_GB2312" w:eastAsia="仿宋_GB2312" w:cs="仿宋_GB2312"/>
          <w:i w:val="0"/>
          <w:iCs w:val="0"/>
          <w:caps w:val="0"/>
          <w:color w:val="000000"/>
          <w:spacing w:val="0"/>
          <w:sz w:val="32"/>
          <w:szCs w:val="32"/>
          <w:shd w:val="clear" w:fill="FFFFFF"/>
          <w:lang w:val="en-US" w:eastAsia="zh-CN"/>
        </w:rPr>
        <w:t>成立了工作专班,建立督导主体台账，培训街道社区包保干部，推动食品安全“两个责任”落实，包保主体应督导1731家，任务执行率100％，督导整改164家，问题整改率100％，落实落细食品安全监管，食品安全监管责任风险分级完成率100％，检查1935次，问题整改率100％；加强食品经营许可管理，严把市场准入关；开展打击流通环节违法添加非食用物质和滥用食品添加剂、销售劣质食用油、重点食品重点区域重点场所食品经营以及季节性节日性食品市场专项整治执法行动，出动948人次，检查474户次，下达责令整改书22份，查获一批假劣食品；结合“双随机一公开”抽查，开展食用农产品市场销售质量安全、餐饮服务、食品销售、特殊食品及食盐专项抽查检查，核查196户；开展“非洲猪瘟”和白板肉专项整治，检查27户次,查扣未经检疫检验生猪肉99.6公斤；开展校园周边食品安全整治，检查120户；开展护老行动、保健食品宣传活动3次。全年立案查处食品违法行为21起，结案9起，罚没52745.6元，12起正在调查中。</w:t>
      </w:r>
      <w:r>
        <w:rPr>
          <w:rFonts w:hint="eastAsia" w:ascii="仿宋_GB2312" w:eastAsia="仿宋_GB2312" w:cs="仿宋_GB2312"/>
          <w:b/>
          <w:bCs/>
          <w:i w:val="0"/>
          <w:iCs w:val="0"/>
          <w:caps w:val="0"/>
          <w:color w:val="000000"/>
          <w:spacing w:val="0"/>
          <w:sz w:val="32"/>
          <w:szCs w:val="32"/>
          <w:shd w:val="clear" w:fill="FFFFFF"/>
          <w:lang w:val="en-US" w:eastAsia="zh-CN"/>
        </w:rPr>
        <w:t>加强药械化安全监管。</w:t>
      </w:r>
      <w:r>
        <w:rPr>
          <w:rFonts w:hint="eastAsia" w:ascii="仿宋_GB2312" w:eastAsia="仿宋_GB2312" w:cs="仿宋_GB2312"/>
          <w:i w:val="0"/>
          <w:iCs w:val="0"/>
          <w:caps w:val="0"/>
          <w:color w:val="000000"/>
          <w:spacing w:val="0"/>
          <w:sz w:val="32"/>
          <w:szCs w:val="32"/>
          <w:shd w:val="clear" w:fill="FFFFFF"/>
          <w:lang w:val="en-US" w:eastAsia="zh-CN"/>
        </w:rPr>
        <w:t>聚焦药械化重点产品、重点环节、重点业态和重点区域，飞行检查和交叉检查结合，开展医疗美容药品医疗器械专项整治、化妆品“一号多用”违法行为专项检查、药品零售企业监督检查。许可备案规范，办理药品零售企业许可证核发12家、换发2家、变更24家，办理三类医疗器械经营（零售）许可16件、办理二类医疗器械经营（零售）备案36件。开展药品经营和使用专项检查，出动70余人次、车辆20台次，监督检查药品经营企业45户次、使用单位20户次；开展药品安全巩固提升行动，出动35人次，车辆13台次，检查35家药品经营使用单位；开展医疗器械质量安全专项整治，出动20余人次，检查使用单位6户；开展化妆品“一号多用”违法行为专项检查，出动15人次，检查化妆品经营单位23家。</w:t>
      </w:r>
      <w:r>
        <w:rPr>
          <w:rFonts w:hint="eastAsia" w:ascii="仿宋_GB2312" w:eastAsia="仿宋_GB2312" w:cs="仿宋_GB2312"/>
          <w:b/>
          <w:bCs/>
          <w:i w:val="0"/>
          <w:iCs w:val="0"/>
          <w:caps w:val="0"/>
          <w:color w:val="000000"/>
          <w:spacing w:val="0"/>
          <w:sz w:val="32"/>
          <w:szCs w:val="32"/>
          <w:shd w:val="clear" w:fill="FFFFFF"/>
          <w:lang w:val="en-US" w:eastAsia="zh-CN"/>
        </w:rPr>
        <w:t>加强特种设备安全监管。</w:t>
      </w:r>
      <w:r>
        <w:rPr>
          <w:rFonts w:hint="eastAsia" w:ascii="仿宋_GB2312" w:eastAsia="仿宋_GB2312" w:cs="仿宋_GB2312"/>
          <w:i w:val="0"/>
          <w:iCs w:val="0"/>
          <w:caps w:val="0"/>
          <w:color w:val="000000"/>
          <w:spacing w:val="0"/>
          <w:sz w:val="32"/>
          <w:szCs w:val="32"/>
          <w:shd w:val="clear" w:fill="FFFFFF"/>
          <w:lang w:val="en-US" w:eastAsia="zh-CN"/>
        </w:rPr>
        <w:t>强化宣传，结合安全生产月等活动，发放宣传资料100余份、制作展板10块、播放教育片12次，受理投诉举报20起。抓实总局第74号令落地落实，设立安全总监18人，安全员24人，引导推动特种设备使用和维保单位落实主体责任。深入排查特种设备安全隐患，对经开区正好制药等21家重点特种设备使用单位履行全面监管职责，建立了监管台账，出动150余人次，下达监察指令书8份，排查隐患13个，完成整改11个，正在整改2个，确保问题不放过、问题隐患处理闭环。落实行业主管部门派驻企业安全生产监督员制度，实行公示挂牌，下派21个安全生产监督员入驻企业。召开经开区特安委及安全生产工作会议，推行点评制度，推动特种设备使用和维保单位的落实主体责任。电器大市场和柒星江湾府共计12台电梯导轨支架安装不符合要求，我局积极作为，主动和开发建设局联系，召集物业单位、开发商、维保单位、业主和电梯施工方开联席会抓整改，安全隐患及时清零。</w:t>
      </w:r>
      <w:r>
        <w:rPr>
          <w:rFonts w:hint="eastAsia" w:ascii="仿宋_GB2312" w:eastAsia="仿宋_GB2312" w:cs="仿宋_GB2312"/>
          <w:b/>
          <w:bCs/>
          <w:i w:val="0"/>
          <w:iCs w:val="0"/>
          <w:caps w:val="0"/>
          <w:color w:val="000000"/>
          <w:spacing w:val="0"/>
          <w:sz w:val="32"/>
          <w:szCs w:val="32"/>
          <w:shd w:val="clear" w:fill="FFFFFF"/>
          <w:lang w:val="en-US" w:eastAsia="zh-CN"/>
        </w:rPr>
        <w:t>加强产品质量监管。</w:t>
      </w:r>
      <w:r>
        <w:rPr>
          <w:rFonts w:hint="eastAsia" w:ascii="仿宋_GB2312" w:eastAsia="仿宋_GB2312" w:cs="仿宋_GB2312"/>
          <w:i w:val="0"/>
          <w:iCs w:val="0"/>
          <w:caps w:val="0"/>
          <w:color w:val="000000"/>
          <w:spacing w:val="0"/>
          <w:sz w:val="32"/>
          <w:szCs w:val="32"/>
          <w:shd w:val="clear" w:fill="FFFFFF"/>
          <w:lang w:val="en-US" w:eastAsia="zh-CN"/>
        </w:rPr>
        <w:t>强化燃气灶具及其配件产品的监督检查，出动160人次、车辆50台次，检查经营主体80余户，抽样8家，送检13批次；加强取暖器产品质量监管，出动60余人次，车辆30余台次，排查取暖器材经营主体14户，电火箱配件供应商1户，配合上级抽检2户4个样品；消防安全检查经营主体120余家，抽检7户18个样品；规范危险化学品及烟花爆竹经营秩序，严打成品油违法违规经营活动，开展成品油专项治理，对怀化市烟花爆竹销售有限责任公司进行督导检查，督促企业落实产品质量安全主体责任。抽检加油站1户2批次，烟花爆竹3批次样品。</w:t>
      </w:r>
      <w:r>
        <w:rPr>
          <w:rFonts w:hint="eastAsia" w:ascii="仿宋_GB2312" w:eastAsia="仿宋_GB2312" w:cs="仿宋_GB2312"/>
          <w:b/>
          <w:bCs/>
          <w:i w:val="0"/>
          <w:iCs w:val="0"/>
          <w:caps w:val="0"/>
          <w:color w:val="000000"/>
          <w:spacing w:val="0"/>
          <w:sz w:val="32"/>
          <w:szCs w:val="32"/>
          <w:shd w:val="clear" w:fill="FFFFFF"/>
          <w:lang w:val="en-US" w:eastAsia="zh-CN"/>
        </w:rPr>
        <w:t>用心用情维护消费者合法权益。</w:t>
      </w:r>
      <w:r>
        <w:rPr>
          <w:rFonts w:hint="eastAsia" w:ascii="仿宋_GB2312" w:eastAsia="仿宋_GB2312" w:cs="仿宋_GB2312"/>
          <w:i w:val="0"/>
          <w:iCs w:val="0"/>
          <w:caps w:val="0"/>
          <w:color w:val="000000"/>
          <w:spacing w:val="0"/>
          <w:sz w:val="32"/>
          <w:szCs w:val="32"/>
          <w:shd w:val="clear" w:fill="FFFFFF"/>
          <w:lang w:val="en-US" w:eastAsia="zh-CN"/>
        </w:rPr>
        <w:t>始终坚持人民至上，用心用情依法维护消费者合法权益。截至12月31日，直属二局共受理投诉举报1320起，已全部办结。分别受理全国12315系统投诉举报654起，怀化市市长热线投诉举报298起，经开区分流市长热线投诉举报359起，市局信函投诉举报派件2起，市局消委投诉举报派件1起，分局信函投诉举报派件6起。</w:t>
      </w:r>
      <w:r>
        <w:rPr>
          <w:rFonts w:hint="eastAsia" w:ascii="仿宋_GB2312" w:eastAsia="仿宋_GB2312" w:cs="仿宋_GB2312"/>
          <w:b/>
          <w:bCs/>
          <w:i w:val="0"/>
          <w:iCs w:val="0"/>
          <w:caps w:val="0"/>
          <w:color w:val="000000"/>
          <w:spacing w:val="0"/>
          <w:sz w:val="32"/>
          <w:szCs w:val="32"/>
          <w:shd w:val="clear" w:fill="FFFFFF"/>
          <w:lang w:val="en-US" w:eastAsia="zh-CN"/>
        </w:rPr>
        <w:t>依法维护公平有序的市场环境。</w:t>
      </w:r>
      <w:r>
        <w:rPr>
          <w:rFonts w:hint="eastAsia" w:ascii="仿宋_GB2312" w:eastAsia="仿宋_GB2312" w:cs="仿宋_GB2312"/>
          <w:i w:val="0"/>
          <w:iCs w:val="0"/>
          <w:caps w:val="0"/>
          <w:color w:val="000000"/>
          <w:spacing w:val="0"/>
          <w:sz w:val="32"/>
          <w:szCs w:val="32"/>
          <w:shd w:val="clear" w:fill="FFFFFF"/>
          <w:lang w:val="en-US" w:eastAsia="zh-CN"/>
        </w:rPr>
        <w:t>加强广告市场监管，出动200余人次，车辆43台次，开展违法违规商业营销宣传整治、医疗乱象专项整治、“双减”专项整治、文娱领域专项整治、养老领域广告专项整治行动，检查500余户，查办虚假违法广告案1起，侵犯知识产权案2起。严打传销活动规范直销行为，结合3.15活动等发放宣传资料300余份。认真落实市局网络异常经营主体核查工作方案，对照省局网络异常经营主体名单全面清查，结合日常监管细致调查摸底，依托12315申诉举报网络体系，加强部门协作，内外联动摸排。严查价格违法行为，节日期间等特殊时期均成立专班，强化监督检查，及时妥善化解价格矛盾纠纷。加强常态化监管，严防不法经营者发布误导性价格信息、违法囤积、捏造散布虚假信息，严查价格串通、哄抬价格、价格欺诈、不按规定明码标价等价格违法行为。持续开展日常的生活必需品、农资市场价格监督检查、教育行业收费检查等。加大反不正当竞争力度，有序推进公平交易执法，重点强化互联网领域的商户仿冒混淆行为、医药购销领域商业贿赂行为、擅自使用知名医院商业标识等仿冒混淆行为、借“保健”之名的虚假宣传行为监管。</w:t>
      </w:r>
      <w:r>
        <w:rPr>
          <w:rFonts w:hint="eastAsia" w:ascii="仿宋_GB2312" w:eastAsia="仿宋_GB2312" w:cs="仿宋_GB2312"/>
          <w:i w:val="0"/>
          <w:iCs w:val="0"/>
          <w:caps w:val="0"/>
          <w:color w:val="000000"/>
          <w:spacing w:val="0"/>
          <w:sz w:val="32"/>
          <w:szCs w:val="32"/>
          <w:shd w:val="clear" w:fill="FFFFFF"/>
          <w:lang w:val="en-US" w:eastAsia="zh-CN"/>
        </w:rPr>
        <w:br w:type="textWrapping"/>
      </w:r>
      <w:r>
        <w:rPr>
          <w:rFonts w:hint="eastAsia" w:ascii="仿宋_GB2312" w:eastAsia="仿宋_GB2312" w:cs="仿宋_GB2312"/>
          <w:i w:val="0"/>
          <w:iCs w:val="0"/>
          <w:caps w:val="0"/>
          <w:color w:val="000000"/>
          <w:spacing w:val="0"/>
          <w:sz w:val="32"/>
          <w:szCs w:val="32"/>
          <w:shd w:val="clear" w:fill="FFFFFF"/>
          <w:lang w:val="en-US" w:eastAsia="zh-CN"/>
        </w:rPr>
        <w:t xml:space="preserve">    3.</w:t>
      </w:r>
      <w:r>
        <w:rPr>
          <w:rFonts w:hint="eastAsia" w:ascii="仿宋_GB2312" w:eastAsia="仿宋_GB2312" w:cs="仿宋_GB2312"/>
          <w:b/>
          <w:bCs/>
          <w:i w:val="0"/>
          <w:iCs w:val="0"/>
          <w:caps w:val="0"/>
          <w:color w:val="000000"/>
          <w:spacing w:val="0"/>
          <w:sz w:val="32"/>
          <w:szCs w:val="32"/>
          <w:shd w:val="clear" w:fill="FFFFFF"/>
          <w:lang w:val="en-US" w:eastAsia="zh-CN"/>
        </w:rPr>
        <w:t>优服务提效能，打造便捷高效市场准入环境。</w:t>
      </w:r>
      <w:r>
        <w:rPr>
          <w:rFonts w:hint="eastAsia" w:ascii="仿宋_GB2312" w:eastAsia="仿宋_GB2312" w:cs="仿宋_GB2312"/>
          <w:i w:val="0"/>
          <w:iCs w:val="0"/>
          <w:caps w:val="0"/>
          <w:color w:val="000000"/>
          <w:spacing w:val="0"/>
          <w:sz w:val="32"/>
          <w:szCs w:val="32"/>
          <w:shd w:val="clear" w:fill="FFFFFF"/>
          <w:lang w:val="en-US" w:eastAsia="zh-CN"/>
        </w:rPr>
        <w:t>商事制度改革深化，“一网通办”、“四零”工作制、“市监暖蓝”贴心服务、免费刻制公章、银行预约开户等优化措施落地，企业设立登记缩减至0.5个工作日，“个转企”高效办理，登记注册便利化提升。推出“信易+登记”审批服务模式，制定行政审批信用承诺制清单，施用承诺书办件20余件。截至目前，市场主体达18372户，增长11.33%，其中企业4456户，个体13886户，农专30户，实现平稳高质量发展。</w:t>
      </w:r>
      <w:r>
        <w:rPr>
          <w:rFonts w:hint="eastAsia" w:ascii="仿宋_GB2312" w:eastAsia="仿宋_GB2312" w:cs="仿宋_GB2312"/>
          <w:b/>
          <w:bCs/>
          <w:i w:val="0"/>
          <w:iCs w:val="0"/>
          <w:caps w:val="0"/>
          <w:color w:val="000000"/>
          <w:spacing w:val="0"/>
          <w:sz w:val="32"/>
          <w:szCs w:val="32"/>
          <w:shd w:val="clear" w:fill="FFFFFF"/>
          <w:lang w:val="en-US" w:eastAsia="zh-CN"/>
        </w:rPr>
        <w:t>真情贴心服务，积极主动助力经开区高质量发展。</w:t>
      </w:r>
      <w:r>
        <w:rPr>
          <w:rFonts w:hint="eastAsia" w:ascii="仿宋_GB2312" w:eastAsia="仿宋_GB2312" w:cs="仿宋_GB2312"/>
          <w:i w:val="0"/>
          <w:iCs w:val="0"/>
          <w:caps w:val="0"/>
          <w:color w:val="000000"/>
          <w:spacing w:val="0"/>
          <w:sz w:val="32"/>
          <w:szCs w:val="32"/>
          <w:shd w:val="clear" w:fill="FFFFFF"/>
          <w:lang w:val="en-US" w:eastAsia="zh-CN"/>
        </w:rPr>
        <w:t>经开区交办的事项，件件有回复，事事有回音。开通“绿色通道”贴心服务招商引资；积极对接省局为经开区招商企业开通登记通道、提供产业发展业务咨询；对接市局科室联系国家总局，协助国际陆港申办国际代码；协助怀化国家级广告产业园迎接省评估调研，为运用国家级广告产业园“金字招牌”推动发展和招商引资助力；积极开展为企业纾困解难活动，着力优化营商环境，助力国际陆港打造改革开放高地和高质量发展。</w:t>
      </w:r>
    </w:p>
    <w:p w14:paraId="01A5D2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0445DE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eastAsia="zh-CN"/>
        </w:rPr>
        <w:t>本年度</w:t>
      </w:r>
      <w:r>
        <w:rPr>
          <w:rFonts w:hint="eastAsia" w:ascii="仿宋_GB2312" w:eastAsia="仿宋_GB2312" w:cs="仿宋_GB2312"/>
          <w:i w:val="0"/>
          <w:iCs w:val="0"/>
          <w:caps w:val="0"/>
          <w:color w:val="000000"/>
          <w:spacing w:val="0"/>
          <w:sz w:val="32"/>
          <w:szCs w:val="32"/>
          <w:shd w:val="clear" w:fill="FFFFFF"/>
        </w:rPr>
        <w:t>预算支出</w:t>
      </w:r>
      <w:r>
        <w:rPr>
          <w:rFonts w:hint="eastAsia" w:ascii="仿宋_GB2312" w:eastAsia="仿宋_GB2312" w:cs="仿宋_GB2312"/>
          <w:i w:val="0"/>
          <w:iCs w:val="0"/>
          <w:caps w:val="0"/>
          <w:color w:val="000000"/>
          <w:spacing w:val="0"/>
          <w:sz w:val="32"/>
          <w:szCs w:val="32"/>
          <w:shd w:val="clear" w:fill="FFFFFF"/>
          <w:lang w:eastAsia="zh-CN"/>
        </w:rPr>
        <w:t>围绕整体</w:t>
      </w:r>
      <w:r>
        <w:rPr>
          <w:rFonts w:hint="eastAsia" w:ascii="仿宋_GB2312" w:eastAsia="仿宋_GB2312" w:cs="仿宋_GB2312"/>
          <w:i w:val="0"/>
          <w:iCs w:val="0"/>
          <w:caps w:val="0"/>
          <w:color w:val="000000"/>
          <w:spacing w:val="0"/>
          <w:sz w:val="32"/>
          <w:szCs w:val="32"/>
          <w:shd w:val="clear" w:fill="FFFFFF"/>
        </w:rPr>
        <w:t>绩效目标</w:t>
      </w:r>
      <w:r>
        <w:rPr>
          <w:rFonts w:hint="eastAsia" w:ascii="仿宋_GB2312" w:eastAsia="仿宋_GB2312" w:cs="仿宋_GB2312"/>
          <w:i w:val="0"/>
          <w:iCs w:val="0"/>
          <w:caps w:val="0"/>
          <w:color w:val="000000"/>
          <w:spacing w:val="0"/>
          <w:sz w:val="32"/>
          <w:szCs w:val="32"/>
          <w:shd w:val="clear" w:fill="FFFFFF"/>
          <w:lang w:eastAsia="zh-CN"/>
        </w:rPr>
        <w:t>进行开支，控制在合理范围内</w:t>
      </w:r>
      <w:r>
        <w:rPr>
          <w:rFonts w:hint="default" w:ascii="仿宋_GB2312" w:eastAsia="仿宋_GB2312" w:cs="仿宋_GB2312"/>
          <w:i w:val="0"/>
          <w:iCs w:val="0"/>
          <w:caps w:val="0"/>
          <w:color w:val="000000"/>
          <w:spacing w:val="0"/>
          <w:sz w:val="32"/>
          <w:szCs w:val="32"/>
          <w:shd w:val="clear" w:fill="FFFFFF"/>
        </w:rPr>
        <w:t>。</w:t>
      </w:r>
    </w:p>
    <w:p w14:paraId="1DD3DE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八、下一步改进措施</w:t>
      </w:r>
    </w:p>
    <w:p w14:paraId="49A5C8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28E5AF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173C15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无</w:t>
      </w:r>
    </w:p>
    <w:p w14:paraId="04B70A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imes New Roman" w:hAnsi="Times New Roman" w:cs="Times New Roman" w:eastAsiaTheme="minorEastAsia"/>
          <w:i w:val="0"/>
          <w:iCs w:val="0"/>
          <w:caps w:val="0"/>
          <w:color w:val="000000"/>
          <w:spacing w:val="0"/>
          <w:sz w:val="24"/>
          <w:szCs w:val="24"/>
          <w:lang w:eastAsia="zh-CN"/>
        </w:rPr>
      </w:pPr>
    </w:p>
    <w:p w14:paraId="357397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报告应包括以下附件：</w:t>
      </w:r>
    </w:p>
    <w:p w14:paraId="6C4CE3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24C8F2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1D18953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16D925A1">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填报单位：怀化市市场监督管理局直属二局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6"/>
        <w:gridCol w:w="984"/>
        <w:gridCol w:w="903"/>
        <w:gridCol w:w="1065"/>
        <w:gridCol w:w="1050"/>
        <w:gridCol w:w="918"/>
        <w:gridCol w:w="988"/>
      </w:tblGrid>
      <w:tr w14:paraId="6D22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vMerge w:val="restart"/>
            <w:noWrap w:val="0"/>
            <w:vAlign w:val="center"/>
          </w:tcPr>
          <w:p w14:paraId="5F702E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887" w:type="dxa"/>
            <w:gridSpan w:val="2"/>
            <w:noWrap w:val="0"/>
            <w:vAlign w:val="center"/>
          </w:tcPr>
          <w:p w14:paraId="43C47C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115" w:type="dxa"/>
            <w:gridSpan w:val="2"/>
            <w:noWrap w:val="0"/>
            <w:vAlign w:val="center"/>
          </w:tcPr>
          <w:p w14:paraId="6E20DEA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906" w:type="dxa"/>
            <w:gridSpan w:val="2"/>
            <w:noWrap w:val="0"/>
            <w:vAlign w:val="center"/>
          </w:tcPr>
          <w:p w14:paraId="053DFA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78FE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556" w:type="dxa"/>
            <w:vMerge w:val="continue"/>
            <w:noWrap w:val="0"/>
            <w:vAlign w:val="center"/>
          </w:tcPr>
          <w:p w14:paraId="5A8B1C41">
            <w:pPr>
              <w:widowControl/>
              <w:jc w:val="left"/>
              <w:rPr>
                <w:rFonts w:hint="eastAsia" w:ascii="仿宋" w:hAnsi="仿宋" w:eastAsia="仿宋" w:cs="仿宋"/>
                <w:b w:val="0"/>
                <w:bCs w:val="0"/>
                <w:kern w:val="0"/>
                <w:sz w:val="20"/>
                <w:szCs w:val="20"/>
              </w:rPr>
            </w:pPr>
          </w:p>
        </w:tc>
        <w:tc>
          <w:tcPr>
            <w:tcW w:w="1887" w:type="dxa"/>
            <w:gridSpan w:val="2"/>
            <w:noWrap w:val="0"/>
            <w:vAlign w:val="center"/>
          </w:tcPr>
          <w:p w14:paraId="365D2E0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w:t>
            </w:r>
            <w:r>
              <w:rPr>
                <w:rFonts w:hint="eastAsia" w:ascii="仿宋" w:hAnsi="仿宋" w:eastAsia="仿宋" w:cs="仿宋"/>
                <w:b w:val="0"/>
                <w:bCs w:val="0"/>
                <w:kern w:val="0"/>
                <w:sz w:val="20"/>
                <w:szCs w:val="20"/>
              </w:rPr>
              <w:t>　</w:t>
            </w:r>
          </w:p>
        </w:tc>
        <w:tc>
          <w:tcPr>
            <w:tcW w:w="2115" w:type="dxa"/>
            <w:gridSpan w:val="2"/>
            <w:noWrap w:val="0"/>
            <w:vAlign w:val="center"/>
          </w:tcPr>
          <w:p w14:paraId="3CF9457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38</w:t>
            </w:r>
          </w:p>
        </w:tc>
        <w:tc>
          <w:tcPr>
            <w:tcW w:w="1906" w:type="dxa"/>
            <w:gridSpan w:val="2"/>
            <w:noWrap w:val="0"/>
            <w:vAlign w:val="center"/>
          </w:tcPr>
          <w:p w14:paraId="510ED99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88.37%</w:t>
            </w:r>
            <w:r>
              <w:rPr>
                <w:rFonts w:hint="eastAsia" w:ascii="仿宋" w:hAnsi="仿宋" w:eastAsia="仿宋" w:cs="仿宋"/>
                <w:b w:val="0"/>
                <w:bCs w:val="0"/>
                <w:kern w:val="0"/>
                <w:sz w:val="20"/>
                <w:szCs w:val="20"/>
              </w:rPr>
              <w:t>　</w:t>
            </w:r>
          </w:p>
        </w:tc>
      </w:tr>
      <w:tr w14:paraId="7F4C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3B895D8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887" w:type="dxa"/>
            <w:gridSpan w:val="2"/>
            <w:noWrap w:val="0"/>
            <w:vAlign w:val="center"/>
          </w:tcPr>
          <w:p w14:paraId="3B19B85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115" w:type="dxa"/>
            <w:gridSpan w:val="2"/>
            <w:noWrap w:val="0"/>
            <w:vAlign w:val="center"/>
          </w:tcPr>
          <w:p w14:paraId="5A195A5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906" w:type="dxa"/>
            <w:gridSpan w:val="2"/>
            <w:noWrap w:val="0"/>
            <w:vAlign w:val="center"/>
          </w:tcPr>
          <w:p w14:paraId="6F352B5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5C84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56" w:type="dxa"/>
            <w:noWrap w:val="0"/>
            <w:vAlign w:val="center"/>
          </w:tcPr>
          <w:p w14:paraId="187A600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887" w:type="dxa"/>
            <w:gridSpan w:val="2"/>
            <w:noWrap w:val="0"/>
            <w:vAlign w:val="center"/>
          </w:tcPr>
          <w:p w14:paraId="277809A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115" w:type="dxa"/>
            <w:gridSpan w:val="2"/>
            <w:noWrap w:val="0"/>
            <w:vAlign w:val="center"/>
          </w:tcPr>
          <w:p w14:paraId="4D7817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906" w:type="dxa"/>
            <w:gridSpan w:val="2"/>
            <w:noWrap w:val="0"/>
            <w:vAlign w:val="center"/>
          </w:tcPr>
          <w:p w14:paraId="5D02DA6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40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3556" w:type="dxa"/>
            <w:noWrap w:val="0"/>
            <w:vAlign w:val="center"/>
          </w:tcPr>
          <w:p w14:paraId="0FF2221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887" w:type="dxa"/>
            <w:gridSpan w:val="2"/>
            <w:noWrap w:val="0"/>
            <w:vAlign w:val="center"/>
          </w:tcPr>
          <w:p w14:paraId="0386E68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115" w:type="dxa"/>
            <w:gridSpan w:val="2"/>
            <w:noWrap w:val="0"/>
            <w:vAlign w:val="center"/>
          </w:tcPr>
          <w:p w14:paraId="35AB0A0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316246D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6F5A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56" w:type="dxa"/>
            <w:noWrap w:val="0"/>
            <w:vAlign w:val="center"/>
          </w:tcPr>
          <w:p w14:paraId="361BEAB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887" w:type="dxa"/>
            <w:gridSpan w:val="2"/>
            <w:noWrap w:val="0"/>
            <w:vAlign w:val="center"/>
          </w:tcPr>
          <w:p w14:paraId="0C3A1CE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115" w:type="dxa"/>
            <w:gridSpan w:val="2"/>
            <w:noWrap w:val="0"/>
            <w:vAlign w:val="center"/>
          </w:tcPr>
          <w:p w14:paraId="30B8150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32ACBCC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6809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5C4D460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887" w:type="dxa"/>
            <w:gridSpan w:val="2"/>
            <w:noWrap w:val="0"/>
            <w:vAlign w:val="center"/>
          </w:tcPr>
          <w:p w14:paraId="387AB5B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72E5D0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906" w:type="dxa"/>
            <w:gridSpan w:val="2"/>
            <w:noWrap w:val="0"/>
            <w:vAlign w:val="center"/>
          </w:tcPr>
          <w:p w14:paraId="2B2FFBD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AAD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12E2DBE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887" w:type="dxa"/>
            <w:gridSpan w:val="2"/>
            <w:noWrap w:val="0"/>
            <w:vAlign w:val="center"/>
          </w:tcPr>
          <w:p w14:paraId="38E7900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3F7503B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906" w:type="dxa"/>
            <w:gridSpan w:val="2"/>
            <w:noWrap w:val="0"/>
            <w:vAlign w:val="center"/>
          </w:tcPr>
          <w:p w14:paraId="598261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7E4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42C089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887" w:type="dxa"/>
            <w:gridSpan w:val="2"/>
            <w:noWrap w:val="0"/>
            <w:vAlign w:val="center"/>
          </w:tcPr>
          <w:p w14:paraId="0BCA3C9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261F180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906" w:type="dxa"/>
            <w:gridSpan w:val="2"/>
            <w:noWrap w:val="0"/>
            <w:vAlign w:val="center"/>
          </w:tcPr>
          <w:p w14:paraId="34A643D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56FD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48CCC62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887" w:type="dxa"/>
            <w:gridSpan w:val="2"/>
            <w:noWrap w:val="0"/>
            <w:vAlign w:val="center"/>
          </w:tcPr>
          <w:p w14:paraId="54FD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0CC3F1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r>
              <w:rPr>
                <w:rFonts w:hint="eastAsia" w:ascii="仿宋" w:hAnsi="仿宋" w:eastAsia="仿宋" w:cs="仿宋"/>
                <w:b w:val="0"/>
                <w:bCs w:val="0"/>
                <w:kern w:val="0"/>
                <w:sz w:val="20"/>
                <w:szCs w:val="20"/>
              </w:rPr>
              <w:t>　</w:t>
            </w:r>
          </w:p>
        </w:tc>
        <w:tc>
          <w:tcPr>
            <w:tcW w:w="1906" w:type="dxa"/>
            <w:gridSpan w:val="2"/>
            <w:noWrap w:val="0"/>
            <w:vAlign w:val="center"/>
          </w:tcPr>
          <w:p w14:paraId="5310A9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r>
              <w:rPr>
                <w:rFonts w:hint="eastAsia" w:ascii="仿宋" w:hAnsi="仿宋" w:eastAsia="仿宋" w:cs="仿宋"/>
                <w:b w:val="0"/>
                <w:bCs w:val="0"/>
                <w:kern w:val="0"/>
                <w:sz w:val="20"/>
                <w:szCs w:val="20"/>
              </w:rPr>
              <w:t>　</w:t>
            </w:r>
          </w:p>
        </w:tc>
      </w:tr>
      <w:tr w14:paraId="2D52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556" w:type="dxa"/>
            <w:noWrap w:val="0"/>
            <w:vAlign w:val="center"/>
          </w:tcPr>
          <w:p w14:paraId="017FAE2C">
            <w:pPr>
              <w:widowControl/>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xml:space="preserve">    1、业务工作经费</w:t>
            </w:r>
          </w:p>
        </w:tc>
        <w:tc>
          <w:tcPr>
            <w:tcW w:w="1887" w:type="dxa"/>
            <w:gridSpan w:val="2"/>
            <w:noWrap w:val="0"/>
            <w:vAlign w:val="center"/>
          </w:tcPr>
          <w:p w14:paraId="5E4E680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p>
        </w:tc>
        <w:tc>
          <w:tcPr>
            <w:tcW w:w="2115" w:type="dxa"/>
            <w:gridSpan w:val="2"/>
            <w:noWrap w:val="0"/>
            <w:vAlign w:val="center"/>
          </w:tcPr>
          <w:p w14:paraId="397AA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254582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3949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0CBCFA23">
            <w:pPr>
              <w:widowControl/>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xml:space="preserve">    2、运行维护经费</w:t>
            </w:r>
          </w:p>
        </w:tc>
        <w:tc>
          <w:tcPr>
            <w:tcW w:w="1887" w:type="dxa"/>
            <w:gridSpan w:val="2"/>
            <w:noWrap w:val="0"/>
            <w:vAlign w:val="center"/>
          </w:tcPr>
          <w:p w14:paraId="1887299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 xml:space="preserve">  0</w:t>
            </w:r>
          </w:p>
        </w:tc>
        <w:tc>
          <w:tcPr>
            <w:tcW w:w="2115" w:type="dxa"/>
            <w:gridSpan w:val="2"/>
            <w:noWrap w:val="0"/>
            <w:vAlign w:val="center"/>
          </w:tcPr>
          <w:p w14:paraId="608E3704">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315ED86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p>
        </w:tc>
      </w:tr>
      <w:tr w14:paraId="4BBB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556" w:type="dxa"/>
            <w:noWrap w:val="0"/>
            <w:vAlign w:val="center"/>
          </w:tcPr>
          <w:p w14:paraId="688E389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tc>
        <w:tc>
          <w:tcPr>
            <w:tcW w:w="1887" w:type="dxa"/>
            <w:gridSpan w:val="2"/>
            <w:noWrap w:val="0"/>
            <w:vAlign w:val="center"/>
          </w:tcPr>
          <w:p w14:paraId="375C812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xml:space="preserve">  0</w:t>
            </w:r>
          </w:p>
        </w:tc>
        <w:tc>
          <w:tcPr>
            <w:tcW w:w="2115" w:type="dxa"/>
            <w:gridSpan w:val="2"/>
            <w:noWrap w:val="0"/>
            <w:vAlign w:val="center"/>
          </w:tcPr>
          <w:p w14:paraId="58A7942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6E78F99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43BC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66DB9AF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1887" w:type="dxa"/>
            <w:gridSpan w:val="2"/>
            <w:noWrap w:val="0"/>
            <w:vAlign w:val="center"/>
          </w:tcPr>
          <w:p w14:paraId="6B2E2DA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p>
        </w:tc>
        <w:tc>
          <w:tcPr>
            <w:tcW w:w="2115" w:type="dxa"/>
            <w:gridSpan w:val="2"/>
            <w:noWrap w:val="0"/>
            <w:vAlign w:val="center"/>
          </w:tcPr>
          <w:p w14:paraId="701DFD9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906" w:type="dxa"/>
            <w:gridSpan w:val="2"/>
            <w:noWrap w:val="0"/>
            <w:vAlign w:val="center"/>
          </w:tcPr>
          <w:p w14:paraId="233215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7518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6" w:type="dxa"/>
            <w:noWrap w:val="0"/>
            <w:vAlign w:val="center"/>
          </w:tcPr>
          <w:p w14:paraId="1C7AB72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eastAsia" w:ascii="仿宋" w:hAnsi="仿宋" w:eastAsia="仿宋" w:cs="仿宋"/>
                <w:b w:val="0"/>
                <w:bCs w:val="0"/>
                <w:kern w:val="0"/>
                <w:sz w:val="20"/>
                <w:szCs w:val="20"/>
                <w:lang w:val="en-US" w:eastAsia="zh-CN"/>
              </w:rPr>
              <w:t>5</w:t>
            </w:r>
            <w:r>
              <w:rPr>
                <w:rFonts w:hint="eastAsia" w:ascii="仿宋" w:hAnsi="仿宋" w:eastAsia="仿宋" w:cs="仿宋"/>
                <w:b w:val="0"/>
                <w:bCs w:val="0"/>
                <w:kern w:val="0"/>
                <w:sz w:val="20"/>
                <w:szCs w:val="20"/>
              </w:rPr>
              <w:t>、</w:t>
            </w:r>
            <w:r>
              <w:rPr>
                <w:rFonts w:hint="eastAsia" w:ascii="仿宋" w:hAnsi="仿宋" w:eastAsia="仿宋" w:cs="仿宋"/>
                <w:b w:val="0"/>
                <w:bCs w:val="0"/>
                <w:kern w:val="0"/>
                <w:sz w:val="20"/>
                <w:szCs w:val="20"/>
                <w:lang w:val="en-US" w:eastAsia="zh-CN"/>
              </w:rPr>
              <w:t>中央食品监管补助</w:t>
            </w:r>
          </w:p>
        </w:tc>
        <w:tc>
          <w:tcPr>
            <w:tcW w:w="1887" w:type="dxa"/>
            <w:gridSpan w:val="2"/>
            <w:noWrap w:val="0"/>
            <w:vAlign w:val="center"/>
          </w:tcPr>
          <w:p w14:paraId="52A2ECF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2B97B7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r>
              <w:rPr>
                <w:rFonts w:hint="eastAsia" w:ascii="仿宋" w:hAnsi="仿宋" w:eastAsia="仿宋" w:cs="仿宋"/>
                <w:b w:val="0"/>
                <w:bCs w:val="0"/>
                <w:kern w:val="0"/>
                <w:sz w:val="20"/>
                <w:szCs w:val="20"/>
              </w:rPr>
              <w:t>　</w:t>
            </w:r>
          </w:p>
        </w:tc>
        <w:tc>
          <w:tcPr>
            <w:tcW w:w="1906" w:type="dxa"/>
            <w:gridSpan w:val="2"/>
            <w:noWrap w:val="0"/>
            <w:vAlign w:val="center"/>
          </w:tcPr>
          <w:p w14:paraId="2370792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r>
              <w:rPr>
                <w:rFonts w:hint="eastAsia" w:ascii="仿宋" w:hAnsi="仿宋" w:eastAsia="仿宋" w:cs="仿宋"/>
                <w:b w:val="0"/>
                <w:bCs w:val="0"/>
                <w:kern w:val="0"/>
                <w:sz w:val="20"/>
                <w:szCs w:val="20"/>
              </w:rPr>
              <w:t>　</w:t>
            </w:r>
          </w:p>
        </w:tc>
      </w:tr>
      <w:tr w14:paraId="6515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6" w:type="dxa"/>
            <w:noWrap w:val="0"/>
            <w:vAlign w:val="center"/>
          </w:tcPr>
          <w:p w14:paraId="2CA8488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其中：基层监管所执法装备补助</w:t>
            </w:r>
          </w:p>
        </w:tc>
        <w:tc>
          <w:tcPr>
            <w:tcW w:w="1887" w:type="dxa"/>
            <w:gridSpan w:val="2"/>
            <w:noWrap w:val="0"/>
            <w:vAlign w:val="center"/>
          </w:tcPr>
          <w:p w14:paraId="1DEF228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61D81DB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906" w:type="dxa"/>
            <w:gridSpan w:val="2"/>
            <w:noWrap w:val="0"/>
            <w:vAlign w:val="center"/>
          </w:tcPr>
          <w:p w14:paraId="03828EE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r>
      <w:tr w14:paraId="446A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6" w:type="dxa"/>
            <w:noWrap w:val="0"/>
            <w:vAlign w:val="center"/>
          </w:tcPr>
          <w:p w14:paraId="63F9DAB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eastAsia" w:ascii="仿宋" w:hAnsi="仿宋" w:eastAsia="仿宋" w:cs="仿宋"/>
                <w:b w:val="0"/>
                <w:bCs w:val="0"/>
                <w:kern w:val="0"/>
                <w:sz w:val="20"/>
                <w:szCs w:val="20"/>
                <w:lang w:val="en-US" w:eastAsia="zh-CN"/>
              </w:rPr>
              <w:t xml:space="preserve">        基层监管所能力建设</w:t>
            </w:r>
          </w:p>
        </w:tc>
        <w:tc>
          <w:tcPr>
            <w:tcW w:w="1887" w:type="dxa"/>
            <w:gridSpan w:val="2"/>
            <w:noWrap w:val="0"/>
            <w:vAlign w:val="center"/>
          </w:tcPr>
          <w:p w14:paraId="5371AA6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115" w:type="dxa"/>
            <w:gridSpan w:val="2"/>
            <w:noWrap w:val="0"/>
            <w:vAlign w:val="center"/>
          </w:tcPr>
          <w:p w14:paraId="3B6F7F2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906" w:type="dxa"/>
            <w:gridSpan w:val="2"/>
            <w:noWrap w:val="0"/>
            <w:vAlign w:val="center"/>
          </w:tcPr>
          <w:p w14:paraId="17C8D30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r>
      <w:tr w14:paraId="4A67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2B6FD39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887" w:type="dxa"/>
            <w:gridSpan w:val="2"/>
            <w:noWrap w:val="0"/>
            <w:vAlign w:val="center"/>
          </w:tcPr>
          <w:p w14:paraId="51118EA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36.13</w:t>
            </w:r>
            <w:r>
              <w:rPr>
                <w:rFonts w:hint="eastAsia" w:ascii="仿宋" w:hAnsi="仿宋" w:eastAsia="仿宋" w:cs="仿宋"/>
                <w:b w:val="0"/>
                <w:bCs w:val="0"/>
                <w:kern w:val="0"/>
                <w:sz w:val="20"/>
                <w:szCs w:val="20"/>
              </w:rPr>
              <w:t>　</w:t>
            </w:r>
          </w:p>
        </w:tc>
        <w:tc>
          <w:tcPr>
            <w:tcW w:w="2115" w:type="dxa"/>
            <w:gridSpan w:val="2"/>
            <w:noWrap w:val="0"/>
            <w:vAlign w:val="center"/>
          </w:tcPr>
          <w:p w14:paraId="7ABD279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27.59</w:t>
            </w:r>
            <w:r>
              <w:rPr>
                <w:rFonts w:hint="eastAsia" w:ascii="仿宋" w:hAnsi="仿宋" w:eastAsia="仿宋" w:cs="仿宋"/>
                <w:b w:val="0"/>
                <w:bCs w:val="0"/>
                <w:kern w:val="0"/>
                <w:sz w:val="20"/>
                <w:szCs w:val="20"/>
              </w:rPr>
              <w:t>　</w:t>
            </w:r>
          </w:p>
        </w:tc>
        <w:tc>
          <w:tcPr>
            <w:tcW w:w="1906" w:type="dxa"/>
            <w:gridSpan w:val="2"/>
            <w:noWrap w:val="0"/>
            <w:vAlign w:val="center"/>
          </w:tcPr>
          <w:p w14:paraId="7872E4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27.59</w:t>
            </w:r>
            <w:r>
              <w:rPr>
                <w:rFonts w:hint="eastAsia" w:ascii="仿宋" w:hAnsi="仿宋" w:eastAsia="仿宋" w:cs="仿宋"/>
                <w:b w:val="0"/>
                <w:bCs w:val="0"/>
                <w:kern w:val="0"/>
                <w:sz w:val="20"/>
                <w:szCs w:val="20"/>
              </w:rPr>
              <w:t>　</w:t>
            </w:r>
          </w:p>
        </w:tc>
      </w:tr>
      <w:tr w14:paraId="62BE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4F8A041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887" w:type="dxa"/>
            <w:gridSpan w:val="2"/>
            <w:noWrap w:val="0"/>
            <w:vAlign w:val="center"/>
          </w:tcPr>
          <w:p w14:paraId="25CFC1E4">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c>
          <w:tcPr>
            <w:tcW w:w="2115" w:type="dxa"/>
            <w:gridSpan w:val="2"/>
            <w:noWrap w:val="0"/>
            <w:vAlign w:val="center"/>
          </w:tcPr>
          <w:p w14:paraId="26E1138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0.31</w:t>
            </w:r>
            <w:r>
              <w:rPr>
                <w:rFonts w:hint="eastAsia" w:ascii="仿宋" w:hAnsi="仿宋" w:eastAsia="仿宋" w:cs="仿宋"/>
                <w:b w:val="0"/>
                <w:bCs w:val="0"/>
                <w:color w:val="auto"/>
                <w:kern w:val="0"/>
                <w:sz w:val="20"/>
                <w:szCs w:val="20"/>
              </w:rPr>
              <w:t>　</w:t>
            </w:r>
          </w:p>
        </w:tc>
        <w:tc>
          <w:tcPr>
            <w:tcW w:w="1906" w:type="dxa"/>
            <w:gridSpan w:val="2"/>
            <w:noWrap w:val="0"/>
            <w:vAlign w:val="center"/>
          </w:tcPr>
          <w:p w14:paraId="4910B2B2">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0.31</w:t>
            </w:r>
            <w:r>
              <w:rPr>
                <w:rFonts w:hint="eastAsia" w:ascii="仿宋" w:hAnsi="仿宋" w:eastAsia="仿宋" w:cs="仿宋"/>
                <w:b w:val="0"/>
                <w:bCs w:val="0"/>
                <w:color w:val="auto"/>
                <w:kern w:val="0"/>
                <w:sz w:val="20"/>
                <w:szCs w:val="20"/>
              </w:rPr>
              <w:t>　</w:t>
            </w:r>
          </w:p>
        </w:tc>
      </w:tr>
      <w:tr w14:paraId="2125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215912B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887" w:type="dxa"/>
            <w:gridSpan w:val="2"/>
            <w:noWrap w:val="0"/>
            <w:vAlign w:val="center"/>
          </w:tcPr>
          <w:p w14:paraId="1BE5B64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c>
          <w:tcPr>
            <w:tcW w:w="2115" w:type="dxa"/>
            <w:gridSpan w:val="2"/>
            <w:noWrap w:val="0"/>
            <w:vAlign w:val="center"/>
          </w:tcPr>
          <w:p w14:paraId="1A49B06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906" w:type="dxa"/>
            <w:gridSpan w:val="2"/>
            <w:noWrap w:val="0"/>
            <w:vAlign w:val="center"/>
          </w:tcPr>
          <w:p w14:paraId="34C888BB">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r>
      <w:tr w14:paraId="1552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556" w:type="dxa"/>
            <w:noWrap w:val="0"/>
            <w:vAlign w:val="center"/>
          </w:tcPr>
          <w:p w14:paraId="14965AB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887" w:type="dxa"/>
            <w:gridSpan w:val="2"/>
            <w:noWrap w:val="0"/>
            <w:vAlign w:val="center"/>
          </w:tcPr>
          <w:p w14:paraId="5C82BBA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c>
          <w:tcPr>
            <w:tcW w:w="2115" w:type="dxa"/>
            <w:gridSpan w:val="2"/>
            <w:noWrap w:val="0"/>
            <w:vAlign w:val="center"/>
          </w:tcPr>
          <w:p w14:paraId="4D5F342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906" w:type="dxa"/>
            <w:gridSpan w:val="2"/>
            <w:noWrap w:val="0"/>
            <w:vAlign w:val="center"/>
          </w:tcPr>
          <w:p w14:paraId="0E55B62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r>
      <w:tr w14:paraId="71AC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7B33E52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887" w:type="dxa"/>
            <w:gridSpan w:val="2"/>
            <w:noWrap w:val="0"/>
            <w:vAlign w:val="center"/>
          </w:tcPr>
          <w:p w14:paraId="5BB4AC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115" w:type="dxa"/>
            <w:gridSpan w:val="2"/>
            <w:noWrap w:val="0"/>
            <w:vAlign w:val="center"/>
          </w:tcPr>
          <w:p w14:paraId="045A9D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906" w:type="dxa"/>
            <w:gridSpan w:val="2"/>
            <w:noWrap w:val="0"/>
            <w:vAlign w:val="center"/>
          </w:tcPr>
          <w:p w14:paraId="583BBEE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B31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6" w:type="dxa"/>
            <w:noWrap w:val="0"/>
            <w:vAlign w:val="center"/>
          </w:tcPr>
          <w:p w14:paraId="6E5745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1887" w:type="dxa"/>
            <w:gridSpan w:val="2"/>
            <w:noWrap w:val="0"/>
            <w:vAlign w:val="center"/>
          </w:tcPr>
          <w:p w14:paraId="46070D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115" w:type="dxa"/>
            <w:gridSpan w:val="2"/>
            <w:noWrap w:val="0"/>
            <w:vAlign w:val="center"/>
          </w:tcPr>
          <w:p w14:paraId="28A7C1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906" w:type="dxa"/>
            <w:gridSpan w:val="2"/>
            <w:noWrap w:val="0"/>
            <w:vAlign w:val="center"/>
          </w:tcPr>
          <w:p w14:paraId="747EC09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62C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556" w:type="dxa"/>
            <w:vMerge w:val="restart"/>
            <w:noWrap w:val="0"/>
            <w:vAlign w:val="center"/>
          </w:tcPr>
          <w:p w14:paraId="588FF331">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63968FFC">
            <w:pPr>
              <w:widowControl/>
              <w:jc w:val="center"/>
              <w:rPr>
                <w:rFonts w:hint="eastAsia" w:ascii="仿宋" w:hAnsi="仿宋" w:eastAsia="仿宋" w:cs="仿宋"/>
                <w:b w:val="0"/>
                <w:bCs w:val="0"/>
                <w:kern w:val="0"/>
                <w:sz w:val="20"/>
                <w:szCs w:val="20"/>
                <w:lang w:eastAsia="zh-CN"/>
              </w:rPr>
            </w:pPr>
          </w:p>
        </w:tc>
        <w:tc>
          <w:tcPr>
            <w:tcW w:w="984" w:type="dxa"/>
            <w:noWrap w:val="0"/>
            <w:vAlign w:val="center"/>
          </w:tcPr>
          <w:p w14:paraId="524ACCAB">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3345CA6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903" w:type="dxa"/>
            <w:noWrap w:val="0"/>
            <w:vAlign w:val="center"/>
          </w:tcPr>
          <w:p w14:paraId="625B850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065" w:type="dxa"/>
            <w:noWrap w:val="0"/>
            <w:vAlign w:val="center"/>
          </w:tcPr>
          <w:p w14:paraId="08AD1E0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050" w:type="dxa"/>
            <w:noWrap w:val="0"/>
            <w:vAlign w:val="center"/>
          </w:tcPr>
          <w:p w14:paraId="3CCA7F4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18" w:type="dxa"/>
            <w:noWrap w:val="0"/>
            <w:vAlign w:val="center"/>
          </w:tcPr>
          <w:p w14:paraId="03C7456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988" w:type="dxa"/>
            <w:noWrap w:val="0"/>
            <w:vAlign w:val="center"/>
          </w:tcPr>
          <w:p w14:paraId="5815FA7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60C9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556" w:type="dxa"/>
            <w:vMerge w:val="continue"/>
            <w:noWrap w:val="0"/>
            <w:vAlign w:val="center"/>
          </w:tcPr>
          <w:p w14:paraId="3D115C51">
            <w:pPr>
              <w:widowControl/>
              <w:jc w:val="left"/>
              <w:rPr>
                <w:rFonts w:hint="eastAsia" w:ascii="仿宋" w:hAnsi="仿宋" w:eastAsia="仿宋" w:cs="仿宋"/>
                <w:b w:val="0"/>
                <w:bCs w:val="0"/>
                <w:kern w:val="0"/>
                <w:sz w:val="20"/>
                <w:szCs w:val="20"/>
              </w:rPr>
            </w:pPr>
          </w:p>
        </w:tc>
        <w:tc>
          <w:tcPr>
            <w:tcW w:w="984" w:type="dxa"/>
            <w:noWrap w:val="0"/>
            <w:vAlign w:val="center"/>
          </w:tcPr>
          <w:p w14:paraId="21324D3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03" w:type="dxa"/>
            <w:noWrap w:val="0"/>
            <w:vAlign w:val="center"/>
          </w:tcPr>
          <w:p w14:paraId="719E76F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065" w:type="dxa"/>
            <w:noWrap w:val="0"/>
            <w:vAlign w:val="center"/>
          </w:tcPr>
          <w:p w14:paraId="13E3CFB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050" w:type="dxa"/>
            <w:noWrap w:val="0"/>
            <w:vAlign w:val="center"/>
          </w:tcPr>
          <w:p w14:paraId="2E83D7C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18" w:type="dxa"/>
            <w:noWrap w:val="0"/>
            <w:vAlign w:val="center"/>
          </w:tcPr>
          <w:p w14:paraId="1FC791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88" w:type="dxa"/>
            <w:noWrap w:val="0"/>
            <w:vAlign w:val="center"/>
          </w:tcPr>
          <w:p w14:paraId="0BA9E3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34B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56" w:type="dxa"/>
            <w:noWrap w:val="0"/>
            <w:vAlign w:val="center"/>
          </w:tcPr>
          <w:p w14:paraId="03FE843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908" w:type="dxa"/>
            <w:gridSpan w:val="6"/>
            <w:noWrap w:val="0"/>
            <w:vAlign w:val="center"/>
          </w:tcPr>
          <w:p w14:paraId="50F48E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43C1E69A">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14681B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C5F990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A377E8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bookmarkStart w:id="0" w:name="_GoBack"/>
      <w:bookmarkEnd w:id="0"/>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51"/>
        <w:gridCol w:w="1097"/>
        <w:gridCol w:w="990"/>
        <w:gridCol w:w="92"/>
        <w:gridCol w:w="1182"/>
        <w:gridCol w:w="1120"/>
        <w:gridCol w:w="701"/>
        <w:gridCol w:w="626"/>
        <w:gridCol w:w="1159"/>
      </w:tblGrid>
      <w:tr w14:paraId="3385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14:paraId="234D9E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w:t>
            </w:r>
            <w:r>
              <w:rPr>
                <w:rFonts w:hint="eastAsia" w:ascii="仿宋_GB2312" w:hAnsi="仿宋_GB2312" w:eastAsia="仿宋_GB2312" w:cs="仿宋_GB2312"/>
                <w:color w:val="000000"/>
                <w:kern w:val="0"/>
                <w:sz w:val="20"/>
                <w:szCs w:val="20"/>
                <w:lang w:val="en-US" w:eastAsia="zh-CN"/>
              </w:rPr>
              <w:t>单位</w:t>
            </w:r>
            <w:r>
              <w:rPr>
                <w:rFonts w:hint="eastAsia" w:ascii="仿宋_GB2312" w:hAnsi="仿宋_GB2312" w:eastAsia="仿宋_GB2312" w:cs="仿宋_GB2312"/>
                <w:color w:val="000000"/>
                <w:kern w:val="0"/>
                <w:sz w:val="20"/>
                <w:szCs w:val="20"/>
              </w:rPr>
              <w:t>名称</w:t>
            </w:r>
          </w:p>
        </w:tc>
        <w:tc>
          <w:tcPr>
            <w:tcW w:w="8118" w:type="dxa"/>
            <w:gridSpan w:val="9"/>
            <w:noWrap w:val="0"/>
            <w:vAlign w:val="center"/>
          </w:tcPr>
          <w:p w14:paraId="68A07C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怀化市市场监督管理局直属二局</w:t>
            </w:r>
            <w:r>
              <w:rPr>
                <w:rFonts w:hint="eastAsia" w:ascii="仿宋_GB2312" w:hAnsi="仿宋_GB2312" w:eastAsia="仿宋_GB2312" w:cs="仿宋_GB2312"/>
                <w:color w:val="000000"/>
                <w:kern w:val="0"/>
                <w:sz w:val="20"/>
                <w:szCs w:val="20"/>
              </w:rPr>
              <w:t>　</w:t>
            </w:r>
          </w:p>
        </w:tc>
      </w:tr>
      <w:tr w14:paraId="566E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14:paraId="546397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年度预</w:t>
            </w:r>
          </w:p>
          <w:p w14:paraId="241B93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算申请</w:t>
            </w:r>
          </w:p>
          <w:p w14:paraId="4E01CD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（万元）</w:t>
            </w:r>
          </w:p>
        </w:tc>
        <w:tc>
          <w:tcPr>
            <w:tcW w:w="2248" w:type="dxa"/>
            <w:gridSpan w:val="2"/>
            <w:noWrap w:val="0"/>
            <w:vAlign w:val="center"/>
          </w:tcPr>
          <w:p w14:paraId="1EE920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p>
        </w:tc>
        <w:tc>
          <w:tcPr>
            <w:tcW w:w="990" w:type="dxa"/>
            <w:noWrap w:val="0"/>
            <w:vAlign w:val="center"/>
          </w:tcPr>
          <w:p w14:paraId="06378C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年初</w:t>
            </w:r>
          </w:p>
          <w:p w14:paraId="63B47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预算数</w:t>
            </w:r>
          </w:p>
        </w:tc>
        <w:tc>
          <w:tcPr>
            <w:tcW w:w="1274" w:type="dxa"/>
            <w:gridSpan w:val="2"/>
            <w:noWrap w:val="0"/>
            <w:vAlign w:val="center"/>
          </w:tcPr>
          <w:p w14:paraId="0D888E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全年预算数</w:t>
            </w:r>
          </w:p>
        </w:tc>
        <w:tc>
          <w:tcPr>
            <w:tcW w:w="1120" w:type="dxa"/>
            <w:noWrap w:val="0"/>
            <w:vAlign w:val="center"/>
          </w:tcPr>
          <w:p w14:paraId="3D79A4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14:paraId="0FE2F4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701" w:type="dxa"/>
            <w:noWrap w:val="0"/>
            <w:vAlign w:val="center"/>
          </w:tcPr>
          <w:p w14:paraId="3E9B5A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626" w:type="dxa"/>
            <w:noWrap w:val="0"/>
            <w:vAlign w:val="center"/>
          </w:tcPr>
          <w:p w14:paraId="49D2D5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159" w:type="dxa"/>
            <w:noWrap w:val="0"/>
            <w:vAlign w:val="center"/>
          </w:tcPr>
          <w:p w14:paraId="7562B6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14:paraId="491A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7BFBD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2248" w:type="dxa"/>
            <w:gridSpan w:val="2"/>
            <w:noWrap w:val="0"/>
            <w:vAlign w:val="center"/>
          </w:tcPr>
          <w:p w14:paraId="28A345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年度资金总额</w:t>
            </w:r>
          </w:p>
        </w:tc>
        <w:tc>
          <w:tcPr>
            <w:tcW w:w="990" w:type="dxa"/>
            <w:noWrap w:val="0"/>
            <w:vAlign w:val="center"/>
          </w:tcPr>
          <w:p w14:paraId="229AAB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437.71</w:t>
            </w:r>
          </w:p>
        </w:tc>
        <w:tc>
          <w:tcPr>
            <w:tcW w:w="1274" w:type="dxa"/>
            <w:gridSpan w:val="2"/>
            <w:noWrap w:val="0"/>
            <w:vAlign w:val="center"/>
          </w:tcPr>
          <w:p w14:paraId="6D59FC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502.37</w:t>
            </w:r>
          </w:p>
        </w:tc>
        <w:tc>
          <w:tcPr>
            <w:tcW w:w="1120" w:type="dxa"/>
            <w:noWrap w:val="0"/>
            <w:vAlign w:val="center"/>
          </w:tcPr>
          <w:p w14:paraId="3C4FCC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502.37</w:t>
            </w:r>
          </w:p>
        </w:tc>
        <w:tc>
          <w:tcPr>
            <w:tcW w:w="701" w:type="dxa"/>
            <w:noWrap w:val="0"/>
            <w:vAlign w:val="center"/>
          </w:tcPr>
          <w:p w14:paraId="7BF09F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626" w:type="dxa"/>
            <w:noWrap w:val="0"/>
            <w:vAlign w:val="center"/>
          </w:tcPr>
          <w:p w14:paraId="3F866A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100%</w:t>
            </w:r>
          </w:p>
        </w:tc>
        <w:tc>
          <w:tcPr>
            <w:tcW w:w="1159" w:type="dxa"/>
            <w:noWrap w:val="0"/>
            <w:vAlign w:val="center"/>
          </w:tcPr>
          <w:p w14:paraId="1015BB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w:t>
            </w:r>
          </w:p>
        </w:tc>
      </w:tr>
      <w:tr w14:paraId="078E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4109B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2A8562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按收入性质分：</w:t>
            </w:r>
          </w:p>
        </w:tc>
        <w:tc>
          <w:tcPr>
            <w:tcW w:w="3606" w:type="dxa"/>
            <w:gridSpan w:val="4"/>
            <w:noWrap w:val="0"/>
            <w:vAlign w:val="center"/>
          </w:tcPr>
          <w:p w14:paraId="070E08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按支出性质分：</w:t>
            </w:r>
          </w:p>
        </w:tc>
      </w:tr>
      <w:tr w14:paraId="5AFE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7D9BB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3C4289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xml:space="preserve">  其中：  一般公共预算：</w:t>
            </w:r>
            <w:r>
              <w:rPr>
                <w:rFonts w:hint="eastAsia" w:ascii="仿宋_GB2312" w:hAnsi="仿宋_GB2312" w:eastAsia="仿宋_GB2312" w:cs="仿宋_GB2312"/>
                <w:color w:val="000000"/>
                <w:kern w:val="0"/>
                <w:sz w:val="20"/>
                <w:szCs w:val="20"/>
                <w:lang w:val="en-US" w:eastAsia="zh-CN"/>
              </w:rPr>
              <w:t>502.37</w:t>
            </w:r>
          </w:p>
        </w:tc>
        <w:tc>
          <w:tcPr>
            <w:tcW w:w="3606" w:type="dxa"/>
            <w:gridSpan w:val="4"/>
            <w:noWrap w:val="0"/>
            <w:vAlign w:val="center"/>
          </w:tcPr>
          <w:p w14:paraId="24002A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其中：基本支出：</w:t>
            </w:r>
            <w:r>
              <w:rPr>
                <w:rFonts w:hint="eastAsia" w:ascii="仿宋_GB2312" w:hAnsi="仿宋_GB2312" w:eastAsia="仿宋_GB2312" w:cs="仿宋_GB2312"/>
                <w:color w:val="000000"/>
                <w:kern w:val="0"/>
                <w:sz w:val="20"/>
                <w:szCs w:val="20"/>
                <w:lang w:val="en-US" w:eastAsia="zh-CN"/>
              </w:rPr>
              <w:t>490.37</w:t>
            </w:r>
          </w:p>
        </w:tc>
      </w:tr>
      <w:tr w14:paraId="2183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89B8C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75BDE836">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政府性基金拨款：</w:t>
            </w:r>
          </w:p>
        </w:tc>
        <w:tc>
          <w:tcPr>
            <w:tcW w:w="3606" w:type="dxa"/>
            <w:gridSpan w:val="4"/>
            <w:noWrap w:val="0"/>
            <w:vAlign w:val="center"/>
          </w:tcPr>
          <w:p w14:paraId="0633315B">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项目支出：</w:t>
            </w:r>
            <w:r>
              <w:rPr>
                <w:rFonts w:hint="eastAsia" w:ascii="仿宋_GB2312" w:hAnsi="仿宋_GB2312" w:eastAsia="仿宋_GB2312" w:cs="仿宋_GB2312"/>
                <w:color w:val="000000"/>
                <w:kern w:val="0"/>
                <w:sz w:val="20"/>
                <w:szCs w:val="20"/>
                <w:lang w:val="en-US" w:eastAsia="zh-CN"/>
              </w:rPr>
              <w:t>12</w:t>
            </w:r>
          </w:p>
        </w:tc>
      </w:tr>
      <w:tr w14:paraId="7A81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DB0E2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28BF8E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纳入专户管理的非税收入拨款：</w:t>
            </w:r>
          </w:p>
        </w:tc>
        <w:tc>
          <w:tcPr>
            <w:tcW w:w="3606" w:type="dxa"/>
            <w:gridSpan w:val="4"/>
            <w:noWrap w:val="0"/>
            <w:vAlign w:val="center"/>
          </w:tcPr>
          <w:p w14:paraId="196B1C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14:paraId="6369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14:paraId="073048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45B8B909">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其他资金：</w:t>
            </w:r>
          </w:p>
        </w:tc>
        <w:tc>
          <w:tcPr>
            <w:tcW w:w="3606" w:type="dxa"/>
            <w:gridSpan w:val="4"/>
            <w:noWrap w:val="0"/>
            <w:vAlign w:val="center"/>
          </w:tcPr>
          <w:p w14:paraId="3655ED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14:paraId="6D22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14:paraId="42A877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年度总体目标</w:t>
            </w:r>
          </w:p>
        </w:tc>
        <w:tc>
          <w:tcPr>
            <w:tcW w:w="4512" w:type="dxa"/>
            <w:gridSpan w:val="5"/>
            <w:noWrap w:val="0"/>
            <w:vAlign w:val="center"/>
          </w:tcPr>
          <w:p w14:paraId="6CA593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预期目标</w:t>
            </w:r>
          </w:p>
        </w:tc>
        <w:tc>
          <w:tcPr>
            <w:tcW w:w="3606" w:type="dxa"/>
            <w:gridSpan w:val="4"/>
            <w:noWrap w:val="0"/>
            <w:vAlign w:val="center"/>
          </w:tcPr>
          <w:p w14:paraId="3D8CA8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实际完成情况　</w:t>
            </w:r>
          </w:p>
        </w:tc>
      </w:tr>
      <w:tr w14:paraId="0B98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4" w:type="dxa"/>
            <w:vMerge w:val="continue"/>
            <w:noWrap w:val="0"/>
            <w:vAlign w:val="center"/>
          </w:tcPr>
          <w:p w14:paraId="69A3C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2" w:type="dxa"/>
            <w:gridSpan w:val="5"/>
            <w:noWrap w:val="0"/>
            <w:vAlign w:val="center"/>
          </w:tcPr>
          <w:p w14:paraId="37BFBA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1.加强基础建设，提升队伍素质；</w:t>
            </w:r>
          </w:p>
          <w:p w14:paraId="77937D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2.加强市场监管，守牢安全底线；</w:t>
            </w:r>
          </w:p>
          <w:p w14:paraId="6BEA45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3.优化营商环境，助力市场发展。　　</w:t>
            </w:r>
          </w:p>
        </w:tc>
        <w:tc>
          <w:tcPr>
            <w:tcW w:w="3606" w:type="dxa"/>
            <w:gridSpan w:val="4"/>
            <w:noWrap w:val="0"/>
            <w:vAlign w:val="center"/>
          </w:tcPr>
          <w:p w14:paraId="1A9FFC0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 xml:space="preserve">  </w:t>
            </w:r>
            <w:r>
              <w:rPr>
                <w:rFonts w:hint="eastAsia" w:ascii="仿宋_GB2312" w:hAnsi="仿宋_GB2312" w:eastAsia="仿宋_GB2312" w:cs="仿宋_GB2312"/>
                <w:color w:val="000000"/>
                <w:kern w:val="0"/>
                <w:sz w:val="20"/>
                <w:szCs w:val="20"/>
              </w:rPr>
              <w:t>1.添置了一批办公设施，购置4台电动车配置监管执法和消费维权一线提升工作效能</w:t>
            </w:r>
            <w:r>
              <w:rPr>
                <w:rFonts w:hint="eastAsia" w:ascii="仿宋_GB2312" w:hAnsi="仿宋_GB2312" w:eastAsia="仿宋_GB2312" w:cs="仿宋_GB2312"/>
                <w:color w:val="000000"/>
                <w:kern w:val="0"/>
                <w:sz w:val="20"/>
                <w:szCs w:val="20"/>
                <w:lang w:eastAsia="zh-CN"/>
              </w:rPr>
              <w:t>；邀请市局业务骨干培训业务，组织参加业务培训和案件评查，人员素质得以提升。</w:t>
            </w:r>
          </w:p>
          <w:p w14:paraId="0FE19BEB">
            <w:pPr>
              <w:keepNext w:val="0"/>
              <w:keepLines w:val="0"/>
              <w:pageBreakBefore w:val="0"/>
              <w:widowControl/>
              <w:kinsoku/>
              <w:wordWrap/>
              <w:overflowPunct/>
              <w:topLinePunct w:val="0"/>
              <w:autoSpaceDE/>
              <w:autoSpaceDN/>
              <w:bidi w:val="0"/>
              <w:adjustRightInd/>
              <w:snapToGrid/>
              <w:spacing w:line="240" w:lineRule="exact"/>
              <w:ind w:firstLine="400" w:firstLineChars="200"/>
              <w:jc w:val="both"/>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2.加强食品安全监管</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药械化安全监管</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特种设备安全监管</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产品质量监管</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用心用情维护消费者合法权益</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依法维护公平有序的市场环境</w:t>
            </w:r>
            <w:r>
              <w:rPr>
                <w:rFonts w:hint="eastAsia" w:ascii="仿宋_GB2312" w:hAnsi="仿宋_GB2312" w:eastAsia="仿宋_GB2312" w:cs="仿宋_GB2312"/>
                <w:color w:val="000000"/>
                <w:kern w:val="0"/>
                <w:sz w:val="20"/>
                <w:szCs w:val="20"/>
                <w:lang w:eastAsia="zh-CN"/>
              </w:rPr>
              <w:t>。</w:t>
            </w:r>
          </w:p>
          <w:p w14:paraId="6A42FDA7">
            <w:pPr>
              <w:keepNext w:val="0"/>
              <w:keepLines w:val="0"/>
              <w:pageBreakBefore w:val="0"/>
              <w:widowControl/>
              <w:kinsoku/>
              <w:wordWrap/>
              <w:overflowPunct/>
              <w:topLinePunct w:val="0"/>
              <w:autoSpaceDE/>
              <w:autoSpaceDN/>
              <w:bidi w:val="0"/>
              <w:adjustRightInd/>
              <w:snapToGrid/>
              <w:spacing w:line="240" w:lineRule="exact"/>
              <w:ind w:firstLine="400" w:firstLineChars="200"/>
              <w:jc w:val="both"/>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3.优服务提效能，打造便捷高效市场准入环境</w:t>
            </w: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真情贴心服务，积极主动助力经开区高质量发展。</w:t>
            </w:r>
          </w:p>
        </w:tc>
      </w:tr>
      <w:tr w14:paraId="6297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14:paraId="5EF9C7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14:paraId="5AF978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14:paraId="0FE255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14:paraId="5D919D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151" w:type="dxa"/>
            <w:noWrap w:val="0"/>
            <w:vAlign w:val="center"/>
          </w:tcPr>
          <w:p w14:paraId="5B1AA5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097" w:type="dxa"/>
            <w:noWrap w:val="0"/>
            <w:vAlign w:val="center"/>
          </w:tcPr>
          <w:p w14:paraId="1C49B0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1082" w:type="dxa"/>
            <w:gridSpan w:val="2"/>
            <w:noWrap w:val="0"/>
            <w:vAlign w:val="center"/>
          </w:tcPr>
          <w:p w14:paraId="27811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1182" w:type="dxa"/>
            <w:noWrap w:val="0"/>
            <w:vAlign w:val="center"/>
          </w:tcPr>
          <w:p w14:paraId="74AE7E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14:paraId="36EB27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c>
          <w:tcPr>
            <w:tcW w:w="1120" w:type="dxa"/>
            <w:noWrap w:val="0"/>
            <w:vAlign w:val="center"/>
          </w:tcPr>
          <w:p w14:paraId="4D4DE0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w:t>
            </w:r>
          </w:p>
          <w:p w14:paraId="3D0253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完成值</w:t>
            </w:r>
          </w:p>
        </w:tc>
        <w:tc>
          <w:tcPr>
            <w:tcW w:w="701" w:type="dxa"/>
            <w:noWrap w:val="0"/>
            <w:vAlign w:val="center"/>
          </w:tcPr>
          <w:p w14:paraId="730A27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分值</w:t>
            </w:r>
          </w:p>
        </w:tc>
        <w:tc>
          <w:tcPr>
            <w:tcW w:w="626" w:type="dxa"/>
            <w:noWrap w:val="0"/>
            <w:vAlign w:val="center"/>
          </w:tcPr>
          <w:p w14:paraId="1E85CC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得分</w:t>
            </w:r>
          </w:p>
        </w:tc>
        <w:tc>
          <w:tcPr>
            <w:tcW w:w="1159" w:type="dxa"/>
            <w:noWrap w:val="0"/>
            <w:vAlign w:val="top"/>
          </w:tcPr>
          <w:p w14:paraId="6F3BFA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偏差原因</w:t>
            </w:r>
          </w:p>
          <w:p w14:paraId="5DA053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分析及</w:t>
            </w:r>
          </w:p>
          <w:p w14:paraId="1D687A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改进措施</w:t>
            </w:r>
          </w:p>
        </w:tc>
      </w:tr>
      <w:tr w14:paraId="2DB5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44" w:type="dxa"/>
            <w:vMerge w:val="continue"/>
            <w:noWrap w:val="0"/>
            <w:vAlign w:val="center"/>
          </w:tcPr>
          <w:p w14:paraId="3B9785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restart"/>
            <w:noWrap w:val="0"/>
            <w:vAlign w:val="center"/>
          </w:tcPr>
          <w:p w14:paraId="76F7F0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14:paraId="4FC63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p>
        </w:tc>
        <w:tc>
          <w:tcPr>
            <w:tcW w:w="1097" w:type="dxa"/>
            <w:vMerge w:val="restart"/>
            <w:noWrap w:val="0"/>
            <w:vAlign w:val="center"/>
          </w:tcPr>
          <w:p w14:paraId="603595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w:t>
            </w:r>
          </w:p>
          <w:p w14:paraId="0A9C02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14:paraId="5B0584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投诉举报办结率</w:t>
            </w:r>
          </w:p>
        </w:tc>
        <w:tc>
          <w:tcPr>
            <w:tcW w:w="1182" w:type="dxa"/>
            <w:noWrap w:val="0"/>
            <w:vAlign w:val="center"/>
          </w:tcPr>
          <w:p w14:paraId="34CCDF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90%</w:t>
            </w:r>
          </w:p>
        </w:tc>
        <w:tc>
          <w:tcPr>
            <w:tcW w:w="1120" w:type="dxa"/>
            <w:noWrap w:val="0"/>
            <w:vAlign w:val="center"/>
          </w:tcPr>
          <w:p w14:paraId="2B11B7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100%</w:t>
            </w:r>
          </w:p>
        </w:tc>
        <w:tc>
          <w:tcPr>
            <w:tcW w:w="701" w:type="dxa"/>
            <w:noWrap w:val="0"/>
            <w:vAlign w:val="center"/>
          </w:tcPr>
          <w:p w14:paraId="0812001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10</w:t>
            </w:r>
          </w:p>
        </w:tc>
        <w:tc>
          <w:tcPr>
            <w:tcW w:w="626" w:type="dxa"/>
            <w:noWrap w:val="0"/>
            <w:vAlign w:val="center"/>
          </w:tcPr>
          <w:p w14:paraId="2BFB95B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10</w:t>
            </w:r>
          </w:p>
        </w:tc>
        <w:tc>
          <w:tcPr>
            <w:tcW w:w="1159" w:type="dxa"/>
            <w:noWrap w:val="0"/>
            <w:vAlign w:val="center"/>
          </w:tcPr>
          <w:p w14:paraId="0F538A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7C83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44" w:type="dxa"/>
            <w:vMerge w:val="continue"/>
            <w:noWrap w:val="0"/>
            <w:vAlign w:val="center"/>
          </w:tcPr>
          <w:p w14:paraId="0BCC9B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175E17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continue"/>
            <w:noWrap w:val="0"/>
            <w:vAlign w:val="center"/>
          </w:tcPr>
          <w:p w14:paraId="703517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2" w:type="dxa"/>
            <w:gridSpan w:val="2"/>
            <w:noWrap w:val="0"/>
            <w:vAlign w:val="center"/>
          </w:tcPr>
          <w:p w14:paraId="1C95B1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开展专项整治行动</w:t>
            </w:r>
          </w:p>
        </w:tc>
        <w:tc>
          <w:tcPr>
            <w:tcW w:w="1182" w:type="dxa"/>
            <w:noWrap w:val="0"/>
            <w:vAlign w:val="center"/>
          </w:tcPr>
          <w:p w14:paraId="4745CF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5</w:t>
            </w:r>
          </w:p>
        </w:tc>
        <w:tc>
          <w:tcPr>
            <w:tcW w:w="1120" w:type="dxa"/>
            <w:noWrap w:val="0"/>
            <w:vAlign w:val="center"/>
          </w:tcPr>
          <w:p w14:paraId="1440F1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701" w:type="dxa"/>
            <w:noWrap w:val="0"/>
            <w:vAlign w:val="center"/>
          </w:tcPr>
          <w:p w14:paraId="5EC44A8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p>
        </w:tc>
        <w:tc>
          <w:tcPr>
            <w:tcW w:w="626" w:type="dxa"/>
            <w:noWrap w:val="0"/>
            <w:vAlign w:val="center"/>
          </w:tcPr>
          <w:p w14:paraId="18805D0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p>
        </w:tc>
        <w:tc>
          <w:tcPr>
            <w:tcW w:w="1159" w:type="dxa"/>
            <w:noWrap w:val="0"/>
            <w:vAlign w:val="center"/>
          </w:tcPr>
          <w:p w14:paraId="69CE46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4FE5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EE4B3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25D5FF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198A4F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w:t>
            </w:r>
          </w:p>
          <w:p w14:paraId="53B99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14:paraId="6EA09F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食品安全“两个责任”</w:t>
            </w:r>
            <w:r>
              <w:rPr>
                <w:rFonts w:hint="eastAsia" w:ascii="仿宋_GB2312" w:hAnsi="仿宋_GB2312" w:eastAsia="仿宋_GB2312" w:cs="仿宋_GB2312"/>
                <w:color w:val="000000"/>
                <w:kern w:val="0"/>
                <w:sz w:val="20"/>
                <w:szCs w:val="20"/>
                <w:lang w:eastAsia="zh-CN"/>
              </w:rPr>
              <w:t>督导整改率</w:t>
            </w:r>
          </w:p>
        </w:tc>
        <w:tc>
          <w:tcPr>
            <w:tcW w:w="1182" w:type="dxa"/>
            <w:noWrap w:val="0"/>
            <w:vAlign w:val="center"/>
          </w:tcPr>
          <w:p w14:paraId="52EF84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90%</w:t>
            </w:r>
          </w:p>
        </w:tc>
        <w:tc>
          <w:tcPr>
            <w:tcW w:w="1120" w:type="dxa"/>
            <w:noWrap w:val="0"/>
            <w:vAlign w:val="center"/>
          </w:tcPr>
          <w:p w14:paraId="41603F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701" w:type="dxa"/>
            <w:noWrap w:val="0"/>
            <w:vAlign w:val="center"/>
          </w:tcPr>
          <w:p w14:paraId="4962090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626" w:type="dxa"/>
            <w:noWrap w:val="0"/>
            <w:vAlign w:val="center"/>
          </w:tcPr>
          <w:p w14:paraId="05E46F26">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159" w:type="dxa"/>
            <w:noWrap w:val="0"/>
            <w:vAlign w:val="center"/>
          </w:tcPr>
          <w:p w14:paraId="17CD95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677C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FC079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11402E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continue"/>
            <w:noWrap w:val="0"/>
            <w:vAlign w:val="center"/>
          </w:tcPr>
          <w:p w14:paraId="2DF645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2" w:type="dxa"/>
            <w:gridSpan w:val="2"/>
            <w:noWrap w:val="0"/>
            <w:vAlign w:val="center"/>
          </w:tcPr>
          <w:p w14:paraId="46A422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市场主体平稳增长</w:t>
            </w:r>
          </w:p>
        </w:tc>
        <w:tc>
          <w:tcPr>
            <w:tcW w:w="1182" w:type="dxa"/>
            <w:noWrap w:val="0"/>
            <w:vAlign w:val="center"/>
          </w:tcPr>
          <w:p w14:paraId="0F8131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平稳增长</w:t>
            </w:r>
          </w:p>
        </w:tc>
        <w:tc>
          <w:tcPr>
            <w:tcW w:w="1120" w:type="dxa"/>
            <w:noWrap w:val="0"/>
            <w:vAlign w:val="center"/>
          </w:tcPr>
          <w:p w14:paraId="200FD9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平稳增长</w:t>
            </w:r>
          </w:p>
        </w:tc>
        <w:tc>
          <w:tcPr>
            <w:tcW w:w="701" w:type="dxa"/>
            <w:noWrap w:val="0"/>
            <w:vAlign w:val="center"/>
          </w:tcPr>
          <w:p w14:paraId="0880BAA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p>
        </w:tc>
        <w:tc>
          <w:tcPr>
            <w:tcW w:w="626" w:type="dxa"/>
            <w:noWrap w:val="0"/>
            <w:vAlign w:val="center"/>
          </w:tcPr>
          <w:p w14:paraId="5CDC00B3">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p>
        </w:tc>
        <w:tc>
          <w:tcPr>
            <w:tcW w:w="1159" w:type="dxa"/>
            <w:noWrap w:val="0"/>
            <w:vAlign w:val="center"/>
          </w:tcPr>
          <w:p w14:paraId="4CF259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5263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44" w:type="dxa"/>
            <w:vMerge w:val="continue"/>
            <w:noWrap w:val="0"/>
            <w:vAlign w:val="center"/>
          </w:tcPr>
          <w:p w14:paraId="71DB56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0CD4FE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0575EF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w:t>
            </w:r>
          </w:p>
          <w:p w14:paraId="4D7B65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14:paraId="26BF8C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完成时间</w:t>
            </w:r>
          </w:p>
        </w:tc>
        <w:tc>
          <w:tcPr>
            <w:tcW w:w="1182" w:type="dxa"/>
            <w:noWrap w:val="0"/>
            <w:vAlign w:val="center"/>
          </w:tcPr>
          <w:p w14:paraId="5070A4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2023年12月31日前完成</w:t>
            </w:r>
          </w:p>
        </w:tc>
        <w:tc>
          <w:tcPr>
            <w:tcW w:w="1120" w:type="dxa"/>
            <w:noWrap w:val="0"/>
            <w:vAlign w:val="center"/>
          </w:tcPr>
          <w:p w14:paraId="562B11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2023年12月31日前完成</w:t>
            </w:r>
          </w:p>
        </w:tc>
        <w:tc>
          <w:tcPr>
            <w:tcW w:w="701" w:type="dxa"/>
            <w:noWrap w:val="0"/>
            <w:vAlign w:val="center"/>
          </w:tcPr>
          <w:p w14:paraId="2F0FCAFA">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5</w:t>
            </w:r>
          </w:p>
        </w:tc>
        <w:tc>
          <w:tcPr>
            <w:tcW w:w="626" w:type="dxa"/>
            <w:noWrap w:val="0"/>
            <w:vAlign w:val="center"/>
          </w:tcPr>
          <w:p w14:paraId="68C5A982">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5</w:t>
            </w:r>
          </w:p>
        </w:tc>
        <w:tc>
          <w:tcPr>
            <w:tcW w:w="1159" w:type="dxa"/>
            <w:noWrap w:val="0"/>
            <w:vAlign w:val="center"/>
          </w:tcPr>
          <w:p w14:paraId="63595C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1303DE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38A1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44" w:type="dxa"/>
            <w:vMerge w:val="continue"/>
            <w:noWrap w:val="0"/>
            <w:vAlign w:val="center"/>
          </w:tcPr>
          <w:p w14:paraId="023B0E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738917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706061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成本</w:t>
            </w:r>
          </w:p>
          <w:p w14:paraId="496A0C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14:paraId="3F93BE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经费使用控制在预算数内</w:t>
            </w:r>
          </w:p>
        </w:tc>
        <w:tc>
          <w:tcPr>
            <w:tcW w:w="1182" w:type="dxa"/>
            <w:noWrap w:val="0"/>
            <w:vAlign w:val="center"/>
          </w:tcPr>
          <w:p w14:paraId="13E8D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100%</w:t>
            </w:r>
          </w:p>
        </w:tc>
        <w:tc>
          <w:tcPr>
            <w:tcW w:w="1120" w:type="dxa"/>
            <w:noWrap w:val="0"/>
            <w:vAlign w:val="center"/>
          </w:tcPr>
          <w:p w14:paraId="456D6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100%</w:t>
            </w:r>
          </w:p>
        </w:tc>
        <w:tc>
          <w:tcPr>
            <w:tcW w:w="701" w:type="dxa"/>
            <w:noWrap w:val="0"/>
            <w:vAlign w:val="center"/>
          </w:tcPr>
          <w:p w14:paraId="171A30CD">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5</w:t>
            </w:r>
          </w:p>
        </w:tc>
        <w:tc>
          <w:tcPr>
            <w:tcW w:w="626" w:type="dxa"/>
            <w:noWrap w:val="0"/>
            <w:vAlign w:val="center"/>
          </w:tcPr>
          <w:p w14:paraId="1454546E">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5</w:t>
            </w:r>
          </w:p>
        </w:tc>
        <w:tc>
          <w:tcPr>
            <w:tcW w:w="1159" w:type="dxa"/>
            <w:noWrap w:val="0"/>
            <w:vAlign w:val="center"/>
          </w:tcPr>
          <w:p w14:paraId="3D152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33D893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7FF1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44" w:type="dxa"/>
            <w:vMerge w:val="continue"/>
            <w:noWrap w:val="0"/>
            <w:vAlign w:val="center"/>
          </w:tcPr>
          <w:p w14:paraId="5F3B1C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restart"/>
            <w:noWrap w:val="0"/>
            <w:vAlign w:val="center"/>
          </w:tcPr>
          <w:p w14:paraId="3E4028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14:paraId="25A1A8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1097" w:type="dxa"/>
            <w:vMerge w:val="restart"/>
            <w:noWrap w:val="0"/>
            <w:vAlign w:val="center"/>
          </w:tcPr>
          <w:p w14:paraId="4FC0F6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14:paraId="4B3ED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14:paraId="52604E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为消费者挽回经济损失</w:t>
            </w:r>
          </w:p>
        </w:tc>
        <w:tc>
          <w:tcPr>
            <w:tcW w:w="1182" w:type="dxa"/>
            <w:noWrap w:val="0"/>
            <w:vAlign w:val="center"/>
          </w:tcPr>
          <w:p w14:paraId="7EC3FD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挽回经济损失</w:t>
            </w:r>
          </w:p>
        </w:tc>
        <w:tc>
          <w:tcPr>
            <w:tcW w:w="1120" w:type="dxa"/>
            <w:noWrap w:val="0"/>
            <w:vAlign w:val="center"/>
          </w:tcPr>
          <w:p w14:paraId="2AC8EDE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达到预期目标</w:t>
            </w:r>
          </w:p>
        </w:tc>
        <w:tc>
          <w:tcPr>
            <w:tcW w:w="701" w:type="dxa"/>
            <w:noWrap w:val="0"/>
            <w:vAlign w:val="center"/>
          </w:tcPr>
          <w:p w14:paraId="44835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p w14:paraId="36A058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p w14:paraId="6039F5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626" w:type="dxa"/>
            <w:noWrap w:val="0"/>
            <w:vAlign w:val="center"/>
          </w:tcPr>
          <w:p w14:paraId="7A1F46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p w14:paraId="3CDE8F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p w14:paraId="3A6572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159" w:type="dxa"/>
            <w:noWrap w:val="0"/>
            <w:vAlign w:val="center"/>
          </w:tcPr>
          <w:p w14:paraId="304986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427A26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5AA2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44" w:type="dxa"/>
            <w:vMerge w:val="continue"/>
            <w:noWrap w:val="0"/>
            <w:vAlign w:val="center"/>
          </w:tcPr>
          <w:p w14:paraId="2081F7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6E7349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7617A8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14:paraId="305AE6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14:paraId="12182A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净化消费环境</w:t>
            </w:r>
          </w:p>
        </w:tc>
        <w:tc>
          <w:tcPr>
            <w:tcW w:w="1182" w:type="dxa"/>
            <w:noWrap w:val="0"/>
            <w:vAlign w:val="center"/>
          </w:tcPr>
          <w:p w14:paraId="4A95C9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逐年提高</w:t>
            </w:r>
          </w:p>
        </w:tc>
        <w:tc>
          <w:tcPr>
            <w:tcW w:w="1120" w:type="dxa"/>
            <w:noWrap w:val="0"/>
            <w:vAlign w:val="center"/>
          </w:tcPr>
          <w:p w14:paraId="522EB5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逐年提高</w:t>
            </w:r>
          </w:p>
        </w:tc>
        <w:tc>
          <w:tcPr>
            <w:tcW w:w="701" w:type="dxa"/>
            <w:noWrap w:val="0"/>
            <w:vAlign w:val="center"/>
          </w:tcPr>
          <w:p w14:paraId="777A50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626" w:type="dxa"/>
            <w:noWrap w:val="0"/>
            <w:vAlign w:val="center"/>
          </w:tcPr>
          <w:p w14:paraId="234954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9</w:t>
            </w:r>
          </w:p>
        </w:tc>
        <w:tc>
          <w:tcPr>
            <w:tcW w:w="1159" w:type="dxa"/>
            <w:noWrap w:val="0"/>
            <w:vAlign w:val="center"/>
          </w:tcPr>
          <w:p w14:paraId="71FE7E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155A5F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3B8D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44" w:type="dxa"/>
            <w:vMerge w:val="continue"/>
            <w:noWrap w:val="0"/>
            <w:vAlign w:val="center"/>
          </w:tcPr>
          <w:p w14:paraId="7D3E15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08F55C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4B9DFA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14:paraId="512686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14:paraId="5D9A4EA7">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rPr>
              <w:t>无安全事故发生</w:t>
            </w:r>
          </w:p>
        </w:tc>
        <w:tc>
          <w:tcPr>
            <w:tcW w:w="1182" w:type="dxa"/>
            <w:noWrap w:val="0"/>
            <w:vAlign w:val="center"/>
          </w:tcPr>
          <w:p w14:paraId="4CA25C4E">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rPr>
              <w:t>无安全事故发生</w:t>
            </w:r>
          </w:p>
        </w:tc>
        <w:tc>
          <w:tcPr>
            <w:tcW w:w="1120" w:type="dxa"/>
            <w:noWrap w:val="0"/>
            <w:vAlign w:val="center"/>
          </w:tcPr>
          <w:p w14:paraId="42C9CC24">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rPr>
              <w:t>达到预期目标</w:t>
            </w:r>
          </w:p>
        </w:tc>
        <w:tc>
          <w:tcPr>
            <w:tcW w:w="701" w:type="dxa"/>
            <w:noWrap w:val="0"/>
            <w:vAlign w:val="center"/>
          </w:tcPr>
          <w:p w14:paraId="4616BEEA">
            <w:pPr>
              <w:widowControl/>
              <w:spacing w:line="240" w:lineRule="exact"/>
              <w:jc w:val="center"/>
              <w:rPr>
                <w:rFonts w:hint="eastAsia" w:ascii="仿宋_GB2312" w:hAnsi="仿宋_GB2312" w:eastAsia="仿宋_GB2312" w:cs="仿宋_GB2312"/>
                <w:color w:val="000000"/>
                <w:sz w:val="20"/>
                <w:szCs w:val="20"/>
              </w:rPr>
            </w:pPr>
          </w:p>
          <w:p w14:paraId="6104691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p w14:paraId="3F2C43F4">
            <w:pPr>
              <w:widowControl/>
              <w:spacing w:line="240" w:lineRule="exact"/>
              <w:jc w:val="center"/>
              <w:rPr>
                <w:rFonts w:hint="eastAsia" w:ascii="仿宋_GB2312" w:hAnsi="仿宋_GB2312" w:eastAsia="仿宋_GB2312" w:cs="仿宋_GB2312"/>
                <w:color w:val="000000"/>
                <w:kern w:val="0"/>
                <w:sz w:val="20"/>
                <w:szCs w:val="20"/>
              </w:rPr>
            </w:pPr>
          </w:p>
        </w:tc>
        <w:tc>
          <w:tcPr>
            <w:tcW w:w="626" w:type="dxa"/>
            <w:noWrap w:val="0"/>
            <w:vAlign w:val="center"/>
          </w:tcPr>
          <w:p w14:paraId="2AA39395">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lang w:val="en-US" w:eastAsia="zh-CN"/>
              </w:rPr>
              <w:t>10</w:t>
            </w:r>
          </w:p>
        </w:tc>
        <w:tc>
          <w:tcPr>
            <w:tcW w:w="1159" w:type="dxa"/>
            <w:noWrap w:val="0"/>
            <w:vAlign w:val="center"/>
          </w:tcPr>
          <w:p w14:paraId="25BAA9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39C24D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4D49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44" w:type="dxa"/>
            <w:vMerge w:val="continue"/>
            <w:noWrap w:val="0"/>
            <w:vAlign w:val="center"/>
          </w:tcPr>
          <w:p w14:paraId="3A7BD3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1" w:type="dxa"/>
            <w:vMerge w:val="continue"/>
            <w:noWrap w:val="0"/>
            <w:vAlign w:val="center"/>
          </w:tcPr>
          <w:p w14:paraId="674E56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7" w:type="dxa"/>
            <w:vMerge w:val="restart"/>
            <w:noWrap w:val="0"/>
            <w:vAlign w:val="center"/>
          </w:tcPr>
          <w:p w14:paraId="225366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082" w:type="dxa"/>
            <w:gridSpan w:val="2"/>
            <w:noWrap w:val="0"/>
            <w:vAlign w:val="center"/>
          </w:tcPr>
          <w:p w14:paraId="0EC06C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持续推进公平竞争的市场环境和法制化、便利化的营商环境</w:t>
            </w:r>
          </w:p>
        </w:tc>
        <w:tc>
          <w:tcPr>
            <w:tcW w:w="1182" w:type="dxa"/>
            <w:noWrap w:val="0"/>
            <w:vAlign w:val="center"/>
          </w:tcPr>
          <w:p w14:paraId="6FC716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持续推进</w:t>
            </w:r>
          </w:p>
        </w:tc>
        <w:tc>
          <w:tcPr>
            <w:tcW w:w="1120" w:type="dxa"/>
            <w:noWrap w:val="0"/>
            <w:vAlign w:val="center"/>
          </w:tcPr>
          <w:p w14:paraId="438AA2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持续推进</w:t>
            </w:r>
          </w:p>
        </w:tc>
        <w:tc>
          <w:tcPr>
            <w:tcW w:w="701" w:type="dxa"/>
            <w:noWrap w:val="0"/>
            <w:vAlign w:val="center"/>
          </w:tcPr>
          <w:p w14:paraId="18A8D337">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lang w:val="en-US" w:eastAsia="zh-CN"/>
              </w:rPr>
              <w:t>10</w:t>
            </w:r>
          </w:p>
        </w:tc>
        <w:tc>
          <w:tcPr>
            <w:tcW w:w="626" w:type="dxa"/>
            <w:noWrap w:val="0"/>
            <w:vAlign w:val="center"/>
          </w:tcPr>
          <w:p w14:paraId="1AF06B2C">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lang w:val="en-US" w:eastAsia="zh-CN"/>
              </w:rPr>
              <w:t>9</w:t>
            </w:r>
          </w:p>
        </w:tc>
        <w:tc>
          <w:tcPr>
            <w:tcW w:w="1159" w:type="dxa"/>
            <w:noWrap w:val="0"/>
            <w:vAlign w:val="center"/>
          </w:tcPr>
          <w:p w14:paraId="597E92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3342EF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3422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144" w:type="dxa"/>
            <w:vMerge w:val="continue"/>
            <w:noWrap w:val="0"/>
            <w:vAlign w:val="center"/>
          </w:tcPr>
          <w:p w14:paraId="77AE72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51" w:type="dxa"/>
            <w:noWrap w:val="0"/>
            <w:vAlign w:val="center"/>
          </w:tcPr>
          <w:p w14:paraId="54D371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14:paraId="37F276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14:paraId="49FDDA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97" w:type="dxa"/>
            <w:noWrap w:val="0"/>
            <w:vAlign w:val="center"/>
          </w:tcPr>
          <w:p w14:paraId="3EDE24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082" w:type="dxa"/>
            <w:gridSpan w:val="2"/>
            <w:noWrap w:val="0"/>
            <w:vAlign w:val="center"/>
          </w:tcPr>
          <w:p w14:paraId="102F6D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社会公众的满意度</w:t>
            </w:r>
          </w:p>
        </w:tc>
        <w:tc>
          <w:tcPr>
            <w:tcW w:w="1182" w:type="dxa"/>
            <w:noWrap w:val="0"/>
            <w:vAlign w:val="center"/>
          </w:tcPr>
          <w:p w14:paraId="56066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w:t>
            </w:r>
            <w:r>
              <w:rPr>
                <w:rFonts w:hint="eastAsia" w:ascii="仿宋_GB2312" w:hAnsi="仿宋_GB2312" w:eastAsia="仿宋_GB2312" w:cs="仿宋_GB2312"/>
                <w:color w:val="000000"/>
                <w:kern w:val="0"/>
                <w:sz w:val="20"/>
                <w:szCs w:val="20"/>
                <w:lang w:val="en-US" w:eastAsia="zh-CN"/>
              </w:rPr>
              <w:t>/</w:t>
            </w:r>
            <w:r>
              <w:rPr>
                <w:rFonts w:hint="eastAsia" w:ascii="仿宋_GB2312" w:hAnsi="仿宋_GB2312" w:eastAsia="仿宋_GB2312" w:cs="仿宋_GB2312"/>
                <w:color w:val="000000"/>
                <w:kern w:val="0"/>
                <w:sz w:val="20"/>
                <w:szCs w:val="20"/>
                <w:lang w:eastAsia="zh-CN"/>
              </w:rPr>
              <w:t>不</w:t>
            </w:r>
            <w:r>
              <w:rPr>
                <w:rFonts w:hint="eastAsia" w:ascii="仿宋_GB2312" w:hAnsi="仿宋_GB2312" w:eastAsia="仿宋_GB2312" w:cs="仿宋_GB2312"/>
                <w:color w:val="000000"/>
                <w:kern w:val="0"/>
                <w:sz w:val="20"/>
                <w:szCs w:val="20"/>
              </w:rPr>
              <w:t>满意</w:t>
            </w:r>
          </w:p>
        </w:tc>
        <w:tc>
          <w:tcPr>
            <w:tcW w:w="1120" w:type="dxa"/>
            <w:noWrap w:val="0"/>
            <w:vAlign w:val="center"/>
          </w:tcPr>
          <w:p w14:paraId="76DA03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w:t>
            </w:r>
          </w:p>
        </w:tc>
        <w:tc>
          <w:tcPr>
            <w:tcW w:w="701" w:type="dxa"/>
            <w:noWrap w:val="0"/>
            <w:vAlign w:val="center"/>
          </w:tcPr>
          <w:p w14:paraId="06208C74">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lang w:val="en-US" w:eastAsia="zh-CN"/>
              </w:rPr>
              <w:t>10</w:t>
            </w:r>
          </w:p>
        </w:tc>
        <w:tc>
          <w:tcPr>
            <w:tcW w:w="626" w:type="dxa"/>
            <w:noWrap w:val="0"/>
            <w:vAlign w:val="center"/>
          </w:tcPr>
          <w:p w14:paraId="23BA923F">
            <w:pPr>
              <w:widowControl/>
              <w:spacing w:line="240" w:lineRule="exact"/>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sz w:val="20"/>
                <w:szCs w:val="20"/>
                <w:lang w:val="en-US" w:eastAsia="zh-CN"/>
              </w:rPr>
              <w:t>10</w:t>
            </w:r>
          </w:p>
        </w:tc>
        <w:tc>
          <w:tcPr>
            <w:tcW w:w="1159" w:type="dxa"/>
            <w:noWrap w:val="0"/>
            <w:vAlign w:val="center"/>
          </w:tcPr>
          <w:p w14:paraId="4EA6C8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p w14:paraId="21BBFF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14:paraId="0247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6" w:type="dxa"/>
            <w:gridSpan w:val="7"/>
            <w:noWrap w:val="0"/>
            <w:vAlign w:val="center"/>
          </w:tcPr>
          <w:p w14:paraId="7BF421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701" w:type="dxa"/>
            <w:noWrap w:val="0"/>
            <w:vAlign w:val="center"/>
          </w:tcPr>
          <w:p w14:paraId="110A73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626" w:type="dxa"/>
            <w:noWrap w:val="0"/>
            <w:vAlign w:val="center"/>
          </w:tcPr>
          <w:p w14:paraId="406B4F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98</w:t>
            </w:r>
          </w:p>
        </w:tc>
        <w:tc>
          <w:tcPr>
            <w:tcW w:w="1159" w:type="dxa"/>
            <w:noWrap w:val="0"/>
            <w:vAlign w:val="center"/>
          </w:tcPr>
          <w:p w14:paraId="466172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14:paraId="2E59803C">
      <w:pPr>
        <w:rPr>
          <w:rFonts w:hint="default"/>
          <w:lang w:val="en-US" w:eastAsia="zh-CN"/>
        </w:rPr>
      </w:pPr>
    </w:p>
    <w:sectPr>
      <w:footerReference r:id="rId3" w:type="default"/>
      <w:pgSz w:w="11906" w:h="16838"/>
      <w:pgMar w:top="1701" w:right="170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05DD91-8849-422E-8787-3AFF13B1B7A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9D16A94-9D85-49FB-8917-41E9AFD10625}"/>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3" w:fontKey="{84C2C847-AA95-4E72-BFA1-019B3CD19C69}"/>
  </w:font>
  <w:font w:name="方正小标宋_GBK">
    <w:panose1 w:val="03000509000000000000"/>
    <w:charset w:val="86"/>
    <w:family w:val="auto"/>
    <w:pitch w:val="default"/>
    <w:sig w:usb0="00000001" w:usb1="080E0000" w:usb2="00000000" w:usb3="00000000" w:csb0="00040000" w:csb1="00000000"/>
    <w:embedRegular r:id="rId4" w:fontKey="{A02F23E6-FA6D-498F-A439-F98160FC3230}"/>
  </w:font>
  <w:font w:name="仿宋_GB2312">
    <w:panose1 w:val="02010609030101010101"/>
    <w:charset w:val="86"/>
    <w:family w:val="auto"/>
    <w:pitch w:val="default"/>
    <w:sig w:usb0="00000001" w:usb1="080E0000" w:usb2="00000000" w:usb3="00000000" w:csb0="00040000" w:csb1="00000000"/>
    <w:embedRegular r:id="rId5" w:fontKey="{0A33B42A-478C-4387-A682-20DEF0BED03A}"/>
  </w:font>
  <w:font w:name="方正小标宋简体">
    <w:panose1 w:val="03000509000000000000"/>
    <w:charset w:val="86"/>
    <w:family w:val="auto"/>
    <w:pitch w:val="default"/>
    <w:sig w:usb0="00000001" w:usb1="080E0000" w:usb2="00000000" w:usb3="00000000" w:csb0="00040000" w:csb1="00000000"/>
    <w:embedRegular r:id="rId6" w:fontKey="{C766B120-C2E9-4820-B9D8-589970AF492B}"/>
  </w:font>
  <w:font w:name="仿宋">
    <w:panose1 w:val="02010609060101010101"/>
    <w:charset w:val="86"/>
    <w:family w:val="auto"/>
    <w:pitch w:val="default"/>
    <w:sig w:usb0="800002BF" w:usb1="38CF7CFA" w:usb2="00000016" w:usb3="00000000" w:csb0="00040001" w:csb1="00000000"/>
    <w:embedRegular r:id="rId7" w:fontKey="{261D2759-526B-4334-A7C3-9E4F38B045F5}"/>
  </w:font>
  <w:font w:name="方正仿宋_GB2312">
    <w:altName w:val="仿宋"/>
    <w:panose1 w:val="02000000000000000000"/>
    <w:charset w:val="86"/>
    <w:family w:val="auto"/>
    <w:pitch w:val="default"/>
    <w:sig w:usb0="00000000" w:usb1="00000000" w:usb2="00000012" w:usb3="00000000" w:csb0="00040001" w:csb1="00000000"/>
    <w:embedRegular r:id="rId8" w:fontKey="{4B81C7BB-B4F4-4C76-B5D5-A4DBC1C674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34C5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E3E5F">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0E3E5F">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mMTkwMDg0Y2M4Yjk4NGMyNDYyZTMyMDEzMjc5ZWUifQ=="/>
    <w:docVar w:name="KSO_WPS_MARK_KEY" w:val="9920a277-c0c3-43b4-93d3-1636fe398e0b"/>
  </w:docVars>
  <w:rsids>
    <w:rsidRoot w:val="753C4E9B"/>
    <w:rsid w:val="00B65805"/>
    <w:rsid w:val="05E95AA6"/>
    <w:rsid w:val="062736E9"/>
    <w:rsid w:val="0C180A78"/>
    <w:rsid w:val="0D276746"/>
    <w:rsid w:val="0D464D9C"/>
    <w:rsid w:val="0DD52794"/>
    <w:rsid w:val="0E956870"/>
    <w:rsid w:val="10C666A5"/>
    <w:rsid w:val="1223366A"/>
    <w:rsid w:val="143877FD"/>
    <w:rsid w:val="17E44237"/>
    <w:rsid w:val="19E805B2"/>
    <w:rsid w:val="22FE234B"/>
    <w:rsid w:val="277E6F02"/>
    <w:rsid w:val="28BA7F95"/>
    <w:rsid w:val="29990575"/>
    <w:rsid w:val="2AF6742D"/>
    <w:rsid w:val="2E833798"/>
    <w:rsid w:val="312A2265"/>
    <w:rsid w:val="3608233F"/>
    <w:rsid w:val="36FC0F5D"/>
    <w:rsid w:val="375773F8"/>
    <w:rsid w:val="393E32BB"/>
    <w:rsid w:val="3ACA7679"/>
    <w:rsid w:val="3ACF3612"/>
    <w:rsid w:val="3E520428"/>
    <w:rsid w:val="419B2857"/>
    <w:rsid w:val="41D71DA8"/>
    <w:rsid w:val="446D60A6"/>
    <w:rsid w:val="4C6611ED"/>
    <w:rsid w:val="552A0475"/>
    <w:rsid w:val="578D10CB"/>
    <w:rsid w:val="5A5915AC"/>
    <w:rsid w:val="6A12486A"/>
    <w:rsid w:val="753C4E9B"/>
    <w:rsid w:val="77D10611"/>
    <w:rsid w:val="781113A7"/>
    <w:rsid w:val="78147EC2"/>
    <w:rsid w:val="791E6510"/>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rPr>
      <w:sz w:val="31"/>
      <w:szCs w:val="22"/>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标题1"/>
    <w:basedOn w:val="3"/>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styleId="1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Table Paragraph"/>
    <w:basedOn w:val="1"/>
    <w:qFormat/>
    <w:uiPriority w:val="0"/>
    <w:rPr>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5413</Words>
  <Characters>5801</Characters>
  <Lines>0</Lines>
  <Paragraphs>0</Paragraphs>
  <TotalTime>2</TotalTime>
  <ScaleCrop>false</ScaleCrop>
  <LinksUpToDate>false</LinksUpToDate>
  <CharactersWithSpaces>6033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唐茂林</cp:lastModifiedBy>
  <cp:lastPrinted>2024-02-26T03:24:00Z</cp:lastPrinted>
  <dcterms:modified xsi:type="dcterms:W3CDTF">2024-09-19T08:59:20Z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4B545E2748234224AA7888E0D1AE4147_13</vt:lpwstr>
  </property>
</Properties>
</file>