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47014">
      <w:pPr>
        <w:pStyle w:val="12"/>
        <w:jc w:val="center"/>
        <w:rPr>
          <w:sz w:val="56"/>
          <w:szCs w:val="56"/>
        </w:rPr>
      </w:pPr>
    </w:p>
    <w:p w14:paraId="7D24CF31">
      <w:pPr>
        <w:pStyle w:val="12"/>
        <w:jc w:val="center"/>
        <w:rPr>
          <w:sz w:val="56"/>
          <w:szCs w:val="56"/>
        </w:rPr>
      </w:pPr>
    </w:p>
    <w:p w14:paraId="480089E7">
      <w:pPr>
        <w:pStyle w:val="12"/>
        <w:jc w:val="center"/>
        <w:rPr>
          <w:sz w:val="84"/>
          <w:szCs w:val="84"/>
        </w:rPr>
      </w:pPr>
    </w:p>
    <w:p w14:paraId="7D1ED738">
      <w:pPr>
        <w:pStyle w:val="12"/>
        <w:jc w:val="center"/>
        <w:rPr>
          <w:sz w:val="84"/>
          <w:szCs w:val="84"/>
        </w:rPr>
      </w:pPr>
    </w:p>
    <w:p w14:paraId="16E255A3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年度</w:t>
      </w:r>
    </w:p>
    <w:p w14:paraId="37C61B47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  <w:lang w:eastAsia="zh-CN"/>
        </w:rPr>
        <w:t>怀化市市场监督管理局直属二局</w:t>
      </w: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部门决算</w:t>
      </w:r>
    </w:p>
    <w:p w14:paraId="3DEBAADE">
      <w:pPr>
        <w:pStyle w:val="12"/>
        <w:jc w:val="center"/>
        <w:rPr>
          <w:rFonts w:hint="eastAsia" w:ascii="方正小标宋_GBK" w:hAnsi="方正小标宋_GBK" w:eastAsia="方正小标宋_GBK" w:cs="方正小标宋_GBK"/>
          <w:sz w:val="56"/>
          <w:szCs w:val="56"/>
        </w:rPr>
      </w:pPr>
    </w:p>
    <w:p w14:paraId="13CFAF91">
      <w:pPr>
        <w:pStyle w:val="12"/>
        <w:jc w:val="center"/>
        <w:rPr>
          <w:sz w:val="56"/>
          <w:szCs w:val="56"/>
        </w:rPr>
      </w:pPr>
    </w:p>
    <w:p w14:paraId="469F4236">
      <w:pPr>
        <w:pStyle w:val="12"/>
        <w:jc w:val="center"/>
        <w:rPr>
          <w:sz w:val="56"/>
          <w:szCs w:val="56"/>
        </w:rPr>
      </w:pPr>
    </w:p>
    <w:p w14:paraId="7AE29B52">
      <w:pPr>
        <w:pStyle w:val="12"/>
        <w:jc w:val="center"/>
        <w:rPr>
          <w:sz w:val="56"/>
          <w:szCs w:val="56"/>
        </w:rPr>
      </w:pPr>
    </w:p>
    <w:p w14:paraId="4B14C10F">
      <w:pPr>
        <w:pStyle w:val="12"/>
        <w:jc w:val="center"/>
        <w:rPr>
          <w:sz w:val="32"/>
          <w:szCs w:val="32"/>
        </w:rPr>
      </w:pPr>
    </w:p>
    <w:p w14:paraId="03433AC0">
      <w:pPr>
        <w:pStyle w:val="12"/>
        <w:jc w:val="center"/>
        <w:rPr>
          <w:sz w:val="32"/>
          <w:szCs w:val="32"/>
        </w:rPr>
      </w:pPr>
    </w:p>
    <w:p w14:paraId="54387BEB">
      <w:pPr>
        <w:pStyle w:val="12"/>
        <w:jc w:val="center"/>
        <w:rPr>
          <w:sz w:val="32"/>
          <w:szCs w:val="32"/>
        </w:rPr>
      </w:pPr>
    </w:p>
    <w:p w14:paraId="5216AD6D">
      <w:pPr>
        <w:pStyle w:val="12"/>
        <w:jc w:val="center"/>
        <w:rPr>
          <w:sz w:val="32"/>
          <w:szCs w:val="32"/>
        </w:rPr>
      </w:pPr>
    </w:p>
    <w:p w14:paraId="2E57704D">
      <w:pPr>
        <w:pStyle w:val="12"/>
        <w:spacing w:line="500" w:lineRule="exact"/>
        <w:jc w:val="both"/>
        <w:rPr>
          <w:b/>
          <w:sz w:val="36"/>
          <w:szCs w:val="28"/>
        </w:rPr>
      </w:pPr>
    </w:p>
    <w:p w14:paraId="6A57B2B6">
      <w:pPr>
        <w:pStyle w:val="12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14:paraId="503AD2E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第一部分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怀化市市场监督管理局直属二局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概况</w:t>
      </w:r>
    </w:p>
    <w:p w14:paraId="3442742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 w14:paraId="2A9B475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 w14:paraId="718BC68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第二部分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部门决算表</w:t>
      </w:r>
    </w:p>
    <w:p w14:paraId="5EC7A39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 w14:paraId="4219DB6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 w14:paraId="53BAD6E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 w14:paraId="0CB1687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 w14:paraId="23BF3BB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 w14:paraId="3184FD3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 w14:paraId="0CD9F1A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 w14:paraId="502C802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 w14:paraId="1F8BD25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 w14:paraId="75E8E71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第三部分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部门决算情况说明</w:t>
      </w:r>
    </w:p>
    <w:p w14:paraId="6ACB524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 w14:paraId="3CEAA4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 w14:paraId="4A90E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 w14:paraId="64683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 w14:paraId="256F9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 w14:paraId="352D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 w14:paraId="55D15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七、财政拨款三公经费支出决算情况说明</w:t>
      </w:r>
    </w:p>
    <w:p w14:paraId="2C754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说明</w:t>
      </w:r>
    </w:p>
    <w:p w14:paraId="6FAB4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国有资本经营预算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收入支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出决算情况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说明</w:t>
      </w:r>
    </w:p>
    <w:p w14:paraId="41A8D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、关于机关运行经费支出说明</w:t>
      </w:r>
    </w:p>
    <w:p w14:paraId="104C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、一般性支出情况说明</w:t>
      </w:r>
    </w:p>
    <w:p w14:paraId="039EC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、关于政府采购支出说明</w:t>
      </w:r>
    </w:p>
    <w:p w14:paraId="25FF31B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、关于国有资产占用情况说明</w:t>
      </w:r>
    </w:p>
    <w:p w14:paraId="07E1938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预算</w:t>
      </w:r>
      <w:r>
        <w:rPr>
          <w:rFonts w:hint="eastAsia" w:ascii="仿宋_GB2312" w:hAnsi="仿宋_GB2312" w:eastAsia="仿宋_GB2312" w:cs="仿宋_GB2312"/>
          <w:sz w:val="28"/>
          <w:szCs w:val="28"/>
        </w:rPr>
        <w:t>绩效情况的说明</w:t>
      </w:r>
    </w:p>
    <w:p w14:paraId="3E98E37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第四部分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名词解释</w:t>
      </w:r>
    </w:p>
    <w:p w14:paraId="139DFCE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sz w:val="28"/>
          <w:szCs w:val="28"/>
          <w:lang w:eastAsia="zh-CN"/>
        </w:rPr>
        <w:t>附件</w:t>
      </w:r>
    </w:p>
    <w:p w14:paraId="2D7686B3">
      <w:pPr>
        <w:pStyle w:val="12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 w14:paraId="0260A976">
      <w:pPr>
        <w:jc w:val="center"/>
        <w:rPr>
          <w:sz w:val="72"/>
          <w:szCs w:val="72"/>
        </w:rPr>
      </w:pPr>
    </w:p>
    <w:p w14:paraId="4781CAAF">
      <w:pPr>
        <w:jc w:val="center"/>
        <w:rPr>
          <w:sz w:val="72"/>
          <w:szCs w:val="72"/>
        </w:rPr>
      </w:pPr>
    </w:p>
    <w:p w14:paraId="3C729360">
      <w:pPr>
        <w:jc w:val="center"/>
        <w:rPr>
          <w:sz w:val="72"/>
          <w:szCs w:val="72"/>
        </w:rPr>
      </w:pPr>
    </w:p>
    <w:p w14:paraId="5A1E7899">
      <w:pPr>
        <w:jc w:val="center"/>
        <w:rPr>
          <w:sz w:val="72"/>
          <w:szCs w:val="72"/>
        </w:rPr>
      </w:pPr>
    </w:p>
    <w:p w14:paraId="4F3A16E2">
      <w:pPr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38C1A84A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 xml:space="preserve">第一部分 </w:t>
      </w:r>
    </w:p>
    <w:p w14:paraId="3BD3102D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 w14:paraId="10AF9E33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  <w:t>怀化市市场监督管理局直属二局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概况</w:t>
      </w:r>
    </w:p>
    <w:p w14:paraId="6913032A"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5C96A94C"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21CD7A76">
      <w:pPr>
        <w:jc w:val="center"/>
        <w:rPr>
          <w:sz w:val="72"/>
          <w:szCs w:val="72"/>
        </w:rPr>
      </w:pPr>
    </w:p>
    <w:p w14:paraId="36885DA1">
      <w:pPr>
        <w:jc w:val="center"/>
        <w:rPr>
          <w:sz w:val="72"/>
          <w:szCs w:val="72"/>
        </w:rPr>
      </w:pPr>
    </w:p>
    <w:p w14:paraId="02CE9508">
      <w:pPr>
        <w:jc w:val="center"/>
        <w:rPr>
          <w:sz w:val="72"/>
          <w:szCs w:val="72"/>
        </w:rPr>
      </w:pPr>
    </w:p>
    <w:p w14:paraId="438BD3E7">
      <w:pPr>
        <w:pStyle w:val="13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部门职责</w:t>
      </w:r>
    </w:p>
    <w:p w14:paraId="14A1907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负责分局辖区市场监督管理和行政执法的有关工作。</w:t>
      </w:r>
    </w:p>
    <w:p w14:paraId="482DCB6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负责分局辖区各类企业、农民专业合作社和从事经营活动的单位、个人等市场主体的登记注册并监督管理，承担依法查处取缔无照经营的责任。</w:t>
      </w:r>
    </w:p>
    <w:p w14:paraId="758D2CD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承担依法规范和维护各类市场经营秩序的责任，负责监督管理市场交易行为和网络商品交易及有关服务的行为。</w:t>
      </w:r>
    </w:p>
    <w:p w14:paraId="62AF216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承担监督管理流通领域商品质量的责任，组织开展有关服务领域消费维权工作，按分工查处假冒伪劣等违法行为，指导消费者咨询、申诉、举报受理处理和网络体系建设等工作，保护经营者、消费者合法权益。</w:t>
      </w:r>
    </w:p>
    <w:p w14:paraId="44314F1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承担查处违法直销和传销案件的责任，依法监督管理直销企业和直销员及其直销活动。</w:t>
      </w:r>
    </w:p>
    <w:p w14:paraId="2255F05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依法查处不正当竞争、商业贿赂、走私贩私等经济违法行为。 </w:t>
      </w:r>
    </w:p>
    <w:p w14:paraId="69DA514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负责依法监督管理经纪人、经纪机构及经纪活动。</w:t>
      </w:r>
    </w:p>
    <w:p w14:paraId="0427CEE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依法实施合同行政监督管理，负责管理股权出质登记、动产抵押物登记，组织监督管理拍卖行为，负责依法查处合同欺诈等违法行为。     </w:t>
      </w:r>
    </w:p>
    <w:p w14:paraId="64146AD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指导分局辖区广告业发展，负责广告活动的监督管理工作。</w:t>
      </w:r>
    </w:p>
    <w:p w14:paraId="077314A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负责商标监督管理工作，依法保护商标专用权和查处商标侵权行为，协调处理商标争议事宜，加强中国驰名商标、省著名商标的保护工作。负责特殊标志、官方标志的保护。</w:t>
      </w:r>
    </w:p>
    <w:p w14:paraId="0C277F5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组织指导企业、个体工商户、商品交易市场信用分类管理，研究分析并依法发布市场主体登记注册基础信息，为政府决策和社会公众提供相关信息服务。</w:t>
      </w:r>
    </w:p>
    <w:p w14:paraId="22D19F3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负责个体工商户、私营企业经营行为的服务和监督管理。</w:t>
      </w:r>
    </w:p>
    <w:p w14:paraId="48DE3D0F"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承办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市局及经开区管委会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交办的其他事项。</w:t>
      </w:r>
    </w:p>
    <w:p w14:paraId="6D637148">
      <w:pPr>
        <w:widowControl/>
        <w:spacing w:line="600" w:lineRule="exact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二、机构设置及决算单位构成</w:t>
      </w:r>
    </w:p>
    <w:p w14:paraId="4B7D696B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（一）内设机构设置。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怀化市市场监督管理局直属二局作为二级部门预算单位，内设股室为：办公室、信用监管股、登记注册股、特种设备安全监管股、价格监督检查和反不正当竞争股、药械化监管股、食品安全监督管理股、河西市场监管所（消费者权益保护股）。</w:t>
      </w:r>
    </w:p>
    <w:p w14:paraId="45F0113B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（二）决算单位构成。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怀化市市场监督管理局直属二局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年部门决算汇总公开单位构成包括：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怀化市市场监督管理局直属二局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单位本级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。</w:t>
      </w:r>
    </w:p>
    <w:p w14:paraId="278E2AA6">
      <w:pPr>
        <w:jc w:val="left"/>
        <w:rPr>
          <w:rFonts w:ascii="仿宋_GB2312" w:eastAsia="仿宋_GB2312" w:hAnsiTheme="minorEastAsia"/>
          <w:sz w:val="28"/>
          <w:szCs w:val="32"/>
        </w:rPr>
      </w:pPr>
    </w:p>
    <w:p w14:paraId="5A2C3E98">
      <w:pPr>
        <w:jc w:val="center"/>
        <w:rPr>
          <w:rFonts w:ascii="黑体" w:hAnsi="黑体" w:eastAsia="黑体"/>
          <w:sz w:val="28"/>
          <w:szCs w:val="28"/>
        </w:rPr>
      </w:pPr>
    </w:p>
    <w:p w14:paraId="105C1E8D">
      <w:pPr>
        <w:jc w:val="center"/>
        <w:rPr>
          <w:rFonts w:ascii="黑体" w:hAnsi="黑体" w:eastAsia="黑体"/>
          <w:sz w:val="28"/>
          <w:szCs w:val="28"/>
        </w:rPr>
      </w:pPr>
    </w:p>
    <w:p w14:paraId="3CB0D8FE">
      <w:pPr>
        <w:jc w:val="center"/>
        <w:rPr>
          <w:rFonts w:ascii="黑体" w:hAnsi="黑体" w:eastAsia="黑体"/>
          <w:sz w:val="28"/>
          <w:szCs w:val="28"/>
        </w:rPr>
      </w:pPr>
    </w:p>
    <w:p w14:paraId="6D3D6BA6">
      <w:pPr>
        <w:jc w:val="center"/>
        <w:rPr>
          <w:rFonts w:ascii="黑体" w:hAnsi="黑体" w:eastAsia="黑体"/>
          <w:sz w:val="28"/>
          <w:szCs w:val="28"/>
        </w:rPr>
      </w:pPr>
    </w:p>
    <w:p w14:paraId="70901185">
      <w:pPr>
        <w:jc w:val="center"/>
        <w:rPr>
          <w:rFonts w:ascii="黑体" w:hAnsi="黑体" w:eastAsia="黑体"/>
          <w:sz w:val="28"/>
          <w:szCs w:val="28"/>
        </w:rPr>
      </w:pPr>
    </w:p>
    <w:p w14:paraId="5BA057FA">
      <w:pPr>
        <w:jc w:val="center"/>
        <w:rPr>
          <w:rFonts w:ascii="黑体" w:hAnsi="黑体" w:eastAsia="黑体"/>
          <w:sz w:val="28"/>
          <w:szCs w:val="28"/>
        </w:rPr>
      </w:pPr>
    </w:p>
    <w:p w14:paraId="06960789">
      <w:pPr>
        <w:jc w:val="center"/>
        <w:rPr>
          <w:rFonts w:ascii="黑体" w:hAnsi="黑体" w:eastAsia="黑体"/>
          <w:sz w:val="28"/>
          <w:szCs w:val="28"/>
        </w:rPr>
      </w:pPr>
    </w:p>
    <w:p w14:paraId="04A575B7">
      <w:pPr>
        <w:jc w:val="center"/>
        <w:rPr>
          <w:rFonts w:ascii="黑体" w:hAnsi="黑体" w:eastAsia="黑体"/>
          <w:sz w:val="28"/>
          <w:szCs w:val="28"/>
        </w:rPr>
      </w:pPr>
    </w:p>
    <w:p w14:paraId="03048C9A">
      <w:pPr>
        <w:jc w:val="center"/>
        <w:rPr>
          <w:rFonts w:ascii="黑体" w:hAnsi="黑体" w:eastAsia="黑体"/>
          <w:sz w:val="28"/>
          <w:szCs w:val="28"/>
        </w:rPr>
      </w:pPr>
    </w:p>
    <w:p w14:paraId="6795EACB">
      <w:pPr>
        <w:jc w:val="center"/>
        <w:rPr>
          <w:rFonts w:ascii="黑体" w:hAnsi="黑体" w:eastAsia="黑体"/>
          <w:sz w:val="28"/>
          <w:szCs w:val="28"/>
        </w:rPr>
      </w:pPr>
    </w:p>
    <w:p w14:paraId="7A98E6FC">
      <w:pPr>
        <w:jc w:val="center"/>
        <w:rPr>
          <w:rFonts w:ascii="黑体" w:hAnsi="黑体" w:eastAsia="黑体"/>
          <w:sz w:val="28"/>
          <w:szCs w:val="28"/>
        </w:rPr>
      </w:pPr>
    </w:p>
    <w:p w14:paraId="6F1FC22C">
      <w:pPr>
        <w:jc w:val="center"/>
        <w:rPr>
          <w:rFonts w:ascii="黑体" w:hAnsi="黑体" w:eastAsia="黑体"/>
          <w:sz w:val="28"/>
          <w:szCs w:val="28"/>
        </w:rPr>
      </w:pPr>
    </w:p>
    <w:p w14:paraId="6813A188">
      <w:pPr>
        <w:jc w:val="center"/>
        <w:rPr>
          <w:sz w:val="72"/>
          <w:szCs w:val="72"/>
        </w:rPr>
      </w:pPr>
    </w:p>
    <w:p w14:paraId="473E1399">
      <w:pPr>
        <w:jc w:val="center"/>
        <w:rPr>
          <w:sz w:val="72"/>
          <w:szCs w:val="72"/>
        </w:rPr>
      </w:pPr>
    </w:p>
    <w:p w14:paraId="0A665C11">
      <w:pPr>
        <w:jc w:val="center"/>
        <w:rPr>
          <w:sz w:val="72"/>
          <w:szCs w:val="72"/>
        </w:rPr>
      </w:pPr>
    </w:p>
    <w:p w14:paraId="672C8865">
      <w:pPr>
        <w:jc w:val="center"/>
        <w:rPr>
          <w:sz w:val="72"/>
          <w:szCs w:val="72"/>
        </w:rPr>
      </w:pPr>
    </w:p>
    <w:p w14:paraId="65AEFDA7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 w14:paraId="1ED95460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第二部分</w:t>
      </w:r>
    </w:p>
    <w:p w14:paraId="125E86D4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 w14:paraId="2960FFA5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部门决算表</w:t>
      </w:r>
    </w:p>
    <w:p w14:paraId="42FA8B04">
      <w:pPr>
        <w:pStyle w:val="12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  <w:t>（见附件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eastAsia="zh-CN"/>
        </w:rPr>
        <w:t>）</w:t>
      </w:r>
    </w:p>
    <w:p w14:paraId="388FE896">
      <w:pPr>
        <w:jc w:val="center"/>
        <w:rPr>
          <w:sz w:val="72"/>
          <w:szCs w:val="72"/>
        </w:rPr>
      </w:pPr>
    </w:p>
    <w:p w14:paraId="78DBABD0">
      <w:pPr>
        <w:jc w:val="center"/>
        <w:rPr>
          <w:sz w:val="72"/>
          <w:szCs w:val="72"/>
        </w:rPr>
      </w:pPr>
    </w:p>
    <w:p w14:paraId="5151B4B4">
      <w:pPr>
        <w:jc w:val="center"/>
        <w:rPr>
          <w:sz w:val="72"/>
          <w:szCs w:val="72"/>
        </w:rPr>
      </w:pPr>
    </w:p>
    <w:p w14:paraId="5FD348FB">
      <w:pPr>
        <w:jc w:val="both"/>
        <w:rPr>
          <w:sz w:val="72"/>
          <w:szCs w:val="72"/>
        </w:rPr>
      </w:pPr>
    </w:p>
    <w:p w14:paraId="186BEE5F">
      <w:pPr>
        <w:jc w:val="left"/>
        <w:rPr>
          <w:rFonts w:asciiTheme="minorEastAsia" w:hAnsiTheme="minorEastAsia"/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26A3B192">
      <w:pPr>
        <w:pStyle w:val="12"/>
        <w:rPr>
          <w:sz w:val="72"/>
          <w:szCs w:val="72"/>
        </w:rPr>
      </w:pPr>
    </w:p>
    <w:p w14:paraId="57205316">
      <w:pPr>
        <w:pStyle w:val="12"/>
        <w:rPr>
          <w:sz w:val="72"/>
          <w:szCs w:val="72"/>
        </w:rPr>
      </w:pPr>
    </w:p>
    <w:p w14:paraId="10FC245C">
      <w:pPr>
        <w:pStyle w:val="12"/>
        <w:rPr>
          <w:sz w:val="72"/>
          <w:szCs w:val="72"/>
        </w:rPr>
      </w:pPr>
    </w:p>
    <w:p w14:paraId="629F20E2">
      <w:pPr>
        <w:pStyle w:val="12"/>
        <w:jc w:val="center"/>
        <w:rPr>
          <w:sz w:val="72"/>
          <w:szCs w:val="72"/>
        </w:rPr>
      </w:pPr>
    </w:p>
    <w:p w14:paraId="48CB1F92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3C28D10B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第三部分</w:t>
      </w:r>
    </w:p>
    <w:p w14:paraId="6F01C242">
      <w:pPr>
        <w:pStyle w:val="12"/>
        <w:jc w:val="center"/>
        <w:rPr>
          <w:rFonts w:hint="eastAsia" w:ascii="方正小标宋_GBK" w:hAnsi="方正小标宋_GBK" w:eastAsia="方正小标宋_GBK" w:cs="方正小标宋_GBK"/>
          <w:sz w:val="70"/>
          <w:szCs w:val="70"/>
        </w:rPr>
      </w:pPr>
    </w:p>
    <w:p w14:paraId="1D61F560">
      <w:pPr>
        <w:pStyle w:val="12"/>
        <w:jc w:val="center"/>
        <w:rPr>
          <w:rFonts w:hint="eastAsia" w:ascii="方正小标宋_GBK" w:hAnsi="方正小标宋_GBK" w:eastAsia="方正小标宋_GBK" w:cs="方正小标宋_GBK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202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年度部门决算情况说明</w:t>
      </w:r>
    </w:p>
    <w:p w14:paraId="70FFBB99">
      <w:pPr>
        <w:widowControl/>
        <w:jc w:val="lef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br w:type="page"/>
      </w:r>
    </w:p>
    <w:p w14:paraId="65E9D3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 w14:paraId="2835ECC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入</w:t>
      </w:r>
      <w:r>
        <w:rPr>
          <w:rFonts w:hint="eastAsia" w:ascii="Times New Roman" w:hAnsi="Times New Roman" w:eastAsia="仿宋_GB2312"/>
          <w:sz w:val="32"/>
          <w:szCs w:val="32"/>
        </w:rPr>
        <w:t>支总计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1004.74</w:t>
      </w:r>
      <w:r>
        <w:rPr>
          <w:rFonts w:hint="eastAsia" w:ascii="Times New Roman" w:hAnsi="Times New Roman" w:eastAsia="仿宋_GB2312"/>
          <w:sz w:val="32"/>
          <w:szCs w:val="32"/>
        </w:rPr>
        <w:t>元。与上年相比，减少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250.28</w:t>
      </w:r>
      <w:r>
        <w:rPr>
          <w:rFonts w:hint="eastAsia" w:ascii="Times New Roman" w:hAnsi="Times New Roman" w:eastAsia="仿宋_GB2312"/>
          <w:sz w:val="32"/>
          <w:szCs w:val="32"/>
        </w:rPr>
        <w:t>万元，减少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19.94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上年工资调整，整体人员工资福利费增加，本年工资福利费回落至正常水平。</w:t>
      </w:r>
    </w:p>
    <w:p w14:paraId="659BD12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 w14:paraId="7B35888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年度收入合计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502.37</w:t>
      </w:r>
      <w:r>
        <w:rPr>
          <w:rFonts w:hint="eastAsia" w:ascii="Times New Roman" w:hAnsi="Times New Roman" w:eastAsia="仿宋_GB2312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502.37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%；事业收入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%；经营收入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%；其他收入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42C4F28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 w14:paraId="3B21785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年度支出合计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502.37</w:t>
      </w:r>
      <w:r>
        <w:rPr>
          <w:rFonts w:hint="eastAsia" w:ascii="Times New Roman" w:hAnsi="Times New Roman" w:eastAsia="仿宋_GB2312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490.37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97.61</w:t>
      </w:r>
      <w:r>
        <w:rPr>
          <w:rFonts w:hint="eastAsia" w:ascii="Times New Roman" w:hAnsi="Times New Roman" w:eastAsia="仿宋_GB2312"/>
          <w:sz w:val="32"/>
          <w:szCs w:val="32"/>
        </w:rPr>
        <w:t>%；项目支出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12.00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2.39</w:t>
      </w:r>
      <w:r>
        <w:rPr>
          <w:rFonts w:hint="eastAsia" w:ascii="Times New Roman" w:hAnsi="Times New Roman" w:eastAsia="仿宋_GB2312"/>
          <w:sz w:val="32"/>
          <w:szCs w:val="32"/>
        </w:rPr>
        <w:t>%；上缴上级支出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%；经营支出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%；对附属单位补助支出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2EA3D52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 w14:paraId="28DCDA2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年度财政拨款收、支总计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1004.74</w:t>
      </w:r>
      <w:r>
        <w:rPr>
          <w:rFonts w:hint="eastAsia" w:ascii="Times New Roman" w:hAnsi="Times New Roman" w:eastAsia="仿宋_GB2312"/>
          <w:sz w:val="32"/>
          <w:szCs w:val="32"/>
        </w:rPr>
        <w:t>万元，与上年相比，增加（减少）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250.28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19.94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上年工资调整，整体人员工资福利费增加，本年工资福利费回落至正常水平。</w:t>
      </w:r>
    </w:p>
    <w:p w14:paraId="157D8A9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 w14:paraId="12AE694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（一）一般公共预算财政拨款支出决算总体情况</w:t>
      </w:r>
    </w:p>
    <w:p w14:paraId="76D3D8E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502.37</w:t>
      </w:r>
      <w:r>
        <w:rPr>
          <w:rFonts w:hint="eastAsia" w:ascii="Times New Roman" w:hAnsi="Times New Roman" w:eastAsia="仿宋_GB2312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%，与上年相比，财政拨款支出减少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250.28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19.94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上年工资调整，整体人员工资福利费增加，本年工资福利费回落至正常水平。</w:t>
      </w:r>
    </w:p>
    <w:p w14:paraId="3BABC3C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480" w:firstLineChars="150"/>
        <w:jc w:val="both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（二）一般公共预算财政拨款支出决算结构情况</w:t>
      </w:r>
    </w:p>
    <w:p w14:paraId="4A58821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502.37</w:t>
      </w:r>
      <w:r>
        <w:rPr>
          <w:rFonts w:hint="eastAsia" w:ascii="Times New Roman" w:hAnsi="Times New Roman" w:eastAsia="仿宋_GB2312"/>
          <w:sz w:val="32"/>
          <w:szCs w:val="32"/>
        </w:rPr>
        <w:t>万元，主要用于以下方面：一般公共服务（类）支出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405.04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80.63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；社会保障和就业</w:t>
      </w:r>
      <w:r>
        <w:rPr>
          <w:rFonts w:hint="eastAsia" w:ascii="Times New Roman" w:hAnsi="Times New Roman" w:eastAsia="仿宋_GB2312"/>
          <w:sz w:val="32"/>
          <w:szCs w:val="32"/>
        </w:rPr>
        <w:t>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73.07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14.54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；卫生健康</w:t>
      </w:r>
      <w:r>
        <w:rPr>
          <w:rFonts w:hint="eastAsia" w:ascii="Times New Roman" w:hAnsi="Times New Roman" w:eastAsia="仿宋_GB2312"/>
          <w:sz w:val="32"/>
          <w:szCs w:val="32"/>
        </w:rPr>
        <w:t>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24.26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4.83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6B9B13B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（三）一般公共预算财政拨款支出决算具体情况</w:t>
      </w:r>
    </w:p>
    <w:p w14:paraId="6F35617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年度财政拨款支出年初预算数为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437.71</w:t>
      </w:r>
      <w:r>
        <w:rPr>
          <w:rFonts w:hint="eastAsia" w:ascii="Times New Roman" w:hAnsi="Times New Roman" w:eastAsia="仿宋_GB2312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502.37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114.77</w:t>
      </w:r>
      <w:r>
        <w:rPr>
          <w:rFonts w:hint="eastAsia" w:ascii="Times New Roman" w:hAnsi="Times New Roman" w:eastAsia="仿宋_GB2312"/>
          <w:sz w:val="32"/>
          <w:szCs w:val="32"/>
        </w:rPr>
        <w:t>%，其中：</w:t>
      </w:r>
    </w:p>
    <w:p w14:paraId="1E3FA8C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1、一般公共服务（类）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市场监督管理事务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行政运行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73143DB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335.04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351.79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105.00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新调入人员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2名，新招录人员2名，工资福利支出增加。</w:t>
      </w:r>
    </w:p>
    <w:p w14:paraId="0DBCD4E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2、一般公共服务（类）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市场监督管理事务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食品安全监管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0EE8197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年内追加中央食品监管补助资金，年初预算未单列。</w:t>
      </w:r>
    </w:p>
    <w:p w14:paraId="0A783343"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一般公共服务（类）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市场监督管理事务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其他市场监督管理事务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48E9233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41.25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年内追加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2022年度考核奖金，年初预算未单列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2493CC3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、社会保障和就业支出（类）行政事业单位养老支出（款）机关事业单位基本养老保险缴费支出（项）。</w:t>
      </w:r>
    </w:p>
    <w:p w14:paraId="2E64E69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47.29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48.51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万元，完成年初预算的10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58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%，决算数大于年初预算数的主要原因是：新增人员养老保险单位部分缴费支出年初未列预算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66F02A9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/>
          <w:sz w:val="32"/>
          <w:szCs w:val="32"/>
        </w:rPr>
        <w:t>社会保障和就业支出（类）行政事业单位养老支出（款）其他行政事业单位养老支出（项）。</w:t>
      </w:r>
    </w:p>
    <w:p w14:paraId="3A3AC96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24.56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年内追加退休人员补助资金，年初预算未单列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A60B4B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、卫生健康支出（类）行政事业单位医疗（款）行政单位医疗（项）。</w:t>
      </w:r>
    </w:p>
    <w:p w14:paraId="647903D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19.91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24.26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123.36%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决算数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大于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年初预算数的主要原因是：新增人员医疗保险单位部分缴费支出年初未列预算。</w:t>
      </w:r>
    </w:p>
    <w:p w14:paraId="48A8B7B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 w14:paraId="10A618F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年度财政拨款基本支出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490.37</w:t>
      </w:r>
      <w:r>
        <w:rPr>
          <w:rFonts w:hint="eastAsia" w:ascii="Times New Roman" w:hAnsi="Times New Roman" w:eastAsia="仿宋_GB2312"/>
          <w:sz w:val="32"/>
          <w:szCs w:val="32"/>
        </w:rPr>
        <w:t>万元，其中：</w:t>
      </w:r>
    </w:p>
    <w:p w14:paraId="7EE0CD2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462.78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93.26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主要包括基本工资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157.87万元</w:t>
      </w:r>
      <w:r>
        <w:rPr>
          <w:rFonts w:hint="eastAsia" w:ascii="Times New Roman" w:hAnsi="Times New Roman" w:eastAsia="仿宋_GB2312"/>
          <w:sz w:val="32"/>
          <w:szCs w:val="32"/>
        </w:rPr>
        <w:t>、津贴补贴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83.07万元</w:t>
      </w:r>
      <w:r>
        <w:rPr>
          <w:rFonts w:hint="eastAsia" w:ascii="Times New Roman" w:hAnsi="Times New Roman" w:eastAsia="仿宋_GB2312"/>
          <w:sz w:val="32"/>
          <w:szCs w:val="32"/>
        </w:rPr>
        <w:t>、奖金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52.86万元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绩效工资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63.36万元、机关事业单位基本养老保险缴费48.51万元、职工基本医疗保险缴费24.26万元、生活补助25.94万元、其他对个人和家庭的补助6.89万元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57C98F4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27.59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6.74</w:t>
      </w:r>
      <w:r>
        <w:rPr>
          <w:rFonts w:hint="eastAsia" w:ascii="Times New Roman" w:hAnsi="Times New Roman" w:eastAsia="仿宋_GB2312"/>
          <w:sz w:val="32"/>
          <w:szCs w:val="32"/>
        </w:rPr>
        <w:t>%，主要包括办公费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0.31万元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福利</w:t>
      </w:r>
      <w:r>
        <w:rPr>
          <w:rFonts w:hint="eastAsia" w:ascii="Times New Roman" w:hAnsi="Times New Roman" w:eastAsia="仿宋_GB2312"/>
          <w:sz w:val="32"/>
          <w:szCs w:val="32"/>
        </w:rPr>
        <w:t>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2.45万元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其他交通</w:t>
      </w:r>
      <w:r>
        <w:rPr>
          <w:rFonts w:hint="eastAsia" w:ascii="Times New Roman" w:hAnsi="Times New Roman" w:eastAsia="仿宋_GB2312"/>
          <w:sz w:val="32"/>
          <w:szCs w:val="32"/>
        </w:rPr>
        <w:t>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24.74万元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其他商品和服务支出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0.09万元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72E95C7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七、财政拨款三公经费支出决算情况说明</w:t>
      </w:r>
    </w:p>
    <w:p w14:paraId="3D17DB0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（一）“三公”经费财政拨款支出决算总体情况说明</w:t>
      </w:r>
    </w:p>
    <w:p w14:paraId="356316C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“三公”经费财政拨款支出预算为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万元。其中：</w:t>
      </w:r>
    </w:p>
    <w:p w14:paraId="5D4D760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万元。公务接待费支出预算为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万元。公务用车购置费支出预算为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万元。公务用车运行维护费支出预算为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</w:t>
      </w:r>
    </w:p>
    <w:p w14:paraId="49D9DDB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（二）“三公”经费财政拨款支出决算具体情况说明</w:t>
      </w:r>
    </w:p>
    <w:p w14:paraId="4EF68CE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因公出国（境）费支出决算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公务用车购置费及运行维护费支出决算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%。其中：</w:t>
      </w:r>
    </w:p>
    <w:p w14:paraId="137A533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楷体" w:hAnsi="楷体" w:eastAsia="仿宋_GB2312" w:cs="楷体"/>
          <w:b/>
          <w:bCs/>
          <w:i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/>
          <w:sz w:val="32"/>
          <w:szCs w:val="32"/>
        </w:rPr>
        <w:t>因公出国（境）费支出决算为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万元，全年安排因公出国（境）团组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个，累计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人次</w:t>
      </w:r>
      <w:r>
        <w:rPr>
          <w:rFonts w:hint="eastAsia" w:ascii="楷体" w:hAnsi="楷体" w:eastAsia="楷体" w:cs="楷体"/>
          <w:b w:val="0"/>
          <w:bCs w:val="0"/>
          <w:i w:val="0"/>
          <w:iCs/>
          <w:color w:val="auto"/>
          <w:sz w:val="32"/>
          <w:szCs w:val="32"/>
          <w:lang w:eastAsia="zh-CN"/>
        </w:rPr>
        <w:t>。</w:t>
      </w:r>
    </w:p>
    <w:p w14:paraId="366B0D4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2、公务接待费支出决算为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万元，全年共接待来访团组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个、来宾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人次。</w:t>
      </w:r>
    </w:p>
    <w:p w14:paraId="03FE8E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eastAsia" w:ascii="楷体" w:hAnsi="楷体" w:eastAsia="仿宋_GB2312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</w:rPr>
        <w:t>3、公务用车购置费及运行维护费支出决算为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万元，其中：公务用车购置费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公务用车运行维护费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5FFE8B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5793556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本单位无政府性基金收支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15E51DD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九、国有资本经营预算收入支出决算情况</w:t>
      </w:r>
    </w:p>
    <w:p w14:paraId="786A73F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本单位无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国有资本经营</w:t>
      </w:r>
      <w:r>
        <w:rPr>
          <w:rFonts w:hint="eastAsia" w:ascii="Times New Roman" w:hAnsi="Times New Roman" w:eastAsia="仿宋_GB2312"/>
          <w:sz w:val="32"/>
          <w:szCs w:val="32"/>
        </w:rPr>
        <w:t>收支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241D88A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  <w:t>十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、关于机关运行经费支出说明</w:t>
      </w:r>
    </w:p>
    <w:p w14:paraId="4F9A888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27.59</w:t>
      </w:r>
      <w:r>
        <w:rPr>
          <w:rFonts w:hint="eastAsia" w:ascii="Times New Roman" w:hAnsi="Times New Roman" w:eastAsia="仿宋_GB2312"/>
          <w:sz w:val="32"/>
          <w:szCs w:val="32"/>
        </w:rPr>
        <w:t>万元，比年初预算数减少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3.68</w:t>
      </w:r>
      <w:r>
        <w:rPr>
          <w:rFonts w:hint="eastAsia" w:ascii="Times New Roman" w:hAnsi="Times New Roman" w:eastAsia="仿宋_GB2312"/>
          <w:sz w:val="32"/>
          <w:szCs w:val="32"/>
        </w:rPr>
        <w:t>万元，降低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11.77</w:t>
      </w:r>
      <w:r>
        <w:rPr>
          <w:rFonts w:hint="eastAsia" w:ascii="Times New Roman" w:hAnsi="Times New Roman" w:eastAsia="仿宋_GB2312"/>
          <w:sz w:val="32"/>
          <w:szCs w:val="32"/>
        </w:rPr>
        <w:t>%。主要原因是：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福利费和其他交通费用减少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6BF7C48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、一般性支出情况说明</w:t>
      </w:r>
    </w:p>
    <w:p w14:paraId="432E916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年本部门开支会议费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万元；开支培训费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万元；举办节庆、晚会、论坛、赛事活动，开支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</w:t>
      </w:r>
    </w:p>
    <w:p w14:paraId="53F2C71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、关于政府采购支出说明</w:t>
      </w:r>
    </w:p>
    <w:p w14:paraId="68D01A2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 xml:space="preserve"> 万元、政府采购工程支出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 w14:paraId="755B51E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、关于国有资产占用情况说明</w:t>
      </w:r>
    </w:p>
    <w:p w14:paraId="1E64723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年12月31日，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部门（单位）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共有车辆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，副部（省）级及以上领导用车0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机要通信用车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离退休干部服务用车0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辆；单位价值100万元以上设备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（不含车辆）0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台（套）。</w:t>
      </w:r>
    </w:p>
    <w:p w14:paraId="4C4C713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年度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绩效情况的说明</w:t>
      </w:r>
    </w:p>
    <w:p w14:paraId="1B9E761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（一）绩效管理工作开展情况</w:t>
      </w:r>
    </w:p>
    <w:p w14:paraId="78AA8C4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围绕整体绩效目标及预算配置，以部门绩效评价为资金分配的依据，建立了财务管理制度和经费开支审批管理办法，严格制度的执行，严格支出审批报销程序，做到无虚列套取，无截留、挤占、挪用，无开支超预算或超标准等情况。同时，制定详细的资产管理办法，对资产申购、采购、分配、保管、处置以及责任赔偿等细则进行规定，并明确专人负责机关固定资产管理。</w:t>
      </w:r>
    </w:p>
    <w:p w14:paraId="143EC0E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部门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（单位）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整体支出绩效情况</w:t>
      </w:r>
    </w:p>
    <w:p w14:paraId="48558B3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围绕本单位职责，积极实施预算资金管理，运行成本控制在合理范围，管理效率、履职效能、社会效应、可持续发展能力和服务对象满意度得到显著提升。</w:t>
      </w:r>
    </w:p>
    <w:p w14:paraId="4058BCC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开展部门整体支出绩效自评，年度总体目标设置为：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加强基础建设，提升队伍素质；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加强市场监管，守牢安全底线；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优化营商环境，助力市场发展。实际完成情况：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添置了一批办公设施，购置4台电动车配置监管执法和消费维权一线提升工作效能；邀请市局业务骨干培训业务，组织参加业务培训和案件评查，人员素质得以提升。2.加强食品安全监管、药械化安全监管、特种设备安全监管、产品质量监管、用心用情维护消费者合法权益、依法维护公平有序的市场环境。3.优服务提效能，打造便捷高效市场准入环境；真情贴心服务，积极主动助力经开区高质量发展。整体支出绩效得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98分。</w:t>
      </w:r>
    </w:p>
    <w:p w14:paraId="3F3369B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三）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存在的问题及原因分析</w:t>
      </w:r>
    </w:p>
    <w:p w14:paraId="750698C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进一步健全完善财务管理制度，优化</w:t>
      </w:r>
      <w:r>
        <w:rPr>
          <w:rFonts w:hint="eastAsia" w:ascii="Times New Roman" w:hAnsi="Times New Roman" w:eastAsia="仿宋_GB2312"/>
          <w:sz w:val="32"/>
          <w:szCs w:val="32"/>
        </w:rPr>
        <w:t>资金分配、使用和管理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方法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更好地履行部门职能职责。本年度</w:t>
      </w:r>
      <w:r>
        <w:rPr>
          <w:rFonts w:hint="eastAsia" w:ascii="Times New Roman" w:hAnsi="Times New Roman" w:eastAsia="仿宋_GB2312"/>
          <w:sz w:val="32"/>
          <w:szCs w:val="32"/>
        </w:rPr>
        <w:t>预算支出执行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与</w:t>
      </w:r>
      <w:r>
        <w:rPr>
          <w:rFonts w:hint="eastAsia" w:ascii="Times New Roman" w:hAnsi="Times New Roman" w:eastAsia="仿宋_GB2312"/>
          <w:sz w:val="32"/>
          <w:szCs w:val="32"/>
        </w:rPr>
        <w:t>绩效目标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偏离度控制在合理范围内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2E6945F">
      <w:pPr>
        <w:pStyle w:val="12"/>
        <w:jc w:val="both"/>
        <w:rPr>
          <w:sz w:val="72"/>
          <w:szCs w:val="72"/>
        </w:rPr>
      </w:pPr>
    </w:p>
    <w:p w14:paraId="32166127">
      <w:pPr>
        <w:pStyle w:val="12"/>
        <w:jc w:val="center"/>
        <w:rPr>
          <w:sz w:val="72"/>
          <w:szCs w:val="72"/>
        </w:rPr>
      </w:pPr>
    </w:p>
    <w:p w14:paraId="2A8DBC86">
      <w:pPr>
        <w:pStyle w:val="12"/>
        <w:jc w:val="center"/>
        <w:rPr>
          <w:rFonts w:hint="eastAsia" w:eastAsia="黑体"/>
          <w:sz w:val="72"/>
          <w:szCs w:val="72"/>
          <w:lang w:eastAsia="zh-CN"/>
        </w:rPr>
      </w:pPr>
    </w:p>
    <w:p w14:paraId="2A150D82">
      <w:pPr>
        <w:pStyle w:val="12"/>
        <w:jc w:val="center"/>
        <w:rPr>
          <w:rFonts w:hint="eastAsia" w:eastAsia="黑体"/>
          <w:sz w:val="72"/>
          <w:szCs w:val="72"/>
          <w:lang w:eastAsia="zh-CN"/>
        </w:rPr>
      </w:pPr>
    </w:p>
    <w:p w14:paraId="1719647C">
      <w:pPr>
        <w:pStyle w:val="12"/>
        <w:jc w:val="center"/>
        <w:rPr>
          <w:rFonts w:hint="eastAsia" w:eastAsia="黑体"/>
          <w:sz w:val="72"/>
          <w:szCs w:val="72"/>
          <w:lang w:eastAsia="zh-CN"/>
        </w:rPr>
      </w:pPr>
    </w:p>
    <w:p w14:paraId="4A1D5622">
      <w:pPr>
        <w:pStyle w:val="12"/>
        <w:jc w:val="center"/>
        <w:rPr>
          <w:rFonts w:hint="eastAsia" w:eastAsia="黑体"/>
          <w:sz w:val="72"/>
          <w:szCs w:val="72"/>
          <w:lang w:eastAsia="zh-CN"/>
        </w:rPr>
      </w:pPr>
    </w:p>
    <w:p w14:paraId="440C36FF">
      <w:pPr>
        <w:pStyle w:val="12"/>
        <w:jc w:val="both"/>
        <w:rPr>
          <w:rFonts w:hint="eastAsia" w:eastAsia="黑体"/>
          <w:sz w:val="72"/>
          <w:szCs w:val="72"/>
          <w:lang w:eastAsia="zh-CN"/>
        </w:rPr>
      </w:pPr>
    </w:p>
    <w:p w14:paraId="3CEF52C3">
      <w:pPr>
        <w:pStyle w:val="12"/>
        <w:jc w:val="center"/>
        <w:rPr>
          <w:rFonts w:hint="eastAsia" w:eastAsia="黑体"/>
          <w:sz w:val="72"/>
          <w:szCs w:val="72"/>
          <w:lang w:eastAsia="zh-CN"/>
        </w:rPr>
      </w:pPr>
    </w:p>
    <w:p w14:paraId="0DBE3A7F">
      <w:pPr>
        <w:pStyle w:val="12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142473C3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4AE135D7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第四部分</w:t>
      </w:r>
    </w:p>
    <w:p w14:paraId="459D1A82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</w:p>
    <w:p w14:paraId="3066F8E5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t>名词解释</w:t>
      </w:r>
    </w:p>
    <w:p w14:paraId="13982332">
      <w:pPr>
        <w:widowControl/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br w:type="page"/>
      </w:r>
    </w:p>
    <w:p w14:paraId="308F699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、机关运行经费：是指各部门的公用经费，包括办公及印刷费、邮电费、差旅费、会议费、福利费、日常维修费、专用材料及一般设备购置费、办公用房水电费、办公用房取暖费、办公用房物 业管理费、公务用车运行维护费以及其他费用。</w:t>
      </w:r>
    </w:p>
    <w:p w14:paraId="0B57D29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二、“三公”经费：指通过财政拨款资金安排的因公出国（境）费、 公务用车购置及运行费和公务接待费支出。</w:t>
      </w:r>
    </w:p>
    <w:p w14:paraId="06F73D8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 w14:paraId="5169C34A">
      <w:pPr>
        <w:pStyle w:val="12"/>
        <w:jc w:val="center"/>
        <w:rPr>
          <w:sz w:val="72"/>
          <w:szCs w:val="72"/>
        </w:rPr>
      </w:pPr>
    </w:p>
    <w:p w14:paraId="7A8414AD">
      <w:pPr>
        <w:pStyle w:val="12"/>
        <w:jc w:val="center"/>
        <w:rPr>
          <w:sz w:val="72"/>
          <w:szCs w:val="72"/>
        </w:rPr>
      </w:pPr>
    </w:p>
    <w:p w14:paraId="2A29E38F">
      <w:pPr>
        <w:pStyle w:val="12"/>
        <w:jc w:val="center"/>
        <w:rPr>
          <w:sz w:val="72"/>
          <w:szCs w:val="72"/>
        </w:rPr>
      </w:pPr>
    </w:p>
    <w:p w14:paraId="58ED9F12">
      <w:pPr>
        <w:pStyle w:val="12"/>
        <w:jc w:val="center"/>
        <w:rPr>
          <w:sz w:val="72"/>
          <w:szCs w:val="72"/>
        </w:rPr>
      </w:pPr>
    </w:p>
    <w:p w14:paraId="3D9B1D99">
      <w:pPr>
        <w:pStyle w:val="12"/>
        <w:jc w:val="center"/>
        <w:rPr>
          <w:sz w:val="72"/>
          <w:szCs w:val="72"/>
        </w:rPr>
      </w:pPr>
    </w:p>
    <w:p w14:paraId="2E3AC37D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08D120D5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6583752F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133060C8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2BC7D328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444A76EF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06AA0E9F">
      <w:pPr>
        <w:pStyle w:val="12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</w:t>
      </w:r>
      <w:r>
        <w:rPr>
          <w:rFonts w:hint="eastAsia" w:ascii="方正小标宋_GBK" w:hAnsi="方正小标宋_GBK" w:eastAsia="方正小标宋_GBK" w:cs="方正小标宋_GBK"/>
          <w:sz w:val="72"/>
          <w:szCs w:val="72"/>
          <w:lang w:eastAsia="zh-CN"/>
        </w:rPr>
        <w:t>五</w:t>
      </w: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部分</w:t>
      </w:r>
    </w:p>
    <w:p w14:paraId="68480000">
      <w:pPr>
        <w:pStyle w:val="12"/>
        <w:jc w:val="center"/>
        <w:rPr>
          <w:rFonts w:hint="eastAsia" w:ascii="方正小标宋_GBK" w:hAnsi="方正小标宋_GBK" w:eastAsia="方正小标宋_GBK" w:cs="方正小标宋_GBK"/>
          <w:sz w:val="70"/>
          <w:szCs w:val="70"/>
        </w:rPr>
      </w:pPr>
    </w:p>
    <w:p w14:paraId="51104333">
      <w:pPr>
        <w:pStyle w:val="12"/>
        <w:jc w:val="center"/>
        <w:rPr>
          <w:rFonts w:hint="eastAsia" w:eastAsia="黑体"/>
          <w:sz w:val="72"/>
          <w:szCs w:val="7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  <w:lang w:eastAsia="zh-CN"/>
        </w:rPr>
        <w:t>附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lang w:eastAsia="zh-CN"/>
        </w:rPr>
        <w:t>件</w:t>
      </w:r>
    </w:p>
    <w:p w14:paraId="729F52CD">
      <w:pPr>
        <w:rPr>
          <w:sz w:val="72"/>
          <w:szCs w:val="72"/>
        </w:rPr>
      </w:pPr>
    </w:p>
    <w:p w14:paraId="0EC2CFBC">
      <w:pPr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A7D09"/>
    <w:multiLevelType w:val="singleLevel"/>
    <w:tmpl w:val="117A7D09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MTkwMDg0Y2M4Yjk4NGMyNDYyZTMyMDEzMjc5ZWU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1D97DEFF"/>
    <w:rsid w:val="1DFF72E5"/>
    <w:rsid w:val="1EFC6F07"/>
    <w:rsid w:val="23B875AD"/>
    <w:rsid w:val="2649379D"/>
    <w:rsid w:val="2FDF85B8"/>
    <w:rsid w:val="2FFFEE04"/>
    <w:rsid w:val="34DF85B0"/>
    <w:rsid w:val="35A52E53"/>
    <w:rsid w:val="3B8F36BC"/>
    <w:rsid w:val="491FF225"/>
    <w:rsid w:val="4FFD214C"/>
    <w:rsid w:val="50233FB8"/>
    <w:rsid w:val="5777D4F5"/>
    <w:rsid w:val="59DD8326"/>
    <w:rsid w:val="5DEF592A"/>
    <w:rsid w:val="5E3061E6"/>
    <w:rsid w:val="5FC6BB1E"/>
    <w:rsid w:val="5FF720F1"/>
    <w:rsid w:val="67FF5C0B"/>
    <w:rsid w:val="6EFC0924"/>
    <w:rsid w:val="6FB74722"/>
    <w:rsid w:val="6FEF8B7E"/>
    <w:rsid w:val="71A6591B"/>
    <w:rsid w:val="737D59BA"/>
    <w:rsid w:val="77C37683"/>
    <w:rsid w:val="79FF515B"/>
    <w:rsid w:val="7A461545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4393</Words>
  <Characters>4763</Characters>
  <Lines>63</Lines>
  <Paragraphs>18</Paragraphs>
  <TotalTime>28</TotalTime>
  <ScaleCrop>false</ScaleCrop>
  <LinksUpToDate>false</LinksUpToDate>
  <CharactersWithSpaces>4781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2020-07-08T02:32:00Z</dcterms:created>
  <dc:creator>李航 null</dc:creator>
  <cp:lastModifiedBy>唐茂林</cp:lastModifiedBy>
  <cp:lastPrinted>2024-08-08T10:20:00Z</cp:lastPrinted>
  <dcterms:modified xsi:type="dcterms:W3CDTF">2024-09-23T02:45:07Z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7C6D22CB60BF4B18857528EDDCF5E078_12</vt:lpwstr>
  </property>
</Properties>
</file>