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D680AA">
      <w:pPr>
        <w:pStyle w:val="13"/>
        <w:jc w:val="center"/>
        <w:rPr>
          <w:sz w:val="56"/>
          <w:szCs w:val="56"/>
        </w:rPr>
      </w:pPr>
    </w:p>
    <w:p w14:paraId="4CC703A4">
      <w:pPr>
        <w:pStyle w:val="13"/>
        <w:jc w:val="center"/>
        <w:rPr>
          <w:sz w:val="56"/>
          <w:szCs w:val="56"/>
        </w:rPr>
      </w:pPr>
    </w:p>
    <w:p w14:paraId="6219CD29">
      <w:pPr>
        <w:pStyle w:val="13"/>
        <w:jc w:val="center"/>
        <w:rPr>
          <w:sz w:val="84"/>
          <w:szCs w:val="84"/>
        </w:rPr>
      </w:pPr>
    </w:p>
    <w:p w14:paraId="36218C98">
      <w:pPr>
        <w:pStyle w:val="13"/>
        <w:jc w:val="center"/>
        <w:rPr>
          <w:sz w:val="84"/>
          <w:szCs w:val="84"/>
        </w:rPr>
      </w:pPr>
    </w:p>
    <w:p w14:paraId="0C1573A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3BD90C69">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怀化市检验检测中心</w:t>
      </w:r>
    </w:p>
    <w:p w14:paraId="7AD4FFEC">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0D9EB02E">
      <w:pPr>
        <w:pStyle w:val="13"/>
        <w:jc w:val="center"/>
        <w:rPr>
          <w:rFonts w:hint="eastAsia" w:ascii="方正小标宋_GBK" w:hAnsi="方正小标宋_GBK" w:eastAsia="方正小标宋_GBK" w:cs="方正小标宋_GBK"/>
          <w:sz w:val="56"/>
          <w:szCs w:val="56"/>
        </w:rPr>
      </w:pPr>
    </w:p>
    <w:p w14:paraId="169466C3">
      <w:pPr>
        <w:pStyle w:val="13"/>
        <w:jc w:val="center"/>
        <w:rPr>
          <w:sz w:val="56"/>
          <w:szCs w:val="56"/>
        </w:rPr>
      </w:pPr>
    </w:p>
    <w:p w14:paraId="3CA5D8CB">
      <w:pPr>
        <w:pStyle w:val="13"/>
        <w:jc w:val="center"/>
        <w:rPr>
          <w:sz w:val="56"/>
          <w:szCs w:val="56"/>
        </w:rPr>
      </w:pPr>
    </w:p>
    <w:p w14:paraId="3333290C">
      <w:pPr>
        <w:pStyle w:val="13"/>
        <w:jc w:val="center"/>
        <w:rPr>
          <w:sz w:val="56"/>
          <w:szCs w:val="56"/>
        </w:rPr>
      </w:pPr>
    </w:p>
    <w:p w14:paraId="5469182D">
      <w:pPr>
        <w:pStyle w:val="13"/>
        <w:jc w:val="center"/>
        <w:rPr>
          <w:sz w:val="32"/>
          <w:szCs w:val="32"/>
        </w:rPr>
      </w:pPr>
    </w:p>
    <w:p w14:paraId="3154E276">
      <w:pPr>
        <w:pStyle w:val="13"/>
        <w:jc w:val="center"/>
        <w:rPr>
          <w:sz w:val="32"/>
          <w:szCs w:val="32"/>
        </w:rPr>
      </w:pPr>
    </w:p>
    <w:p w14:paraId="0B89C1F0">
      <w:pPr>
        <w:pStyle w:val="13"/>
        <w:jc w:val="center"/>
        <w:rPr>
          <w:sz w:val="32"/>
          <w:szCs w:val="32"/>
        </w:rPr>
      </w:pPr>
    </w:p>
    <w:p w14:paraId="3077BA1E">
      <w:pPr>
        <w:pStyle w:val="13"/>
        <w:spacing w:line="500" w:lineRule="exact"/>
        <w:jc w:val="both"/>
        <w:rPr>
          <w:b/>
          <w:sz w:val="36"/>
          <w:szCs w:val="28"/>
        </w:rPr>
      </w:pPr>
    </w:p>
    <w:p w14:paraId="4610063F">
      <w:pPr>
        <w:pStyle w:val="13"/>
        <w:spacing w:line="500" w:lineRule="exact"/>
        <w:jc w:val="center"/>
        <w:rPr>
          <w:b/>
          <w:sz w:val="36"/>
          <w:szCs w:val="28"/>
        </w:rPr>
      </w:pPr>
      <w:r>
        <w:rPr>
          <w:rFonts w:hint="eastAsia"/>
          <w:b/>
          <w:sz w:val="36"/>
          <w:szCs w:val="28"/>
        </w:rPr>
        <w:t>目录</w:t>
      </w:r>
    </w:p>
    <w:p w14:paraId="60763AD4">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怀化市检验检测中心</w:t>
      </w:r>
      <w:r>
        <w:rPr>
          <w:rFonts w:hint="eastAsia" w:ascii="黑体" w:hAnsi="黑体" w:eastAsia="黑体" w:cs="黑体"/>
          <w:b w:val="0"/>
          <w:bCs/>
          <w:sz w:val="28"/>
          <w:szCs w:val="28"/>
        </w:rPr>
        <w:t>概况</w:t>
      </w:r>
    </w:p>
    <w:p w14:paraId="7774B7D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105AB7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8C93142">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3C9D241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0111DD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5C2DDF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78401E4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4711A3C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99A771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D913A6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DF54C1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954DF1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BE8CA29">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1C264E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16F0B8C">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E3E742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0B90AD0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7AC226C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1F543C8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FA4C9A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AB98BD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0BE7D8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九、国有资本经营预算财政拨款支出决算情况说明</w:t>
      </w:r>
    </w:p>
    <w:p w14:paraId="6397977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66F3172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2B77EC1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sz w:val="28"/>
          <w:szCs w:val="28"/>
        </w:rPr>
        <w:t>二</w:t>
      </w:r>
      <w:r>
        <w:rPr>
          <w:rFonts w:hint="eastAsia" w:ascii="仿宋_GB2312" w:hAnsi="仿宋_GB2312" w:eastAsia="仿宋_GB2312" w:cs="仿宋_GB2312"/>
          <w:color w:val="000000"/>
          <w:kern w:val="0"/>
          <w:sz w:val="28"/>
          <w:szCs w:val="28"/>
        </w:rPr>
        <w:t>、关于政府采购支出说明</w:t>
      </w:r>
    </w:p>
    <w:p w14:paraId="2AACDC3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1ADED18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07696546">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0948935">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16F030E8">
      <w:pPr>
        <w:pStyle w:val="13"/>
        <w:spacing w:line="500" w:lineRule="exact"/>
        <w:rPr>
          <w:rFonts w:hint="eastAsia" w:ascii="黑体" w:hAnsi="黑体" w:eastAsia="黑体" w:cs="黑体"/>
          <w:b w:val="0"/>
          <w:bCs/>
          <w:sz w:val="28"/>
          <w:szCs w:val="28"/>
        </w:rPr>
      </w:pPr>
    </w:p>
    <w:p w14:paraId="1954D6C9">
      <w:pPr>
        <w:jc w:val="center"/>
        <w:rPr>
          <w:sz w:val="72"/>
          <w:szCs w:val="72"/>
        </w:rPr>
      </w:pPr>
    </w:p>
    <w:p w14:paraId="31538C32">
      <w:pPr>
        <w:jc w:val="center"/>
        <w:rPr>
          <w:sz w:val="72"/>
          <w:szCs w:val="72"/>
        </w:rPr>
      </w:pPr>
    </w:p>
    <w:p w14:paraId="06F78643">
      <w:pPr>
        <w:jc w:val="both"/>
        <w:rPr>
          <w:sz w:val="72"/>
          <w:szCs w:val="72"/>
        </w:rPr>
      </w:pPr>
    </w:p>
    <w:p w14:paraId="07EB3C04">
      <w:pPr>
        <w:jc w:val="both"/>
        <w:rPr>
          <w:sz w:val="72"/>
          <w:szCs w:val="72"/>
        </w:rPr>
      </w:pPr>
    </w:p>
    <w:p w14:paraId="5344B8FE">
      <w:pPr>
        <w:jc w:val="both"/>
        <w:rPr>
          <w:sz w:val="72"/>
          <w:szCs w:val="72"/>
        </w:rPr>
      </w:pPr>
    </w:p>
    <w:p w14:paraId="5B691342">
      <w:pPr>
        <w:jc w:val="both"/>
        <w:rPr>
          <w:sz w:val="72"/>
          <w:szCs w:val="72"/>
        </w:rPr>
      </w:pPr>
    </w:p>
    <w:p w14:paraId="273F4FFE">
      <w:pPr>
        <w:jc w:val="both"/>
        <w:rPr>
          <w:sz w:val="72"/>
          <w:szCs w:val="72"/>
        </w:rPr>
      </w:pPr>
    </w:p>
    <w:p w14:paraId="0A65BFA4">
      <w:pPr>
        <w:jc w:val="both"/>
        <w:rPr>
          <w:sz w:val="72"/>
          <w:szCs w:val="72"/>
        </w:rPr>
      </w:pPr>
    </w:p>
    <w:p w14:paraId="1F34BDCD">
      <w:pPr>
        <w:jc w:val="both"/>
        <w:rPr>
          <w:sz w:val="72"/>
          <w:szCs w:val="72"/>
        </w:rPr>
      </w:pPr>
    </w:p>
    <w:p w14:paraId="0CB1875B">
      <w:pPr>
        <w:jc w:val="both"/>
        <w:rPr>
          <w:sz w:val="72"/>
          <w:szCs w:val="72"/>
        </w:rPr>
      </w:pPr>
    </w:p>
    <w:p w14:paraId="0FAEC24F">
      <w:pPr>
        <w:jc w:val="both"/>
        <w:rPr>
          <w:sz w:val="72"/>
          <w:szCs w:val="72"/>
        </w:rPr>
      </w:pPr>
    </w:p>
    <w:p w14:paraId="3444AED6">
      <w:pPr>
        <w:jc w:val="both"/>
        <w:rPr>
          <w:sz w:val="72"/>
          <w:szCs w:val="72"/>
        </w:rPr>
      </w:pPr>
    </w:p>
    <w:p w14:paraId="6A8885DA">
      <w:pPr>
        <w:jc w:val="both"/>
        <w:rPr>
          <w:sz w:val="72"/>
          <w:szCs w:val="72"/>
        </w:rPr>
      </w:pPr>
    </w:p>
    <w:p w14:paraId="64152129">
      <w:pPr>
        <w:jc w:val="both"/>
        <w:rPr>
          <w:sz w:val="72"/>
          <w:szCs w:val="72"/>
        </w:rPr>
      </w:pPr>
    </w:p>
    <w:p w14:paraId="4FD62DF6">
      <w:pPr>
        <w:jc w:val="both"/>
        <w:rPr>
          <w:sz w:val="72"/>
          <w:szCs w:val="72"/>
        </w:rPr>
      </w:pPr>
    </w:p>
    <w:p w14:paraId="49ED5912">
      <w:pPr>
        <w:jc w:val="both"/>
        <w:rPr>
          <w:sz w:val="72"/>
          <w:szCs w:val="72"/>
        </w:rPr>
      </w:pPr>
    </w:p>
    <w:p w14:paraId="63703379">
      <w:pPr>
        <w:jc w:val="both"/>
        <w:rPr>
          <w:sz w:val="72"/>
          <w:szCs w:val="72"/>
        </w:rPr>
      </w:pPr>
    </w:p>
    <w:p w14:paraId="1860FE48">
      <w:pPr>
        <w:jc w:val="both"/>
        <w:rPr>
          <w:sz w:val="72"/>
          <w:szCs w:val="72"/>
        </w:rPr>
      </w:pPr>
    </w:p>
    <w:p w14:paraId="146D29E7">
      <w:pPr>
        <w:jc w:val="both"/>
        <w:rPr>
          <w:sz w:val="72"/>
          <w:szCs w:val="72"/>
        </w:rPr>
      </w:pPr>
    </w:p>
    <w:p w14:paraId="49C7E7B6">
      <w:pPr>
        <w:rPr>
          <w:rFonts w:hint="eastAsia" w:ascii="方正小标宋_GBK" w:hAnsi="方正小标宋_GBK" w:eastAsia="方正小标宋_GBK" w:cs="方正小标宋_GBK"/>
          <w:sz w:val="72"/>
          <w:szCs w:val="72"/>
        </w:rPr>
      </w:pPr>
    </w:p>
    <w:p w14:paraId="4C5456D7">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第一部分</w:t>
      </w:r>
    </w:p>
    <w:p w14:paraId="64CD2AEE">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怀化市检验检测中心</w:t>
      </w:r>
    </w:p>
    <w:p w14:paraId="1E0B009D">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14:paraId="05A3C2A7">
      <w:pPr>
        <w:jc w:val="center"/>
        <w:rPr>
          <w:rFonts w:hint="eastAsia" w:ascii="方正小标宋_GBK" w:hAnsi="方正小标宋_GBK" w:eastAsia="方正小标宋_GBK" w:cs="方正小标宋_GBK"/>
          <w:sz w:val="72"/>
          <w:szCs w:val="72"/>
        </w:rPr>
      </w:pPr>
    </w:p>
    <w:p w14:paraId="1E04CA56">
      <w:pPr>
        <w:jc w:val="center"/>
        <w:rPr>
          <w:rFonts w:hint="eastAsia" w:ascii="方正小标宋_GBK" w:hAnsi="方正小标宋_GBK" w:eastAsia="方正小标宋_GBK" w:cs="方正小标宋_GBK"/>
          <w:sz w:val="72"/>
          <w:szCs w:val="72"/>
        </w:rPr>
      </w:pPr>
    </w:p>
    <w:p w14:paraId="03D7AFA7">
      <w:pPr>
        <w:jc w:val="center"/>
        <w:rPr>
          <w:sz w:val="72"/>
          <w:szCs w:val="72"/>
        </w:rPr>
      </w:pPr>
    </w:p>
    <w:p w14:paraId="466724FD">
      <w:pPr>
        <w:jc w:val="center"/>
        <w:rPr>
          <w:sz w:val="72"/>
          <w:szCs w:val="72"/>
        </w:rPr>
      </w:pPr>
    </w:p>
    <w:p w14:paraId="2024E038">
      <w:pPr>
        <w:jc w:val="both"/>
        <w:rPr>
          <w:rFonts w:hint="eastAsia" w:eastAsiaTheme="minorEastAsia"/>
          <w:sz w:val="72"/>
          <w:szCs w:val="72"/>
          <w:lang w:val="en-US" w:eastAsia="zh-CN"/>
        </w:rPr>
      </w:pPr>
    </w:p>
    <w:p w14:paraId="5487AFE8">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6B142262">
      <w:pPr>
        <w:keepNext w:val="0"/>
        <w:keepLines w:val="0"/>
        <w:pageBreakBefore w:val="0"/>
        <w:widowControl/>
        <w:numPr>
          <w:ilvl w:val="0"/>
          <w:numId w:val="2"/>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eastAsia="zh-CN"/>
        </w:rPr>
        <w:t>依法为全市食品、药品、化妆品、医疗器械的质量监督、标准制订修订及注册检验检测、技术仲裁、新产品复核审验等提供技术服务;指导全市食品、药品、化妆品、医疗器械生产、供应、使用单位质检机构的业务技术工作;开展食品、药品、化妆品、医疗器械质量标准及检验检测新技术的</w:t>
      </w:r>
      <w:r>
        <w:rPr>
          <w:rFonts w:hint="eastAsia" w:ascii="Times New Roman" w:hAnsi="Times New Roman" w:eastAsia="仿宋_GB2312" w:cs="仿宋_GB2312"/>
          <w:bCs/>
          <w:kern w:val="0"/>
          <w:sz w:val="32"/>
          <w:szCs w:val="32"/>
          <w:lang w:val="en-US" w:eastAsia="zh-CN"/>
        </w:rPr>
        <w:t>科研工作。</w:t>
      </w:r>
    </w:p>
    <w:p w14:paraId="14BA142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lang w:val="en-US" w:eastAsia="zh-CN"/>
        </w:rPr>
        <w:t>二）</w:t>
      </w:r>
      <w:r>
        <w:rPr>
          <w:rFonts w:hint="eastAsia" w:ascii="Times New Roman" w:hAnsi="Times New Roman" w:eastAsia="仿宋_GB2312" w:cs="仿宋_GB2312"/>
          <w:bCs/>
          <w:kern w:val="0"/>
          <w:sz w:val="32"/>
          <w:szCs w:val="32"/>
          <w:lang w:eastAsia="zh-CN"/>
        </w:rPr>
        <w:t>依法对全市工业产品的质量开展检验检测工作;为全市食品接触材料及制品的质量开展检验检测工作;承担省市场监管部门下达的竹木制品省级质量监督抽检和开展相关科技科研任务;开展检验技术、质量标准、地理标志保护产品及工业产品发展等有关方面的科研工作，按要求上报和反馈工业产品、食品接触材料质量信息等。</w:t>
      </w:r>
    </w:p>
    <w:p w14:paraId="6B649AA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val="en-US" w:eastAsia="zh-CN"/>
        </w:rPr>
        <w:t>三</w:t>
      </w: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eastAsia="zh-CN"/>
        </w:rPr>
        <w:t>研究和建立全市社会公用计量标准;开展授权范围内的量值传递，执行计量器具强制检定工作或法律规定的其它检定测试任务;开展计量校准、仲裁检定、定量包装商品(产品)净含量的抽检工作;研究起草计量检定规程、技术规范等计量技术基础建设工作;开展重点用能单位能源计量审查工作。</w:t>
      </w:r>
    </w:p>
    <w:p w14:paraId="1158266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val="en-US" w:eastAsia="zh-CN"/>
        </w:rPr>
        <w:t>四</w:t>
      </w: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eastAsia="zh-CN"/>
        </w:rPr>
        <w:t>依法开展全市农产品流通领域质量安全检测工作;指导全市农产品质检机构的业务技术工作。</w:t>
      </w:r>
    </w:p>
    <w:p w14:paraId="4F13A42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val="en-US" w:eastAsia="zh-CN"/>
        </w:rPr>
        <w:t>五</w:t>
      </w: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eastAsia="zh-CN"/>
        </w:rPr>
        <w:t>为市场监管全面推进高质量发展战略、行政执法、突发事件处置等提供技术支撑。</w:t>
      </w:r>
    </w:p>
    <w:p w14:paraId="55F706D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val="en-US" w:eastAsia="zh-CN"/>
        </w:rPr>
        <w:t>六</w:t>
      </w: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eastAsia="zh-CN"/>
        </w:rPr>
        <w:t>承担上级政府和省、市市场监管部门下达的质量安全监督抽查、专项抽查检验、强制检定等技术支撑工作。</w:t>
      </w:r>
    </w:p>
    <w:p w14:paraId="4D2BABD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val="en-US" w:eastAsia="zh-CN"/>
        </w:rPr>
        <w:t>七</w:t>
      </w:r>
      <w:r>
        <w:rPr>
          <w:rFonts w:hint="eastAsia"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lang w:eastAsia="zh-CN"/>
        </w:rPr>
        <w:t>完成市市场监督管理局交办的其他任务。</w:t>
      </w:r>
    </w:p>
    <w:p w14:paraId="07D07EE2">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53D7D42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怀化市检验检测中心</w:t>
      </w:r>
      <w:r>
        <w:rPr>
          <w:rFonts w:hint="eastAsia" w:ascii="Times New Roman" w:hAnsi="Times New Roman" w:eastAsia="仿宋_GB2312" w:cs="仿宋_GB2312"/>
          <w:bCs/>
          <w:kern w:val="0"/>
          <w:sz w:val="32"/>
          <w:szCs w:val="32"/>
        </w:rPr>
        <w:t>内设机构包括：</w:t>
      </w:r>
      <w:r>
        <w:rPr>
          <w:rFonts w:hint="eastAsia" w:eastAsia="仿宋_GB2312"/>
          <w:sz w:val="32"/>
          <w:szCs w:val="32"/>
          <w:lang w:val="en-US" w:eastAsia="zh-CN"/>
        </w:rPr>
        <w:t>办公室、党群人事部、科技财务部、业务拓展部、质量技术部、食品检验检测部、农产品检验检测部、药品检验检测部、化妆品医疗器械检验检测部、工业产品检验检测部、竹木生态制品检验检测部、强制检定部、工作计量器具校准部、医学计量部、能源计量部</w:t>
      </w:r>
      <w:r>
        <w:rPr>
          <w:rFonts w:hint="eastAsia" w:eastAsia="仿宋_GB2312"/>
          <w:sz w:val="32"/>
          <w:szCs w:val="32"/>
          <w:lang w:eastAsia="zh-CN"/>
        </w:rPr>
        <w:t>。</w:t>
      </w:r>
    </w:p>
    <w:p w14:paraId="1B8A220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怀化市检验检测中心</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怀化市检验检测中心。</w:t>
      </w:r>
    </w:p>
    <w:p w14:paraId="6EAA8C7A">
      <w:pPr>
        <w:jc w:val="left"/>
        <w:rPr>
          <w:rFonts w:ascii="仿宋_GB2312" w:eastAsia="仿宋_GB2312" w:hAnsiTheme="minorEastAsia"/>
          <w:sz w:val="28"/>
          <w:szCs w:val="32"/>
        </w:rPr>
      </w:pPr>
    </w:p>
    <w:p w14:paraId="248562F6">
      <w:pPr>
        <w:jc w:val="center"/>
        <w:rPr>
          <w:rFonts w:ascii="黑体" w:hAnsi="黑体" w:eastAsia="黑体"/>
          <w:sz w:val="28"/>
          <w:szCs w:val="28"/>
        </w:rPr>
      </w:pPr>
    </w:p>
    <w:p w14:paraId="56FF7948">
      <w:pPr>
        <w:jc w:val="center"/>
        <w:rPr>
          <w:rFonts w:ascii="黑体" w:hAnsi="黑体" w:eastAsia="黑体"/>
          <w:sz w:val="28"/>
          <w:szCs w:val="28"/>
        </w:rPr>
      </w:pPr>
    </w:p>
    <w:p w14:paraId="549B97E2">
      <w:pPr>
        <w:jc w:val="center"/>
        <w:rPr>
          <w:rFonts w:ascii="黑体" w:hAnsi="黑体" w:eastAsia="黑体"/>
          <w:sz w:val="28"/>
          <w:szCs w:val="28"/>
        </w:rPr>
      </w:pPr>
    </w:p>
    <w:p w14:paraId="5E2594AA">
      <w:pPr>
        <w:jc w:val="center"/>
        <w:rPr>
          <w:rFonts w:ascii="黑体" w:hAnsi="黑体" w:eastAsia="黑体"/>
          <w:sz w:val="28"/>
          <w:szCs w:val="28"/>
        </w:rPr>
      </w:pPr>
    </w:p>
    <w:p w14:paraId="292B4262">
      <w:pPr>
        <w:jc w:val="center"/>
        <w:rPr>
          <w:rFonts w:ascii="黑体" w:hAnsi="黑体" w:eastAsia="黑体"/>
          <w:sz w:val="28"/>
          <w:szCs w:val="28"/>
        </w:rPr>
      </w:pPr>
    </w:p>
    <w:p w14:paraId="01D41BD7">
      <w:pPr>
        <w:jc w:val="center"/>
        <w:rPr>
          <w:rFonts w:ascii="黑体" w:hAnsi="黑体" w:eastAsia="黑体"/>
          <w:sz w:val="28"/>
          <w:szCs w:val="28"/>
        </w:rPr>
      </w:pPr>
    </w:p>
    <w:p w14:paraId="09F6B108">
      <w:pPr>
        <w:jc w:val="center"/>
        <w:rPr>
          <w:rFonts w:ascii="黑体" w:hAnsi="黑体" w:eastAsia="黑体"/>
          <w:sz w:val="28"/>
          <w:szCs w:val="28"/>
        </w:rPr>
      </w:pPr>
    </w:p>
    <w:p w14:paraId="1EA3646D">
      <w:pPr>
        <w:jc w:val="center"/>
        <w:rPr>
          <w:rFonts w:ascii="黑体" w:hAnsi="黑体" w:eastAsia="黑体"/>
          <w:sz w:val="28"/>
          <w:szCs w:val="28"/>
        </w:rPr>
      </w:pPr>
    </w:p>
    <w:p w14:paraId="5D345A88">
      <w:pPr>
        <w:jc w:val="center"/>
        <w:rPr>
          <w:rFonts w:ascii="黑体" w:hAnsi="黑体" w:eastAsia="黑体"/>
          <w:sz w:val="28"/>
          <w:szCs w:val="28"/>
        </w:rPr>
      </w:pPr>
    </w:p>
    <w:p w14:paraId="42534554">
      <w:pPr>
        <w:jc w:val="center"/>
        <w:rPr>
          <w:rFonts w:ascii="黑体" w:hAnsi="黑体" w:eastAsia="黑体"/>
          <w:sz w:val="28"/>
          <w:szCs w:val="28"/>
        </w:rPr>
      </w:pPr>
    </w:p>
    <w:p w14:paraId="7363B92E">
      <w:pPr>
        <w:jc w:val="center"/>
        <w:rPr>
          <w:rFonts w:ascii="黑体" w:hAnsi="黑体" w:eastAsia="黑体"/>
          <w:sz w:val="28"/>
          <w:szCs w:val="28"/>
        </w:rPr>
      </w:pPr>
    </w:p>
    <w:p w14:paraId="1C155B85">
      <w:pPr>
        <w:jc w:val="center"/>
        <w:rPr>
          <w:rFonts w:ascii="黑体" w:hAnsi="黑体" w:eastAsia="黑体"/>
          <w:sz w:val="28"/>
          <w:szCs w:val="28"/>
        </w:rPr>
      </w:pPr>
    </w:p>
    <w:p w14:paraId="37D9C66D">
      <w:pPr>
        <w:jc w:val="center"/>
        <w:rPr>
          <w:sz w:val="72"/>
          <w:szCs w:val="72"/>
        </w:rPr>
      </w:pPr>
    </w:p>
    <w:p w14:paraId="60CE0186">
      <w:pPr>
        <w:jc w:val="center"/>
        <w:rPr>
          <w:sz w:val="72"/>
          <w:szCs w:val="72"/>
        </w:rPr>
      </w:pPr>
    </w:p>
    <w:p w14:paraId="49AA9C88">
      <w:pPr>
        <w:jc w:val="center"/>
        <w:rPr>
          <w:sz w:val="72"/>
          <w:szCs w:val="72"/>
        </w:rPr>
      </w:pPr>
    </w:p>
    <w:p w14:paraId="0BFEE576">
      <w:pPr>
        <w:jc w:val="center"/>
        <w:rPr>
          <w:sz w:val="72"/>
          <w:szCs w:val="72"/>
        </w:rPr>
      </w:pPr>
    </w:p>
    <w:p w14:paraId="05202BA9">
      <w:pPr>
        <w:pStyle w:val="13"/>
        <w:jc w:val="center"/>
        <w:rPr>
          <w:rFonts w:hint="eastAsia" w:ascii="方正小标宋_GBK" w:hAnsi="方正小标宋_GBK" w:eastAsia="方正小标宋_GBK" w:cs="方正小标宋_GBK"/>
          <w:sz w:val="84"/>
          <w:szCs w:val="84"/>
        </w:rPr>
      </w:pPr>
    </w:p>
    <w:p w14:paraId="62AB5C3A">
      <w:pPr>
        <w:pStyle w:val="13"/>
        <w:jc w:val="center"/>
        <w:rPr>
          <w:rFonts w:hint="eastAsia" w:ascii="方正小标宋_GBK" w:hAnsi="方正小标宋_GBK" w:eastAsia="方正小标宋_GBK" w:cs="方正小标宋_GBK"/>
          <w:sz w:val="84"/>
          <w:szCs w:val="84"/>
        </w:rPr>
      </w:pPr>
    </w:p>
    <w:p w14:paraId="39C3A5F6">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4F7B352E">
      <w:pPr>
        <w:pStyle w:val="13"/>
        <w:jc w:val="center"/>
        <w:rPr>
          <w:rFonts w:hint="eastAsia" w:ascii="方正小标宋_GBK" w:hAnsi="方正小标宋_GBK" w:eastAsia="方正小标宋_GBK" w:cs="方正小标宋_GBK"/>
          <w:sz w:val="84"/>
          <w:szCs w:val="84"/>
        </w:rPr>
      </w:pPr>
    </w:p>
    <w:p w14:paraId="29A3D5F2">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B6E00C6">
      <w:pPr>
        <w:jc w:val="center"/>
        <w:rPr>
          <w:sz w:val="72"/>
          <w:szCs w:val="72"/>
        </w:rPr>
      </w:pPr>
    </w:p>
    <w:p w14:paraId="157E98A0">
      <w:pPr>
        <w:jc w:val="center"/>
        <w:rPr>
          <w:rFonts w:hint="eastAsia" w:eastAsiaTheme="minorEastAsia"/>
          <w:sz w:val="72"/>
          <w:szCs w:val="72"/>
          <w:lang w:val="en-US" w:eastAsia="zh-CN"/>
        </w:rPr>
      </w:pPr>
      <w:r>
        <w:rPr>
          <w:rFonts w:hint="eastAsia"/>
          <w:sz w:val="72"/>
          <w:szCs w:val="72"/>
          <w:lang w:val="en-US" w:eastAsia="zh-CN"/>
        </w:rPr>
        <w:t>见附件</w:t>
      </w:r>
    </w:p>
    <w:p w14:paraId="7725EC7D">
      <w:pPr>
        <w:jc w:val="center"/>
        <w:rPr>
          <w:sz w:val="72"/>
          <w:szCs w:val="72"/>
        </w:rPr>
      </w:pPr>
    </w:p>
    <w:p w14:paraId="0920B316">
      <w:pPr>
        <w:jc w:val="center"/>
        <w:rPr>
          <w:sz w:val="72"/>
          <w:szCs w:val="72"/>
        </w:rPr>
      </w:pPr>
    </w:p>
    <w:p w14:paraId="56E3C11D">
      <w:pPr>
        <w:jc w:val="center"/>
        <w:rPr>
          <w:sz w:val="72"/>
          <w:szCs w:val="72"/>
        </w:rPr>
      </w:pPr>
    </w:p>
    <w:p w14:paraId="48D50BE8">
      <w:pPr>
        <w:jc w:val="center"/>
        <w:rPr>
          <w:sz w:val="72"/>
          <w:szCs w:val="72"/>
        </w:rPr>
      </w:pPr>
    </w:p>
    <w:p w14:paraId="3F6FE177">
      <w:pPr>
        <w:jc w:val="left"/>
        <w:rPr>
          <w:sz w:val="32"/>
          <w:szCs w:val="32"/>
        </w:rPr>
      </w:pPr>
    </w:p>
    <w:p w14:paraId="63FE515A">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557CF400">
      <w:pPr>
        <w:pStyle w:val="13"/>
        <w:rPr>
          <w:sz w:val="72"/>
          <w:szCs w:val="72"/>
        </w:rPr>
      </w:pPr>
    </w:p>
    <w:p w14:paraId="3BD51458">
      <w:pPr>
        <w:pStyle w:val="13"/>
        <w:rPr>
          <w:sz w:val="72"/>
          <w:szCs w:val="72"/>
        </w:rPr>
      </w:pPr>
    </w:p>
    <w:p w14:paraId="2865F81F">
      <w:pPr>
        <w:pStyle w:val="13"/>
        <w:rPr>
          <w:sz w:val="72"/>
          <w:szCs w:val="72"/>
        </w:rPr>
      </w:pPr>
    </w:p>
    <w:p w14:paraId="0DFB4E25">
      <w:pPr>
        <w:pStyle w:val="13"/>
        <w:rPr>
          <w:sz w:val="72"/>
          <w:szCs w:val="72"/>
        </w:rPr>
      </w:pPr>
    </w:p>
    <w:p w14:paraId="13148275">
      <w:pPr>
        <w:pStyle w:val="13"/>
        <w:jc w:val="center"/>
        <w:rPr>
          <w:sz w:val="72"/>
          <w:szCs w:val="72"/>
        </w:rPr>
      </w:pPr>
    </w:p>
    <w:p w14:paraId="63F1D47D">
      <w:pPr>
        <w:pStyle w:val="13"/>
        <w:jc w:val="center"/>
        <w:rPr>
          <w:rFonts w:hint="eastAsia" w:ascii="方正小标宋_GBK" w:hAnsi="方正小标宋_GBK" w:eastAsia="方正小标宋_GBK" w:cs="方正小标宋_GBK"/>
          <w:sz w:val="72"/>
          <w:szCs w:val="72"/>
        </w:rPr>
      </w:pPr>
    </w:p>
    <w:p w14:paraId="129C82F8">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5F5E224D">
      <w:pPr>
        <w:pStyle w:val="13"/>
        <w:jc w:val="center"/>
        <w:rPr>
          <w:rFonts w:hint="eastAsia" w:ascii="方正小标宋_GBK" w:hAnsi="方正小标宋_GBK" w:eastAsia="方正小标宋_GBK" w:cs="方正小标宋_GBK"/>
          <w:sz w:val="70"/>
          <w:szCs w:val="70"/>
        </w:rPr>
      </w:pPr>
    </w:p>
    <w:p w14:paraId="57FCFCE1">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6DB86D09">
      <w:pPr>
        <w:pStyle w:val="13"/>
        <w:jc w:val="center"/>
        <w:rPr>
          <w:rFonts w:hint="eastAsia" w:ascii="方正小标宋_GBK" w:hAnsi="方正小标宋_GBK" w:eastAsia="方正小标宋_GBK" w:cs="方正小标宋_GBK"/>
          <w:sz w:val="70"/>
          <w:szCs w:val="70"/>
        </w:rPr>
      </w:pPr>
    </w:p>
    <w:p w14:paraId="2AE16424">
      <w:pPr>
        <w:pStyle w:val="13"/>
        <w:jc w:val="center"/>
        <w:rPr>
          <w:rFonts w:hint="eastAsia" w:ascii="方正小标宋_GBK" w:hAnsi="方正小标宋_GBK" w:eastAsia="方正小标宋_GBK" w:cs="方正小标宋_GBK"/>
          <w:sz w:val="70"/>
          <w:szCs w:val="70"/>
        </w:rPr>
      </w:pPr>
    </w:p>
    <w:p w14:paraId="415888EC">
      <w:pPr>
        <w:pStyle w:val="13"/>
        <w:jc w:val="center"/>
        <w:rPr>
          <w:rFonts w:hint="eastAsia" w:ascii="方正小标宋_GBK" w:hAnsi="方正小标宋_GBK" w:eastAsia="方正小标宋_GBK" w:cs="方正小标宋_GBK"/>
          <w:sz w:val="70"/>
          <w:szCs w:val="70"/>
        </w:rPr>
      </w:pPr>
    </w:p>
    <w:p w14:paraId="51308E77">
      <w:pPr>
        <w:pStyle w:val="13"/>
        <w:jc w:val="center"/>
        <w:rPr>
          <w:rFonts w:hint="eastAsia" w:ascii="方正小标宋_GBK" w:hAnsi="方正小标宋_GBK" w:eastAsia="方正小标宋_GBK" w:cs="方正小标宋_GBK"/>
          <w:sz w:val="70"/>
          <w:szCs w:val="70"/>
        </w:rPr>
      </w:pPr>
    </w:p>
    <w:p w14:paraId="660E0A9B">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C15084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314D5519">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年度收、支总计1638.13万元。</w:t>
      </w:r>
      <w:r>
        <w:rPr>
          <w:rFonts w:hint="eastAsia" w:ascii="仿宋_GB2312" w:hAnsi="仿宋" w:eastAsia="仿宋_GB2312" w:cs="仿宋"/>
          <w:color w:val="000000"/>
          <w:sz w:val="32"/>
          <w:szCs w:val="32"/>
          <w:lang w:val="en-US" w:eastAsia="zh-CN"/>
        </w:rPr>
        <w:t>无上年数据，本单位为原怀化市计量测试检定所、原怀化市产商品质量监督检验所和怀化市食品药品检验所合并的新单位。</w:t>
      </w:r>
    </w:p>
    <w:p w14:paraId="75C01B0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9652AC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年度收入合计1638.13万元，其中：财政拨款收入1635.49万元，占</w:t>
      </w:r>
      <w:r>
        <w:rPr>
          <w:rFonts w:hint="eastAsia" w:ascii="Times New Roman" w:hAnsi="Times New Roman" w:eastAsia="仿宋_GB2312"/>
          <w:sz w:val="32"/>
          <w:szCs w:val="32"/>
          <w:lang w:val="en-US" w:eastAsia="zh-CN"/>
        </w:rPr>
        <w:t>99.84</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%；其他收入2.64万元，占</w:t>
      </w:r>
      <w:r>
        <w:rPr>
          <w:rFonts w:hint="eastAsia" w:ascii="Times New Roman" w:hAnsi="Times New Roman" w:eastAsia="仿宋_GB2312"/>
          <w:sz w:val="32"/>
          <w:szCs w:val="32"/>
          <w:lang w:val="en-US" w:eastAsia="zh-CN"/>
        </w:rPr>
        <w:t>0.16</w:t>
      </w:r>
      <w:r>
        <w:rPr>
          <w:rFonts w:hint="eastAsia" w:ascii="Times New Roman" w:hAnsi="Times New Roman" w:eastAsia="仿宋_GB2312"/>
          <w:sz w:val="32"/>
          <w:szCs w:val="32"/>
        </w:rPr>
        <w:t>%。</w:t>
      </w:r>
    </w:p>
    <w:p w14:paraId="63A92DF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377AAC1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年度支出合计1638.13万元，其中：基本支出1117.68万元，占</w:t>
      </w:r>
      <w:r>
        <w:rPr>
          <w:rFonts w:hint="eastAsia" w:ascii="Times New Roman" w:hAnsi="Times New Roman" w:eastAsia="仿宋_GB2312"/>
          <w:sz w:val="32"/>
          <w:szCs w:val="32"/>
          <w:lang w:val="en-US" w:eastAsia="zh-CN"/>
        </w:rPr>
        <w:t>68.23</w:t>
      </w:r>
      <w:r>
        <w:rPr>
          <w:rFonts w:hint="eastAsia" w:ascii="Times New Roman" w:hAnsi="Times New Roman" w:eastAsia="仿宋_GB2312"/>
          <w:sz w:val="32"/>
          <w:szCs w:val="32"/>
        </w:rPr>
        <w:t>%；项目支出520.45万元，占</w:t>
      </w:r>
      <w:r>
        <w:rPr>
          <w:rFonts w:hint="eastAsia" w:ascii="Times New Roman" w:hAnsi="Times New Roman" w:eastAsia="仿宋_GB2312"/>
          <w:sz w:val="32"/>
          <w:szCs w:val="32"/>
          <w:lang w:val="en-US" w:eastAsia="zh-CN"/>
        </w:rPr>
        <w:t>31.77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83553C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769BA7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年度财政拨款收、支总计1635.49万元，</w:t>
      </w:r>
      <w:r>
        <w:rPr>
          <w:rFonts w:hint="eastAsia" w:ascii="仿宋_GB2312" w:hAnsi="仿宋" w:eastAsia="仿宋_GB2312" w:cs="仿宋"/>
          <w:color w:val="000000"/>
          <w:sz w:val="32"/>
          <w:szCs w:val="32"/>
          <w:lang w:val="en-US" w:eastAsia="zh-CN"/>
        </w:rPr>
        <w:t>无上年数据。</w:t>
      </w:r>
    </w:p>
    <w:p w14:paraId="30247BF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3D3C8D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6A6D3F9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 w:eastAsia="仿宋_GB2312" w:cs="仿宋"/>
          <w:color w:val="000000"/>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年度财政拨款支出1635.49万元，占本年支出合计的</w:t>
      </w:r>
      <w:r>
        <w:rPr>
          <w:rFonts w:hint="eastAsia" w:ascii="Times New Roman" w:hAnsi="Times New Roman" w:eastAsia="仿宋_GB2312"/>
          <w:sz w:val="32"/>
          <w:szCs w:val="32"/>
          <w:lang w:val="en-US" w:eastAsia="zh-CN"/>
        </w:rPr>
        <w:t>99.84</w:t>
      </w:r>
      <w:r>
        <w:rPr>
          <w:rFonts w:hint="eastAsia" w:ascii="Times New Roman" w:hAnsi="Times New Roman" w:eastAsia="仿宋_GB2312"/>
          <w:sz w:val="32"/>
          <w:szCs w:val="32"/>
        </w:rPr>
        <w:t>%，</w:t>
      </w:r>
      <w:r>
        <w:rPr>
          <w:rFonts w:hint="eastAsia" w:ascii="仿宋_GB2312" w:hAnsi="仿宋" w:eastAsia="仿宋_GB2312" w:cs="仿宋"/>
          <w:color w:val="000000"/>
          <w:sz w:val="32"/>
          <w:szCs w:val="32"/>
          <w:lang w:val="en-US" w:eastAsia="zh-CN"/>
        </w:rPr>
        <w:t>无上年数据。</w:t>
      </w:r>
    </w:p>
    <w:p w14:paraId="643F71A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2DE36FE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年度财政拨款支出1635.49万元，主要用于以下方面：一般公共服务（类）支出1441.07万元，占</w:t>
      </w:r>
      <w:r>
        <w:rPr>
          <w:rFonts w:hint="eastAsia" w:ascii="Times New Roman" w:hAnsi="Times New Roman" w:eastAsia="仿宋_GB2312"/>
          <w:sz w:val="32"/>
          <w:szCs w:val="32"/>
          <w:lang w:val="en-US" w:eastAsia="zh-CN"/>
        </w:rPr>
        <w:t>88.11</w:t>
      </w:r>
      <w:r>
        <w:rPr>
          <w:rFonts w:hint="eastAsia" w:ascii="Times New Roman" w:hAnsi="Times New Roman" w:eastAsia="仿宋_GB2312"/>
          <w:sz w:val="32"/>
          <w:szCs w:val="32"/>
        </w:rPr>
        <w:t>%；社会保障和就业（类）支出151.77万元，占</w:t>
      </w:r>
      <w:r>
        <w:rPr>
          <w:rFonts w:hint="eastAsia" w:ascii="Times New Roman" w:hAnsi="Times New Roman" w:eastAsia="仿宋_GB2312"/>
          <w:sz w:val="32"/>
          <w:szCs w:val="32"/>
          <w:lang w:val="en-US" w:eastAsia="zh-CN"/>
        </w:rPr>
        <w:t>9.28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卫生健康（类）支出42.65万元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2.61</w:t>
      </w:r>
      <w:r>
        <w:rPr>
          <w:rFonts w:hint="eastAsia" w:ascii="Times New Roman" w:hAnsi="Times New Roman" w:eastAsia="仿宋_GB2312"/>
          <w:sz w:val="32"/>
          <w:szCs w:val="32"/>
        </w:rPr>
        <w:t>%</w:t>
      </w:r>
    </w:p>
    <w:p w14:paraId="247B377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239DE24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年度财政拨款支出年初预算数为1448.6</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万元，支出决算数为1635.49万元，完成年初预算的</w:t>
      </w:r>
      <w:r>
        <w:rPr>
          <w:rFonts w:hint="eastAsia" w:ascii="Times New Roman" w:hAnsi="Times New Roman" w:eastAsia="仿宋_GB2312"/>
          <w:sz w:val="32"/>
          <w:szCs w:val="32"/>
          <w:lang w:val="en-US" w:eastAsia="zh-CN"/>
        </w:rPr>
        <w:t>112.9</w:t>
      </w:r>
      <w:r>
        <w:rPr>
          <w:rFonts w:hint="eastAsia" w:ascii="Times New Roman" w:hAnsi="Times New Roman" w:eastAsia="仿宋_GB2312"/>
          <w:sz w:val="32"/>
          <w:szCs w:val="32"/>
        </w:rPr>
        <w:t>%，其中：</w:t>
      </w:r>
    </w:p>
    <w:p w14:paraId="7021972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1、一般公共服务（类）市场监督管理事务（款）行政运行（项）。</w:t>
      </w:r>
    </w:p>
    <w:p w14:paraId="3BC61FA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万元，支出决算为688.3万元，由于预算数为0，无法计算百分比，决算数大于年初预算数的主要原因是：</w:t>
      </w:r>
      <w:r>
        <w:rPr>
          <w:rFonts w:hint="eastAsia" w:ascii="Times New Roman" w:hAnsi="Times New Roman" w:eastAsia="仿宋_GB2312"/>
          <w:sz w:val="32"/>
          <w:szCs w:val="32"/>
          <w:highlight w:val="none"/>
          <w:lang w:val="en-US" w:eastAsia="zh-CN"/>
        </w:rPr>
        <w:t>预决算下达的功能口径不一致。</w:t>
      </w:r>
    </w:p>
    <w:p w14:paraId="319A7A0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2、一般公共服务（类）市场监督管理事务（款）药品事务（项）。</w:t>
      </w:r>
    </w:p>
    <w:p w14:paraId="35C9348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万元，支出决算为108.41万元，由于预算数为0，无法计算百分比，决算数大于年初预算数的主要原因是：</w:t>
      </w:r>
      <w:r>
        <w:rPr>
          <w:rFonts w:hint="eastAsia" w:ascii="Times New Roman" w:hAnsi="Times New Roman" w:eastAsia="仿宋_GB2312"/>
          <w:sz w:val="32"/>
          <w:szCs w:val="32"/>
          <w:lang w:val="en-US" w:eastAsia="zh-CN"/>
        </w:rPr>
        <w:t>追加预算，药械化抽检专项经费43.52万元、中央药品监管补助21.58万元、检验设备配备43.31万元。</w:t>
      </w:r>
    </w:p>
    <w:p w14:paraId="6A9899A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一般公共服务（类）市场监督管理事务（款）事业运行（项）。</w:t>
      </w:r>
    </w:p>
    <w:p w14:paraId="015123E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1089.13</w:t>
      </w:r>
      <w:r>
        <w:rPr>
          <w:rFonts w:hint="eastAsia" w:ascii="Times New Roman" w:hAnsi="Times New Roman" w:eastAsia="仿宋_GB2312"/>
          <w:sz w:val="32"/>
          <w:szCs w:val="32"/>
        </w:rPr>
        <w:t>万元，支出决算为193.13</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w:t>
      </w:r>
      <w:r>
        <w:rPr>
          <w:rFonts w:hint="eastAsia" w:ascii="Times New Roman" w:hAnsi="Times New Roman" w:eastAsia="仿宋_GB2312"/>
          <w:sz w:val="32"/>
          <w:szCs w:val="32"/>
          <w:lang w:val="en-US" w:eastAsia="zh-CN"/>
        </w:rPr>
        <w:t>17.73</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highlight w:val="none"/>
          <w:lang w:val="en-US" w:eastAsia="zh-CN"/>
        </w:rPr>
        <w:t>预决算下达的功能口径不一致。</w:t>
      </w:r>
    </w:p>
    <w:p w14:paraId="1CC8CB3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一般公共服务（类）市场监督管理事务（款）其他市场监督管理事务（项）。</w:t>
      </w:r>
    </w:p>
    <w:p w14:paraId="3068C07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年初预算为97.5万元，支出决算为301.24万元，完成年初预算的</w:t>
      </w:r>
      <w:r>
        <w:rPr>
          <w:rFonts w:hint="eastAsia" w:ascii="Times New Roman" w:hAnsi="Times New Roman" w:eastAsia="仿宋_GB2312"/>
          <w:sz w:val="32"/>
          <w:szCs w:val="32"/>
          <w:lang w:val="en-US" w:eastAsia="zh-CN"/>
        </w:rPr>
        <w:t>308.96</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追加预算，人员经费奖金89.2万元，流通领域重点产商品质量监督抽查39.56万元，检验检测能力提升项目30万元，湖南省财政厅关于提前下达2023年省级市场监督管理专项资金的通知5万元和省级能力提升项目40万元。</w:t>
      </w:r>
    </w:p>
    <w:p w14:paraId="43DC26B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一般公共服务（类）其他一般公共服务支出（款）其他一般公共服务支出（项）。</w:t>
      </w:r>
    </w:p>
    <w:p w14:paraId="3BA0FD6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万元，支出决算为150万元，由于预算数为0，无法计算百分比，决算数大于年初预算数的主要原因是：</w:t>
      </w:r>
      <w:r>
        <w:rPr>
          <w:rFonts w:hint="eastAsia" w:ascii="Times New Roman" w:hAnsi="Times New Roman" w:eastAsia="仿宋_GB2312"/>
          <w:sz w:val="32"/>
          <w:szCs w:val="32"/>
          <w:lang w:val="en-US" w:eastAsia="zh-CN"/>
        </w:rPr>
        <w:t>追加预算，</w:t>
      </w:r>
      <w:r>
        <w:rPr>
          <w:rFonts w:hint="eastAsia" w:ascii="Times New Roman" w:hAnsi="Times New Roman" w:eastAsia="仿宋_GB2312"/>
          <w:sz w:val="32"/>
          <w:szCs w:val="32"/>
        </w:rPr>
        <w:t>食品安全抽检经费</w:t>
      </w:r>
      <w:r>
        <w:rPr>
          <w:rFonts w:hint="eastAsia" w:ascii="Times New Roman" w:hAnsi="Times New Roman" w:eastAsia="仿宋_GB2312"/>
          <w:sz w:val="32"/>
          <w:szCs w:val="32"/>
          <w:lang w:val="en-US" w:eastAsia="zh-CN"/>
        </w:rPr>
        <w:t>150万元。</w:t>
      </w:r>
    </w:p>
    <w:p w14:paraId="16E7683C">
      <w:pPr>
        <w:pStyle w:val="13"/>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社会保障和就业支出</w:t>
      </w:r>
      <w:r>
        <w:rPr>
          <w:rFonts w:hint="eastAsia" w:ascii="Times New Roman" w:hAnsi="Times New Roman" w:eastAsia="仿宋_GB2312"/>
          <w:sz w:val="32"/>
          <w:szCs w:val="32"/>
        </w:rPr>
        <w:t>（类）行政事业单位养老支出（款）</w:t>
      </w:r>
      <w:r>
        <w:rPr>
          <w:rFonts w:hint="eastAsia" w:ascii="Times New Roman" w:hAnsi="Times New Roman" w:eastAsia="仿宋_GB2312"/>
          <w:sz w:val="32"/>
          <w:szCs w:val="32"/>
          <w:lang w:val="en-US" w:eastAsia="zh-CN"/>
        </w:rPr>
        <w:t>机</w:t>
      </w:r>
      <w:r>
        <w:rPr>
          <w:rFonts w:hint="eastAsia" w:ascii="Times New Roman" w:hAnsi="Times New Roman" w:eastAsia="仿宋_GB2312"/>
          <w:sz w:val="32"/>
          <w:szCs w:val="32"/>
        </w:rPr>
        <w:t>关事业单位基本养老保险缴费支出（项）。</w:t>
      </w:r>
    </w:p>
    <w:p w14:paraId="7A05E7B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116.51</w:t>
      </w:r>
      <w:r>
        <w:rPr>
          <w:rFonts w:hint="eastAsia" w:ascii="Times New Roman" w:hAnsi="Times New Roman" w:eastAsia="仿宋_GB2312"/>
          <w:sz w:val="32"/>
          <w:szCs w:val="32"/>
        </w:rPr>
        <w:t>万元，支出决算为99.19万元，完成年初预算的</w:t>
      </w:r>
      <w:r>
        <w:rPr>
          <w:rFonts w:hint="eastAsia" w:ascii="Times New Roman" w:hAnsi="Times New Roman" w:eastAsia="仿宋_GB2312"/>
          <w:sz w:val="32"/>
          <w:szCs w:val="32"/>
          <w:lang w:val="en-US" w:eastAsia="zh-CN"/>
        </w:rPr>
        <w:t>85.13</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本年度有4名退休人员。</w:t>
      </w:r>
    </w:p>
    <w:p w14:paraId="3AE4C290">
      <w:pPr>
        <w:pStyle w:val="13"/>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社会保障和就业支出</w:t>
      </w:r>
      <w:r>
        <w:rPr>
          <w:rFonts w:hint="eastAsia" w:ascii="Times New Roman" w:hAnsi="Times New Roman" w:eastAsia="仿宋_GB2312"/>
          <w:sz w:val="32"/>
          <w:szCs w:val="32"/>
        </w:rPr>
        <w:t>（类）行政事业单位养老支出（款）</w:t>
      </w:r>
      <w:r>
        <w:rPr>
          <w:rFonts w:hint="eastAsia" w:ascii="Times New Roman" w:hAnsi="Times New Roman" w:eastAsia="仿宋_GB2312"/>
          <w:sz w:val="32"/>
          <w:szCs w:val="32"/>
          <w:lang w:val="en-US" w:eastAsia="zh-CN"/>
        </w:rPr>
        <w:t>其他行政事业单位养老支出</w:t>
      </w:r>
      <w:r>
        <w:rPr>
          <w:rFonts w:hint="eastAsia" w:ascii="Times New Roman" w:hAnsi="Times New Roman" w:eastAsia="仿宋_GB2312"/>
          <w:sz w:val="32"/>
          <w:szCs w:val="32"/>
        </w:rPr>
        <w:t>（项）。</w:t>
      </w:r>
    </w:p>
    <w:p w14:paraId="31EB395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万元，支出决算为52.58万元，由于预算数为0，无法计算百分比，决算数大于年初预算数的主要原因是：</w:t>
      </w:r>
      <w:r>
        <w:rPr>
          <w:rFonts w:hint="eastAsia" w:ascii="Times New Roman" w:hAnsi="Times New Roman" w:eastAsia="仿宋_GB2312"/>
          <w:color w:val="auto"/>
          <w:sz w:val="32"/>
          <w:szCs w:val="32"/>
        </w:rPr>
        <w:t>年中追加离退休人员春节一次性生活补助。</w:t>
      </w:r>
    </w:p>
    <w:p w14:paraId="2F4BFF55">
      <w:pPr>
        <w:pStyle w:val="13"/>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行政事业单位医疗</w:t>
      </w:r>
      <w:r>
        <w:rPr>
          <w:rFonts w:hint="eastAsia" w:ascii="Times New Roman" w:hAnsi="Times New Roman" w:eastAsia="仿宋_GB2312"/>
          <w:sz w:val="32"/>
          <w:szCs w:val="32"/>
        </w:rPr>
        <w:t>（款）行政单位医疗（项）。</w:t>
      </w:r>
    </w:p>
    <w:p w14:paraId="244EF2F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49.33</w:t>
      </w:r>
      <w:r>
        <w:rPr>
          <w:rFonts w:hint="eastAsia" w:ascii="Times New Roman" w:hAnsi="Times New Roman" w:eastAsia="仿宋_GB2312"/>
          <w:sz w:val="32"/>
          <w:szCs w:val="32"/>
        </w:rPr>
        <w:t>万元，支出决算为42.65万元，完成年初预算的</w:t>
      </w:r>
      <w:r>
        <w:rPr>
          <w:rFonts w:hint="eastAsia" w:ascii="Times New Roman" w:hAnsi="Times New Roman" w:eastAsia="仿宋_GB2312"/>
          <w:sz w:val="32"/>
          <w:szCs w:val="32"/>
          <w:lang w:val="en-US" w:eastAsia="zh-CN"/>
        </w:rPr>
        <w:t>86.46</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本年度有4名退休人员。</w:t>
      </w:r>
    </w:p>
    <w:p w14:paraId="0EE9324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5B5032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年度财政拨款基本支出1115.04万元，其中：</w:t>
      </w:r>
    </w:p>
    <w:p w14:paraId="114AFF4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1044.39</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元，占基本支出的</w:t>
      </w:r>
      <w:r>
        <w:rPr>
          <w:rFonts w:hint="eastAsia" w:ascii="Times New Roman" w:hAnsi="Times New Roman" w:eastAsia="仿宋_GB2312"/>
          <w:sz w:val="32"/>
          <w:szCs w:val="32"/>
          <w:lang w:val="en-US" w:eastAsia="zh-CN"/>
        </w:rPr>
        <w:t>93.66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主要包括基本工资、奖金、绩效工资</w:t>
      </w:r>
      <w:r>
        <w:rPr>
          <w:rFonts w:hint="eastAsia" w:ascii="Times New Roman" w:hAnsi="Times New Roman" w:eastAsia="仿宋_GB2312"/>
          <w:sz w:val="32"/>
          <w:szCs w:val="32"/>
          <w:lang w:eastAsia="zh-CN"/>
        </w:rPr>
        <w:t>、机关事业单位基本养老保险缴费、职工基本医疗保险缴费、其他社会保障缴费、抚恤金、生活补助、奖励金</w:t>
      </w:r>
      <w:r>
        <w:rPr>
          <w:rFonts w:hint="eastAsia" w:ascii="Times New Roman" w:hAnsi="Times New Roman" w:eastAsia="仿宋_GB2312"/>
          <w:sz w:val="32"/>
          <w:szCs w:val="32"/>
          <w:lang w:val="en-US" w:eastAsia="zh-CN"/>
        </w:rPr>
        <w:t>和其他对个人和家庭的补助</w:t>
      </w:r>
      <w:r>
        <w:rPr>
          <w:rFonts w:hint="eastAsia" w:ascii="Times New Roman" w:hAnsi="Times New Roman" w:eastAsia="仿宋_GB2312"/>
          <w:sz w:val="32"/>
          <w:szCs w:val="32"/>
          <w:lang w:eastAsia="zh-CN"/>
        </w:rPr>
        <w:t>。</w:t>
      </w:r>
    </w:p>
    <w:p w14:paraId="0267BFA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70.65万元，占基本支出的</w:t>
      </w:r>
      <w:r>
        <w:rPr>
          <w:rFonts w:hint="eastAsia" w:ascii="Times New Roman" w:hAnsi="Times New Roman" w:eastAsia="仿宋_GB2312"/>
          <w:sz w:val="32"/>
          <w:szCs w:val="32"/>
          <w:lang w:val="en-US" w:eastAsia="zh-CN"/>
        </w:rPr>
        <w:t>6.34</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eastAsia="zh-CN"/>
        </w:rPr>
        <w:t>、邮电费、物业管理费、差旅费、公务接待费、工会经费、福利费、其他交通费用</w:t>
      </w:r>
      <w:r>
        <w:rPr>
          <w:rFonts w:hint="eastAsia" w:ascii="Times New Roman" w:hAnsi="Times New Roman" w:eastAsia="仿宋_GB2312"/>
          <w:sz w:val="32"/>
          <w:szCs w:val="32"/>
          <w:lang w:val="en-US" w:eastAsia="zh-CN"/>
        </w:rPr>
        <w:t>和其他商品和服务支出</w:t>
      </w:r>
      <w:r>
        <w:rPr>
          <w:rFonts w:hint="eastAsia" w:ascii="Times New Roman" w:hAnsi="Times New Roman" w:eastAsia="仿宋_GB2312"/>
          <w:sz w:val="32"/>
          <w:szCs w:val="32"/>
        </w:rPr>
        <w:t>。</w:t>
      </w:r>
    </w:p>
    <w:p w14:paraId="4AC7AADE">
      <w:pPr>
        <w:pStyle w:val="13"/>
        <w:keepNext w:val="0"/>
        <w:keepLines w:val="0"/>
        <w:pageBreakBefore w:val="0"/>
        <w:widowControl w:val="0"/>
        <w:numPr>
          <w:ilvl w:val="0"/>
          <w:numId w:val="4"/>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1148D24E">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5C95AD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“三公”经费财政拨款支出预算为5.5万元，支出决算为5.5万元，完成预算的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严格按预算执行，</w:t>
      </w:r>
      <w:r>
        <w:rPr>
          <w:rFonts w:hint="eastAsia" w:ascii="仿宋_GB2312" w:hAnsi="仿宋" w:eastAsia="仿宋_GB2312" w:cs="仿宋"/>
          <w:color w:val="000000"/>
          <w:sz w:val="32"/>
          <w:szCs w:val="32"/>
          <w:lang w:val="en-US" w:eastAsia="zh-CN"/>
        </w:rPr>
        <w:t>无上年数据。</w:t>
      </w:r>
      <w:r>
        <w:rPr>
          <w:rFonts w:hint="eastAsia" w:ascii="Times New Roman" w:hAnsi="Times New Roman" w:eastAsia="仿宋_GB2312"/>
          <w:sz w:val="32"/>
          <w:szCs w:val="32"/>
        </w:rPr>
        <w:t>其中：</w:t>
      </w:r>
    </w:p>
    <w:p w14:paraId="1FAFBD4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预算数的主要原因是本单位厉行节俭，严控“三公”经费，</w:t>
      </w:r>
      <w:r>
        <w:rPr>
          <w:rFonts w:hint="eastAsia" w:ascii="仿宋_GB2312" w:hAnsi="仿宋" w:eastAsia="仿宋_GB2312" w:cs="仿宋"/>
          <w:color w:val="000000"/>
          <w:sz w:val="32"/>
          <w:szCs w:val="32"/>
          <w:lang w:val="en-US" w:eastAsia="zh-CN"/>
        </w:rPr>
        <w:t>无上年数据。</w:t>
      </w:r>
    </w:p>
    <w:p w14:paraId="6BC6A96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严格按预算执行，控制经费开支</w:t>
      </w:r>
      <w:r>
        <w:rPr>
          <w:rFonts w:hint="eastAsia" w:ascii="Times New Roman" w:hAnsi="Times New Roman" w:eastAsia="仿宋_GB2312"/>
          <w:sz w:val="32"/>
          <w:szCs w:val="32"/>
        </w:rPr>
        <w:t>，</w:t>
      </w:r>
      <w:r>
        <w:rPr>
          <w:rFonts w:hint="eastAsia" w:ascii="仿宋_GB2312" w:hAnsi="仿宋" w:eastAsia="仿宋_GB2312" w:cs="仿宋"/>
          <w:color w:val="000000"/>
          <w:sz w:val="32"/>
          <w:szCs w:val="32"/>
          <w:lang w:val="en-US" w:eastAsia="zh-CN"/>
        </w:rPr>
        <w:t>无上年数据</w:t>
      </w:r>
      <w:r>
        <w:rPr>
          <w:rFonts w:hint="eastAsia" w:ascii="Times New Roman" w:hAnsi="Times New Roman" w:eastAsia="仿宋_GB2312"/>
          <w:sz w:val="32"/>
          <w:szCs w:val="32"/>
        </w:rPr>
        <w:t>。</w:t>
      </w:r>
    </w:p>
    <w:p w14:paraId="780C5F0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预算数的主要原因是本单位厉行节俭，严控“三公”经费，</w:t>
      </w:r>
      <w:r>
        <w:rPr>
          <w:rFonts w:hint="eastAsia" w:ascii="仿宋_GB2312" w:hAnsi="仿宋" w:eastAsia="仿宋_GB2312" w:cs="仿宋"/>
          <w:color w:val="000000"/>
          <w:sz w:val="32"/>
          <w:szCs w:val="32"/>
          <w:lang w:val="en-US" w:eastAsia="zh-CN"/>
        </w:rPr>
        <w:t>无上年数据</w:t>
      </w:r>
      <w:r>
        <w:rPr>
          <w:rFonts w:hint="eastAsia" w:ascii="Times New Roman" w:hAnsi="Times New Roman" w:eastAsia="仿宋_GB2312"/>
          <w:sz w:val="32"/>
          <w:szCs w:val="32"/>
        </w:rPr>
        <w:t>。</w:t>
      </w:r>
    </w:p>
    <w:p w14:paraId="1FDDB9B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 w:eastAsia="仿宋_GB2312" w:cs="仿宋"/>
          <w:color w:val="000000"/>
          <w:sz w:val="32"/>
          <w:szCs w:val="32"/>
          <w:lang w:val="en-US"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控制经费开支</w:t>
      </w:r>
      <w:r>
        <w:rPr>
          <w:rFonts w:hint="eastAsia" w:ascii="Times New Roman" w:hAnsi="Times New Roman" w:eastAsia="仿宋_GB2312"/>
          <w:sz w:val="32"/>
          <w:szCs w:val="32"/>
        </w:rPr>
        <w:t>，</w:t>
      </w:r>
      <w:r>
        <w:rPr>
          <w:rFonts w:hint="eastAsia" w:ascii="仿宋_GB2312" w:hAnsi="仿宋" w:eastAsia="仿宋_GB2312" w:cs="仿宋"/>
          <w:color w:val="000000"/>
          <w:sz w:val="32"/>
          <w:szCs w:val="32"/>
          <w:lang w:val="en-US" w:eastAsia="zh-CN"/>
        </w:rPr>
        <w:t>无上年数据。</w:t>
      </w:r>
    </w:p>
    <w:p w14:paraId="48BBFAD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1CB9F13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18.18</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81.82</w:t>
      </w:r>
      <w:r>
        <w:rPr>
          <w:rFonts w:hint="eastAsia" w:ascii="Times New Roman" w:hAnsi="Times New Roman" w:eastAsia="仿宋_GB2312"/>
          <w:sz w:val="32"/>
          <w:szCs w:val="32"/>
        </w:rPr>
        <w:t>%。其中：</w:t>
      </w:r>
    </w:p>
    <w:p w14:paraId="57E2FB19">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开支内容包括：</w:t>
      </w:r>
    </w:p>
    <w:p w14:paraId="2FD34A7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2</w:t>
      </w:r>
      <w:r>
        <w:rPr>
          <w:rFonts w:hint="eastAsia" w:ascii="Times New Roman" w:hAnsi="Times New Roman" w:eastAsia="仿宋_GB2312"/>
          <w:sz w:val="32"/>
          <w:szCs w:val="32"/>
          <w:highlight w:val="none"/>
        </w:rPr>
        <w:t>、公务接待费支出决算为</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15</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68</w:t>
      </w:r>
      <w:r>
        <w:rPr>
          <w:rFonts w:hint="eastAsia" w:ascii="Times New Roman" w:hAnsi="Times New Roman" w:eastAsia="仿宋_GB2312"/>
          <w:sz w:val="32"/>
          <w:szCs w:val="32"/>
          <w:highlight w:val="none"/>
        </w:rPr>
        <w:t>人次，主要</w:t>
      </w:r>
      <w:r>
        <w:rPr>
          <w:rFonts w:hint="eastAsia" w:ascii="Times New Roman" w:hAnsi="Times New Roman" w:eastAsia="仿宋_GB2312"/>
          <w:sz w:val="32"/>
          <w:szCs w:val="32"/>
          <w:highlight w:val="none"/>
          <w:lang w:eastAsia="zh-CN"/>
        </w:rPr>
        <w:t>用于资质扩项、计量授权考核、检验检测机构技术交流等</w:t>
      </w:r>
      <w:r>
        <w:rPr>
          <w:rFonts w:hint="eastAsia" w:ascii="Times New Roman" w:hAnsi="Times New Roman" w:eastAsia="仿宋_GB2312"/>
          <w:sz w:val="32"/>
          <w:szCs w:val="32"/>
          <w:highlight w:val="none"/>
        </w:rPr>
        <w:t>发生的接待支出。</w:t>
      </w:r>
    </w:p>
    <w:p w14:paraId="4E395726">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怀化市检验检测中心</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万</w:t>
      </w:r>
      <w:r>
        <w:rPr>
          <w:rFonts w:hint="eastAsia" w:ascii="Times New Roman" w:hAnsi="Times New Roman" w:eastAsia="仿宋_GB2312"/>
          <w:sz w:val="32"/>
          <w:szCs w:val="32"/>
          <w:highlight w:val="none"/>
        </w:rPr>
        <w:t>元，主要是</w:t>
      </w:r>
      <w:r>
        <w:rPr>
          <w:rFonts w:hint="eastAsia" w:ascii="Times New Roman" w:hAnsi="Times New Roman" w:eastAsia="仿宋_GB2312"/>
          <w:sz w:val="32"/>
          <w:szCs w:val="32"/>
          <w:highlight w:val="none"/>
          <w:lang w:eastAsia="zh-CN"/>
        </w:rPr>
        <w:t>油料费、车辆维修费、车辆保险费、</w:t>
      </w:r>
      <w:r>
        <w:rPr>
          <w:rFonts w:hint="eastAsia" w:ascii="Times New Roman" w:hAnsi="Times New Roman" w:eastAsia="仿宋_GB2312"/>
          <w:sz w:val="32"/>
          <w:szCs w:val="32"/>
          <w:highlight w:val="none"/>
          <w:lang w:val="en-US" w:eastAsia="zh-CN"/>
        </w:rPr>
        <w:t>过路费</w:t>
      </w:r>
      <w:r>
        <w:rPr>
          <w:rFonts w:hint="eastAsia" w:ascii="Times New Roman" w:hAnsi="Times New Roman" w:eastAsia="仿宋_GB2312"/>
          <w:sz w:val="32"/>
          <w:szCs w:val="32"/>
          <w:highlight w:val="none"/>
          <w:lang w:eastAsia="zh-CN"/>
        </w:rPr>
        <w:t>等</w:t>
      </w:r>
      <w:r>
        <w:rPr>
          <w:rFonts w:hint="eastAsia" w:ascii="Times New Roman" w:hAnsi="Times New Roman" w:eastAsia="仿宋_GB2312"/>
          <w:sz w:val="32"/>
          <w:szCs w:val="32"/>
          <w:highlight w:val="none"/>
        </w:rPr>
        <w:t>支出，截止202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w:t>
      </w:r>
      <w:r>
        <w:rPr>
          <w:rFonts w:hint="eastAsia" w:ascii="Times New Roman" w:hAnsi="Times New Roman" w:eastAsia="仿宋_GB2312"/>
          <w:sz w:val="32"/>
          <w:szCs w:val="32"/>
        </w:rPr>
        <w:t>12月31日，我单位开支财政拨款的公务用车保有量为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辆。</w:t>
      </w:r>
    </w:p>
    <w:p w14:paraId="794489D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8C5D81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本单位无政府性基金收支。</w:t>
      </w:r>
    </w:p>
    <w:p w14:paraId="792A8B4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九、国有资本经营预算财政拨款支出决算情况说明</w:t>
      </w:r>
    </w:p>
    <w:p w14:paraId="1805277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sz w:val="32"/>
          <w:szCs w:val="32"/>
          <w:lang w:val="en-US" w:eastAsia="zh-CN"/>
        </w:rPr>
        <w:t>本单位无国有资本经营预算财政拨款支出。</w:t>
      </w:r>
    </w:p>
    <w:p w14:paraId="77D0FE7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val="en-US" w:eastAsia="zh-CN"/>
        </w:rPr>
        <w:t>十</w:t>
      </w:r>
      <w:r>
        <w:rPr>
          <w:rFonts w:hint="eastAsia" w:ascii="黑体" w:hAnsi="黑体" w:eastAsia="黑体" w:cs="黑体"/>
          <w:b w:val="0"/>
          <w:bCs/>
          <w:sz w:val="32"/>
          <w:szCs w:val="32"/>
        </w:rPr>
        <w:t>、关于机关运行经费支出说明</w:t>
      </w:r>
    </w:p>
    <w:p w14:paraId="46CA7F50">
      <w:pPr>
        <w:pStyle w:val="8"/>
        <w:keepNext w:val="0"/>
        <w:keepLines w:val="0"/>
        <w:pageBreakBefore w:val="0"/>
        <w:widowControl/>
        <w:suppressLineNumbers w:val="0"/>
        <w:kinsoku/>
        <w:wordWrap/>
        <w:overflowPunct/>
        <w:topLinePunct w:val="0"/>
        <w:bidi w:val="0"/>
        <w:snapToGrid/>
        <w:spacing w:before="0" w:beforeAutospacing="0" w:afterAutospacing="0"/>
        <w:ind w:left="0" w:firstLine="640" w:firstLineChars="200"/>
        <w:jc w:val="left"/>
        <w:textAlignment w:val="auto"/>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本单位属于事业单位，故没有机关运行经费支出。</w:t>
      </w:r>
    </w:p>
    <w:p w14:paraId="7A03EE2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0406D635">
      <w:pPr>
        <w:pStyle w:val="8"/>
        <w:keepNext w:val="0"/>
        <w:keepLines w:val="0"/>
        <w:pageBreakBefore w:val="0"/>
        <w:widowControl/>
        <w:suppressLineNumbers w:val="0"/>
        <w:kinsoku/>
        <w:wordWrap/>
        <w:overflowPunct/>
        <w:topLinePunct w:val="0"/>
        <w:bidi w:val="0"/>
        <w:snapToGrid/>
        <w:spacing w:before="0" w:beforeAutospacing="0" w:afterAutospacing="0" w:line="600" w:lineRule="exact"/>
        <w:ind w:left="0"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0.17</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rPr>
        <w:t>，用于</w:t>
      </w:r>
      <w:r>
        <w:rPr>
          <w:rFonts w:hint="eastAsia" w:ascii="Times New Roman" w:hAnsi="Times New Roman" w:eastAsia="仿宋_GB2312"/>
          <w:sz w:val="32"/>
          <w:szCs w:val="32"/>
          <w:highlight w:val="none"/>
          <w:lang w:eastAsia="zh-CN"/>
        </w:rPr>
        <w:t>参加学术年会</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人，内容</w:t>
      </w:r>
      <w:r>
        <w:rPr>
          <w:rFonts w:hint="eastAsia" w:ascii="Times New Roman" w:hAnsi="Times New Roman" w:eastAsia="仿宋_GB2312"/>
          <w:sz w:val="32"/>
          <w:szCs w:val="32"/>
          <w:highlight w:val="none"/>
          <w:lang w:eastAsia="zh-CN"/>
        </w:rPr>
        <w:t>为中药专业委员会学术年会、湖南省植物学术年会</w:t>
      </w:r>
      <w:r>
        <w:rPr>
          <w:rFonts w:hint="eastAsia" w:ascii="Times New Roman" w:hAnsi="Times New Roman" w:eastAsia="仿宋_GB2312"/>
          <w:sz w:val="32"/>
          <w:szCs w:val="32"/>
          <w:highlight w:val="none"/>
        </w:rPr>
        <w:t>；开支培训费</w:t>
      </w:r>
      <w:r>
        <w:rPr>
          <w:rFonts w:hint="eastAsia" w:ascii="Times New Roman" w:hAnsi="Times New Roman" w:eastAsia="仿宋_GB2312"/>
          <w:sz w:val="32"/>
          <w:szCs w:val="32"/>
          <w:highlight w:val="none"/>
          <w:lang w:val="en-US" w:eastAsia="zh-CN"/>
        </w:rPr>
        <w:t>3.35</w:t>
      </w:r>
      <w:r>
        <w:rPr>
          <w:rFonts w:hint="eastAsia" w:ascii="Times New Roman" w:hAnsi="Times New Roman" w:eastAsia="仿宋_GB2312"/>
          <w:sz w:val="32"/>
          <w:szCs w:val="32"/>
          <w:highlight w:val="none"/>
        </w:rPr>
        <w:t>万元，用于开展</w:t>
      </w:r>
      <w:r>
        <w:rPr>
          <w:rFonts w:hint="eastAsia" w:ascii="Times New Roman" w:hAnsi="Times New Roman" w:eastAsia="仿宋_GB2312"/>
          <w:sz w:val="32"/>
          <w:szCs w:val="32"/>
          <w:highlight w:val="none"/>
          <w:lang w:eastAsia="zh-CN"/>
        </w:rPr>
        <w:t>业务能力</w:t>
      </w:r>
      <w:r>
        <w:rPr>
          <w:rFonts w:hint="eastAsia" w:ascii="Times New Roman" w:hAnsi="Times New Roman" w:eastAsia="仿宋_GB2312"/>
          <w:sz w:val="32"/>
          <w:szCs w:val="32"/>
          <w:highlight w:val="none"/>
        </w:rPr>
        <w:t>培训，人数</w:t>
      </w:r>
      <w:r>
        <w:rPr>
          <w:rFonts w:hint="eastAsia" w:ascii="Times New Roman" w:hAnsi="Times New Roman" w:eastAsia="仿宋_GB2312"/>
          <w:sz w:val="32"/>
          <w:szCs w:val="32"/>
          <w:highlight w:val="none"/>
          <w:lang w:val="en-US" w:eastAsia="zh-CN"/>
        </w:rPr>
        <w:t>74</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eastAsia="zh-CN"/>
        </w:rPr>
        <w:t>食品安全抽检监测业务能力提升、特种设备培训、事业单位工作人员培训等</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lang w:eastAsia="zh-CN"/>
        </w:rPr>
        <w:t>未举办</w:t>
      </w:r>
      <w:r>
        <w:rPr>
          <w:rFonts w:hint="eastAsia" w:ascii="Times New Roman" w:hAnsi="Times New Roman" w:eastAsia="仿宋_GB2312"/>
          <w:sz w:val="32"/>
          <w:szCs w:val="32"/>
        </w:rPr>
        <w:t>节庆、晚会、论坛、赛事活动</w:t>
      </w:r>
      <w:r>
        <w:rPr>
          <w:rFonts w:hint="eastAsia" w:ascii="Times New Roman" w:hAnsi="Times New Roman" w:eastAsia="仿宋_GB2312"/>
          <w:sz w:val="32"/>
          <w:szCs w:val="32"/>
          <w:lang w:eastAsia="zh-CN"/>
        </w:rPr>
        <w:t>。</w:t>
      </w:r>
    </w:p>
    <w:p w14:paraId="03BDF9F6">
      <w:pPr>
        <w:pStyle w:val="8"/>
        <w:keepNext w:val="0"/>
        <w:keepLines w:val="0"/>
        <w:pageBreakBefore w:val="0"/>
        <w:widowControl/>
        <w:suppressLineNumbers w:val="0"/>
        <w:kinsoku/>
        <w:wordWrap/>
        <w:overflowPunct/>
        <w:topLinePunct w:val="0"/>
        <w:bidi w:val="0"/>
        <w:snapToGrid/>
        <w:spacing w:before="0" w:beforeAutospacing="0" w:afterAutospacing="0" w:line="600" w:lineRule="exact"/>
        <w:ind w:left="0"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、关于政府采购支出说明</w:t>
      </w:r>
    </w:p>
    <w:p w14:paraId="45C7E2F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246.38</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107.19</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139.19</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246.38</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246.38</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6C3D89C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15D77B0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w:t>
      </w:r>
      <w:r>
        <w:rPr>
          <w:rFonts w:hint="eastAsia" w:ascii="Times New Roman" w:hAnsi="Times New Roman" w:eastAsia="仿宋_GB2312"/>
          <w:color w:val="auto"/>
          <w:sz w:val="32"/>
          <w:szCs w:val="32"/>
          <w:highlight w:val="none"/>
        </w:rPr>
        <w:t>有车辆</w:t>
      </w:r>
      <w:r>
        <w:rPr>
          <w:rFonts w:hint="eastAsia" w:ascii="Times New Roman" w:hAnsi="Times New Roman" w:eastAsia="仿宋_GB2312"/>
          <w:color w:val="auto"/>
          <w:sz w:val="32"/>
          <w:szCs w:val="32"/>
          <w:highlight w:val="none"/>
          <w:lang w:val="en-US" w:eastAsia="zh-CN"/>
        </w:rPr>
        <w:t>5</w:t>
      </w:r>
      <w:r>
        <w:rPr>
          <w:rFonts w:hint="eastAsia" w:ascii="Times New Roman" w:hAnsi="Times New Roman" w:eastAsia="仿宋_GB2312"/>
          <w:color w:val="auto"/>
          <w:sz w:val="32"/>
          <w:szCs w:val="32"/>
          <w:highlight w:val="none"/>
        </w:rPr>
        <w:t>辆，其</w:t>
      </w:r>
      <w:r>
        <w:rPr>
          <w:rFonts w:hint="eastAsia" w:ascii="Times New Roman" w:hAnsi="Times New Roman" w:eastAsia="仿宋_GB2312"/>
          <w:color w:val="auto"/>
          <w:sz w:val="32"/>
          <w:szCs w:val="32"/>
        </w:rPr>
        <w:t>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辆，其他用车主要是</w:t>
      </w:r>
      <w:r>
        <w:rPr>
          <w:rFonts w:hint="eastAsia" w:ascii="Times New Roman" w:hAnsi="Times New Roman" w:eastAsia="仿宋_GB2312"/>
          <w:sz w:val="32"/>
          <w:szCs w:val="32"/>
          <w:lang w:val="en-US" w:eastAsia="zh-CN"/>
        </w:rPr>
        <w:t>业务用车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23EA6F5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四</w:t>
      </w:r>
      <w:r>
        <w:rPr>
          <w:rFonts w:hint="eastAsia" w:ascii="黑体" w:hAnsi="黑体" w:eastAsia="黑体" w:cs="黑体"/>
          <w:b w:val="0"/>
          <w:bCs/>
          <w:color w:val="auto"/>
          <w:sz w:val="32"/>
          <w:szCs w:val="32"/>
          <w:highlight w:val="none"/>
        </w:rPr>
        <w:t>、关于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黑体" w:hAnsi="黑体" w:eastAsia="黑体" w:cs="黑体"/>
          <w:b w:val="0"/>
          <w:bCs/>
          <w:color w:val="auto"/>
          <w:sz w:val="32"/>
          <w:szCs w:val="32"/>
          <w:highlight w:val="none"/>
        </w:rPr>
        <w:t>年度</w:t>
      </w:r>
      <w:r>
        <w:rPr>
          <w:rFonts w:hint="eastAsia" w:hAnsi="黑体" w:cs="黑体"/>
          <w:b w:val="0"/>
          <w:bCs/>
          <w:color w:val="auto"/>
          <w:sz w:val="32"/>
          <w:szCs w:val="32"/>
          <w:highlight w:val="none"/>
          <w:lang w:eastAsia="zh-CN"/>
        </w:rPr>
        <w:t>预算</w:t>
      </w:r>
      <w:r>
        <w:rPr>
          <w:rFonts w:hint="eastAsia" w:ascii="黑体" w:hAnsi="黑体" w:eastAsia="黑体" w:cs="黑体"/>
          <w:b w:val="0"/>
          <w:bCs/>
          <w:color w:val="auto"/>
          <w:sz w:val="32"/>
          <w:szCs w:val="32"/>
          <w:highlight w:val="none"/>
        </w:rPr>
        <w:t>绩效情况的说明</w:t>
      </w:r>
    </w:p>
    <w:p w14:paraId="4241CDC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lang w:eastAsia="zh-CN"/>
        </w:rPr>
      </w:pPr>
      <w:r>
        <w:rPr>
          <w:rFonts w:hint="eastAsia" w:ascii="楷体" w:hAnsi="楷体" w:eastAsia="楷体" w:cs="楷体"/>
          <w:b/>
          <w:bCs/>
          <w:sz w:val="32"/>
          <w:szCs w:val="32"/>
          <w:highlight w:val="none"/>
          <w:lang w:eastAsia="zh-CN"/>
        </w:rPr>
        <w:t>（一）绩效管理工作开展情况</w:t>
      </w:r>
    </w:p>
    <w:p w14:paraId="77CE3E4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2023年年初，本单位按照要求完成了怀化市财政局2023年度预算绩效目标审核工作。</w:t>
      </w:r>
    </w:p>
    <w:p w14:paraId="5815CD8D">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2023年10月，根据《怀化市财政局关于开展2023年度市级预算支出绩效运行监控工作的通知》（怀财绩〔2023〕120号）要求，本单位对2023年</w:t>
      </w:r>
      <w:r>
        <w:rPr>
          <w:rFonts w:hint="eastAsia" w:ascii="Times New Roman" w:hAnsi="Times New Roman" w:eastAsia="仿宋_GB2312" w:cs="黑体"/>
          <w:color w:val="auto"/>
          <w:kern w:val="0"/>
          <w:sz w:val="32"/>
          <w:szCs w:val="32"/>
          <w:lang w:val="en-US" w:eastAsia="zh-CN" w:bidi="ar-SA"/>
        </w:rPr>
        <w:t>1-6月份财政支出绩效目标运行情况进行监控分析，按要求填报《项目支出绩效运行监控表》并上传至预算绩效系统，编写市级预算支出绩效运行监控报告，对绩效监控中发现的绩效目标执行偏差和管理漏洞，及时采取有针对性的措施予以纠正，不断改进和加强预算绩效管理。</w:t>
      </w:r>
    </w:p>
    <w:p w14:paraId="43B4491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sz w:val="32"/>
          <w:szCs w:val="32"/>
          <w:highlight w:val="none"/>
          <w:lang w:eastAsia="zh-CN"/>
        </w:rPr>
      </w:pPr>
      <w:r>
        <w:rPr>
          <w:rFonts w:hint="eastAsia" w:ascii="Times New Roman" w:hAnsi="Times New Roman" w:eastAsia="仿宋_GB2312"/>
          <w:color w:val="auto"/>
          <w:sz w:val="32"/>
          <w:szCs w:val="32"/>
          <w:lang w:eastAsia="zh-CN"/>
        </w:rPr>
        <w:t>2024年</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lang w:eastAsia="zh-CN"/>
        </w:rPr>
        <w:t>月，根据《中共中央 国务院关于全面实施预算绩效管理的意见》（中发〔2018〕34号）、《中共湖南省委办公厅 湖南省人民政府办公厅关于全面实施预算绩效管理的实施意见》（湘办发〔2019〕10号）有关规定，按照《怀化市财政局关于开展2023年度预算支出绩效自评工作的通知》（怀财绩〔2024〕46号）</w:t>
      </w:r>
      <w:r>
        <w:rPr>
          <w:rFonts w:hint="eastAsia" w:ascii="Times New Roman" w:hAnsi="Times New Roman" w:eastAsia="仿宋_GB2312"/>
          <w:color w:val="auto"/>
          <w:sz w:val="32"/>
          <w:szCs w:val="32"/>
          <w:lang w:val="en-US" w:eastAsia="zh-CN"/>
        </w:rPr>
        <w:t>要求，本单位认真开展绩效自评工作</w:t>
      </w:r>
      <w:r>
        <w:rPr>
          <w:rFonts w:hint="eastAsia" w:ascii="Times New Roman" w:hAnsi="Times New Roman" w:eastAsia="仿宋_GB2312"/>
          <w:color w:val="auto"/>
          <w:sz w:val="32"/>
          <w:szCs w:val="32"/>
          <w:lang w:eastAsia="zh-CN"/>
        </w:rPr>
        <w:t>，对2023年整体支出</w:t>
      </w:r>
      <w:r>
        <w:rPr>
          <w:rFonts w:hint="eastAsia" w:ascii="Times New Roman" w:hAnsi="Times New Roman" w:eastAsia="仿宋_GB2312"/>
          <w:color w:val="auto"/>
          <w:sz w:val="32"/>
          <w:szCs w:val="32"/>
          <w:lang w:val="en-US" w:eastAsia="zh-CN"/>
        </w:rPr>
        <w:t>和项目支出</w:t>
      </w:r>
      <w:r>
        <w:rPr>
          <w:rFonts w:hint="eastAsia" w:ascii="Times New Roman" w:hAnsi="Times New Roman" w:eastAsia="仿宋_GB2312"/>
          <w:color w:val="auto"/>
          <w:sz w:val="32"/>
          <w:szCs w:val="32"/>
          <w:lang w:eastAsia="zh-CN"/>
        </w:rPr>
        <w:t>实施了预算绩效自评。</w:t>
      </w:r>
    </w:p>
    <w:p w14:paraId="255ACCA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（二）</w:t>
      </w:r>
      <w:r>
        <w:rPr>
          <w:rFonts w:hint="eastAsia" w:ascii="楷体" w:hAnsi="楷体" w:eastAsia="楷体" w:cs="楷体"/>
          <w:b/>
          <w:bCs/>
          <w:sz w:val="32"/>
          <w:szCs w:val="32"/>
          <w:highlight w:val="none"/>
        </w:rPr>
        <w:t>部门</w:t>
      </w:r>
      <w:r>
        <w:rPr>
          <w:rFonts w:hint="eastAsia" w:ascii="楷体" w:hAnsi="楷体" w:eastAsia="楷体" w:cs="楷体"/>
          <w:b/>
          <w:bCs/>
          <w:sz w:val="32"/>
          <w:szCs w:val="32"/>
          <w:highlight w:val="none"/>
          <w:lang w:eastAsia="zh-CN"/>
        </w:rPr>
        <w:t>（单位）</w:t>
      </w:r>
      <w:r>
        <w:rPr>
          <w:rFonts w:hint="eastAsia" w:ascii="楷体" w:hAnsi="楷体" w:eastAsia="楷体" w:cs="楷体"/>
          <w:b/>
          <w:bCs/>
          <w:sz w:val="32"/>
          <w:szCs w:val="32"/>
          <w:highlight w:val="none"/>
        </w:rPr>
        <w:t>整体支出绩效情况</w:t>
      </w:r>
    </w:p>
    <w:p w14:paraId="6E56A2A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sz w:val="32"/>
          <w:szCs w:val="32"/>
          <w:highlight w:val="none"/>
          <w:lang w:eastAsia="zh-CN"/>
        </w:rPr>
      </w:pPr>
      <w:r>
        <w:rPr>
          <w:rFonts w:hint="eastAsia" w:ascii="Times New Roman" w:hAnsi="Times New Roman" w:eastAsia="仿宋_GB2312"/>
          <w:sz w:val="32"/>
          <w:szCs w:val="32"/>
          <w:lang w:val="en-US" w:eastAsia="zh-CN"/>
        </w:rPr>
        <w:t>本单位认真开展整体支出绩效评价。绩效指标设置符合部门职责和相关管理规定，通过项目实施，较好完成了年初设定的各项工作目标，取得了较好的成效。详见2023年部门整体支出绩效自评附件。</w:t>
      </w:r>
    </w:p>
    <w:p w14:paraId="7DD8302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存在的问题及原因分析</w:t>
      </w:r>
    </w:p>
    <w:p w14:paraId="0E9D87AB">
      <w:pPr>
        <w:pStyle w:val="13"/>
        <w:ind w:firstLine="640" w:firstLineChars="200"/>
        <w:jc w:val="both"/>
        <w:rPr>
          <w:sz w:val="72"/>
          <w:szCs w:val="72"/>
        </w:rPr>
      </w:pPr>
      <w:r>
        <w:rPr>
          <w:rFonts w:hint="eastAsia" w:ascii="Times New Roman" w:hAnsi="Times New Roman" w:eastAsia="仿宋_GB2312" w:cs="黑体"/>
          <w:color w:val="auto"/>
          <w:kern w:val="0"/>
          <w:sz w:val="32"/>
          <w:szCs w:val="32"/>
          <w:lang w:val="en-US" w:eastAsia="zh-CN" w:bidi="ar-SA"/>
        </w:rPr>
        <w:t>政府采购预算编制准确性有待于提升。年初政府采购预算不够准确，导致政府采购预算小于政府采购执行。</w:t>
      </w:r>
      <w:bookmarkStart w:id="0" w:name="_GoBack"/>
      <w:bookmarkEnd w:id="0"/>
    </w:p>
    <w:p w14:paraId="01138D43">
      <w:pPr>
        <w:pStyle w:val="13"/>
        <w:jc w:val="center"/>
        <w:rPr>
          <w:sz w:val="72"/>
          <w:szCs w:val="72"/>
        </w:rPr>
      </w:pPr>
    </w:p>
    <w:p w14:paraId="793EB28B">
      <w:pPr>
        <w:pStyle w:val="13"/>
        <w:jc w:val="center"/>
        <w:rPr>
          <w:sz w:val="72"/>
          <w:szCs w:val="72"/>
        </w:rPr>
      </w:pPr>
    </w:p>
    <w:p w14:paraId="2170A332">
      <w:pPr>
        <w:pStyle w:val="13"/>
        <w:jc w:val="both"/>
        <w:rPr>
          <w:sz w:val="72"/>
          <w:szCs w:val="72"/>
        </w:rPr>
      </w:pPr>
    </w:p>
    <w:p w14:paraId="3B3A6371">
      <w:pPr>
        <w:pStyle w:val="13"/>
        <w:jc w:val="center"/>
        <w:rPr>
          <w:sz w:val="72"/>
          <w:szCs w:val="72"/>
        </w:rPr>
      </w:pPr>
    </w:p>
    <w:p w14:paraId="351FE69C">
      <w:pPr>
        <w:pStyle w:val="13"/>
        <w:jc w:val="both"/>
        <w:rPr>
          <w:rFonts w:hint="eastAsia" w:ascii="方正小标宋_GBK" w:hAnsi="方正小标宋_GBK" w:eastAsia="方正小标宋_GBK" w:cs="方正小标宋_GBK"/>
          <w:sz w:val="72"/>
          <w:szCs w:val="72"/>
        </w:rPr>
      </w:pPr>
    </w:p>
    <w:p w14:paraId="5F8AF309">
      <w:pPr>
        <w:pStyle w:val="13"/>
        <w:jc w:val="center"/>
        <w:rPr>
          <w:rFonts w:hint="eastAsia" w:ascii="方正小标宋_GBK" w:hAnsi="方正小标宋_GBK" w:eastAsia="方正小标宋_GBK" w:cs="方正小标宋_GBK"/>
          <w:sz w:val="72"/>
          <w:szCs w:val="72"/>
        </w:rPr>
      </w:pPr>
    </w:p>
    <w:p w14:paraId="3C383C13">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2E712AA">
      <w:pPr>
        <w:jc w:val="center"/>
        <w:rPr>
          <w:rFonts w:hint="eastAsia" w:ascii="方正小标宋_GBK" w:hAnsi="方正小标宋_GBK" w:eastAsia="方正小标宋_GBK" w:cs="方正小标宋_GBK"/>
          <w:color w:val="000000"/>
          <w:kern w:val="0"/>
          <w:sz w:val="70"/>
          <w:szCs w:val="70"/>
        </w:rPr>
      </w:pPr>
    </w:p>
    <w:p w14:paraId="2014EA28">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020A5A41">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br w:type="textWrapping"/>
      </w:r>
    </w:p>
    <w:p w14:paraId="4557AAA7">
      <w:pPr>
        <w:jc w:val="both"/>
        <w:rPr>
          <w:rFonts w:hint="eastAsia" w:ascii="方正小标宋_GBK" w:hAnsi="方正小标宋_GBK" w:eastAsia="方正小标宋_GBK" w:cs="方正小标宋_GBK"/>
          <w:color w:val="000000"/>
          <w:kern w:val="0"/>
          <w:sz w:val="70"/>
          <w:szCs w:val="70"/>
        </w:rPr>
      </w:pPr>
    </w:p>
    <w:p w14:paraId="0F37B6FF">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F96DC44">
      <w:pPr>
        <w:pStyle w:val="13"/>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B84401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1FE450A">
      <w:pPr>
        <w:pStyle w:val="13"/>
        <w:jc w:val="center"/>
        <w:rPr>
          <w:sz w:val="72"/>
          <w:szCs w:val="72"/>
        </w:rPr>
      </w:pPr>
    </w:p>
    <w:p w14:paraId="42ECF8AC">
      <w:pPr>
        <w:pStyle w:val="13"/>
        <w:jc w:val="center"/>
        <w:rPr>
          <w:sz w:val="72"/>
          <w:szCs w:val="72"/>
        </w:rPr>
      </w:pPr>
    </w:p>
    <w:p w14:paraId="54615A2D">
      <w:pPr>
        <w:pStyle w:val="13"/>
        <w:jc w:val="center"/>
        <w:rPr>
          <w:sz w:val="72"/>
          <w:szCs w:val="72"/>
        </w:rPr>
      </w:pPr>
    </w:p>
    <w:p w14:paraId="2B506EBE">
      <w:pPr>
        <w:pStyle w:val="13"/>
        <w:jc w:val="center"/>
        <w:rPr>
          <w:sz w:val="72"/>
          <w:szCs w:val="72"/>
        </w:rPr>
      </w:pPr>
    </w:p>
    <w:p w14:paraId="461DFD93">
      <w:pPr>
        <w:pStyle w:val="13"/>
        <w:jc w:val="center"/>
        <w:rPr>
          <w:sz w:val="72"/>
          <w:szCs w:val="72"/>
        </w:rPr>
      </w:pPr>
    </w:p>
    <w:p w14:paraId="4F338B82">
      <w:pPr>
        <w:pStyle w:val="13"/>
        <w:jc w:val="center"/>
        <w:rPr>
          <w:sz w:val="72"/>
          <w:szCs w:val="72"/>
        </w:rPr>
      </w:pPr>
    </w:p>
    <w:p w14:paraId="5014F5BB">
      <w:pPr>
        <w:pStyle w:val="13"/>
        <w:jc w:val="both"/>
        <w:rPr>
          <w:sz w:val="72"/>
          <w:szCs w:val="72"/>
        </w:rPr>
      </w:pPr>
    </w:p>
    <w:p w14:paraId="6AA085F4">
      <w:pPr>
        <w:rPr>
          <w:sz w:val="72"/>
          <w:szCs w:val="72"/>
        </w:rPr>
      </w:pPr>
      <w:r>
        <w:rPr>
          <w:sz w:val="72"/>
          <w:szCs w:val="72"/>
        </w:rPr>
        <w:br w:type="page"/>
      </w:r>
    </w:p>
    <w:p w14:paraId="7AECA53A">
      <w:pPr>
        <w:pStyle w:val="13"/>
        <w:jc w:val="both"/>
        <w:rPr>
          <w:rFonts w:hint="eastAsia" w:ascii="方正小标宋_GBK" w:hAnsi="方正小标宋_GBK" w:eastAsia="方正小标宋_GBK" w:cs="方正小标宋_GBK"/>
          <w:sz w:val="72"/>
          <w:szCs w:val="72"/>
        </w:rPr>
      </w:pPr>
    </w:p>
    <w:p w14:paraId="051843D4">
      <w:pPr>
        <w:pStyle w:val="13"/>
        <w:jc w:val="center"/>
        <w:rPr>
          <w:rFonts w:hint="eastAsia" w:ascii="方正小标宋_GBK" w:hAnsi="方正小标宋_GBK" w:eastAsia="方正小标宋_GBK" w:cs="方正小标宋_GBK"/>
          <w:sz w:val="72"/>
          <w:szCs w:val="72"/>
        </w:rPr>
      </w:pPr>
    </w:p>
    <w:p w14:paraId="145D284C">
      <w:pPr>
        <w:pStyle w:val="13"/>
        <w:jc w:val="center"/>
        <w:rPr>
          <w:rFonts w:hint="eastAsia" w:ascii="方正小标宋_GBK" w:hAnsi="方正小标宋_GBK" w:eastAsia="方正小标宋_GBK" w:cs="方正小标宋_GBK"/>
          <w:sz w:val="72"/>
          <w:szCs w:val="72"/>
        </w:rPr>
      </w:pPr>
    </w:p>
    <w:p w14:paraId="79D123CC">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243A73FC">
      <w:pPr>
        <w:pStyle w:val="13"/>
        <w:jc w:val="center"/>
        <w:rPr>
          <w:rFonts w:hint="eastAsia" w:ascii="方正小标宋_GBK" w:hAnsi="方正小标宋_GBK" w:eastAsia="方正小标宋_GBK" w:cs="方正小标宋_GBK"/>
          <w:sz w:val="70"/>
          <w:szCs w:val="70"/>
        </w:rPr>
      </w:pPr>
    </w:p>
    <w:p w14:paraId="070A9306">
      <w:pPr>
        <w:pStyle w:val="13"/>
        <w:jc w:val="center"/>
        <w:rPr>
          <w:rFonts w:hint="eastAsia" w:ascii="方正小标宋_GBK" w:hAnsi="方正小标宋_GBK" w:eastAsia="方正小标宋_GBK" w:cs="方正小标宋_GBK"/>
          <w:sz w:val="70"/>
          <w:szCs w:val="70"/>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6154489E">
      <w:pPr>
        <w:pStyle w:val="13"/>
        <w:jc w:val="center"/>
        <w:rPr>
          <w:rFonts w:hint="eastAsia" w:ascii="方正小标宋_GBK" w:hAnsi="方正小标宋_GBK" w:eastAsia="方正小标宋_GBK" w:cs="方正小标宋_GBK"/>
          <w:sz w:val="70"/>
          <w:szCs w:val="70"/>
          <w:lang w:eastAsia="zh-CN"/>
        </w:rPr>
      </w:pPr>
    </w:p>
    <w:p w14:paraId="064A4C23">
      <w:pPr>
        <w:pStyle w:val="13"/>
        <w:jc w:val="center"/>
        <w:rPr>
          <w:rFonts w:hint="eastAsia" w:ascii="方正小标宋_GBK" w:hAnsi="方正小标宋_GBK" w:eastAsia="方正小标宋_GBK" w:cs="方正小标宋_GBK"/>
          <w:sz w:val="70"/>
          <w:szCs w:val="70"/>
          <w:lang w:eastAsia="zh-CN"/>
        </w:rPr>
      </w:pPr>
    </w:p>
    <w:p w14:paraId="1601DFCC">
      <w:pPr>
        <w:rPr>
          <w:rFonts w:cs="黑体" w:asciiTheme="minorEastAsia" w:hAnsiTheme="minorEastAsia"/>
          <w:color w:val="000000"/>
          <w:kern w:val="0"/>
          <w:sz w:val="32"/>
          <w:szCs w:val="32"/>
        </w:rPr>
      </w:pPr>
      <w:r>
        <w:rPr>
          <w:sz w:val="72"/>
          <w:szCs w:val="72"/>
        </w:rPr>
        <w:br w:type="page"/>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81DE1"/>
    <w:multiLevelType w:val="singleLevel"/>
    <w:tmpl w:val="9EF81DE1"/>
    <w:lvl w:ilvl="0" w:tentative="0">
      <w:start w:val="7"/>
      <w:numFmt w:val="chineseCounting"/>
      <w:suff w:val="nothing"/>
      <w:lvlText w:val="%1、"/>
      <w:lvlJc w:val="left"/>
      <w:rPr>
        <w:rFonts w:hint="eastAsia"/>
      </w:rPr>
    </w:lvl>
  </w:abstractNum>
  <w:abstractNum w:abstractNumId="1">
    <w:nsid w:val="AEEEBAB0"/>
    <w:multiLevelType w:val="singleLevel"/>
    <w:tmpl w:val="AEEEBAB0"/>
    <w:lvl w:ilvl="0" w:tentative="0">
      <w:start w:val="6"/>
      <w:numFmt w:val="decimal"/>
      <w:suff w:val="nothing"/>
      <w:lvlText w:val="%1、"/>
      <w:lvlJc w:val="left"/>
    </w:lvl>
  </w:abstractNum>
  <w:abstractNum w:abstractNumId="2">
    <w:nsid w:val="0050CA54"/>
    <w:multiLevelType w:val="singleLevel"/>
    <w:tmpl w:val="0050CA54"/>
    <w:lvl w:ilvl="0" w:tentative="0">
      <w:start w:val="1"/>
      <w:numFmt w:val="chineseCounting"/>
      <w:suff w:val="nothing"/>
      <w:lvlText w:val="（%1）"/>
      <w:lvlJc w:val="left"/>
      <w:rPr>
        <w:rFonts w:hint="eastAsia"/>
      </w:rPr>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wYTI3MGMzMjY2ZjgyNjI0YTJmYjU0MTAyNWQyOW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8C6C96"/>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0370"/>
    <w:rsid w:val="00E8683C"/>
    <w:rsid w:val="00EA2B72"/>
    <w:rsid w:val="00F74360"/>
    <w:rsid w:val="00FB462F"/>
    <w:rsid w:val="00FE16FA"/>
    <w:rsid w:val="00FE328A"/>
    <w:rsid w:val="00FE6269"/>
    <w:rsid w:val="00FF5CD6"/>
    <w:rsid w:val="01B51592"/>
    <w:rsid w:val="04357D70"/>
    <w:rsid w:val="04E2157A"/>
    <w:rsid w:val="06620BC5"/>
    <w:rsid w:val="06B04CE9"/>
    <w:rsid w:val="06D27AF8"/>
    <w:rsid w:val="07061550"/>
    <w:rsid w:val="07391925"/>
    <w:rsid w:val="07612C2A"/>
    <w:rsid w:val="077566D6"/>
    <w:rsid w:val="08314CF2"/>
    <w:rsid w:val="0C120997"/>
    <w:rsid w:val="0C236700"/>
    <w:rsid w:val="0D1D336D"/>
    <w:rsid w:val="0E1A3B33"/>
    <w:rsid w:val="0E8518F4"/>
    <w:rsid w:val="0F735BF1"/>
    <w:rsid w:val="108F0808"/>
    <w:rsid w:val="11366ED6"/>
    <w:rsid w:val="11A8711B"/>
    <w:rsid w:val="12753A2E"/>
    <w:rsid w:val="127E28E2"/>
    <w:rsid w:val="13541895"/>
    <w:rsid w:val="14A5684C"/>
    <w:rsid w:val="161C0D90"/>
    <w:rsid w:val="165D6CB3"/>
    <w:rsid w:val="17D631C0"/>
    <w:rsid w:val="17D81403"/>
    <w:rsid w:val="18E5190D"/>
    <w:rsid w:val="1A562397"/>
    <w:rsid w:val="1CB74FD5"/>
    <w:rsid w:val="1CD8673B"/>
    <w:rsid w:val="1D6F5510"/>
    <w:rsid w:val="1D97DEFF"/>
    <w:rsid w:val="1DFF72E5"/>
    <w:rsid w:val="1E2403A5"/>
    <w:rsid w:val="1EE2069D"/>
    <w:rsid w:val="1EFC6F07"/>
    <w:rsid w:val="22237002"/>
    <w:rsid w:val="24482D50"/>
    <w:rsid w:val="24596D0B"/>
    <w:rsid w:val="255120D8"/>
    <w:rsid w:val="25E35426"/>
    <w:rsid w:val="26243349"/>
    <w:rsid w:val="26DE799C"/>
    <w:rsid w:val="29AF58FB"/>
    <w:rsid w:val="29FF0355"/>
    <w:rsid w:val="2B6A7A50"/>
    <w:rsid w:val="2BBE356B"/>
    <w:rsid w:val="2D540690"/>
    <w:rsid w:val="2D7D29FA"/>
    <w:rsid w:val="2DC518B5"/>
    <w:rsid w:val="2E280368"/>
    <w:rsid w:val="2E77305F"/>
    <w:rsid w:val="2FDF85B8"/>
    <w:rsid w:val="2FFFEE04"/>
    <w:rsid w:val="30907F59"/>
    <w:rsid w:val="311E5564"/>
    <w:rsid w:val="31230DCD"/>
    <w:rsid w:val="31F14A27"/>
    <w:rsid w:val="322A0F50"/>
    <w:rsid w:val="3296737C"/>
    <w:rsid w:val="32DB1233"/>
    <w:rsid w:val="334F40FB"/>
    <w:rsid w:val="33C3259F"/>
    <w:rsid w:val="34A83397"/>
    <w:rsid w:val="34DC5B3B"/>
    <w:rsid w:val="34DF85B0"/>
    <w:rsid w:val="35011425"/>
    <w:rsid w:val="352C3FC8"/>
    <w:rsid w:val="355157DD"/>
    <w:rsid w:val="35AE2C2F"/>
    <w:rsid w:val="35F04FF6"/>
    <w:rsid w:val="35F165B8"/>
    <w:rsid w:val="37387E37"/>
    <w:rsid w:val="381551E7"/>
    <w:rsid w:val="392456E2"/>
    <w:rsid w:val="396401D4"/>
    <w:rsid w:val="3AD43138"/>
    <w:rsid w:val="3B41737F"/>
    <w:rsid w:val="3B8F36BC"/>
    <w:rsid w:val="3D1266AA"/>
    <w:rsid w:val="3DBB413B"/>
    <w:rsid w:val="3E7E69EB"/>
    <w:rsid w:val="3EB412B6"/>
    <w:rsid w:val="3ED01E68"/>
    <w:rsid w:val="3F5C54AA"/>
    <w:rsid w:val="404B79F8"/>
    <w:rsid w:val="4100785E"/>
    <w:rsid w:val="42C76414"/>
    <w:rsid w:val="43252782"/>
    <w:rsid w:val="4332051F"/>
    <w:rsid w:val="43F14D5A"/>
    <w:rsid w:val="43F2772F"/>
    <w:rsid w:val="44AE67A8"/>
    <w:rsid w:val="45F8417E"/>
    <w:rsid w:val="4665733A"/>
    <w:rsid w:val="46BC316A"/>
    <w:rsid w:val="46C73B51"/>
    <w:rsid w:val="47637D1D"/>
    <w:rsid w:val="4780267D"/>
    <w:rsid w:val="47A143A2"/>
    <w:rsid w:val="47AD2D46"/>
    <w:rsid w:val="47FB3C9E"/>
    <w:rsid w:val="491FF225"/>
    <w:rsid w:val="49404145"/>
    <w:rsid w:val="4A2A68D0"/>
    <w:rsid w:val="4AA246B9"/>
    <w:rsid w:val="4B2B0B52"/>
    <w:rsid w:val="4C196BFC"/>
    <w:rsid w:val="4DC40DEA"/>
    <w:rsid w:val="4EF70D4B"/>
    <w:rsid w:val="4FCB2904"/>
    <w:rsid w:val="4FEE65F2"/>
    <w:rsid w:val="4FFD214C"/>
    <w:rsid w:val="5107796B"/>
    <w:rsid w:val="51581F75"/>
    <w:rsid w:val="53685319"/>
    <w:rsid w:val="53A96AB8"/>
    <w:rsid w:val="53BD2563"/>
    <w:rsid w:val="545A0645"/>
    <w:rsid w:val="56222B52"/>
    <w:rsid w:val="573B0F53"/>
    <w:rsid w:val="5777D4F5"/>
    <w:rsid w:val="57863860"/>
    <w:rsid w:val="59230672"/>
    <w:rsid w:val="59637709"/>
    <w:rsid w:val="59D4733D"/>
    <w:rsid w:val="59DD395F"/>
    <w:rsid w:val="59DD8326"/>
    <w:rsid w:val="59FB5B93"/>
    <w:rsid w:val="5B223F16"/>
    <w:rsid w:val="5B721E85"/>
    <w:rsid w:val="5D9E1657"/>
    <w:rsid w:val="5DB1138B"/>
    <w:rsid w:val="5DEF592A"/>
    <w:rsid w:val="5F294F51"/>
    <w:rsid w:val="5F4F7BA2"/>
    <w:rsid w:val="5F526256"/>
    <w:rsid w:val="5F795ED8"/>
    <w:rsid w:val="5FC6BB1E"/>
    <w:rsid w:val="5FF720F1"/>
    <w:rsid w:val="600B28A8"/>
    <w:rsid w:val="60CF38D6"/>
    <w:rsid w:val="611F660B"/>
    <w:rsid w:val="619C7C5C"/>
    <w:rsid w:val="61CA0DC1"/>
    <w:rsid w:val="620D2908"/>
    <w:rsid w:val="62C721C9"/>
    <w:rsid w:val="64370110"/>
    <w:rsid w:val="64485E79"/>
    <w:rsid w:val="66377F53"/>
    <w:rsid w:val="67507852"/>
    <w:rsid w:val="675E59B4"/>
    <w:rsid w:val="67FF5C0B"/>
    <w:rsid w:val="68106CAE"/>
    <w:rsid w:val="68D67A43"/>
    <w:rsid w:val="68DC3034"/>
    <w:rsid w:val="6B2632AB"/>
    <w:rsid w:val="6B5B2936"/>
    <w:rsid w:val="6B827EC3"/>
    <w:rsid w:val="6BD3071E"/>
    <w:rsid w:val="6CD52274"/>
    <w:rsid w:val="6DA265FA"/>
    <w:rsid w:val="6E843F52"/>
    <w:rsid w:val="6E877F26"/>
    <w:rsid w:val="6EAB7730"/>
    <w:rsid w:val="6EFC0924"/>
    <w:rsid w:val="6FB74722"/>
    <w:rsid w:val="6FEF8B7E"/>
    <w:rsid w:val="71A6591B"/>
    <w:rsid w:val="733C4DFB"/>
    <w:rsid w:val="737D59BA"/>
    <w:rsid w:val="744D3038"/>
    <w:rsid w:val="7479207F"/>
    <w:rsid w:val="748841B8"/>
    <w:rsid w:val="75A1188D"/>
    <w:rsid w:val="75D40020"/>
    <w:rsid w:val="75D532E5"/>
    <w:rsid w:val="7651211E"/>
    <w:rsid w:val="77C37683"/>
    <w:rsid w:val="78B74D1A"/>
    <w:rsid w:val="7931053C"/>
    <w:rsid w:val="79FF515B"/>
    <w:rsid w:val="7A572B91"/>
    <w:rsid w:val="7A8D23E0"/>
    <w:rsid w:val="7B803CF3"/>
    <w:rsid w:val="7B89704B"/>
    <w:rsid w:val="7BC10593"/>
    <w:rsid w:val="7BC77B74"/>
    <w:rsid w:val="7CB023B6"/>
    <w:rsid w:val="7CE34539"/>
    <w:rsid w:val="7D036989"/>
    <w:rsid w:val="7D225061"/>
    <w:rsid w:val="7D515947"/>
    <w:rsid w:val="7D8C697F"/>
    <w:rsid w:val="7DD32800"/>
    <w:rsid w:val="7E9E1962"/>
    <w:rsid w:val="7E9F11B4"/>
    <w:rsid w:val="7EE10F4C"/>
    <w:rsid w:val="7F37EC1E"/>
    <w:rsid w:val="7F762050"/>
    <w:rsid w:val="7F7DCD9D"/>
    <w:rsid w:val="7F970A6F"/>
    <w:rsid w:val="7FA21D35"/>
    <w:rsid w:val="7FC1FFF3"/>
    <w:rsid w:val="7FC69637"/>
    <w:rsid w:val="7FDF8620"/>
    <w:rsid w:val="7FE72592"/>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BodyText1I"/>
    <w:basedOn w:val="1"/>
    <w:qFormat/>
    <w:uiPriority w:val="99"/>
    <w:pPr>
      <w:snapToGrid w:val="0"/>
      <w:spacing w:line="360" w:lineRule="auto"/>
      <w:ind w:firstLine="420" w:firstLineChars="100"/>
    </w:pPr>
    <w:rPr>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18</Pages>
  <Words>5163</Words>
  <Characters>5610</Characters>
  <Lines>63</Lines>
  <Paragraphs>18</Paragraphs>
  <TotalTime>2</TotalTime>
  <ScaleCrop>false</ScaleCrop>
  <LinksUpToDate>false</LinksUpToDate>
  <CharactersWithSpaces>5618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岔不桗</cp:lastModifiedBy>
  <cp:lastPrinted>2024-08-08T10:20:00Z</cp:lastPrinted>
  <dcterms:modified xsi:type="dcterms:W3CDTF">2024-09-23T07:12:27Z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FEC850F3E2ED4A4A9FD62325E76328F8_12</vt:lpwstr>
  </property>
</Properties>
</file>