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方正小标宋_GBK" w:cs="Times New Roman"/>
          <w:sz w:val="52"/>
          <w:szCs w:val="52"/>
        </w:rPr>
      </w:pPr>
    </w:p>
    <w:p>
      <w:pPr>
        <w:jc w:val="center"/>
        <w:rPr>
          <w:rFonts w:ascii="Times New Roman" w:hAnsi="Times New Roman" w:eastAsia="方正小标宋_GBK" w:cs="Times New Roman"/>
          <w:sz w:val="52"/>
          <w:szCs w:val="52"/>
        </w:rPr>
      </w:pPr>
    </w:p>
    <w:p>
      <w:pPr>
        <w:jc w:val="center"/>
        <w:rPr>
          <w:rFonts w:ascii="Times New Roman" w:hAnsi="Times New Roman" w:eastAsia="方正小标宋_GBK" w:cs="Times New Roman"/>
          <w:sz w:val="52"/>
          <w:szCs w:val="52"/>
        </w:rPr>
      </w:pPr>
    </w:p>
    <w:p>
      <w:pPr>
        <w:jc w:val="center"/>
        <w:rPr>
          <w:rFonts w:hint="eastAsia" w:ascii="黑体" w:hAnsi="黑体" w:eastAsia="黑体" w:cs="黑体"/>
          <w:sz w:val="52"/>
          <w:szCs w:val="52"/>
          <w:lang w:val="en-US" w:eastAsia="zh-CN"/>
        </w:rPr>
      </w:pPr>
      <w:r>
        <w:rPr>
          <w:rFonts w:hint="eastAsia" w:ascii="黑体" w:hAnsi="黑体" w:eastAsia="黑体" w:cs="黑体"/>
          <w:sz w:val="52"/>
          <w:szCs w:val="52"/>
        </w:rPr>
        <w:t>202</w:t>
      </w:r>
      <w:r>
        <w:rPr>
          <w:rFonts w:hint="eastAsia" w:ascii="黑体" w:hAnsi="黑体" w:eastAsia="黑体" w:cs="黑体"/>
          <w:sz w:val="52"/>
          <w:szCs w:val="52"/>
          <w:lang w:val="en-US" w:eastAsia="zh-CN"/>
        </w:rPr>
        <w:t>3</w:t>
      </w:r>
      <w:r>
        <w:rPr>
          <w:rFonts w:hint="eastAsia" w:ascii="黑体" w:hAnsi="黑体" w:eastAsia="黑体" w:cs="黑体"/>
          <w:sz w:val="52"/>
          <w:szCs w:val="52"/>
        </w:rPr>
        <w:t>年度</w:t>
      </w:r>
      <w:r>
        <w:rPr>
          <w:rFonts w:hint="eastAsia" w:ascii="黑体" w:hAnsi="黑体" w:eastAsia="黑体" w:cs="黑体"/>
          <w:sz w:val="52"/>
          <w:szCs w:val="52"/>
          <w:lang w:val="en-US" w:eastAsia="zh-CN"/>
        </w:rPr>
        <w:t>怀化市市场监督管理局</w:t>
      </w:r>
    </w:p>
    <w:p>
      <w:pPr>
        <w:jc w:val="center"/>
        <w:rPr>
          <w:rFonts w:hint="eastAsia" w:ascii="黑体" w:hAnsi="黑体" w:eastAsia="黑体" w:cs="黑体"/>
          <w:sz w:val="52"/>
          <w:szCs w:val="52"/>
        </w:rPr>
      </w:pPr>
      <w:r>
        <w:rPr>
          <w:rFonts w:hint="eastAsia" w:ascii="黑体" w:hAnsi="黑体" w:eastAsia="黑体" w:cs="黑体"/>
          <w:sz w:val="52"/>
          <w:szCs w:val="52"/>
          <w:lang w:eastAsia="zh-CN"/>
        </w:rPr>
        <w:t>专项资金</w:t>
      </w:r>
      <w:r>
        <w:rPr>
          <w:rFonts w:hint="eastAsia" w:ascii="黑体" w:hAnsi="黑体" w:eastAsia="黑体" w:cs="黑体"/>
          <w:sz w:val="52"/>
          <w:szCs w:val="52"/>
        </w:rPr>
        <w:t>绩效自评报告</w:t>
      </w:r>
    </w:p>
    <w:p>
      <w:pPr>
        <w:jc w:val="both"/>
        <w:rPr>
          <w:rFonts w:ascii="Times New Roman" w:hAnsi="Times New Roman" w:eastAsia="楷体_GB2312" w:cs="Times New Roman"/>
          <w:b/>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jc w:val="both"/>
        <w:rPr>
          <w:rFonts w:ascii="Times New Roman" w:hAnsi="Times New Roman" w:eastAsia="黑体" w:cs="Times New Roman"/>
          <w:sz w:val="32"/>
          <w:szCs w:val="32"/>
        </w:rPr>
      </w:pPr>
    </w:p>
    <w:p>
      <w:pPr>
        <w:jc w:val="center"/>
        <w:rPr>
          <w:rFonts w:ascii="Times New Roman" w:hAnsi="Times New Roman" w:eastAsia="黑体" w:cs="Times New Roman"/>
          <w:sz w:val="32"/>
          <w:szCs w:val="32"/>
        </w:rPr>
      </w:pPr>
    </w:p>
    <w:p>
      <w:pPr>
        <w:spacing w:line="600" w:lineRule="exact"/>
        <w:ind w:firstLine="1920" w:firstLineChars="600"/>
        <w:rPr>
          <w:rFonts w:ascii="Times New Roman" w:hAnsi="Times New Roman" w:eastAsia="仿宋_GB2312" w:cs="Times New Roman"/>
          <w:sz w:val="32"/>
          <w:szCs w:val="32"/>
          <w:u w:val="single"/>
        </w:rPr>
      </w:pPr>
      <w:r>
        <w:rPr>
          <w:rFonts w:ascii="Times New Roman" w:hAnsi="Times New Roman" w:eastAsia="仿宋_GB2312" w:cs="Times New Roman"/>
          <w:sz w:val="32"/>
          <w:szCs w:val="32"/>
        </w:rPr>
        <w:t>单位名称：</w:t>
      </w:r>
      <w:r>
        <w:rPr>
          <w:rFonts w:ascii="Times New Roman" w:hAnsi="Times New Roman" w:eastAsia="仿宋_GB2312" w:cs="Times New Roman"/>
          <w:sz w:val="32"/>
          <w:szCs w:val="32"/>
          <w:u w:val="single"/>
        </w:rPr>
        <w:t xml:space="preserve"> </w:t>
      </w:r>
      <w:r>
        <w:rPr>
          <w:rFonts w:hint="eastAsia" w:eastAsia="仿宋_GB2312" w:cs="Times New Roman"/>
          <w:sz w:val="32"/>
          <w:szCs w:val="32"/>
          <w:u w:val="single"/>
          <w:lang w:val="en-US" w:eastAsia="zh-CN"/>
        </w:rPr>
        <w:t>怀化市市场监督管理局</w:t>
      </w:r>
      <w:r>
        <w:rPr>
          <w:rFonts w:ascii="Times New Roman" w:hAnsi="Times New Roman" w:eastAsia="仿宋_GB2312" w:cs="Times New Roman"/>
          <w:sz w:val="32"/>
          <w:szCs w:val="32"/>
          <w:u w:val="single"/>
        </w:rPr>
        <w:t xml:space="preserve"> </w:t>
      </w:r>
    </w:p>
    <w:p>
      <w:pPr>
        <w:spacing w:line="600" w:lineRule="exact"/>
        <w:ind w:firstLine="3840" w:firstLineChars="1200"/>
        <w:rPr>
          <w:rFonts w:hint="eastAsia" w:eastAsia="楷体_GB2312" w:cs="Times New Roman"/>
          <w:sz w:val="32"/>
          <w:szCs w:val="32"/>
          <w:lang w:val="en-US" w:eastAsia="zh-CN"/>
        </w:rPr>
      </w:pPr>
    </w:p>
    <w:p>
      <w:pPr>
        <w:spacing w:line="600" w:lineRule="exact"/>
        <w:jc w:val="center"/>
        <w:rPr>
          <w:rFonts w:hint="eastAsia" w:eastAsia="楷体_GB2312" w:cs="Times New Roman"/>
          <w:sz w:val="32"/>
          <w:szCs w:val="32"/>
          <w:lang w:val="en-US" w:eastAsia="zh-CN"/>
        </w:rPr>
      </w:pPr>
    </w:p>
    <w:p>
      <w:pPr>
        <w:spacing w:line="600" w:lineRule="exact"/>
        <w:jc w:val="center"/>
        <w:rPr>
          <w:rFonts w:ascii="Times New Roman" w:hAnsi="Times New Roman" w:eastAsia="楷体_GB2312" w:cs="Times New Roman"/>
          <w:sz w:val="32"/>
          <w:szCs w:val="32"/>
        </w:rPr>
      </w:pPr>
      <w:r>
        <w:rPr>
          <w:rFonts w:hint="eastAsia" w:eastAsia="楷体_GB2312" w:cs="Times New Roman"/>
          <w:sz w:val="32"/>
          <w:szCs w:val="32"/>
          <w:lang w:val="en-US" w:eastAsia="zh-CN"/>
        </w:rPr>
        <w:t>2024</w:t>
      </w:r>
      <w:r>
        <w:rPr>
          <w:rFonts w:ascii="Times New Roman" w:hAnsi="Times New Roman" w:eastAsia="楷体_GB2312" w:cs="Times New Roman"/>
          <w:sz w:val="32"/>
          <w:szCs w:val="32"/>
        </w:rPr>
        <w:t xml:space="preserve">年 </w:t>
      </w:r>
      <w:r>
        <w:rPr>
          <w:rFonts w:hint="eastAsia" w:eastAsia="楷体_GB2312" w:cs="Times New Roman"/>
          <w:sz w:val="32"/>
          <w:szCs w:val="32"/>
          <w:lang w:val="en-US" w:eastAsia="zh-CN"/>
        </w:rPr>
        <w:t>6</w:t>
      </w:r>
      <w:r>
        <w:rPr>
          <w:rFonts w:ascii="Times New Roman" w:hAnsi="Times New Roman" w:eastAsia="楷体_GB2312" w:cs="Times New Roman"/>
          <w:sz w:val="32"/>
          <w:szCs w:val="32"/>
        </w:rPr>
        <w:t xml:space="preserve">月 </w:t>
      </w:r>
      <w:r>
        <w:rPr>
          <w:rFonts w:hint="eastAsia" w:eastAsia="楷体_GB2312" w:cs="Times New Roman"/>
          <w:sz w:val="32"/>
          <w:szCs w:val="32"/>
          <w:lang w:val="en-US" w:eastAsia="zh-CN"/>
        </w:rPr>
        <w:t>28</w:t>
      </w:r>
      <w:r>
        <w:rPr>
          <w:rFonts w:ascii="Times New Roman" w:hAnsi="Times New Roman" w:eastAsia="楷体_GB2312" w:cs="Times New Roman"/>
          <w:sz w:val="32"/>
          <w:szCs w:val="32"/>
        </w:rPr>
        <w:t>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方正小标宋_GBK" w:hAnsi="方正小标宋_GBK" w:eastAsia="方正小标宋_GBK" w:cs="方正小标宋_GBK"/>
          <w:i w:val="0"/>
          <w:iCs w:val="0"/>
          <w:caps w:val="0"/>
          <w:color w:val="000000"/>
          <w:spacing w:val="0"/>
          <w:sz w:val="32"/>
          <w:szCs w:val="32"/>
          <w:shd w:val="clear" w:fill="FFFFFF"/>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left="0" w:right="0" w:firstLine="640" w:firstLineChars="200"/>
        <w:jc w:val="both"/>
        <w:textAlignment w:val="auto"/>
        <w:rPr>
          <w:rFonts w:hint="eastAsia" w:ascii="黑体" w:hAnsi="黑体" w:eastAsia="黑体" w:cs="黑体"/>
          <w:i w:val="0"/>
          <w:iCs w:val="0"/>
          <w:caps w:val="0"/>
          <w:color w:val="000000"/>
          <w:spacing w:val="0"/>
          <w:sz w:val="32"/>
          <w:szCs w:val="32"/>
        </w:rPr>
      </w:pPr>
      <w:r>
        <w:rPr>
          <w:rFonts w:hint="eastAsia" w:ascii="方正小标宋_GBK" w:hAnsi="方正小标宋_GBK" w:eastAsia="方正小标宋_GBK" w:cs="方正小标宋_GBK"/>
          <w:i w:val="0"/>
          <w:iCs w:val="0"/>
          <w:caps w:val="0"/>
          <w:color w:val="000000"/>
          <w:spacing w:val="0"/>
          <w:sz w:val="32"/>
          <w:szCs w:val="32"/>
          <w:shd w:val="clear" w:fill="FFFFFF"/>
        </w:rPr>
        <w:t> </w:t>
      </w:r>
      <w:r>
        <w:rPr>
          <w:rFonts w:hint="eastAsia" w:ascii="黑体" w:hAnsi="黑体" w:eastAsia="黑体" w:cs="黑体"/>
          <w:i w:val="0"/>
          <w:iCs w:val="0"/>
          <w:caps w:val="0"/>
          <w:color w:val="000000"/>
          <w:spacing w:val="0"/>
          <w:sz w:val="32"/>
          <w:szCs w:val="32"/>
          <w:shd w:val="clear" w:fill="FFFFFF"/>
        </w:rPr>
        <w:t>一、项目基本情况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楷体" w:hAnsi="楷体" w:eastAsia="楷体" w:cs="楷体"/>
          <w:b/>
          <w:bCs/>
          <w:i w:val="0"/>
          <w:iCs w:val="0"/>
          <w:caps w:val="0"/>
          <w:color w:val="000000"/>
          <w:spacing w:val="0"/>
          <w:sz w:val="32"/>
          <w:szCs w:val="32"/>
          <w:shd w:val="clear" w:fill="FFFFFF"/>
        </w:rPr>
      </w:pPr>
      <w:r>
        <w:rPr>
          <w:rFonts w:hint="eastAsia" w:ascii="楷体" w:hAnsi="楷体" w:eastAsia="楷体" w:cs="楷体"/>
          <w:b/>
          <w:bCs/>
          <w:i w:val="0"/>
          <w:iCs w:val="0"/>
          <w:caps w:val="0"/>
          <w:color w:val="000000"/>
          <w:spacing w:val="0"/>
          <w:sz w:val="32"/>
          <w:szCs w:val="32"/>
          <w:shd w:val="clear" w:fill="FFFFFF"/>
        </w:rPr>
        <w:t>（一）项目概况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1.项目决策背景</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中央食品、药品监管补助资金方面，根据湖南省市场监督管理局下达的2023年中央食品补助监管资金要求，我局结合实际，制订项目工作计划，对项目的工作分工、任务分配、资金落实、完成时限等提出了明确、具体的要求，以确保项目保质、保量、按时完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省级市场监管资金方面，根据《“十四五”市场监管规划》《2023年网络交易监管工作要点》《各类专项整治工作方案》的工作要求，开展网络监测，消除安全隐患，依法查处网络违法行为；根据《2023全市重点工业产商品监督抽查工作计划》及《2023年怀化市流通领域重点产商品监督抽查工作方案》，结合工作实际情况，组织开展产商品监督及抽查等工作。</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市级专项资金方面，</w:t>
      </w:r>
      <w:r>
        <w:rPr>
          <w:rFonts w:hint="eastAsia" w:ascii="仿宋" w:hAnsi="仿宋" w:eastAsia="仿宋" w:cs="仿宋"/>
          <w:color w:val="000000"/>
          <w:kern w:val="2"/>
          <w:sz w:val="30"/>
          <w:szCs w:val="30"/>
          <w:lang w:val="en-US" w:eastAsia="zh-CN" w:bidi="ar-SA"/>
        </w:rPr>
        <w:t>根据相关文件与工作安排，开展市本级食品抽检；按照《产品质量法》、《产品质量监督抽查管理暂行办法》、《2023年怀化市工业产品质量监督抽查实施细则（一）》等相关法律规范，积极组织开展工作。对产品质量进行监督检查。</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2.项目主要内容</w:t>
      </w:r>
    </w:p>
    <w:p>
      <w:pPr>
        <w:pStyle w:val="8"/>
        <w:keepNext/>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2023年度中央食品监管补助资金主要用于食品生产环节、食品经营环节、特殊食品安全监督、食品稽查打假、食品安全监管能力(两个责任机制)等项目安排，以确保辖区内食品安全。</w:t>
      </w:r>
    </w:p>
    <w:p>
      <w:pPr>
        <w:pStyle w:val="8"/>
        <w:keepNext/>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2023年度省级专项资金主要用于市场监督管理方向、质量抽查与检验方向、其他方向（包括真抓实干、绩效管理、非公党建等）。</w:t>
      </w:r>
    </w:p>
    <w:p>
      <w:pPr>
        <w:pStyle w:val="8"/>
        <w:keepNext/>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2023年度市级财政专项资金主要用于特种设备安全监管经费、药品抽检样品购买费用、食品综合协调、市场监管领域抽检（包含食品抽检、流通领域商品抽检、成品油抽检、食盐监管）、消委（消协）工作保障经费、政府质量工作考核专项经费、打击传销工作专项经费、食品安全应急演练、非洲猪瘟专项工作、知识产权专项事业费（含执法费)、公平竞争审查专项等项目。</w:t>
      </w:r>
    </w:p>
    <w:p>
      <w:pPr>
        <w:pStyle w:val="8"/>
        <w:keepNext/>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3.项目组织管理机构</w:t>
      </w:r>
    </w:p>
    <w:p>
      <w:pPr>
        <w:pStyle w:val="8"/>
        <w:keepNext/>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项目由怀化市市场监督管理局及怀化市检验检测中心、怀化市市场监督管理局直属二局组织实施。</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default" w:ascii="楷体" w:hAnsi="楷体" w:eastAsia="楷体" w:cs="楷体"/>
          <w:b/>
          <w:bCs/>
          <w:i w:val="0"/>
          <w:iCs w:val="0"/>
          <w:caps w:val="0"/>
          <w:color w:val="000000"/>
          <w:spacing w:val="0"/>
          <w:sz w:val="32"/>
          <w:szCs w:val="32"/>
          <w:shd w:val="clear" w:fill="FFFFFF"/>
        </w:rPr>
      </w:pPr>
      <w:r>
        <w:rPr>
          <w:rFonts w:hint="default" w:ascii="楷体" w:hAnsi="楷体" w:eastAsia="楷体" w:cs="楷体"/>
          <w:b/>
          <w:bCs/>
          <w:i w:val="0"/>
          <w:iCs w:val="0"/>
          <w:caps w:val="0"/>
          <w:color w:val="000000"/>
          <w:spacing w:val="0"/>
          <w:sz w:val="32"/>
          <w:szCs w:val="32"/>
          <w:shd w:val="clear" w:fill="FFFFFF"/>
        </w:rPr>
        <w:t>（二）预算资金使用管理情况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bookmarkStart w:id="0" w:name="_Toc10810"/>
      <w:r>
        <w:rPr>
          <w:rFonts w:hint="eastAsia" w:ascii="仿宋" w:hAnsi="仿宋" w:eastAsia="仿宋" w:cs="仿宋"/>
          <w:color w:val="000000"/>
          <w:kern w:val="2"/>
          <w:sz w:val="32"/>
          <w:szCs w:val="32"/>
          <w:lang w:val="en-US" w:eastAsia="zh-CN" w:bidi="ar-SA"/>
        </w:rPr>
        <w:t>1.预算资金安排及管理情况</w:t>
      </w:r>
      <w:bookmarkEnd w:id="0"/>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（1）资金来源及拨付流程</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color w:val="000000" w:themeColor="text1"/>
          <w:spacing w:val="-2"/>
          <w:kern w:val="2"/>
          <w:sz w:val="32"/>
          <w:szCs w:val="32"/>
          <w:lang w:val="en-US" w:eastAsia="zh-CN" w:bidi="ar-SA"/>
          <w14:textFill>
            <w14:solidFill>
              <w14:schemeClr w14:val="tx1"/>
            </w14:solidFill>
          </w14:textFill>
        </w:rPr>
      </w:pPr>
      <w:r>
        <w:rPr>
          <w:rFonts w:hint="eastAsia" w:ascii="仿宋" w:hAnsi="仿宋" w:eastAsia="仿宋" w:cs="仿宋"/>
          <w:sz w:val="32"/>
          <w:szCs w:val="32"/>
          <w:highlight w:val="none"/>
        </w:rPr>
        <w:t>根据《湖南省市场监督管理局关于下达2023年第一批中央食品监管补助资金的通知》(湘市监财〔2023]5号)、《湖南省市场监督管理局关于下达2023年第二批中央食品监管补助资金的通知》(湘市监财〔2023]72号)文件，《湖南省财政厅关于提前下达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年中央</w:t>
      </w:r>
      <w:r>
        <w:rPr>
          <w:rFonts w:hint="eastAsia" w:ascii="仿宋" w:hAnsi="仿宋" w:eastAsia="仿宋" w:cs="仿宋"/>
          <w:sz w:val="32"/>
          <w:szCs w:val="32"/>
          <w:highlight w:val="none"/>
          <w:lang w:eastAsia="zh-CN"/>
        </w:rPr>
        <w:t>食品</w:t>
      </w:r>
      <w:r>
        <w:rPr>
          <w:rFonts w:hint="eastAsia" w:ascii="仿宋" w:hAnsi="仿宋" w:eastAsia="仿宋" w:cs="仿宋"/>
          <w:sz w:val="32"/>
          <w:szCs w:val="32"/>
          <w:highlight w:val="none"/>
        </w:rPr>
        <w:t>药品监管补助资金的通知》（湘财行指〔202</w:t>
      </w:r>
      <w:r>
        <w:rPr>
          <w:rFonts w:hint="eastAsia" w:ascii="仿宋" w:hAnsi="仿宋" w:eastAsia="仿宋" w:cs="仿宋"/>
          <w:sz w:val="32"/>
          <w:szCs w:val="32"/>
          <w:highlight w:val="none"/>
          <w:lang w:val="en-US" w:eastAsia="zh-CN"/>
        </w:rPr>
        <w:t>2</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75</w:t>
      </w:r>
      <w:r>
        <w:rPr>
          <w:rFonts w:hint="eastAsia" w:ascii="仿宋" w:hAnsi="仿宋" w:eastAsia="仿宋" w:cs="仿宋"/>
          <w:sz w:val="32"/>
          <w:szCs w:val="32"/>
          <w:highlight w:val="none"/>
        </w:rPr>
        <w:t>号）</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湖南省财政厅关于下达2023年省级</w:t>
      </w:r>
      <w:r>
        <w:rPr>
          <w:rFonts w:hint="eastAsia" w:ascii="仿宋" w:hAnsi="仿宋" w:eastAsia="仿宋" w:cs="仿宋"/>
          <w:sz w:val="32"/>
          <w:szCs w:val="32"/>
          <w:highlight w:val="none"/>
          <w:lang w:eastAsia="zh-CN"/>
        </w:rPr>
        <w:t>药品监管及医疗器械监测专项资金</w:t>
      </w:r>
      <w:r>
        <w:rPr>
          <w:rFonts w:hint="eastAsia" w:ascii="仿宋" w:hAnsi="仿宋" w:eastAsia="仿宋" w:cs="仿宋"/>
          <w:sz w:val="32"/>
          <w:szCs w:val="32"/>
          <w:highlight w:val="none"/>
          <w:lang w:val="en-US" w:eastAsia="zh-CN"/>
        </w:rPr>
        <w:t>的通知</w:t>
      </w:r>
      <w:r>
        <w:rPr>
          <w:rFonts w:hint="eastAsia" w:ascii="仿宋" w:hAnsi="仿宋" w:eastAsia="仿宋" w:cs="仿宋"/>
          <w:sz w:val="32"/>
          <w:szCs w:val="32"/>
          <w:highlight w:val="none"/>
          <w:lang w:eastAsia="zh-CN"/>
        </w:rPr>
        <w:t>》（湘财行指</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32</w:t>
      </w:r>
      <w:r>
        <w:rPr>
          <w:rFonts w:hint="eastAsia" w:ascii="仿宋" w:hAnsi="仿宋" w:eastAsia="仿宋" w:cs="仿宋"/>
          <w:sz w:val="32"/>
          <w:szCs w:val="32"/>
          <w:highlight w:val="none"/>
          <w:lang w:eastAsia="zh-CN"/>
        </w:rPr>
        <w:t>号）、《湖南省财政厅关于下达</w:t>
      </w:r>
      <w:r>
        <w:rPr>
          <w:rFonts w:hint="eastAsia" w:ascii="仿宋" w:hAnsi="仿宋" w:eastAsia="仿宋" w:cs="仿宋"/>
          <w:sz w:val="32"/>
          <w:szCs w:val="32"/>
          <w:highlight w:val="none"/>
          <w:lang w:val="en-US" w:eastAsia="zh-CN"/>
        </w:rPr>
        <w:t>2023年部分单位专项经费的通知</w:t>
      </w:r>
      <w:r>
        <w:rPr>
          <w:rFonts w:hint="eastAsia" w:ascii="仿宋" w:hAnsi="仿宋" w:eastAsia="仿宋" w:cs="仿宋"/>
          <w:sz w:val="32"/>
          <w:szCs w:val="32"/>
          <w:highlight w:val="none"/>
          <w:lang w:eastAsia="zh-CN"/>
        </w:rPr>
        <w:t>》（湘财行指</w:t>
      </w:r>
      <w:r>
        <w:rPr>
          <w:rFonts w:hint="eastAsia" w:ascii="仿宋" w:hAnsi="仿宋" w:eastAsia="仿宋" w:cs="仿宋"/>
          <w:sz w:val="32"/>
          <w:szCs w:val="32"/>
          <w:highlight w:val="none"/>
        </w:rPr>
        <w:t>〔202</w:t>
      </w:r>
      <w:r>
        <w:rPr>
          <w:rFonts w:hint="eastAsia" w:ascii="仿宋" w:hAnsi="仿宋" w:eastAsia="仿宋" w:cs="仿宋"/>
          <w:sz w:val="32"/>
          <w:szCs w:val="32"/>
          <w:highlight w:val="none"/>
          <w:lang w:val="en-US" w:eastAsia="zh-CN"/>
        </w:rPr>
        <w:t>3</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34</w:t>
      </w:r>
      <w:r>
        <w:rPr>
          <w:rFonts w:hint="eastAsia" w:ascii="仿宋" w:hAnsi="仿宋" w:eastAsia="仿宋" w:cs="仿宋"/>
          <w:sz w:val="32"/>
          <w:szCs w:val="32"/>
          <w:highlight w:val="none"/>
          <w:lang w:eastAsia="zh-CN"/>
        </w:rPr>
        <w:t>号）</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文件</w:t>
      </w:r>
      <w:r>
        <w:rPr>
          <w:rFonts w:hint="eastAsia" w:ascii="仿宋" w:hAnsi="仿宋" w:eastAsia="仿宋" w:cs="仿宋"/>
          <w:sz w:val="32"/>
          <w:szCs w:val="32"/>
          <w:highlight w:val="none"/>
          <w:lang w:eastAsia="zh-CN"/>
        </w:rPr>
        <w:t>，</w:t>
      </w:r>
      <w:r>
        <w:rPr>
          <w:rFonts w:hint="eastAsia" w:ascii="仿宋" w:hAnsi="仿宋" w:eastAsia="仿宋" w:cs="仿宋"/>
          <w:color w:val="000000" w:themeColor="text1"/>
          <w:spacing w:val="-2"/>
          <w:kern w:val="2"/>
          <w:sz w:val="32"/>
          <w:szCs w:val="32"/>
          <w:lang w:val="en-US" w:eastAsia="zh-CN" w:bidi="ar-SA"/>
          <w14:textFill>
            <w14:solidFill>
              <w14:schemeClr w14:val="tx1"/>
            </w14:solidFill>
          </w14:textFill>
        </w:rPr>
        <w:t>共计下达2023年中央食品药品监管补助资金153.99万元。</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z w:val="32"/>
          <w:szCs w:val="32"/>
        </w:rPr>
        <w:t>根据《湖南省市场监督管理局关于下达2023年第一批省级市场监督管理专项资金的通知》（湘市监财〔2023〕4号）、《湖南省市场监督管理局关于下达2023年第三批省级市场监督管理专项资金的通知》（湘市监财函〔2023〕228号）</w:t>
      </w:r>
      <w:r>
        <w:rPr>
          <w:rFonts w:hint="eastAsia" w:ascii="仿宋" w:hAnsi="仿宋" w:eastAsia="仿宋" w:cs="仿宋"/>
          <w:sz w:val="32"/>
          <w:szCs w:val="32"/>
          <w:lang w:eastAsia="zh-CN"/>
        </w:rPr>
        <w:t>、</w:t>
      </w:r>
      <w:r>
        <w:rPr>
          <w:rFonts w:hint="eastAsia" w:ascii="仿宋" w:hAnsi="仿宋" w:eastAsia="仿宋" w:cs="仿宋"/>
          <w:sz w:val="32"/>
          <w:szCs w:val="32"/>
        </w:rPr>
        <w:t>《湖南省市场监督管理局关于下达2023年第四批省级市场监督管理专项资金的通知》（湘市监财函〔2023〕269号）</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湖南省财政厅关于下</w:t>
      </w:r>
      <w:r>
        <w:rPr>
          <w:rFonts w:hint="eastAsia" w:ascii="仿宋" w:hAnsi="仿宋" w:eastAsia="仿宋" w:cs="仿宋"/>
          <w:sz w:val="32"/>
          <w:szCs w:val="32"/>
          <w:lang w:val="en-US" w:eastAsia="zh-CN"/>
        </w:rPr>
        <w:t>达2023年省级</w:t>
      </w:r>
      <w:r>
        <w:rPr>
          <w:rFonts w:hint="eastAsia" w:ascii="仿宋" w:hAnsi="仿宋" w:eastAsia="仿宋" w:cs="仿宋"/>
          <w:sz w:val="32"/>
          <w:szCs w:val="32"/>
          <w:lang w:eastAsia="zh-CN"/>
        </w:rPr>
        <w:t>药品监管及医疗器械监测专项资金</w:t>
      </w:r>
      <w:r>
        <w:rPr>
          <w:rFonts w:hint="eastAsia" w:ascii="仿宋" w:hAnsi="仿宋" w:eastAsia="仿宋" w:cs="仿宋"/>
          <w:sz w:val="32"/>
          <w:szCs w:val="32"/>
          <w:lang w:val="en-US" w:eastAsia="zh-CN"/>
        </w:rPr>
        <w:t>的通知</w:t>
      </w:r>
      <w:r>
        <w:rPr>
          <w:rFonts w:hint="eastAsia" w:ascii="仿宋" w:hAnsi="仿宋" w:eastAsia="仿宋" w:cs="仿宋"/>
          <w:sz w:val="32"/>
          <w:szCs w:val="32"/>
          <w:lang w:eastAsia="zh-CN"/>
        </w:rPr>
        <w:t>》（湘财行指</w:t>
      </w:r>
      <w:r>
        <w:rPr>
          <w:rFonts w:hint="eastAsia" w:ascii="仿宋" w:hAnsi="仿宋" w:eastAsia="仿宋" w:cs="仿宋"/>
          <w:sz w:val="32"/>
          <w:szCs w:val="32"/>
        </w:rPr>
        <w:t>〔202</w:t>
      </w:r>
      <w:r>
        <w:rPr>
          <w:rFonts w:hint="eastAsia" w:ascii="仿宋" w:hAnsi="仿宋" w:eastAsia="仿宋" w:cs="仿宋"/>
          <w:sz w:val="32"/>
          <w:szCs w:val="32"/>
          <w:lang w:val="en-US" w:eastAsia="zh-CN"/>
        </w:rPr>
        <w:t>3</w:t>
      </w:r>
      <w:r>
        <w:rPr>
          <w:rFonts w:hint="eastAsia" w:ascii="仿宋" w:hAnsi="仿宋" w:eastAsia="仿宋" w:cs="仿宋"/>
          <w:sz w:val="32"/>
          <w:szCs w:val="32"/>
        </w:rPr>
        <w:t>〕</w:t>
      </w:r>
      <w:r>
        <w:rPr>
          <w:rFonts w:hint="eastAsia" w:ascii="仿宋" w:hAnsi="仿宋" w:eastAsia="仿宋" w:cs="仿宋"/>
          <w:sz w:val="32"/>
          <w:szCs w:val="32"/>
          <w:lang w:val="en-US" w:eastAsia="zh-CN"/>
        </w:rPr>
        <w:t>32</w:t>
      </w:r>
      <w:r>
        <w:rPr>
          <w:rFonts w:hint="eastAsia" w:ascii="仿宋" w:hAnsi="仿宋" w:eastAsia="仿宋" w:cs="仿宋"/>
          <w:sz w:val="32"/>
          <w:szCs w:val="32"/>
          <w:lang w:eastAsia="zh-CN"/>
        </w:rPr>
        <w:t>号）</w:t>
      </w:r>
      <w:r>
        <w:rPr>
          <w:rFonts w:hint="eastAsia" w:ascii="仿宋" w:hAnsi="仿宋" w:eastAsia="仿宋" w:cs="仿宋"/>
          <w:sz w:val="32"/>
          <w:szCs w:val="32"/>
          <w:lang w:val="en-US" w:eastAsia="zh-CN"/>
        </w:rPr>
        <w:t>等</w:t>
      </w:r>
      <w:r>
        <w:rPr>
          <w:rFonts w:hint="eastAsia" w:ascii="仿宋" w:hAnsi="仿宋" w:eastAsia="仿宋" w:cs="仿宋"/>
          <w:sz w:val="32"/>
          <w:szCs w:val="32"/>
        </w:rPr>
        <w:t>文件，</w:t>
      </w:r>
      <w:r>
        <w:rPr>
          <w:rFonts w:hint="eastAsia" w:ascii="仿宋" w:hAnsi="仿宋" w:eastAsia="仿宋" w:cs="仿宋"/>
          <w:color w:val="000000" w:themeColor="text1"/>
          <w:sz w:val="32"/>
          <w:szCs w:val="32"/>
          <w:lang w:val="en-US" w:eastAsia="zh-CN"/>
          <w14:textFill>
            <w14:solidFill>
              <w14:schemeClr w14:val="tx1"/>
            </w14:solidFill>
          </w14:textFill>
        </w:rPr>
        <w:t>共计下达2023年省级监管补助资金614.01万元。</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根据《怀化市财政局关于批复下达2023年市直部门预算的通知》（怀财预〔2023〕6号）下达2023年市级专项业务676.5万元，追加各类项目资金1,210.5万元。资金到位率100%。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（2）资金到位情况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截止2023年底，资金共计到位2,655.00万元，其中中央食品、药品监管补助资金153.99万元，省级市场监管专项资金614.01万元，市级财政专项资金</w:t>
      </w:r>
      <w:r>
        <w:rPr>
          <w:rFonts w:hint="eastAsia" w:ascii="仿宋" w:hAnsi="仿宋" w:eastAsia="仿宋" w:cs="仿宋"/>
          <w:color w:val="000000" w:themeColor="text1"/>
          <w:sz w:val="32"/>
          <w:szCs w:val="32"/>
          <w:lang w:val="en-US" w:eastAsia="zh-CN"/>
          <w14:textFill>
            <w14:solidFill>
              <w14:schemeClr w14:val="tx1"/>
            </w14:solidFill>
          </w14:textFill>
        </w:rPr>
        <w:t>1,887.00万元。资金到位率100%。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themeColor="text1"/>
          <w:kern w:val="2"/>
          <w:sz w:val="32"/>
          <w:szCs w:val="32"/>
          <w:lang w:val="en-US" w:eastAsia="zh-CN" w:bidi="ar-SA"/>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（3）资金使用情况</w:t>
      </w:r>
    </w:p>
    <w:p>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kern w:val="2"/>
          <w:sz w:val="32"/>
          <w:szCs w:val="32"/>
          <w:lang w:val="en-US" w:eastAsia="zh-CN" w:bidi="ar-SA"/>
          <w14:textFill>
            <w14:solidFill>
              <w14:schemeClr w14:val="tx1"/>
            </w14:solidFill>
          </w14:textFill>
        </w:rPr>
        <w:t>截止2023年底，资金共计使用2,655.00万元，其中中央食品、药品监管补助资金153.99万元，省级市场监管专项资金614.01万元，市级财政专项资金</w:t>
      </w:r>
      <w:r>
        <w:rPr>
          <w:rFonts w:hint="eastAsia" w:ascii="仿宋" w:hAnsi="仿宋" w:eastAsia="仿宋" w:cs="仿宋"/>
          <w:color w:val="000000" w:themeColor="text1"/>
          <w:sz w:val="32"/>
          <w:szCs w:val="32"/>
          <w:lang w:val="en-US" w:eastAsia="zh-CN"/>
          <w14:textFill>
            <w14:solidFill>
              <w14:schemeClr w14:val="tx1"/>
            </w14:solidFill>
          </w14:textFill>
        </w:rPr>
        <w:t>1,887.00万元。资金使用率100%。</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（4）资金管理制度及执行情况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我局严格按照《湖南省市场监督管理专项资金管理办法》执行，为认真贯彻执行中央、省、市有关专项资金绩效管理的规章制度和具体要求，提高专项资金使用效益，我局制定了《怀化市市场监督管理局专项资金管理办法》《财务管理制度》，并严格按照上述管理办法执行，对专项资金进行专项核算、专款专用，确保不存在截留、挤占、挪用、虚列支出等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0"/>
          <w:szCs w:val="30"/>
          <w:lang w:val="en-US" w:eastAsia="zh-CN" w:bidi="ar-SA"/>
        </w:rPr>
      </w:pPr>
      <w:r>
        <w:rPr>
          <w:rFonts w:hint="eastAsia" w:ascii="仿宋" w:hAnsi="仿宋" w:eastAsia="仿宋" w:cs="仿宋"/>
          <w:sz w:val="32"/>
          <w:szCs w:val="32"/>
        </w:rPr>
        <w:t>针对专项资金管理使用，我局责成相关业务科室制订工作计划、实施方案等，层层把关、严格审核，涉及须经合同办理的事项，认真执行合同会签制度，由法规科、财务科分管领导、主要领导层层对合同内容进行联合审查会签，以确保专项资金合法合规使用</w:t>
      </w:r>
      <w:r>
        <w:rPr>
          <w:rFonts w:hint="eastAsia" w:ascii="仿宋" w:hAnsi="仿宋" w:eastAsia="仿宋" w:cs="仿宋"/>
          <w:sz w:val="32"/>
          <w:szCs w:val="32"/>
          <w:lang w:eastAsia="zh-CN"/>
        </w:rPr>
        <w:t>。</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2.项目组织实施管理情况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（1）中央食品、药品监管补助资金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3"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b/>
          <w:bCs/>
          <w:color w:val="000000"/>
          <w:kern w:val="2"/>
          <w:sz w:val="32"/>
          <w:szCs w:val="32"/>
          <w:lang w:val="en-US" w:eastAsia="zh-CN" w:bidi="ar-SA"/>
        </w:rPr>
        <w:t>一是</w:t>
      </w:r>
      <w:r>
        <w:rPr>
          <w:rFonts w:hint="eastAsia" w:ascii="仿宋" w:hAnsi="仿宋" w:eastAsia="仿宋" w:cs="仿宋"/>
          <w:color w:val="000000"/>
          <w:kern w:val="2"/>
          <w:sz w:val="32"/>
          <w:szCs w:val="32"/>
          <w:lang w:val="en-US" w:eastAsia="zh-CN" w:bidi="ar-SA"/>
        </w:rPr>
        <w:t>食品监管方面</w:t>
      </w:r>
      <w:r>
        <w:rPr>
          <w:rFonts w:hint="eastAsia" w:ascii="仿宋" w:hAnsi="仿宋" w:eastAsia="仿宋" w:cs="仿宋"/>
          <w:color w:val="000000"/>
          <w:kern w:val="2"/>
          <w:sz w:val="30"/>
          <w:szCs w:val="30"/>
          <w:lang w:val="en-US" w:eastAsia="zh-CN" w:bidi="ar-SA"/>
        </w:rPr>
        <w:t>，2023年度，</w:t>
      </w:r>
      <w:r>
        <w:rPr>
          <w:rFonts w:hint="eastAsia" w:ascii="仿宋" w:hAnsi="仿宋" w:eastAsia="仿宋" w:cs="仿宋"/>
          <w:sz w:val="32"/>
          <w:szCs w:val="32"/>
          <w:lang w:val="en-US" w:eastAsia="zh-CN"/>
        </w:rPr>
        <w:t>在全市开展对食品生产企业“一企一档”建立风险清单、措施清单、责任清单和对食品生产企业“双随机、一公开”抽查工作，增强了企业的食品安全意识，压实了当地监管部门的责任意识。通过检查工作，提高当地企业食品生产合格率，增强了消费者的信心。积极推动食品安全属地管理责任和企业主体责任落实落地，将食品安全“两个责任”贯穿全年各项工作，严防严管严控食品安全风险。严格履行餐饮食品安全监管职责，狠抓餐饮服务质量提升，大力开展餐饮食品安全专项整治，精心组织、科学谋划，在继续推动“明厨亮灶”工程建设基础上，着力推进校外供餐单位“互联网+明厨亮灶”。</w:t>
      </w:r>
    </w:p>
    <w:p>
      <w:pPr>
        <w:keepNext w:val="0"/>
        <w:keepLines w:val="0"/>
        <w:pageBreakBefore w:val="0"/>
        <w:widowControl w:val="0"/>
        <w:wordWrap/>
        <w:topLinePunct w:val="0"/>
        <w:bidi w:val="0"/>
        <w:adjustRightInd w:val="0"/>
        <w:snapToGrid w:val="0"/>
        <w:spacing w:beforeLines="0" w:afterLines="0" w:line="600" w:lineRule="exact"/>
        <w:ind w:firstLine="643"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b/>
          <w:bCs/>
          <w:sz w:val="32"/>
          <w:szCs w:val="32"/>
          <w:lang w:val="en-US" w:eastAsia="zh-CN"/>
        </w:rPr>
        <w:t>二是</w:t>
      </w:r>
      <w:r>
        <w:rPr>
          <w:rFonts w:hint="eastAsia" w:ascii="仿宋" w:hAnsi="仿宋" w:eastAsia="仿宋" w:cs="仿宋"/>
          <w:sz w:val="32"/>
          <w:szCs w:val="32"/>
          <w:lang w:val="en-US" w:eastAsia="zh-CN"/>
        </w:rPr>
        <w:t>药品监管方面，</w:t>
      </w:r>
      <w:r>
        <w:rPr>
          <w:rFonts w:hint="eastAsia" w:ascii="仿宋" w:hAnsi="仿宋" w:eastAsia="仿宋" w:cs="仿宋"/>
          <w:b/>
          <w:bCs/>
          <w:sz w:val="32"/>
          <w:szCs w:val="32"/>
          <w:highlight w:val="none"/>
          <w:lang w:eastAsia="zh-CN"/>
        </w:rPr>
        <w:t>药械化抽验项目</w:t>
      </w:r>
      <w:r>
        <w:rPr>
          <w:rFonts w:hint="eastAsia" w:ascii="仿宋" w:hAnsi="仿宋" w:eastAsia="仿宋" w:cs="仿宋"/>
          <w:b/>
          <w:bCs/>
          <w:sz w:val="32"/>
          <w:szCs w:val="32"/>
          <w:highlight w:val="none"/>
          <w:lang w:val="en-US" w:eastAsia="zh-CN"/>
        </w:rPr>
        <w:t>：</w:t>
      </w:r>
      <w:r>
        <w:rPr>
          <w:rFonts w:hint="eastAsia" w:ascii="仿宋" w:hAnsi="仿宋" w:eastAsia="仿宋" w:cs="仿宋"/>
          <w:sz w:val="32"/>
          <w:szCs w:val="32"/>
          <w:lang w:val="en-US" w:eastAsia="zh-CN"/>
        </w:rPr>
        <w:t>按照湖南省药品监督管理局2023年省级药品监督抽检计划的安排，我局制定了详细的工作计划与实施方案，严格按照相关规定开展收样及检验工作，并对组织实施、样品接收、检验检测、数据报送等关键环节加强培训指导和质量控制，确保检验结果准确可靠。所有样品检验均严格按照现行有效的法定标准检验，同时加强质量控制，确保了检测数据和结果准确可靠。在日常的检验工作中严格遵守各项廉洁自律纪律和保密规定，无违纪，无泄密事件发生；</w:t>
      </w:r>
      <w:r>
        <w:rPr>
          <w:rFonts w:hint="eastAsia" w:ascii="仿宋" w:hAnsi="仿宋" w:eastAsia="仿宋" w:cs="仿宋"/>
          <w:b/>
          <w:bCs/>
          <w:sz w:val="32"/>
          <w:szCs w:val="32"/>
          <w:highlight w:val="none"/>
          <w:lang w:val="en-US" w:eastAsia="zh-CN"/>
        </w:rPr>
        <w:t>新闻宣传项目：</w:t>
      </w:r>
      <w:r>
        <w:rPr>
          <w:rFonts w:hint="eastAsia" w:ascii="仿宋" w:hAnsi="仿宋" w:eastAsia="仿宋" w:cs="仿宋"/>
          <w:sz w:val="32"/>
          <w:szCs w:val="32"/>
          <w:lang w:val="en-US" w:eastAsia="zh-CN"/>
        </w:rPr>
        <w:t>我局以局网为阵地，与湖南红网新媒体集团有限公司、怀化广播电视台、怀化日报社开展宣传合作，借力媒体矩阵，大力开展“两品一械”科普知识宣传和监管工作宣传，不断提高怀化市民“两品一械”安全使用意识，增进怀化市民对“两品一械”监管工作的理解、认可和支持；</w:t>
      </w:r>
      <w:r>
        <w:rPr>
          <w:rFonts w:hint="eastAsia" w:ascii="仿宋" w:hAnsi="仿宋" w:eastAsia="仿宋" w:cs="仿宋"/>
          <w:b/>
          <w:bCs/>
          <w:sz w:val="32"/>
          <w:szCs w:val="32"/>
          <w:highlight w:val="none"/>
          <w:lang w:val="en-US" w:eastAsia="zh-CN"/>
        </w:rPr>
        <w:t>不良反应监测项目：</w:t>
      </w:r>
      <w:r>
        <w:rPr>
          <w:rFonts w:hint="eastAsia" w:ascii="仿宋" w:hAnsi="仿宋" w:eastAsia="仿宋" w:cs="仿宋"/>
          <w:snapToGrid/>
          <w:color w:val="000000"/>
          <w:kern w:val="0"/>
          <w:sz w:val="32"/>
          <w:szCs w:val="32"/>
          <w:highlight w:val="none"/>
          <w:lang w:val="en-US" w:eastAsia="zh-CN" w:bidi="ar"/>
        </w:rPr>
        <w:t>为全面落实《药品不良反应报告和监测管理办法》《医疗器械不良事件监测和再评价管理办法》《化妆品监督管理条例》及相关法律法规，进一步加强我市药械、化妆品不良反应/事件、药物滥用调查报告与监测信息工作，提高全市不良反应/事件监测工作水平，根据相关文件精神，结合工作实际制定了《怀化市2023年药械化安全监测工作目标管理实施方案、考核办法、先进评选标准（试行）》；</w:t>
      </w:r>
      <w:r>
        <w:rPr>
          <w:rFonts w:hint="eastAsia" w:ascii="仿宋" w:hAnsi="仿宋" w:eastAsia="仿宋" w:cs="仿宋"/>
          <w:b/>
          <w:bCs/>
          <w:sz w:val="32"/>
          <w:szCs w:val="32"/>
          <w:highlight w:val="none"/>
          <w:lang w:val="en-US" w:eastAsia="zh-CN"/>
        </w:rPr>
        <w:t>药械化安全监管项目：</w:t>
      </w:r>
      <w:r>
        <w:rPr>
          <w:rFonts w:hint="eastAsia" w:ascii="仿宋" w:hAnsi="仿宋" w:eastAsia="仿宋" w:cs="仿宋"/>
          <w:sz w:val="32"/>
          <w:szCs w:val="32"/>
          <w:highlight w:val="none"/>
          <w:lang w:val="en-US" w:eastAsia="zh-CN"/>
        </w:rPr>
        <w:t>我局</w:t>
      </w:r>
      <w:r>
        <w:rPr>
          <w:rFonts w:hint="eastAsia" w:ascii="仿宋" w:hAnsi="仿宋" w:eastAsia="仿宋" w:cs="仿宋"/>
          <w:spacing w:val="0"/>
          <w:kern w:val="2"/>
          <w:sz w:val="32"/>
          <w:szCs w:val="32"/>
          <w:highlight w:val="none"/>
          <w:lang w:val="en-US" w:eastAsia="zh-CN" w:bidi="ar-SA"/>
        </w:rPr>
        <w:t>与市卫健委联合印发《怀化市医疗器械安全专项整治实施方案》（怀市监发〔2023〕25号），</w:t>
      </w:r>
      <w:r>
        <w:rPr>
          <w:rFonts w:hint="eastAsia" w:ascii="仿宋" w:hAnsi="仿宋" w:eastAsia="仿宋" w:cs="仿宋"/>
          <w:b w:val="0"/>
          <w:bCs w:val="0"/>
          <w:sz w:val="32"/>
          <w:szCs w:val="32"/>
          <w:highlight w:val="none"/>
          <w:lang w:val="en-US" w:eastAsia="zh-CN"/>
        </w:rPr>
        <w:t>积极与各县市区局建立纵向联动机制，与市卫健委建立横向协同机制，打造全市专项整治“一盘棋”；</w:t>
      </w:r>
      <w:r>
        <w:rPr>
          <w:rStyle w:val="14"/>
          <w:rFonts w:hint="eastAsia" w:ascii="仿宋" w:hAnsi="仿宋" w:eastAsia="仿宋" w:cs="仿宋"/>
          <w:b/>
          <w:bCs/>
          <w:sz w:val="32"/>
          <w:szCs w:val="32"/>
          <w:highlight w:val="none"/>
          <w:lang w:val="en-US" w:eastAsia="zh-CN" w:bidi="ar"/>
        </w:rPr>
        <w:t>药品专项整治</w:t>
      </w:r>
      <w:r>
        <w:rPr>
          <w:rFonts w:hint="eastAsia" w:ascii="仿宋" w:hAnsi="仿宋" w:eastAsia="仿宋" w:cs="仿宋"/>
          <w:b/>
          <w:bCs/>
          <w:sz w:val="32"/>
          <w:szCs w:val="32"/>
          <w:highlight w:val="none"/>
          <w:lang w:val="en-US" w:eastAsia="zh-CN" w:bidi="ar"/>
        </w:rPr>
        <w:t>项目：</w:t>
      </w:r>
      <w:r>
        <w:rPr>
          <w:rFonts w:hint="eastAsia" w:ascii="仿宋" w:hAnsi="仿宋" w:eastAsia="仿宋" w:cs="仿宋"/>
          <w:color w:val="000000"/>
          <w:sz w:val="32"/>
          <w:szCs w:val="32"/>
          <w:highlight w:val="none"/>
        </w:rPr>
        <w:t>为继续巩固2022年农村药品专项整治成果，进一步规范农村药品市场秩序，深入贯彻实施“两法两条例”，全面提升农村药品安全水平，保护和促进公众健康，根据《湖南省药品监督管理局〈关于印发农村药品安全专项整治工作方案〉的通知》（湘药监发〔2022〕3号）要求</w:t>
      </w:r>
      <w:r>
        <w:rPr>
          <w:rFonts w:hint="eastAsia" w:ascii="仿宋" w:hAnsi="仿宋" w:eastAsia="仿宋" w:cs="仿宋"/>
          <w:color w:val="000000"/>
          <w:sz w:val="32"/>
          <w:szCs w:val="32"/>
          <w:highlight w:val="none"/>
          <w:lang w:eastAsia="zh-CN"/>
        </w:rPr>
        <w:t>，</w:t>
      </w:r>
      <w:r>
        <w:rPr>
          <w:rFonts w:hint="eastAsia" w:ascii="仿宋" w:hAnsi="仿宋" w:eastAsia="仿宋" w:cs="仿宋"/>
          <w:color w:val="000000"/>
          <w:sz w:val="32"/>
          <w:szCs w:val="32"/>
          <w:highlight w:val="none"/>
        </w:rPr>
        <w:t>结合工作实际，制定</w:t>
      </w:r>
      <w:r>
        <w:rPr>
          <w:rFonts w:hint="eastAsia" w:ascii="仿宋" w:hAnsi="仿宋" w:eastAsia="仿宋" w:cs="仿宋"/>
          <w:color w:val="000000"/>
          <w:sz w:val="32"/>
          <w:szCs w:val="32"/>
          <w:highlight w:val="none"/>
          <w:lang w:val="en-US" w:eastAsia="zh-CN"/>
        </w:rPr>
        <w:t>了</w:t>
      </w:r>
      <w:r>
        <w:rPr>
          <w:rFonts w:hint="eastAsia" w:ascii="仿宋" w:hAnsi="仿宋" w:eastAsia="仿宋" w:cs="仿宋"/>
          <w:color w:val="000000"/>
          <w:sz w:val="32"/>
          <w:szCs w:val="32"/>
          <w:highlight w:val="none"/>
        </w:rPr>
        <w:t>《麻</w:t>
      </w:r>
      <w:r>
        <w:rPr>
          <w:rFonts w:hint="eastAsia" w:ascii="仿宋" w:hAnsi="仿宋" w:eastAsia="仿宋" w:cs="仿宋"/>
          <w:color w:val="auto"/>
          <w:sz w:val="32"/>
          <w:szCs w:val="32"/>
          <w:highlight w:val="none"/>
        </w:rPr>
        <w:t>阳苗族自治县农村药品安全专项整治工作方案》</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5至10月份全面开展专项整治</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10月份县局组织开展专项督查</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rPr>
        <w:t>11月份总结验收</w:t>
      </w:r>
      <w:r>
        <w:rPr>
          <w:rFonts w:hint="eastAsia" w:ascii="仿宋" w:hAnsi="仿宋" w:eastAsia="仿宋" w:cs="仿宋"/>
          <w:color w:val="auto"/>
          <w:sz w:val="32"/>
          <w:szCs w:val="32"/>
          <w:highlight w:val="none"/>
          <w:lang w:eastAsia="zh-CN"/>
        </w:rPr>
        <w:t>。</w:t>
      </w:r>
    </w:p>
    <w:p>
      <w:pPr>
        <w:keepNext w:val="0"/>
        <w:keepLines w:val="0"/>
        <w:pageBreakBefore w:val="0"/>
        <w:widowControl w:val="0"/>
        <w:wordWrap/>
        <w:topLinePunct w:val="0"/>
        <w:bidi w:val="0"/>
        <w:adjustRightInd w:val="0"/>
        <w:snapToGrid w:val="0"/>
        <w:spacing w:beforeLines="0" w:afterLines="0" w:line="600" w:lineRule="exact"/>
        <w:ind w:firstLine="640" w:firstLineChars="200"/>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2</w:t>
      </w:r>
      <w:r>
        <w:rPr>
          <w:rFonts w:hint="eastAsia" w:ascii="仿宋" w:hAnsi="仿宋" w:eastAsia="仿宋" w:cs="仿宋"/>
          <w:color w:val="auto"/>
          <w:sz w:val="32"/>
          <w:szCs w:val="32"/>
          <w:highlight w:val="none"/>
          <w:lang w:eastAsia="zh-CN"/>
        </w:rPr>
        <w:t>）</w:t>
      </w:r>
      <w:r>
        <w:rPr>
          <w:rFonts w:hint="eastAsia" w:ascii="仿宋" w:hAnsi="仿宋" w:eastAsia="仿宋" w:cs="仿宋"/>
          <w:color w:val="auto"/>
          <w:sz w:val="32"/>
          <w:szCs w:val="32"/>
          <w:highlight w:val="none"/>
          <w:lang w:val="en-US" w:eastAsia="zh-CN"/>
        </w:rPr>
        <w:t>省级市场监管专项资金</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一是</w:t>
      </w:r>
      <w:r>
        <w:rPr>
          <w:rFonts w:hint="eastAsia" w:ascii="仿宋" w:hAnsi="仿宋" w:eastAsia="仿宋" w:cs="仿宋"/>
          <w:color w:val="auto"/>
          <w:sz w:val="32"/>
          <w:szCs w:val="32"/>
        </w:rPr>
        <w:t>市场监督管理</w:t>
      </w:r>
      <w:r>
        <w:rPr>
          <w:rFonts w:hint="eastAsia" w:ascii="仿宋" w:hAnsi="仿宋" w:eastAsia="仿宋" w:cs="仿宋"/>
          <w:color w:val="auto"/>
          <w:sz w:val="32"/>
          <w:szCs w:val="32"/>
          <w:lang w:val="en-US" w:eastAsia="zh-CN"/>
        </w:rPr>
        <w:t>方向：</w:t>
      </w:r>
      <w:r>
        <w:rPr>
          <w:rFonts w:hint="eastAsia" w:ascii="仿宋" w:hAnsi="仿宋" w:eastAsia="仿宋" w:cs="仿宋"/>
          <w:color w:val="auto"/>
          <w:sz w:val="32"/>
          <w:szCs w:val="32"/>
          <w:lang w:eastAsia="zh-CN"/>
        </w:rPr>
        <w:t>我</w:t>
      </w:r>
      <w:r>
        <w:rPr>
          <w:rFonts w:hint="eastAsia" w:ascii="仿宋" w:hAnsi="仿宋" w:eastAsia="仿宋" w:cs="仿宋"/>
          <w:color w:val="auto"/>
          <w:sz w:val="32"/>
          <w:szCs w:val="32"/>
          <w:lang w:val="en-US" w:eastAsia="zh-CN"/>
        </w:rPr>
        <w:t>局</w:t>
      </w:r>
      <w:r>
        <w:rPr>
          <w:rFonts w:hint="eastAsia" w:ascii="仿宋" w:hAnsi="仿宋" w:eastAsia="仿宋" w:cs="仿宋"/>
          <w:color w:val="auto"/>
          <w:sz w:val="32"/>
          <w:szCs w:val="32"/>
        </w:rPr>
        <w:t>印发了</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妨碍统一市场和公平竞争政策措施清理行动的实施方案</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在全市范围内部署开展了统一清理行动，重点清理妨碍市场准入和退出、妨碍商品和要素自由流动、影响生产经营成本、影响生产经营行为四大类妨碍统一市场和公平竞争的问题，对于违反市场公平竞争、破坏统一大市场建设的政策措施应清尽清、应废尽废，确保清理工作底数清、无遮漏；按照《“十四五”市场监管规划</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2023年网络交易监管工作要点</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各类专项整治工作方案》的工作要求，开展网络监测，消除安全隐患，依法查处网络违法行为</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hint="eastAsia" w:ascii="仿宋" w:hAnsi="仿宋" w:eastAsia="仿宋" w:cs="仿宋"/>
          <w:color w:val="auto"/>
          <w:sz w:val="32"/>
          <w:szCs w:val="32"/>
          <w:lang w:eastAsia="zh-CN"/>
        </w:rPr>
      </w:pPr>
      <w:r>
        <w:rPr>
          <w:rFonts w:hint="eastAsia" w:ascii="仿宋" w:hAnsi="仿宋" w:eastAsia="仿宋" w:cs="仿宋"/>
          <w:b/>
          <w:bCs/>
          <w:color w:val="auto"/>
          <w:sz w:val="32"/>
          <w:szCs w:val="32"/>
          <w:lang w:val="en-US" w:eastAsia="zh-CN"/>
        </w:rPr>
        <w:t>二是</w:t>
      </w:r>
      <w:r>
        <w:rPr>
          <w:rFonts w:hint="eastAsia" w:ascii="仿宋" w:hAnsi="仿宋" w:eastAsia="仿宋" w:cs="仿宋"/>
          <w:color w:val="auto"/>
          <w:sz w:val="32"/>
          <w:szCs w:val="32"/>
        </w:rPr>
        <w:t>质量抽查与检验</w:t>
      </w:r>
      <w:r>
        <w:rPr>
          <w:rFonts w:hint="eastAsia" w:ascii="仿宋" w:hAnsi="仿宋" w:eastAsia="仿宋" w:cs="仿宋"/>
          <w:color w:val="auto"/>
          <w:sz w:val="32"/>
          <w:szCs w:val="32"/>
          <w:lang w:val="en-US" w:eastAsia="zh-CN"/>
        </w:rPr>
        <w:t>方向：我局</w:t>
      </w:r>
      <w:r>
        <w:rPr>
          <w:rFonts w:hint="eastAsia" w:ascii="仿宋" w:hAnsi="仿宋" w:eastAsia="仿宋" w:cs="仿宋"/>
          <w:color w:val="auto"/>
          <w:sz w:val="32"/>
          <w:szCs w:val="32"/>
        </w:rPr>
        <w:t>根据《2023全市重点工业产商品监督抽查工作计划》及《2023年怀化市流通领域重点产商品监督抽查工作方案》，结合工作实际情况，组织</w:t>
      </w:r>
      <w:r>
        <w:rPr>
          <w:rFonts w:hint="eastAsia" w:ascii="仿宋" w:hAnsi="仿宋" w:eastAsia="仿宋" w:cs="仿宋"/>
          <w:color w:val="auto"/>
          <w:sz w:val="32"/>
          <w:szCs w:val="32"/>
          <w:lang w:val="en-US" w:eastAsia="zh-CN"/>
        </w:rPr>
        <w:t>开展</w:t>
      </w:r>
      <w:r>
        <w:rPr>
          <w:rFonts w:hint="eastAsia" w:ascii="仿宋" w:hAnsi="仿宋" w:eastAsia="仿宋" w:cs="仿宋"/>
          <w:color w:val="auto"/>
          <w:sz w:val="32"/>
          <w:szCs w:val="32"/>
        </w:rPr>
        <w:t>产商品监督及抽查等工作</w:t>
      </w:r>
      <w:r>
        <w:rPr>
          <w:rFonts w:hint="eastAsia" w:ascii="仿宋" w:hAnsi="仿宋" w:eastAsia="仿宋" w:cs="仿宋"/>
          <w:color w:val="auto"/>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620" w:lineRule="exact"/>
        <w:ind w:firstLine="643"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b/>
          <w:bCs/>
          <w:color w:val="auto"/>
          <w:sz w:val="32"/>
          <w:szCs w:val="32"/>
          <w:lang w:val="en-US" w:eastAsia="zh-CN"/>
        </w:rPr>
        <w:t>三是</w:t>
      </w:r>
      <w:r>
        <w:rPr>
          <w:rFonts w:hint="eastAsia" w:ascii="仿宋" w:hAnsi="仿宋" w:eastAsia="仿宋" w:cs="仿宋"/>
          <w:color w:val="auto"/>
          <w:sz w:val="32"/>
          <w:szCs w:val="32"/>
          <w:lang w:val="en-US" w:eastAsia="zh-CN"/>
        </w:rPr>
        <w:t>其他方向：我市非公经济综合党委</w:t>
      </w:r>
      <w:r>
        <w:rPr>
          <w:rFonts w:hint="eastAsia" w:ascii="仿宋" w:hAnsi="仿宋" w:eastAsia="仿宋" w:cs="仿宋"/>
          <w:color w:val="auto"/>
          <w:sz w:val="32"/>
          <w:szCs w:val="32"/>
        </w:rPr>
        <w:t>严格按照非公党建工作要求，充实</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完善组织领导和工作机制，</w:t>
      </w:r>
      <w:r>
        <w:rPr>
          <w:rFonts w:hint="eastAsia" w:ascii="仿宋" w:hAnsi="仿宋" w:eastAsia="仿宋" w:cs="仿宋"/>
          <w:color w:val="auto"/>
          <w:sz w:val="32"/>
          <w:szCs w:val="32"/>
          <w:lang w:eastAsia="zh-CN"/>
        </w:rPr>
        <w:t>严格遵照</w:t>
      </w:r>
      <w:r>
        <w:rPr>
          <w:rFonts w:hint="eastAsia" w:ascii="仿宋" w:hAnsi="仿宋" w:eastAsia="仿宋" w:cs="仿宋"/>
          <w:color w:val="auto"/>
          <w:sz w:val="32"/>
          <w:szCs w:val="32"/>
        </w:rPr>
        <w:t>非公党建工作职责，党员管理制度，组织生活制度等各项制度</w:t>
      </w:r>
      <w:r>
        <w:rPr>
          <w:rFonts w:hint="eastAsia" w:ascii="仿宋" w:hAnsi="仿宋" w:eastAsia="仿宋" w:cs="仿宋"/>
          <w:color w:val="auto"/>
          <w:sz w:val="32"/>
          <w:szCs w:val="32"/>
          <w:lang w:eastAsia="zh-CN"/>
        </w:rPr>
        <w:t>执行</w:t>
      </w:r>
      <w:r>
        <w:rPr>
          <w:rFonts w:hint="eastAsia" w:ascii="仿宋" w:hAnsi="仿宋" w:eastAsia="仿宋" w:cs="仿宋"/>
          <w:color w:val="auto"/>
          <w:sz w:val="32"/>
          <w:szCs w:val="32"/>
        </w:rPr>
        <w:t>，帮助和指导各支部开展党建工作</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真抓实干激励资金开展事中事后监管工作，重点实施“双随机一公开”监管、加强食品药品等重点领域监管、提升信用监管效能、推进“互联网+监管”、强化市场主体责任等任务；按要求开展绩效考核工作。</w:t>
      </w:r>
    </w:p>
    <w:p>
      <w:pPr>
        <w:keepNext w:val="0"/>
        <w:keepLines w:val="0"/>
        <w:pageBreakBefore w:val="0"/>
        <w:widowControl w:val="0"/>
        <w:kinsoku/>
        <w:wordWrap/>
        <w:overflowPunct/>
        <w:topLinePunct w:val="0"/>
        <w:autoSpaceDE/>
        <w:autoSpaceDN/>
        <w:bidi w:val="0"/>
        <w:adjustRightInd w:val="0"/>
        <w:snapToGrid w:val="0"/>
        <w:spacing w:line="620" w:lineRule="exact"/>
        <w:ind w:firstLine="640" w:firstLineChars="200"/>
        <w:textAlignment w:val="auto"/>
        <w:rPr>
          <w:rFonts w:hint="eastAsia" w:ascii="仿宋" w:hAnsi="仿宋" w:eastAsia="仿宋" w:cs="仿宋"/>
          <w:color w:val="0000FF"/>
          <w:sz w:val="32"/>
          <w:szCs w:val="32"/>
          <w:lang w:val="en-US" w:eastAsia="zh-CN"/>
        </w:rPr>
      </w:pPr>
      <w:r>
        <w:rPr>
          <w:rFonts w:hint="eastAsia" w:ascii="仿宋" w:hAnsi="仿宋" w:eastAsia="仿宋" w:cs="仿宋"/>
          <w:color w:val="auto"/>
          <w:sz w:val="32"/>
          <w:szCs w:val="32"/>
        </w:rPr>
        <w:t>为提高项目管理和实施成效，我局严格按照部门“三定”职责，贯彻落实上级文件精神，认真执行上级的工作部署。重大事项报党组研究决定，日常工作报分管领导决定，根据工作开展情况及时研究进展情况，督促每项工作落地落实，确保各项工作稳步推进</w:t>
      </w:r>
      <w:r>
        <w:rPr>
          <w:rFonts w:hint="eastAsia" w:ascii="仿宋" w:hAnsi="仿宋" w:eastAsia="仿宋" w:cs="仿宋"/>
          <w:color w:val="0000FF"/>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（3）市级专项资金</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600" w:lineRule="exact"/>
        <w:ind w:left="0" w:right="0" w:firstLine="640" w:firstLineChars="200"/>
        <w:jc w:val="both"/>
        <w:textAlignment w:val="auto"/>
        <w:rPr>
          <w:rFonts w:hint="eastAsia" w:ascii="仿宋" w:hAnsi="仿宋" w:eastAsia="仿宋" w:cs="仿宋"/>
          <w:sz w:val="32"/>
          <w:szCs w:val="32"/>
        </w:rPr>
      </w:pPr>
      <w:r>
        <w:rPr>
          <w:rFonts w:hint="eastAsia" w:ascii="仿宋" w:hAnsi="仿宋" w:eastAsia="仿宋" w:cs="仿宋"/>
          <w:kern w:val="2"/>
          <w:sz w:val="32"/>
          <w:szCs w:val="32"/>
          <w:lang w:val="en-US" w:eastAsia="zh-CN" w:bidi="ar-SA"/>
        </w:rPr>
        <w:t>在项目实施和管理过程中，根据职能制定工作要点和实施方案，力求项目建设科学与规范；</w:t>
      </w:r>
      <w:r>
        <w:rPr>
          <w:rFonts w:hint="eastAsia" w:ascii="仿宋" w:hAnsi="仿宋" w:eastAsia="仿宋" w:cs="仿宋"/>
          <w:kern w:val="2"/>
          <w:sz w:val="32"/>
          <w:szCs w:val="32"/>
          <w:lang w:val="en-US" w:eastAsia="zh-CN" w:bidi="ar"/>
        </w:rPr>
        <w:t>为提高项目管理和实施成效，市场监管局严格按照部门“三定”职责，贯彻落实上级文件精神，认真执行上级的工作部署。重大事项报党组研究决定，日常工作报分管领导决定，根据工作开展情况及时研究进展情况，督促每项工作落地落实，确保各项工作稳步推进，并按照工作开展情况开支专项经费。</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20" w:lineRule="exact"/>
        <w:ind w:right="0" w:firstLine="643" w:firstLineChars="200"/>
        <w:jc w:val="both"/>
        <w:textAlignment w:val="auto"/>
        <w:rPr>
          <w:rFonts w:hint="eastAsia" w:ascii="仿宋" w:hAnsi="仿宋" w:eastAsia="仿宋" w:cs="仿宋"/>
          <w:b/>
          <w:bCs/>
          <w:i w:val="0"/>
          <w:iCs w:val="0"/>
          <w:caps w:val="0"/>
          <w:color w:val="000000"/>
          <w:spacing w:val="0"/>
          <w:sz w:val="32"/>
          <w:szCs w:val="32"/>
          <w:shd w:val="clear" w:fill="FFFFFF"/>
        </w:rPr>
      </w:pPr>
      <w:r>
        <w:rPr>
          <w:rFonts w:hint="eastAsia" w:ascii="仿宋" w:hAnsi="仿宋" w:eastAsia="仿宋" w:cs="仿宋"/>
          <w:b/>
          <w:bCs/>
          <w:i w:val="0"/>
          <w:iCs w:val="0"/>
          <w:caps w:val="0"/>
          <w:color w:val="000000"/>
          <w:spacing w:val="0"/>
          <w:sz w:val="32"/>
          <w:szCs w:val="32"/>
          <w:shd w:val="clear" w:fill="FFFFFF"/>
        </w:rPr>
        <w:t>（三）预算绩效目标情况</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1.绩效目标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中央食品、药品监管补助资金。药品监管方面：1、加强监管、规范市场秩序。2、全力督促落实我市GMP实施工作，提高医疗器械生产质量管理水平。3、全力推进信息化建设，夯实监管基础。4、依法查处违法行为。5、督促医疗器械不良事件监测工作。6、认真完成省局、市局安排的各项工作。加大科普宣传和新闻宣传，公众对“两品一械”安全使用常识持续增强，对“两品一械”监管工作认可度和满意感持续提升。辖区内全年不发生源发性、群体性、区域性药害事件。</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食品监管方面：1、加强食品生产环节监管，对重点区域、重点食品建立风险清单、措施清单和责任清单。2、推进食用农产品全程追溯，全面推动使用全国食用农产品批发市场食品安全监管信息系统。3、加大校外食品安全风险排查力度，提高校外供餐单位互联网+明厨亮灶覆盖率。4、加强特殊食品和食盐监管，强化辖区内特殊食品企业食品安全管理人员年度抽考制度。5、制定食品抽检计划，加强食品安全抽检监测。6、开展食品安全宣传，提升辖区内公共食品安全科学素养。7、推进“两个责任”机制落实，提升辖区内食品安全监管能力。</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（2）省级市场监管专项资金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加强绩效管理，提高绩效结果应用，加大法治建设，营造良好法治氛围。加大新闻宣传，公众对市场监管领域安全常识进一步增强。持续深入商事制度改革，优化营商环境，全力维护消费者合法权益，全面提升市场监管能力。引导全市非公经济党组织积极主动作为、承担社会责任，促进非公经济高质量发展。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（3）市级专项资金</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完成预算内计划下达任务，完成预算内食品、流通领域产品检验计划任务，办案和应急检验工作，食品抽检秘书处工作，配合市局及各科室质量监督工作的开展。相继开展对农资产品、电线电缆、竹木制品、烟花爆竹、儿童和学生用品、成品油等产品的专项抽检行动。　</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2.绩效指标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（1）中央食品、药品监管补助资金</w:t>
      </w:r>
    </w:p>
    <w:tbl>
      <w:tblPr>
        <w:tblStyle w:val="10"/>
        <w:tblW w:w="9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283"/>
        <w:gridCol w:w="1317"/>
        <w:gridCol w:w="2983"/>
        <w:gridCol w:w="29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1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128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1317"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298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2922"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药品抽验批次</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≥200批次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化妆品抽验批次</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i w:val="0"/>
                <w:color w:val="000000"/>
                <w:kern w:val="0"/>
                <w:sz w:val="18"/>
                <w:szCs w:val="18"/>
                <w:u w:val="none"/>
                <w:lang w:eastAsia="zh-CN" w:bidi="ar"/>
              </w:rPr>
              <w:t>50</w:t>
            </w:r>
            <w:r>
              <w:rPr>
                <w:rFonts w:hint="eastAsia" w:ascii="仿宋_GB2312" w:hAnsi="仿宋_GB2312" w:eastAsia="仿宋_GB2312" w:cs="仿宋_GB2312"/>
                <w:i w:val="0"/>
                <w:color w:val="000000"/>
                <w:kern w:val="0"/>
                <w:sz w:val="18"/>
                <w:szCs w:val="18"/>
                <w:u w:val="none"/>
                <w:lang w:val="en-US" w:eastAsia="zh-CN" w:bidi="ar"/>
              </w:rPr>
              <w:t>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right="0" w:rightChars="0" w:firstLine="0" w:firstLineChars="0"/>
              <w:jc w:val="center"/>
              <w:textAlignment w:val="center"/>
              <w:outlineLvl w:val="9"/>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医疗器械抽验批次</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i w:val="0"/>
                <w:color w:val="000000"/>
                <w:kern w:val="0"/>
                <w:sz w:val="18"/>
                <w:szCs w:val="18"/>
                <w:u w:val="none"/>
                <w:lang w:eastAsia="zh-CN" w:bidi="ar"/>
              </w:rPr>
              <w:t>20</w:t>
            </w:r>
            <w:r>
              <w:rPr>
                <w:rFonts w:hint="eastAsia" w:ascii="仿宋_GB2312" w:hAnsi="仿宋_GB2312" w:eastAsia="仿宋_GB2312" w:cs="仿宋_GB2312"/>
                <w:i w:val="0"/>
                <w:color w:val="000000"/>
                <w:kern w:val="0"/>
                <w:sz w:val="18"/>
                <w:szCs w:val="18"/>
                <w:u w:val="none"/>
                <w:lang w:val="en-US" w:eastAsia="zh-CN" w:bidi="ar"/>
              </w:rPr>
              <w:t>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0"/>
                <w:sz w:val="18"/>
                <w:szCs w:val="18"/>
                <w:u w:val="none"/>
                <w:lang w:val="en" w:eastAsia="zh-CN" w:bidi="ar"/>
              </w:rPr>
            </w:pPr>
            <w:r>
              <w:rPr>
                <w:rFonts w:hint="eastAsia" w:ascii="仿宋_GB2312" w:hAnsi="仿宋_GB2312" w:eastAsia="仿宋_GB2312" w:cs="仿宋_GB2312"/>
                <w:i w:val="0"/>
                <w:color w:val="000000"/>
                <w:kern w:val="0"/>
                <w:sz w:val="18"/>
                <w:szCs w:val="18"/>
                <w:u w:val="none"/>
                <w:lang w:val="en-US" w:eastAsia="zh-CN" w:bidi="ar"/>
              </w:rPr>
              <w:t>中药配方颗粒</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i w:val="0"/>
                <w:color w:val="000000"/>
                <w:sz w:val="18"/>
                <w:szCs w:val="18"/>
                <w:u w:val="none"/>
                <w:lang w:val="en-US" w:eastAsia="zh-CN"/>
              </w:rPr>
              <w:t>20批次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pacing w:val="9"/>
                <w:sz w:val="18"/>
                <w:szCs w:val="18"/>
              </w:rPr>
              <w:t>医疗器械监管企业数</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≥1252家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pacing w:val="9"/>
                <w:sz w:val="18"/>
                <w:szCs w:val="18"/>
              </w:rPr>
              <w:t>在岗培训人数</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r>
              <w:rPr>
                <w:rFonts w:hint="eastAsia" w:ascii="仿宋_GB2312" w:hAnsi="仿宋_GB2312" w:eastAsia="仿宋_GB2312" w:cs="仿宋_GB2312"/>
                <w:sz w:val="18"/>
                <w:szCs w:val="18"/>
                <w:lang w:val="en-US" w:eastAsia="zh-CN"/>
              </w:rPr>
              <w:t>700</w:t>
            </w:r>
            <w:r>
              <w:rPr>
                <w:rFonts w:hint="eastAsia" w:ascii="仿宋_GB2312" w:hAnsi="仿宋_GB2312" w:eastAsia="仿宋_GB2312" w:cs="仿宋_GB2312"/>
                <w:sz w:val="18"/>
                <w:szCs w:val="18"/>
              </w:rPr>
              <w:t>人次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pacing w:val="9"/>
                <w:kern w:val="2"/>
                <w:sz w:val="18"/>
                <w:szCs w:val="18"/>
                <w:lang w:val="en-US" w:eastAsia="zh-CN" w:bidi="ar-SA"/>
              </w:rPr>
            </w:pPr>
            <w:r>
              <w:rPr>
                <w:rFonts w:hint="eastAsia" w:ascii="仿宋_GB2312" w:hAnsi="仿宋_GB2312" w:eastAsia="仿宋_GB2312" w:cs="仿宋_GB2312"/>
                <w:spacing w:val="9"/>
                <w:sz w:val="18"/>
                <w:szCs w:val="18"/>
              </w:rPr>
              <w:t>宣传联络员队伍</w:t>
            </w:r>
          </w:p>
        </w:tc>
        <w:tc>
          <w:tcPr>
            <w:tcW w:w="29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180" w:firstLineChars="100"/>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w:t>
            </w:r>
            <w:r>
              <w:rPr>
                <w:rFonts w:hint="eastAsia" w:ascii="仿宋_GB2312" w:hAnsi="仿宋_GB2312" w:eastAsia="仿宋_GB2312" w:cs="仿宋_GB2312"/>
                <w:sz w:val="18"/>
                <w:szCs w:val="18"/>
                <w:lang w:val="en-US" w:eastAsia="zh-CN"/>
              </w:rPr>
              <w:t>45</w:t>
            </w:r>
            <w:r>
              <w:rPr>
                <w:rFonts w:hint="eastAsia" w:ascii="仿宋_GB2312" w:hAnsi="仿宋_GB2312" w:eastAsia="仿宋_GB2312" w:cs="仿宋_GB2312"/>
                <w:sz w:val="18"/>
                <w:szCs w:val="18"/>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pacing w:val="9"/>
                <w:kern w:val="2"/>
                <w:sz w:val="18"/>
                <w:szCs w:val="18"/>
                <w:lang w:val="en-US" w:eastAsia="zh-CN" w:bidi="ar-SA"/>
              </w:rPr>
            </w:pPr>
            <w:r>
              <w:rPr>
                <w:rFonts w:hint="eastAsia" w:ascii="仿宋_GB2312" w:hAnsi="仿宋_GB2312" w:eastAsia="仿宋_GB2312" w:cs="仿宋_GB2312"/>
                <w:spacing w:val="9"/>
                <w:sz w:val="18"/>
                <w:szCs w:val="18"/>
              </w:rPr>
              <w:t>编制药品科普图文资料</w:t>
            </w:r>
          </w:p>
        </w:tc>
        <w:tc>
          <w:tcPr>
            <w:tcW w:w="292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≥20000套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color w:val="auto"/>
                <w:spacing w:val="-1"/>
                <w:kern w:val="2"/>
                <w:sz w:val="18"/>
                <w:szCs w:val="18"/>
                <w:lang w:val="en-US" w:eastAsia="zh-CN" w:bidi="ar-SA"/>
              </w:rPr>
            </w:pPr>
            <w:r>
              <w:rPr>
                <w:rFonts w:hint="eastAsia" w:ascii="仿宋_GB2312" w:hAnsi="仿宋_GB2312" w:eastAsia="仿宋_GB2312" w:cs="仿宋_GB2312"/>
                <w:spacing w:val="9"/>
                <w:sz w:val="18"/>
                <w:szCs w:val="18"/>
                <w:lang w:eastAsia="zh-CN"/>
              </w:rPr>
              <w:t>科普宣传</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9"/>
                <w:sz w:val="18"/>
                <w:szCs w:val="18"/>
                <w:lang w:val="en-US" w:eastAsia="zh-CN"/>
              </w:rPr>
            </w:pPr>
            <w:r>
              <w:rPr>
                <w:rFonts w:hint="eastAsia" w:ascii="仿宋_GB2312" w:hAnsi="仿宋_GB2312" w:eastAsia="仿宋_GB2312" w:cs="仿宋_GB2312"/>
                <w:spacing w:val="9"/>
                <w:sz w:val="18"/>
                <w:szCs w:val="18"/>
                <w:lang w:eastAsia="zh-CN"/>
              </w:rPr>
              <w:t>官方网站、</w:t>
            </w:r>
            <w:r>
              <w:rPr>
                <w:rFonts w:hint="eastAsia" w:ascii="仿宋_GB2312" w:hAnsi="仿宋_GB2312" w:eastAsia="仿宋_GB2312" w:cs="仿宋_GB2312"/>
                <w:spacing w:val="9"/>
                <w:sz w:val="18"/>
                <w:szCs w:val="18"/>
                <w:lang w:val="en-US" w:eastAsia="zh-CN"/>
              </w:rPr>
              <w:t>微信运营、</w:t>
            </w:r>
            <w:r>
              <w:rPr>
                <w:rFonts w:hint="eastAsia" w:ascii="仿宋_GB2312" w:hAnsi="仿宋_GB2312" w:eastAsia="仿宋_GB2312" w:cs="仿宋_GB2312"/>
                <w:spacing w:val="9"/>
                <w:sz w:val="18"/>
                <w:szCs w:val="18"/>
                <w:lang w:eastAsia="zh-CN"/>
              </w:rPr>
              <w:t>主流媒体推送科普宣传</w:t>
            </w:r>
            <w:r>
              <w:rPr>
                <w:rFonts w:hint="eastAsia" w:ascii="仿宋_GB2312" w:hAnsi="仿宋_GB2312" w:eastAsia="仿宋_GB2312" w:cs="仿宋_GB2312"/>
                <w:spacing w:val="9"/>
                <w:sz w:val="18"/>
                <w:szCs w:val="18"/>
                <w:lang w:val="en-US" w:eastAsia="zh-CN"/>
              </w:rPr>
              <w:t>类及工作类信息170余条次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bCs/>
                <w:color w:val="auto"/>
                <w:spacing w:val="-1"/>
                <w:kern w:val="2"/>
                <w:sz w:val="18"/>
                <w:szCs w:val="18"/>
                <w:lang w:val="en-US" w:eastAsia="zh-CN" w:bidi="ar-SA"/>
              </w:rPr>
            </w:pPr>
            <w:r>
              <w:rPr>
                <w:rFonts w:hint="eastAsia" w:ascii="仿宋_GB2312" w:hAnsi="仿宋_GB2312" w:eastAsia="仿宋_GB2312" w:cs="仿宋_GB2312"/>
                <w:spacing w:val="9"/>
                <w:sz w:val="18"/>
                <w:szCs w:val="18"/>
                <w:lang w:eastAsia="zh-CN"/>
              </w:rPr>
              <w:t>新闻宣传</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spacing w:val="9"/>
                <w:sz w:val="18"/>
                <w:szCs w:val="18"/>
                <w:lang w:val="en-US" w:eastAsia="zh-CN"/>
              </w:rPr>
            </w:pPr>
            <w:r>
              <w:rPr>
                <w:rFonts w:hint="eastAsia" w:ascii="仿宋_GB2312" w:hAnsi="仿宋_GB2312" w:eastAsia="仿宋_GB2312" w:cs="仿宋_GB2312"/>
                <w:spacing w:val="9"/>
                <w:sz w:val="18"/>
                <w:szCs w:val="18"/>
                <w:lang w:eastAsia="zh-CN"/>
              </w:rPr>
              <w:t>官方网站、主流媒体发布监管工作稿件</w:t>
            </w:r>
            <w:r>
              <w:rPr>
                <w:rFonts w:hint="eastAsia" w:ascii="仿宋_GB2312" w:hAnsi="仿宋_GB2312" w:eastAsia="仿宋_GB2312" w:cs="仿宋_GB2312"/>
                <w:spacing w:val="9"/>
                <w:sz w:val="18"/>
                <w:szCs w:val="18"/>
                <w:lang w:val="en-US" w:eastAsia="zh-CN"/>
              </w:rPr>
              <w:t>40余条次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color w:val="000000"/>
                <w:kern w:val="2"/>
                <w:sz w:val="18"/>
                <w:szCs w:val="18"/>
                <w:u w:val="none"/>
                <w:lang w:val="en" w:eastAsia="zh-CN" w:bidi="ar-SA"/>
              </w:rPr>
            </w:pPr>
            <w:r>
              <w:rPr>
                <w:rFonts w:hint="eastAsia" w:ascii="仿宋_GB2312" w:hAnsi="仿宋_GB2312" w:eastAsia="仿宋_GB2312" w:cs="仿宋_GB2312"/>
                <w:spacing w:val="9"/>
                <w:sz w:val="18"/>
                <w:szCs w:val="18"/>
                <w:lang w:eastAsia="zh-CN"/>
              </w:rPr>
              <w:t>化妆品</w:t>
            </w:r>
            <w:r>
              <w:rPr>
                <w:rFonts w:hint="eastAsia" w:ascii="仿宋_GB2312" w:hAnsi="仿宋_GB2312" w:eastAsia="仿宋_GB2312" w:cs="仿宋_GB2312"/>
                <w:spacing w:val="9"/>
                <w:sz w:val="18"/>
                <w:szCs w:val="18"/>
              </w:rPr>
              <w:t>监管企业数(生产企业数）</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134" w:firstLineChars="0"/>
              <w:jc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1"/>
                <w:sz w:val="18"/>
                <w:szCs w:val="18"/>
                <w:lang w:val="en-US" w:eastAsia="zh-CN"/>
              </w:rPr>
              <w:t>2</w:t>
            </w:r>
            <w:r>
              <w:rPr>
                <w:rFonts w:hint="eastAsia" w:ascii="仿宋_GB2312" w:hAnsi="仿宋_GB2312" w:eastAsia="仿宋_GB2312" w:cs="仿宋_GB2312"/>
                <w:spacing w:val="1"/>
                <w:sz w:val="18"/>
                <w:szCs w:val="18"/>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 w:eastAsia="zh-CN" w:bidi="ar-SA"/>
              </w:rPr>
            </w:pPr>
            <w:r>
              <w:rPr>
                <w:rFonts w:hint="eastAsia" w:ascii="仿宋_GB2312" w:hAnsi="仿宋_GB2312" w:eastAsia="仿宋_GB2312" w:cs="仿宋_GB2312"/>
                <w:spacing w:val="2"/>
                <w:sz w:val="18"/>
                <w:szCs w:val="18"/>
              </w:rPr>
              <w:t>全国安全用药月、化妆品宣传周、医疗器械宣传周</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134" w:firstLineChars="0"/>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pacing w:val="-3"/>
                <w:sz w:val="18"/>
                <w:szCs w:val="18"/>
              </w:rPr>
              <w:t>各</w:t>
            </w:r>
            <w:r>
              <w:rPr>
                <w:rFonts w:hint="eastAsia" w:ascii="仿宋_GB2312" w:hAnsi="仿宋_GB2312" w:eastAsia="仿宋_GB2312" w:cs="仿宋_GB2312"/>
                <w:spacing w:val="-3"/>
                <w:sz w:val="18"/>
                <w:szCs w:val="18"/>
                <w:lang w:val="en-US" w:eastAsia="zh-CN"/>
              </w:rPr>
              <w:t>1</w:t>
            </w:r>
            <w:r>
              <w:rPr>
                <w:rFonts w:hint="eastAsia" w:ascii="仿宋_GB2312" w:hAnsi="仿宋_GB2312" w:eastAsia="仿宋_GB2312" w:cs="仿宋_GB2312"/>
                <w:spacing w:val="-3"/>
                <w:sz w:val="18"/>
                <w:szCs w:val="18"/>
              </w:rPr>
              <w:t>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i w:val="0"/>
                <w:color w:val="000000"/>
                <w:kern w:val="2"/>
                <w:sz w:val="18"/>
                <w:szCs w:val="18"/>
                <w:u w:val="none"/>
                <w:lang w:val="en" w:eastAsia="zh-CN" w:bidi="ar-SA"/>
              </w:rPr>
            </w:pPr>
            <w:r>
              <w:rPr>
                <w:rFonts w:hint="eastAsia" w:ascii="仿宋_GB2312" w:hAnsi="仿宋_GB2312" w:eastAsia="仿宋_GB2312" w:cs="仿宋_GB2312"/>
                <w:spacing w:val="2"/>
                <w:sz w:val="18"/>
                <w:szCs w:val="18"/>
              </w:rPr>
              <w:t>药品监管企业数(零售企业数)</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134" w:firstLineChars="0"/>
              <w:jc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spacing w:val="1"/>
                <w:sz w:val="18"/>
                <w:szCs w:val="18"/>
              </w:rPr>
              <w:t>≥</w:t>
            </w:r>
            <w:r>
              <w:rPr>
                <w:rFonts w:hint="eastAsia" w:ascii="仿宋_GB2312" w:hAnsi="仿宋_GB2312" w:eastAsia="仿宋_GB2312" w:cs="仿宋_GB2312"/>
                <w:spacing w:val="1"/>
                <w:sz w:val="18"/>
                <w:szCs w:val="18"/>
                <w:lang w:val="en-US" w:eastAsia="zh-CN"/>
              </w:rPr>
              <w:t>50</w:t>
            </w:r>
            <w:r>
              <w:rPr>
                <w:rFonts w:hint="eastAsia" w:ascii="仿宋_GB2312" w:hAnsi="仿宋_GB2312" w:eastAsia="仿宋_GB2312" w:cs="仿宋_GB2312"/>
                <w:spacing w:val="1"/>
                <w:sz w:val="18"/>
                <w:szCs w:val="18"/>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 w:eastAsia="zh-CN" w:bidi="ar-SA"/>
              </w:rPr>
            </w:pPr>
            <w:r>
              <w:rPr>
                <w:rFonts w:hint="eastAsia" w:ascii="仿宋_GB2312" w:hAnsi="仿宋_GB2312" w:eastAsia="仿宋_GB2312" w:cs="仿宋_GB2312"/>
                <w:spacing w:val="5"/>
                <w:sz w:val="18"/>
                <w:szCs w:val="18"/>
              </w:rPr>
              <w:t>药品应急演练</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kern w:val="0"/>
                <w:sz w:val="18"/>
                <w:szCs w:val="18"/>
                <w:lang w:val="en" w:eastAsia="zh-CN" w:bidi="ar-SA"/>
              </w:rPr>
            </w:pPr>
            <w:r>
              <w:rPr>
                <w:rFonts w:hint="eastAsia" w:ascii="仿宋_GB2312" w:hAnsi="仿宋_GB2312" w:eastAsia="仿宋_GB2312" w:cs="仿宋_GB2312"/>
                <w:spacing w:val="5"/>
                <w:sz w:val="18"/>
                <w:szCs w:val="18"/>
                <w:lang w:val="en-US" w:eastAsia="zh-CN"/>
              </w:rPr>
              <w:t>市州本级组织开展食品安全宣传周活动次</w:t>
            </w:r>
            <w:r>
              <w:rPr>
                <w:rFonts w:hint="eastAsia" w:ascii="仿宋_GB2312" w:hAnsi="仿宋_GB2312" w:eastAsia="仿宋_GB2312" w:cs="仿宋_GB2312"/>
                <w:i w:val="0"/>
                <w:iCs w:val="0"/>
                <w:color w:val="000000"/>
                <w:kern w:val="0"/>
                <w:sz w:val="18"/>
                <w:szCs w:val="18"/>
                <w:u w:val="none"/>
                <w:lang w:val="en-US" w:eastAsia="zh-CN" w:bidi="ar"/>
              </w:rPr>
              <w:t>数</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kern w:val="0"/>
                <w:sz w:val="18"/>
                <w:szCs w:val="18"/>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18"/>
                <w:szCs w:val="18"/>
                <w:lang w:val="en" w:eastAsia="zh-CN" w:bidi="ar"/>
              </w:rPr>
            </w:pPr>
            <w:r>
              <w:rPr>
                <w:rFonts w:hint="eastAsia" w:ascii="仿宋_GB2312" w:hAnsi="仿宋_GB2312" w:eastAsia="仿宋_GB2312" w:cs="仿宋_GB2312"/>
                <w:i w:val="0"/>
                <w:iCs w:val="0"/>
                <w:color w:val="000000"/>
                <w:kern w:val="0"/>
                <w:sz w:val="18"/>
                <w:szCs w:val="18"/>
                <w:u w:val="none"/>
                <w:lang w:val="en-US" w:eastAsia="zh-CN" w:bidi="ar"/>
              </w:rPr>
              <w:t>市州本级组织开展食品安全宣传科普活动次数</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药械化抽检完成率</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不合格产品处置率</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抽检不合格食品核查处置率</w:t>
            </w:r>
          </w:p>
        </w:tc>
        <w:tc>
          <w:tcPr>
            <w:tcW w:w="2922" w:type="dxa"/>
            <w:noWrap w:val="0"/>
            <w:vAlign w:val="center"/>
          </w:tcPr>
          <w:p>
            <w:pPr>
              <w:keepNext w:val="0"/>
              <w:keepLines w:val="0"/>
              <w:pageBreakBefore w:val="0"/>
              <w:widowControl/>
              <w:suppressLineNumbers w:val="0"/>
              <w:tabs>
                <w:tab w:val="left" w:pos="284"/>
                <w:tab w:val="center" w:pos="640"/>
              </w:tabs>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食品安全评价性抽检合格率</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i w:val="0"/>
                <w:iCs w:val="0"/>
                <w:color w:val="000000"/>
                <w:kern w:val="0"/>
                <w:sz w:val="18"/>
                <w:szCs w:val="18"/>
                <w:u w:val="none"/>
                <w:lang w:val="en-US" w:eastAsia="zh-CN" w:bidi="ar"/>
              </w:rPr>
              <w:t>≥98%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ind w:right="-53" w:rightChars="-25"/>
              <w:jc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spacing w:val="9"/>
                <w:sz w:val="18"/>
                <w:szCs w:val="18"/>
              </w:rPr>
              <w:t>培训监测机构人员市州县覆盖率</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检验不合格产品信息上报及时性</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及时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时效指标</w:t>
            </w:r>
          </w:p>
        </w:tc>
        <w:tc>
          <w:tcPr>
            <w:tcW w:w="2983" w:type="dxa"/>
            <w:noWrap w:val="0"/>
            <w:vAlign w:val="center"/>
          </w:tcPr>
          <w:p>
            <w:pPr>
              <w:keepNext w:val="0"/>
              <w:keepLines w:val="0"/>
              <w:pageBreakBefore w:val="0"/>
              <w:kinsoku/>
              <w:wordWrap/>
              <w:overflowPunct/>
              <w:topLinePunct w:val="0"/>
              <w:autoSpaceDE/>
              <w:autoSpaceDN/>
              <w:bidi w:val="0"/>
              <w:adjustRightInd/>
              <w:snapToGrid/>
              <w:spacing w:line="240" w:lineRule="auto"/>
              <w:ind w:left="-53" w:leftChars="-25" w:right="-53" w:rightChars="-25"/>
              <w:jc w:val="center"/>
              <w:rPr>
                <w:rFonts w:hint="eastAsia" w:ascii="仿宋_GB2312" w:hAnsi="仿宋_GB2312" w:eastAsia="仿宋_GB2312" w:cs="仿宋_GB2312"/>
                <w:color w:val="auto"/>
                <w:kern w:val="0"/>
                <w:sz w:val="18"/>
                <w:szCs w:val="18"/>
                <w:lang w:val="en-US" w:eastAsia="zh-CN" w:bidi="ar"/>
              </w:rPr>
            </w:pPr>
            <w:r>
              <w:rPr>
                <w:rFonts w:hint="eastAsia" w:ascii="仿宋_GB2312" w:hAnsi="仿宋_GB2312" w:eastAsia="仿宋_GB2312" w:cs="仿宋_GB2312"/>
                <w:color w:val="auto"/>
                <w:kern w:val="0"/>
                <w:sz w:val="18"/>
                <w:szCs w:val="18"/>
                <w:lang w:val="en-US" w:eastAsia="zh-CN" w:bidi="ar"/>
              </w:rPr>
              <w:t>专项任务完成时间</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b w:val="0"/>
                <w:bCs w:val="0"/>
                <w:i w:val="0"/>
                <w:color w:val="auto"/>
                <w:kern w:val="2"/>
                <w:sz w:val="18"/>
                <w:szCs w:val="18"/>
                <w:u w:val="none"/>
                <w:lang w:val="en-US" w:eastAsia="zh-CN" w:bidi="ar-SA"/>
              </w:rPr>
            </w:pPr>
            <w:r>
              <w:rPr>
                <w:rFonts w:hint="eastAsia" w:ascii="仿宋_GB2312" w:hAnsi="仿宋_GB2312" w:eastAsia="仿宋_GB2312" w:cs="仿宋_GB2312"/>
                <w:b w:val="0"/>
                <w:bCs w:val="0"/>
                <w:color w:val="auto"/>
                <w:spacing w:val="9"/>
                <w:sz w:val="18"/>
                <w:szCs w:val="18"/>
                <w:lang w:val="en-US" w:eastAsia="zh-CN"/>
              </w:rPr>
              <w:t>2023年底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药品抽检平均成本</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≤3000元/批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医疗器械抽检平均成本</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i w:val="0"/>
                <w:color w:val="000000"/>
                <w:kern w:val="0"/>
                <w:sz w:val="18"/>
                <w:szCs w:val="18"/>
                <w:u w:val="none"/>
                <w:lang w:eastAsia="zh-CN" w:bidi="ar"/>
              </w:rPr>
              <w:t>4000</w:t>
            </w:r>
            <w:r>
              <w:rPr>
                <w:rFonts w:hint="eastAsia" w:ascii="仿宋_GB2312" w:hAnsi="仿宋_GB2312" w:eastAsia="仿宋_GB2312" w:cs="仿宋_GB2312"/>
                <w:i w:val="0"/>
                <w:color w:val="000000"/>
                <w:kern w:val="0"/>
                <w:sz w:val="18"/>
                <w:szCs w:val="18"/>
                <w:u w:val="none"/>
                <w:lang w:val="en-US" w:eastAsia="zh-CN" w:bidi="ar"/>
              </w:rPr>
              <w:t>元/批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化妆品抽检平均成本</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≤3500元/批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中药配方颗粒平均成本</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i w:val="0"/>
                <w:color w:val="000000"/>
                <w:sz w:val="18"/>
                <w:szCs w:val="18"/>
                <w:u w:val="none"/>
                <w:lang w:val="en-US" w:eastAsia="zh-CN"/>
              </w:rPr>
              <w:t>3300/批次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0"/>
                <w:sz w:val="18"/>
                <w:szCs w:val="18"/>
                <w:lang w:val="en-US" w:eastAsia="zh-CN" w:bidi="ar-SA"/>
              </w:rPr>
            </w:pPr>
            <w:r>
              <w:rPr>
                <w:rFonts w:hint="eastAsia" w:ascii="仿宋_GB2312" w:hAnsi="仿宋_GB2312" w:eastAsia="仿宋_GB2312" w:cs="仿宋_GB2312"/>
                <w:sz w:val="18"/>
                <w:szCs w:val="18"/>
              </w:rPr>
              <w:t>药</w:t>
            </w:r>
            <w:r>
              <w:rPr>
                <w:rFonts w:hint="eastAsia" w:ascii="仿宋_GB2312" w:hAnsi="仿宋_GB2312" w:eastAsia="仿宋_GB2312" w:cs="仿宋_GB2312"/>
                <w:sz w:val="18"/>
                <w:szCs w:val="18"/>
                <w:lang w:val="en-US" w:eastAsia="zh-CN"/>
              </w:rPr>
              <w:t>械化</w:t>
            </w:r>
            <w:r>
              <w:rPr>
                <w:rFonts w:hint="eastAsia" w:ascii="仿宋_GB2312" w:hAnsi="仿宋_GB2312" w:eastAsia="仿宋_GB2312" w:cs="仿宋_GB2312"/>
                <w:sz w:val="18"/>
                <w:szCs w:val="18"/>
              </w:rPr>
              <w:t>监管人员培训</w:t>
            </w:r>
          </w:p>
        </w:tc>
        <w:tc>
          <w:tcPr>
            <w:tcW w:w="2922"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rPr>
              <w:t>≥3</w:t>
            </w:r>
            <w:r>
              <w:rPr>
                <w:rFonts w:hint="eastAsia" w:ascii="仿宋_GB2312" w:hAnsi="仿宋_GB2312" w:eastAsia="仿宋_GB2312" w:cs="仿宋_GB2312"/>
                <w:sz w:val="18"/>
                <w:szCs w:val="18"/>
                <w:lang w:val="en-US" w:eastAsia="zh-CN"/>
              </w:rPr>
              <w:t>2</w:t>
            </w:r>
            <w:r>
              <w:rPr>
                <w:rFonts w:hint="eastAsia" w:ascii="仿宋_GB2312" w:hAnsi="仿宋_GB2312" w:eastAsia="仿宋_GB2312" w:cs="仿宋_GB2312"/>
                <w:sz w:val="18"/>
                <w:szCs w:val="18"/>
              </w:rPr>
              <w:t>0元/人/天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lang w:val="en-US" w:eastAsia="zh-CN"/>
              </w:rPr>
              <w:t>0</w:t>
            </w:r>
            <w:r>
              <w:rPr>
                <w:rFonts w:hint="eastAsia" w:ascii="仿宋_GB2312" w:hAnsi="仿宋_GB2312" w:eastAsia="仿宋_GB2312" w:cs="仿宋_GB2312"/>
                <w:color w:val="000000"/>
                <w:kern w:val="0"/>
                <w:sz w:val="20"/>
                <w:szCs w:val="20"/>
              </w:rPr>
              <w:t>分）</w:t>
            </w:r>
          </w:p>
        </w:tc>
        <w:tc>
          <w:tcPr>
            <w:tcW w:w="1317"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假冒伪劣产品制售行为</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不断降低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社会效益指标</w:t>
            </w: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“两品一械”总体安全水平</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sz w:val="18"/>
                <w:szCs w:val="18"/>
                <w:u w:val="none"/>
              </w:rPr>
              <w:t>不断提高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lang w:val="en-US" w:eastAsia="zh-CN"/>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人民群众对“两品一械”监管工作的认知度和获得感</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不断增强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18"/>
                <w:szCs w:val="18"/>
                <w:lang w:val="en" w:eastAsia="zh-CN" w:bidi="ar-SA"/>
              </w:rPr>
            </w:pPr>
            <w:r>
              <w:rPr>
                <w:rFonts w:hint="eastAsia" w:ascii="仿宋_GB2312" w:hAnsi="仿宋_GB2312" w:eastAsia="仿宋_GB2312" w:cs="仿宋_GB2312"/>
                <w:i w:val="0"/>
                <w:iCs w:val="0"/>
                <w:color w:val="000000"/>
                <w:kern w:val="0"/>
                <w:sz w:val="18"/>
                <w:szCs w:val="18"/>
                <w:u w:val="none"/>
                <w:lang w:val="en-US" w:eastAsia="zh-CN" w:bidi="ar"/>
              </w:rPr>
              <w:t>辖区内与补助资金相关的重大食品安全事故</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color w:val="000000"/>
                <w:kern w:val="0"/>
                <w:sz w:val="18"/>
                <w:szCs w:val="18"/>
                <w:lang w:val="en-US" w:eastAsia="zh-CN" w:bidi="ar-SA"/>
              </w:rPr>
            </w:pPr>
            <w:r>
              <w:rPr>
                <w:rFonts w:hint="eastAsia" w:ascii="仿宋_GB2312" w:hAnsi="仿宋_GB2312" w:eastAsia="仿宋_GB2312" w:cs="仿宋_GB2312"/>
                <w:i w:val="0"/>
                <w:iCs w:val="0"/>
                <w:color w:val="000000"/>
                <w:kern w:val="0"/>
                <w:sz w:val="18"/>
                <w:szCs w:val="18"/>
                <w:u w:val="none"/>
                <w:lang w:val="en-US" w:eastAsia="zh-CN" w:bidi="ar"/>
              </w:rPr>
              <w:t>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317"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食品药品监管水平</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default"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2"/>
                <w:sz w:val="18"/>
                <w:szCs w:val="18"/>
                <w:u w:val="none"/>
                <w:lang w:val="en-US" w:eastAsia="zh-CN" w:bidi="ar-SA"/>
              </w:rPr>
              <w:t>不断提高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91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p>
        </w:tc>
        <w:tc>
          <w:tcPr>
            <w:tcW w:w="1283"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（10分）</w:t>
            </w:r>
          </w:p>
        </w:tc>
        <w:tc>
          <w:tcPr>
            <w:tcW w:w="1317" w:type="dxa"/>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29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公众对食品药品监管满意度</w:t>
            </w:r>
          </w:p>
        </w:tc>
        <w:tc>
          <w:tcPr>
            <w:tcW w:w="292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仿宋_GB2312" w:hAnsi="仿宋_GB2312" w:eastAsia="仿宋_GB2312" w:cs="仿宋_GB2312"/>
                <w:i w:val="0"/>
                <w:color w:val="000000"/>
                <w:kern w:val="2"/>
                <w:sz w:val="18"/>
                <w:szCs w:val="18"/>
                <w:u w:val="none"/>
                <w:lang w:val="en-US" w:eastAsia="zh-CN" w:bidi="ar-SA"/>
              </w:rPr>
            </w:pPr>
            <w:r>
              <w:rPr>
                <w:rFonts w:hint="eastAsia" w:ascii="仿宋_GB2312" w:hAnsi="仿宋_GB2312" w:eastAsia="仿宋_GB2312" w:cs="仿宋_GB2312"/>
                <w:i w:val="0"/>
                <w:color w:val="000000"/>
                <w:kern w:val="0"/>
                <w:sz w:val="18"/>
                <w:szCs w:val="18"/>
                <w:u w:val="none"/>
                <w:lang w:val="en-US" w:eastAsia="zh-CN" w:bidi="ar"/>
              </w:rPr>
              <w:t>≥90%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00" w:firstLineChars="200"/>
        <w:jc w:val="both"/>
        <w:textAlignment w:val="auto"/>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（2）省级市场监管专项资金</w:t>
      </w:r>
    </w:p>
    <w:tbl>
      <w:tblPr>
        <w:tblStyle w:val="10"/>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0"/>
        <w:gridCol w:w="1283"/>
        <w:gridCol w:w="1350"/>
        <w:gridCol w:w="3333"/>
        <w:gridCol w:w="25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7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标</w:t>
            </w:r>
          </w:p>
        </w:tc>
        <w:tc>
          <w:tcPr>
            <w:tcW w:w="12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一级指标</w:t>
            </w: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二级指标</w:t>
            </w:r>
          </w:p>
        </w:tc>
        <w:tc>
          <w:tcPr>
            <w:tcW w:w="333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三级指标</w:t>
            </w:r>
          </w:p>
        </w:tc>
        <w:tc>
          <w:tcPr>
            <w:tcW w:w="2562"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lang w:eastAsia="zh-CN"/>
              </w:rPr>
              <w:t>（</w:t>
            </w:r>
            <w:r>
              <w:rPr>
                <w:rFonts w:hint="eastAsia" w:ascii="仿宋_GB2312" w:hAnsi="仿宋_GB2312" w:eastAsia="仿宋_GB2312" w:cs="仿宋_GB2312"/>
                <w:color w:val="000000"/>
                <w:kern w:val="0"/>
                <w:sz w:val="21"/>
                <w:szCs w:val="21"/>
              </w:rPr>
              <w:t>50分)</w:t>
            </w:r>
          </w:p>
        </w:tc>
        <w:tc>
          <w:tcPr>
            <w:tcW w:w="13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指标</w:t>
            </w:r>
          </w:p>
        </w:tc>
        <w:tc>
          <w:tcPr>
            <w:tcW w:w="3333" w:type="dxa"/>
            <w:noWrap w:val="0"/>
            <w:vAlign w:val="center"/>
          </w:tcPr>
          <w:p>
            <w:pPr>
              <w:keepNext w:val="0"/>
              <w:keepLines w:val="0"/>
              <w:widowControl/>
              <w:suppressLineNumbers w:val="0"/>
              <w:spacing w:before="0" w:beforeAutospacing="0" w:after="0" w:afterAutospacing="0"/>
              <w:ind w:left="0" w:leftChars="0" w:right="0" w:rightChars="0"/>
              <w:jc w:val="left"/>
              <w:rPr>
                <w:rFonts w:hint="eastAsia" w:ascii="仿宋_GB2312" w:hAnsi="仿宋_GB2312" w:eastAsia="仿宋_GB2312" w:cs="仿宋_GB2312"/>
                <w:kern w:val="0"/>
                <w:sz w:val="21"/>
                <w:szCs w:val="21"/>
                <w:lang w:val="en" w:eastAsia="zh-CN" w:bidi="ar-SA"/>
              </w:rPr>
            </w:pPr>
            <w:r>
              <w:rPr>
                <w:rFonts w:hint="eastAsia" w:ascii="仿宋_GB2312" w:hAnsi="仿宋_GB2312" w:eastAsia="仿宋_GB2312" w:cs="仿宋_GB2312"/>
                <w:kern w:val="0"/>
                <w:sz w:val="21"/>
                <w:szCs w:val="21"/>
              </w:rPr>
              <w:t>法治建设工作</w:t>
            </w:r>
          </w:p>
        </w:tc>
        <w:tc>
          <w:tcPr>
            <w:tcW w:w="256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
              </w:rPr>
              <w:t>1项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小微企业质量管理体系认证提升行动服务</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US" w:eastAsia="zh-CN" w:bidi="ar"/>
              </w:rPr>
              <w:t>2家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全市LED户外大屏广告监测服务</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US" w:eastAsia="zh-CN" w:bidi="ar"/>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电视台宣传报道、视频制作</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US" w:eastAsia="zh-CN" w:bidi="ar"/>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办事指南、宣传资料费</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US" w:eastAsia="zh-CN" w:bidi="ar"/>
              </w:rPr>
              <w:t>1批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网络专线租赁</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产商品抽查</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default" w:ascii="仿宋_GB2312" w:hAnsi="仿宋_GB2312" w:eastAsia="仿宋_GB2312" w:cs="仿宋_GB2312"/>
                <w:kern w:val="0"/>
                <w:sz w:val="21"/>
                <w:szCs w:val="21"/>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kern w:val="0"/>
                <w:sz w:val="21"/>
                <w:szCs w:val="21"/>
                <w:lang w:bidi="ar"/>
              </w:rPr>
              <w:t>30</w:t>
            </w:r>
            <w:r>
              <w:rPr>
                <w:rFonts w:hint="eastAsia" w:ascii="仿宋_GB2312" w:hAnsi="仿宋_GB2312" w:eastAsia="仿宋_GB2312" w:cs="仿宋_GB2312"/>
                <w:kern w:val="0"/>
                <w:sz w:val="21"/>
                <w:szCs w:val="21"/>
                <w:lang w:val="en-US" w:eastAsia="zh-CN" w:bidi="ar"/>
              </w:rPr>
              <w:t>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抽查产商品种类</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kern w:val="0"/>
                <w:sz w:val="21"/>
                <w:szCs w:val="21"/>
                <w:lang w:bidi="ar"/>
              </w:rPr>
              <w:t>6大类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完成国家总局、省局反垄断专项行动任务</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按国家总局、省局要求完成工作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 w:eastAsia="zh-CN" w:bidi="ar"/>
              </w:rPr>
            </w:pPr>
            <w:r>
              <w:rPr>
                <w:rFonts w:hint="eastAsia" w:ascii="仿宋_GB2312" w:hAnsi="仿宋_GB2312" w:eastAsia="仿宋_GB2312" w:cs="仿宋_GB2312"/>
                <w:color w:val="auto"/>
                <w:kern w:val="0"/>
                <w:sz w:val="21"/>
                <w:szCs w:val="21"/>
                <w:lang w:val="en-US" w:eastAsia="zh-CN" w:bidi="ar"/>
              </w:rPr>
              <w:t>完成国家总局、省局转办、协查案件</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按国家总局、省局要求完成工作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 w:eastAsia="zh-CN" w:bidi="ar"/>
              </w:rPr>
            </w:pPr>
            <w:r>
              <w:rPr>
                <w:rFonts w:hint="eastAsia" w:ascii="仿宋_GB2312" w:hAnsi="仿宋_GB2312" w:eastAsia="仿宋_GB2312" w:cs="仿宋_GB2312"/>
                <w:color w:val="auto"/>
                <w:kern w:val="0"/>
                <w:sz w:val="21"/>
                <w:szCs w:val="21"/>
                <w:lang w:val="en-US" w:eastAsia="zh-CN" w:bidi="ar"/>
              </w:rPr>
              <w:t>开展全市公平竞争审查督查</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default"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color w:val="auto"/>
                <w:kern w:val="0"/>
                <w:sz w:val="21"/>
                <w:szCs w:val="21"/>
                <w:highlight w:val="none"/>
                <w:lang w:val="en-US" w:eastAsia="zh-CN" w:bidi="ar"/>
              </w:rPr>
              <w:t>开展全市公平竞争审查培训、会议</w:t>
            </w:r>
          </w:p>
        </w:tc>
        <w:tc>
          <w:tcPr>
            <w:tcW w:w="2562" w:type="dxa"/>
            <w:noWrap w:val="0"/>
            <w:vAlign w:val="center"/>
          </w:tcPr>
          <w:p>
            <w:pPr>
              <w:keepNext w:val="0"/>
              <w:keepLines w:val="0"/>
              <w:suppressLineNumbers w:val="0"/>
              <w:spacing w:before="0" w:beforeAutospacing="0" w:after="0" w:afterAutospacing="0"/>
              <w:ind w:left="0" w:right="-53" w:rightChars="-25"/>
              <w:jc w:val="center"/>
              <w:rPr>
                <w:rFonts w:hint="eastAsia" w:ascii="仿宋_GB2312" w:hAnsi="仿宋_GB2312" w:eastAsia="仿宋_GB2312" w:cs="仿宋_GB2312"/>
                <w:color w:val="FF0000"/>
                <w:kern w:val="0"/>
                <w:sz w:val="21"/>
                <w:szCs w:val="21"/>
                <w:highlight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highlight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highlight w:val="none"/>
                <w:lang w:val="en" w:eastAsia="zh-CN" w:bidi="ar"/>
              </w:rPr>
            </w:pPr>
            <w:r>
              <w:rPr>
                <w:rFonts w:hint="eastAsia" w:ascii="仿宋_GB2312" w:hAnsi="仿宋_GB2312" w:eastAsia="仿宋_GB2312" w:cs="仿宋_GB2312"/>
                <w:color w:val="auto"/>
                <w:kern w:val="0"/>
                <w:sz w:val="21"/>
                <w:szCs w:val="21"/>
                <w:highlight w:val="none"/>
                <w:lang w:val="en-US" w:eastAsia="zh-CN" w:bidi="ar"/>
              </w:rPr>
              <w:t>开展公平竞争审查宣传活动</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highlight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highlight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 w:eastAsia="zh-CN" w:bidi="ar-SA"/>
              </w:rPr>
            </w:pPr>
            <w:r>
              <w:rPr>
                <w:rFonts w:hint="eastAsia" w:ascii="仿宋_GB2312" w:hAnsi="仿宋_GB2312" w:eastAsia="仿宋_GB2312" w:cs="仿宋_GB2312"/>
                <w:kern w:val="0"/>
                <w:sz w:val="21"/>
                <w:szCs w:val="21"/>
              </w:rPr>
              <w:t>成立怀化市市场监督管理局“小个专”党建工作领导小组</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default"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 w:eastAsia="zh-CN" w:bidi="ar"/>
              </w:rPr>
              <w:t>≤1</w:t>
            </w:r>
            <w:r>
              <w:rPr>
                <w:rFonts w:hint="eastAsia" w:ascii="仿宋_GB2312" w:hAnsi="仿宋_GB2312" w:eastAsia="仿宋_GB2312" w:cs="仿宋_GB2312"/>
                <w:kern w:val="0"/>
                <w:sz w:val="21"/>
                <w:szCs w:val="21"/>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 w:eastAsia="zh-CN" w:bidi="ar-SA"/>
              </w:rPr>
            </w:pPr>
            <w:r>
              <w:rPr>
                <w:rFonts w:hint="eastAsia" w:ascii="仿宋_GB2312" w:hAnsi="仿宋_GB2312" w:eastAsia="仿宋_GB2312" w:cs="仿宋_GB2312"/>
                <w:kern w:val="0"/>
                <w:sz w:val="21"/>
                <w:szCs w:val="21"/>
              </w:rPr>
              <w:t>指导非公企业组建非公企业党组织</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 w:bidi="ar"/>
              </w:rPr>
              <w:t>≤2</w:t>
            </w:r>
            <w:r>
              <w:rPr>
                <w:rFonts w:hint="eastAsia" w:ascii="仿宋_GB2312" w:hAnsi="仿宋_GB2312" w:eastAsia="仿宋_GB2312" w:cs="仿宋_GB2312"/>
                <w:kern w:val="0"/>
                <w:sz w:val="21"/>
                <w:szCs w:val="21"/>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重大节假日价格监管行动</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highlight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 w:eastAsia="zh-CN" w:bidi="ar"/>
              </w:rPr>
            </w:pPr>
            <w:r>
              <w:rPr>
                <w:rFonts w:hint="eastAsia" w:ascii="仿宋_GB2312" w:hAnsi="仿宋_GB2312" w:eastAsia="仿宋_GB2312" w:cs="仿宋_GB2312"/>
                <w:color w:val="auto"/>
                <w:kern w:val="0"/>
                <w:sz w:val="21"/>
                <w:szCs w:val="21"/>
                <w:lang w:bidi="ar"/>
              </w:rPr>
              <w:t>价格监督检查</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lang w:bidi="ar"/>
              </w:rPr>
              <w:t>15家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价格投诉举报案件</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lang w:val="en-US" w:eastAsia="zh-CN" w:bidi="ar"/>
              </w:rPr>
              <w:t>2件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 w:eastAsia="zh-CN" w:bidi="ar"/>
              </w:rPr>
            </w:pPr>
            <w:r>
              <w:rPr>
                <w:rFonts w:hint="eastAsia" w:ascii="仿宋_GB2312" w:hAnsi="仿宋_GB2312" w:eastAsia="仿宋_GB2312" w:cs="仿宋_GB2312"/>
                <w:color w:val="auto"/>
                <w:kern w:val="0"/>
                <w:sz w:val="21"/>
                <w:szCs w:val="21"/>
                <w:lang w:val="en-US" w:eastAsia="zh-CN" w:bidi="ar"/>
              </w:rPr>
              <w:t>反不正当竞争案件</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auto"/>
                <w:kern w:val="0"/>
                <w:sz w:val="21"/>
                <w:szCs w:val="21"/>
                <w:lang w:val="en-US" w:eastAsia="zh-CN" w:bidi="ar"/>
              </w:rPr>
              <w:t>1件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 w:eastAsia="zh-CN" w:bidi="ar-SA"/>
              </w:rPr>
            </w:pPr>
            <w:r>
              <w:rPr>
                <w:rFonts w:hint="eastAsia" w:ascii="仿宋_GB2312" w:hAnsi="仿宋_GB2312" w:eastAsia="仿宋_GB2312" w:cs="仿宋_GB2312"/>
                <w:color w:val="000000"/>
                <w:kern w:val="0"/>
                <w:sz w:val="21"/>
                <w:szCs w:val="21"/>
              </w:rPr>
              <w:t>建立"掌上云证"监测点</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 w:eastAsia="zh-CN" w:bidi="ar-SA"/>
              </w:rPr>
            </w:pPr>
            <w:r>
              <w:rPr>
                <w:rFonts w:hint="eastAsia" w:ascii="仿宋_GB2312" w:hAnsi="仿宋_GB2312" w:eastAsia="仿宋_GB2312" w:cs="仿宋_GB2312"/>
                <w:color w:val="000000"/>
                <w:kern w:val="0"/>
                <w:sz w:val="21"/>
                <w:szCs w:val="21"/>
                <w:lang w:bidi="ar"/>
              </w:rPr>
              <w:t>建成以微商小程序APP为对象的移动终端监管体系</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 w:eastAsia="zh-CN" w:bidi="ar-SA"/>
              </w:rPr>
            </w:pPr>
            <w:r>
              <w:rPr>
                <w:rFonts w:hint="eastAsia" w:ascii="仿宋_GB2312" w:hAnsi="仿宋_GB2312" w:eastAsia="仿宋_GB2312" w:cs="仿宋_GB2312"/>
                <w:color w:val="000000"/>
                <w:kern w:val="0"/>
                <w:sz w:val="21"/>
                <w:szCs w:val="21"/>
                <w:lang w:eastAsia="zh-CN"/>
              </w:rPr>
              <w:t>特种设备安全执法典型案例数</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000000"/>
                <w:kern w:val="0"/>
                <w:sz w:val="21"/>
                <w:szCs w:val="21"/>
                <w:lang w:val="en-US" w:eastAsia="zh-CN"/>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 w:eastAsia="zh-CN" w:bidi="ar-SA"/>
              </w:rPr>
            </w:pPr>
            <w:r>
              <w:rPr>
                <w:rFonts w:hint="eastAsia" w:ascii="仿宋_GB2312" w:hAnsi="仿宋_GB2312" w:eastAsia="仿宋_GB2312" w:cs="仿宋_GB2312"/>
                <w:color w:val="000000"/>
                <w:kern w:val="0"/>
                <w:sz w:val="21"/>
                <w:szCs w:val="21"/>
                <w:lang w:val="en-US" w:eastAsia="zh-CN"/>
              </w:rPr>
              <w:t>重点特种设备使用单位抽查家数</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i w:val="0"/>
                <w:color w:val="000000"/>
                <w:kern w:val="0"/>
                <w:sz w:val="18"/>
                <w:szCs w:val="18"/>
                <w:u w:val="none"/>
                <w:lang w:val="en-US" w:eastAsia="zh-CN" w:bidi="ar"/>
              </w:rPr>
              <w:t>≥</w:t>
            </w:r>
            <w:r>
              <w:rPr>
                <w:rFonts w:hint="eastAsia" w:ascii="仿宋_GB2312" w:hAnsi="仿宋_GB2312" w:eastAsia="仿宋_GB2312" w:cs="仿宋_GB2312"/>
                <w:color w:val="000000"/>
                <w:kern w:val="0"/>
                <w:sz w:val="21"/>
                <w:szCs w:val="21"/>
                <w:lang w:val="en-US" w:eastAsia="zh-CN"/>
              </w:rPr>
              <w:t>200家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市级气瓶追溯公共服务数据平台建设</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完成39家气瓶充装单位数据对接并投入使用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leftChars="0" w:right="0" w:rightChars="0"/>
              <w:jc w:val="left"/>
              <w:rPr>
                <w:rFonts w:hint="eastAsia" w:ascii="仿宋_GB2312" w:hAnsi="仿宋_GB2312" w:eastAsia="仿宋_GB2312" w:cs="仿宋_GB2312"/>
                <w:kern w:val="0"/>
                <w:sz w:val="21"/>
                <w:szCs w:val="21"/>
                <w:lang w:val="en" w:eastAsia="zh-CN" w:bidi="ar-SA"/>
              </w:rPr>
            </w:pPr>
            <w:r>
              <w:rPr>
                <w:rFonts w:hint="eastAsia" w:ascii="仿宋_GB2312" w:hAnsi="仿宋_GB2312" w:eastAsia="仿宋_GB2312" w:cs="仿宋_GB2312"/>
                <w:kern w:val="0"/>
                <w:sz w:val="21"/>
                <w:szCs w:val="21"/>
              </w:rPr>
              <w:t>组织开展绩效管理考核工作</w:t>
            </w:r>
          </w:p>
        </w:tc>
        <w:tc>
          <w:tcPr>
            <w:tcW w:w="256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指标</w:t>
            </w:r>
          </w:p>
        </w:tc>
        <w:tc>
          <w:tcPr>
            <w:tcW w:w="3333" w:type="dxa"/>
            <w:noWrap w:val="0"/>
            <w:vAlign w:val="center"/>
          </w:tcPr>
          <w:p>
            <w:pPr>
              <w:keepNext w:val="0"/>
              <w:keepLines w:val="0"/>
              <w:widowControl/>
              <w:suppressLineNumbers w:val="0"/>
              <w:spacing w:before="0" w:beforeAutospacing="0" w:after="0" w:afterAutospacing="0"/>
              <w:ind w:left="0" w:leftChars="0" w:right="0" w:rightChars="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抽样完成率</w:t>
            </w:r>
          </w:p>
        </w:tc>
        <w:tc>
          <w:tcPr>
            <w:tcW w:w="256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不合格产品后处理</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default"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国家总局、省局下达任务专项行动发现案件查办率</w:t>
            </w:r>
          </w:p>
        </w:tc>
        <w:tc>
          <w:tcPr>
            <w:tcW w:w="2562" w:type="dxa"/>
            <w:noWrap w:val="0"/>
            <w:vAlign w:val="center"/>
          </w:tcPr>
          <w:p>
            <w:pPr>
              <w:keepNext w:val="0"/>
              <w:keepLines w:val="0"/>
              <w:suppressLineNumbers w:val="0"/>
              <w:spacing w:before="0" w:beforeAutospacing="0" w:after="0" w:afterAutospacing="0"/>
              <w:ind w:left="0"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发现违反公平竞争审查文件处置率</w:t>
            </w:r>
          </w:p>
        </w:tc>
        <w:tc>
          <w:tcPr>
            <w:tcW w:w="2562" w:type="dxa"/>
            <w:noWrap w:val="0"/>
            <w:vAlign w:val="center"/>
          </w:tcPr>
          <w:p>
            <w:pPr>
              <w:keepNext w:val="0"/>
              <w:keepLines w:val="0"/>
              <w:suppressLineNumbers w:val="0"/>
              <w:spacing w:before="0" w:beforeAutospacing="0" w:after="0" w:afterAutospacing="0"/>
              <w:ind w:left="0"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发现公平竞争审查线索核实后立案率</w:t>
            </w:r>
          </w:p>
        </w:tc>
        <w:tc>
          <w:tcPr>
            <w:tcW w:w="2562" w:type="dxa"/>
            <w:noWrap w:val="0"/>
            <w:vAlign w:val="center"/>
          </w:tcPr>
          <w:p>
            <w:pPr>
              <w:keepNext w:val="0"/>
              <w:keepLines w:val="0"/>
              <w:suppressLineNumbers w:val="0"/>
              <w:spacing w:before="0" w:beforeAutospacing="0" w:after="0" w:afterAutospacing="0"/>
              <w:ind w:left="0"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1"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派遣兼职党建指导员前往组织管理的非公企业党组织进行党建指导等日常工作开展的覆盖面</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重点特种设备使用单位抽查完成率</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指标</w:t>
            </w: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14:textFill>
                  <w14:solidFill>
                    <w14:schemeClr w14:val="tx1"/>
                  </w14:solidFill>
                </w14:textFill>
              </w:rPr>
              <w:t>专项任</w:t>
            </w:r>
            <w:r>
              <w:rPr>
                <w:rFonts w:hint="eastAsia" w:ascii="仿宋_GB2312" w:hAnsi="仿宋_GB2312" w:eastAsia="仿宋_GB2312" w:cs="仿宋_GB2312"/>
                <w:color w:val="000000" w:themeColor="text1"/>
                <w:kern w:val="0"/>
                <w:sz w:val="21"/>
                <w:szCs w:val="21"/>
                <w:lang w:eastAsia="zh-CN"/>
                <w14:textFill>
                  <w14:solidFill>
                    <w14:schemeClr w14:val="tx1"/>
                  </w14:solidFill>
                </w14:textFill>
              </w:rPr>
              <w:t>务完成时间</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14:textFill>
                  <w14:solidFill>
                    <w14:schemeClr w14:val="tx1"/>
                  </w14:solidFill>
                </w14:textFill>
              </w:rPr>
              <w:t>2023年12月31日前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指标</w:t>
            </w: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培训成本</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≤320元/人/天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建立"掌上云证"监测点</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lang w:bidi="ar"/>
                <w14:textFill>
                  <w14:solidFill>
                    <w14:schemeClr w14:val="tx1"/>
                  </w14:solidFill>
                </w14:textFill>
              </w:rPr>
              <w:t>建成以微商小程序APP为对象的移动终端监管体系</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14:textFill>
                  <w14:gradFill>
                    <w14:gsLst>
                      <w14:gs w14:pos="0">
                        <w14:srgbClr w14:val="14CD68"/>
                      </w14:gs>
                      <w14:gs w14:pos="100000">
                        <w14:srgbClr w14:val="035C7D"/>
                      </w14:gs>
                    </w14:gsLst>
                    <w14:lin w14:scaled="0"/>
                  </w14:gra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（3</w:t>
            </w:r>
            <w:r>
              <w:rPr>
                <w:rFonts w:hint="eastAsia" w:ascii="仿宋_GB2312" w:hAnsi="仿宋_GB2312" w:eastAsia="仿宋_GB2312" w:cs="仿宋_GB2312"/>
                <w:color w:val="000000" w:themeColor="text1"/>
                <w:kern w:val="0"/>
                <w:sz w:val="21"/>
                <w:szCs w:val="21"/>
                <w:lang w:val="en-US" w:eastAsia="zh-CN"/>
                <w14:textFill>
                  <w14:solidFill>
                    <w14:schemeClr w14:val="tx1"/>
                  </w14:solidFill>
                </w14:textFill>
              </w:rPr>
              <w:t>0</w:t>
            </w:r>
            <w:r>
              <w:rPr>
                <w:rFonts w:hint="eastAsia" w:ascii="仿宋_GB2312" w:hAnsi="仿宋_GB2312" w:eastAsia="仿宋_GB2312" w:cs="仿宋_GB2312"/>
                <w:color w:val="000000" w:themeColor="text1"/>
                <w:kern w:val="0"/>
                <w:sz w:val="21"/>
                <w:szCs w:val="21"/>
                <w14:textFill>
                  <w14:solidFill>
                    <w14:schemeClr w14:val="tx1"/>
                  </w14:solidFill>
                </w14:textFill>
              </w:rPr>
              <w:t>分）</w:t>
            </w: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益指标</w:t>
            </w: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1"/>
                <w:szCs w:val="21"/>
                <w:lang w:bidi="ar"/>
                <w14:textFill>
                  <w14:solidFill>
                    <w14:schemeClr w14:val="tx1"/>
                  </w14:solidFill>
                </w14:textFill>
              </w:rPr>
              <w:t>案件查办挽回社会经济损失</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default" w:ascii="仿宋_GB2312" w:hAnsi="仿宋_GB2312" w:eastAsia="仿宋_GB2312" w:cs="仿宋_GB2312"/>
                <w:color w:val="000000" w:themeColor="text1"/>
                <w:kern w:val="0"/>
                <w:sz w:val="21"/>
                <w:szCs w:val="21"/>
                <w:lang w:val="en-US" w:eastAsia="zh-CN" w:bidi="ar"/>
                <w14:textFill>
                  <w14:solidFill>
                    <w14:schemeClr w14:val="tx1"/>
                  </w14:solidFill>
                </w14:textFill>
              </w:rPr>
            </w:pPr>
            <w:r>
              <w:rPr>
                <w:rFonts w:hint="eastAsia" w:ascii="仿宋_GB2312" w:hAnsi="仿宋_GB2312" w:eastAsia="仿宋_GB2312" w:cs="仿宋_GB2312"/>
                <w:color w:val="000000" w:themeColor="text1"/>
                <w:kern w:val="0"/>
                <w:sz w:val="21"/>
                <w:szCs w:val="21"/>
                <w:lang w:bidi="ar"/>
                <w14:textFill>
                  <w14:solidFill>
                    <w14:schemeClr w14:val="tx1"/>
                  </w14:solidFill>
                </w14:textFill>
              </w:rPr>
              <w:t>以涉案货值金额计算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益指标</w:t>
            </w: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净化全市网络交易环境</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新型劳动关系在企业内部的和谐状况</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特种设备安全监管水平</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逐步提高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eastAsia="zh-CN"/>
              </w:rPr>
              <w:t>安全事故发生情况</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default" w:ascii="仿宋_GB2312" w:hAnsi="仿宋_GB2312" w:eastAsia="仿宋_GB2312" w:cs="仿宋_GB2312"/>
                <w:color w:val="000000"/>
                <w:kern w:val="0"/>
                <w:sz w:val="21"/>
                <w:szCs w:val="21"/>
                <w:lang w:val="en-US" w:eastAsia="zh-CN" w:bidi="ar-SA"/>
              </w:rPr>
            </w:pPr>
            <w:r>
              <w:rPr>
                <w:rFonts w:hint="eastAsia" w:ascii="仿宋_GB2312" w:hAnsi="仿宋_GB2312" w:eastAsia="仿宋_GB2312" w:cs="仿宋_GB2312"/>
                <w:color w:val="000000"/>
                <w:kern w:val="0"/>
                <w:sz w:val="21"/>
                <w:szCs w:val="21"/>
                <w:lang w:val="en-US" w:eastAsia="zh-CN"/>
              </w:rPr>
              <w:t>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kern w:val="0"/>
                <w:sz w:val="21"/>
                <w:szCs w:val="21"/>
              </w:rPr>
            </w:pPr>
            <w:r>
              <w:rPr>
                <w:rFonts w:hint="eastAsia" w:ascii="仿宋_GB2312" w:hAnsi="仿宋_GB2312" w:eastAsia="仿宋_GB2312" w:cs="仿宋_GB2312"/>
                <w:color w:val="000000"/>
                <w:kern w:val="0"/>
                <w:sz w:val="21"/>
                <w:szCs w:val="21"/>
              </w:rPr>
              <w:t>可持续影响指标</w:t>
            </w:r>
          </w:p>
        </w:tc>
        <w:tc>
          <w:tcPr>
            <w:tcW w:w="3333" w:type="dxa"/>
            <w:noWrap w:val="0"/>
            <w:vAlign w:val="center"/>
          </w:tcPr>
          <w:p>
            <w:pPr>
              <w:keepNext w:val="0"/>
              <w:keepLines w:val="0"/>
              <w:widowControl/>
              <w:suppressLineNumbers w:val="0"/>
              <w:spacing w:before="0" w:beforeAutospacing="0" w:after="0" w:afterAutospacing="0"/>
              <w:ind w:left="0" w:leftChars="0" w:right="0" w:rightChars="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bidi="ar"/>
              </w:rPr>
              <w:t>全面提升市场监管能力</w:t>
            </w:r>
          </w:p>
        </w:tc>
        <w:tc>
          <w:tcPr>
            <w:tcW w:w="2562" w:type="dxa"/>
            <w:noWrap w:val="0"/>
            <w:vAlign w:val="center"/>
          </w:tcPr>
          <w:p>
            <w:pPr>
              <w:keepNext w:val="0"/>
              <w:keepLines w:val="0"/>
              <w:widowControl/>
              <w:suppressLineNumbers w:val="0"/>
              <w:spacing w:before="0" w:beforeAutospacing="0" w:after="0" w:afterAutospacing="0"/>
              <w:ind w:left="0" w:leftChars="0" w:right="0" w:rightChars="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bidi="ar"/>
              </w:rPr>
              <w:t>持续提升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持续促进怀化产品质量安全水平的趋势</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lang w:bidi="ar"/>
              </w:rPr>
              <w:t>持续向好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widowControl/>
              <w:suppressLineNumbers w:val="0"/>
              <w:spacing w:before="0" w:beforeAutospacing="0" w:after="0" w:afterAutospacing="0"/>
              <w:ind w:left="0" w:right="0"/>
              <w:jc w:val="left"/>
              <w:rPr>
                <w:rFonts w:hint="eastAsia" w:ascii="仿宋_GB2312" w:hAnsi="仿宋_GB2312" w:eastAsia="仿宋_GB2312" w:cs="仿宋_GB2312"/>
                <w:kern w:val="0"/>
                <w:sz w:val="21"/>
                <w:szCs w:val="21"/>
                <w:lang w:val="en-US" w:eastAsia="zh-CN" w:bidi="ar-SA"/>
              </w:rPr>
            </w:pPr>
            <w:r>
              <w:rPr>
                <w:rFonts w:hint="eastAsia" w:ascii="仿宋_GB2312" w:hAnsi="仿宋_GB2312" w:eastAsia="仿宋_GB2312" w:cs="仿宋_GB2312"/>
                <w:kern w:val="0"/>
                <w:sz w:val="21"/>
                <w:szCs w:val="21"/>
              </w:rPr>
              <w:t>非公经济党组织高质量发展</w:t>
            </w:r>
          </w:p>
        </w:tc>
        <w:tc>
          <w:tcPr>
            <w:tcW w:w="2562" w:type="dxa"/>
            <w:noWrap w:val="0"/>
            <w:vAlign w:val="center"/>
          </w:tcPr>
          <w:p>
            <w:pPr>
              <w:keepNext w:val="0"/>
              <w:keepLines w:val="0"/>
              <w:widowControl/>
              <w:suppressLineNumbers w:val="0"/>
              <w:spacing w:before="0" w:beforeAutospacing="0" w:after="0" w:afterAutospacing="0"/>
              <w:ind w:left="0" w:right="0"/>
              <w:jc w:val="center"/>
              <w:rPr>
                <w:rFonts w:hint="eastAsia" w:ascii="仿宋_GB2312" w:hAnsi="仿宋_GB2312" w:eastAsia="仿宋_GB2312" w:cs="仿宋_GB2312"/>
                <w:kern w:val="0"/>
                <w:sz w:val="21"/>
                <w:szCs w:val="21"/>
                <w:lang w:val="en-US" w:eastAsia="zh-CN" w:bidi="ar"/>
              </w:rPr>
            </w:pPr>
            <w:r>
              <w:rPr>
                <w:rFonts w:hint="eastAsia" w:ascii="仿宋_GB2312" w:hAnsi="仿宋_GB2312" w:eastAsia="仿宋_GB2312" w:cs="仿宋_GB2312"/>
                <w:kern w:val="0"/>
                <w:sz w:val="21"/>
                <w:szCs w:val="21"/>
                <w:lang w:val="en" w:eastAsia="zh-CN" w:bidi="ar"/>
              </w:rPr>
              <w:t>长期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283"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35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通过打击价格违法行为，保障经营者和消费者价格合法权益，保持社会稳定</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auto"/>
                <w:kern w:val="0"/>
                <w:sz w:val="21"/>
                <w:szCs w:val="21"/>
                <w:lang w:val="en-US" w:eastAsia="zh-CN" w:bidi="ar"/>
              </w:rPr>
            </w:pPr>
            <w:r>
              <w:rPr>
                <w:rFonts w:hint="eastAsia" w:ascii="仿宋_GB2312" w:hAnsi="仿宋_GB2312" w:eastAsia="仿宋_GB2312" w:cs="仿宋_GB2312"/>
                <w:color w:val="auto"/>
                <w:kern w:val="0"/>
                <w:sz w:val="21"/>
                <w:szCs w:val="21"/>
                <w:lang w:val="en-US" w:eastAsia="zh-CN" w:bidi="ar"/>
              </w:rPr>
              <w:t>持续推进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970" w:type="dxa"/>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color w:val="000000"/>
                <w:kern w:val="0"/>
                <w:sz w:val="21"/>
                <w:szCs w:val="21"/>
              </w:rPr>
            </w:pPr>
          </w:p>
        </w:tc>
        <w:tc>
          <w:tcPr>
            <w:tcW w:w="1283"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（10分）</w:t>
            </w:r>
          </w:p>
        </w:tc>
        <w:tc>
          <w:tcPr>
            <w:tcW w:w="135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color w:val="000000" w:themeColor="text1"/>
                <w:kern w:val="0"/>
                <w:sz w:val="21"/>
                <w:szCs w:val="21"/>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服务对象满意度指标</w:t>
            </w:r>
          </w:p>
        </w:tc>
        <w:tc>
          <w:tcPr>
            <w:tcW w:w="3333" w:type="dxa"/>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lang w:eastAsia="zh-CN"/>
                <w14:textFill>
                  <w14:solidFill>
                    <w14:schemeClr w14:val="tx1"/>
                  </w14:solidFill>
                </w14:textFill>
              </w:rPr>
              <w:t>公众对</w:t>
            </w:r>
            <w:r>
              <w:rPr>
                <w:rFonts w:hint="eastAsia" w:ascii="仿宋_GB2312" w:hAnsi="仿宋_GB2312" w:eastAsia="仿宋_GB2312" w:cs="仿宋_GB2312"/>
                <w:color w:val="000000" w:themeColor="text1"/>
                <w:kern w:val="0"/>
                <w:sz w:val="21"/>
                <w:szCs w:val="21"/>
                <w:lang w:val="en-US" w:eastAsia="zh-CN"/>
                <w14:textFill>
                  <w14:solidFill>
                    <w14:schemeClr w14:val="tx1"/>
                  </w14:solidFill>
                </w14:textFill>
              </w:rPr>
              <w:t>市场</w:t>
            </w:r>
            <w:r>
              <w:rPr>
                <w:rFonts w:hint="eastAsia" w:ascii="仿宋_GB2312" w:hAnsi="仿宋_GB2312" w:eastAsia="仿宋_GB2312" w:cs="仿宋_GB2312"/>
                <w:color w:val="000000" w:themeColor="text1"/>
                <w:kern w:val="0"/>
                <w:sz w:val="21"/>
                <w:szCs w:val="21"/>
                <w:lang w:eastAsia="zh-CN"/>
                <w14:textFill>
                  <w14:solidFill>
                    <w14:schemeClr w14:val="tx1"/>
                  </w14:solidFill>
                </w14:textFill>
              </w:rPr>
              <w:t>监管工作满意度</w:t>
            </w:r>
          </w:p>
        </w:tc>
        <w:tc>
          <w:tcPr>
            <w:tcW w:w="2562" w:type="dxa"/>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≥90%</w:t>
            </w:r>
          </w:p>
        </w:tc>
      </w:tr>
    </w:tbl>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00" w:firstLineChars="200"/>
        <w:jc w:val="both"/>
        <w:textAlignment w:val="auto"/>
        <w:rPr>
          <w:rFonts w:hint="eastAsia" w:ascii="仿宋" w:hAnsi="仿宋" w:eastAsia="仿宋" w:cs="仿宋"/>
          <w:color w:val="000000"/>
          <w:kern w:val="2"/>
          <w:sz w:val="30"/>
          <w:szCs w:val="30"/>
          <w:lang w:val="en-US" w:eastAsia="zh-CN" w:bidi="ar-SA"/>
        </w:rPr>
      </w:pPr>
      <w:r>
        <w:rPr>
          <w:rFonts w:hint="eastAsia" w:ascii="仿宋" w:hAnsi="仿宋" w:eastAsia="仿宋" w:cs="仿宋"/>
          <w:color w:val="000000"/>
          <w:kern w:val="2"/>
          <w:sz w:val="30"/>
          <w:szCs w:val="30"/>
          <w:lang w:val="en-US" w:eastAsia="zh-CN" w:bidi="ar-SA"/>
        </w:rPr>
        <w:t>（3）市级专项资金</w:t>
      </w:r>
    </w:p>
    <w:tbl>
      <w:tblPr>
        <w:tblStyle w:val="10"/>
        <w:tblW w:w="95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1456"/>
        <w:gridCol w:w="1343"/>
        <w:gridCol w:w="4251"/>
        <w:gridCol w:w="20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0" w:type="auto"/>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绩</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标</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一级指标</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二级指标</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三级指标</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年度</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产出指标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lang w:eastAsia="zh-CN"/>
              </w:rPr>
              <w:t>（</w:t>
            </w:r>
            <w:r>
              <w:rPr>
                <w:rFonts w:hint="eastAsia" w:ascii="仿宋_GB2312" w:hAnsi="仿宋_GB2312" w:eastAsia="仿宋_GB2312" w:cs="仿宋_GB2312"/>
                <w:color w:val="000000"/>
                <w:kern w:val="0"/>
                <w:sz w:val="20"/>
                <w:szCs w:val="20"/>
              </w:rPr>
              <w:t>50分)</w:t>
            </w:r>
          </w:p>
        </w:tc>
        <w:tc>
          <w:tcPr>
            <w:tcW w:w="0" w:type="auto"/>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数量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 w:eastAsia="zh-CN" w:bidi="ar-SA"/>
              </w:rPr>
            </w:pPr>
            <w:r>
              <w:rPr>
                <w:rFonts w:hint="eastAsia" w:ascii="仿宋_GB2312" w:hAnsi="仿宋_GB2312" w:eastAsia="仿宋_GB2312" w:cs="仿宋_GB2312"/>
                <w:color w:val="000000"/>
                <w:kern w:val="0"/>
                <w:sz w:val="20"/>
                <w:szCs w:val="20"/>
                <w:lang w:eastAsia="zh-CN"/>
              </w:rPr>
              <w:t>食用及农产品抽检</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3000批次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eastAsia="zh-CN"/>
              </w:rPr>
              <w:t>产品质量监督抽检</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500批次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其他环节抽检</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400批次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市级药品抽检</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160批次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食品、药品、化妆品、流通领域产品 检验</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770批次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食品安全县市区考评数量</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eastAsia="zh-CN"/>
              </w:rPr>
            </w:pPr>
            <w:r>
              <w:rPr>
                <w:rFonts w:hint="eastAsia" w:ascii="仿宋_GB2312" w:hAnsi="仿宋_GB2312" w:eastAsia="仿宋_GB2312" w:cs="仿宋_GB2312"/>
                <w:color w:val="000000"/>
                <w:kern w:val="0"/>
                <w:sz w:val="20"/>
                <w:szCs w:val="20"/>
                <w:lang w:eastAsia="zh-CN"/>
              </w:rPr>
              <w:t>完成消费者权益日系列活动</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color w:val="000000"/>
                <w:kern w:val="0"/>
                <w:sz w:val="20"/>
                <w:szCs w:val="20"/>
                <w:lang w:val="en" w:eastAsia="zh-CN"/>
              </w:rPr>
              <w:t>开展消法培训、消委工作布署会议</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13次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color w:val="000000"/>
                <w:kern w:val="0"/>
                <w:sz w:val="20"/>
                <w:szCs w:val="20"/>
                <w:lang w:val="en" w:eastAsia="zh-CN"/>
              </w:rPr>
              <w:t>质量工作考核工作</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13家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color w:val="000000"/>
                <w:kern w:val="0"/>
                <w:sz w:val="20"/>
                <w:szCs w:val="20"/>
                <w:lang w:val="en" w:eastAsia="zh-CN"/>
              </w:rPr>
              <w:t>质量月宣传活动</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开展打击传销宣传活动</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开展打击传销专项整治行动</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新登记企业</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1500户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营业执照新、换发证</w:t>
            </w:r>
          </w:p>
        </w:tc>
        <w:tc>
          <w:tcPr>
            <w:tcW w:w="0" w:type="auto"/>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14000次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办事指南、宣传手册</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10000册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全国食品安全宣传周、12315投诉举报宣传日活动</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安全用药月启动仪式、培训</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食品应急演练</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开展流通环节非洲猪瘟专项整治行动次数</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组织开展监督检查的经营企业家次</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100家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AB级主体公示牌</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54个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对A级主体及包保干部进行培训</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市长质量奖</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0"/>
                <w:szCs w:val="20"/>
                <w:u w:val="none"/>
                <w:lang w:val="en-US" w:eastAsia="zh-CN" w:bidi="ar"/>
              </w:rPr>
            </w:pPr>
            <w:r>
              <w:rPr>
                <w:rFonts w:hint="eastAsia"/>
                <w:lang w:val="en-US" w:eastAsia="zh-CN"/>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组织知识产权培训</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4次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知识产权周宣传活动</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1次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 w:eastAsia="zh-CN"/>
              </w:rPr>
            </w:pPr>
            <w:r>
              <w:rPr>
                <w:rFonts w:hint="eastAsia" w:ascii="仿宋_GB2312" w:hAnsi="仿宋_GB2312" w:eastAsia="仿宋_GB2312" w:cs="仿宋_GB2312"/>
                <w:i w:val="0"/>
                <w:iCs w:val="0"/>
                <w:color w:val="000000"/>
                <w:kern w:val="0"/>
                <w:sz w:val="20"/>
                <w:szCs w:val="20"/>
                <w:u w:val="none"/>
                <w:lang w:val="en-US" w:eastAsia="zh-CN" w:bidi="ar"/>
              </w:rPr>
              <w:t>全年发放《食品经营许可证》</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i w:val="0"/>
                <w:iCs w:val="0"/>
                <w:color w:val="000000"/>
                <w:kern w:val="0"/>
                <w:sz w:val="20"/>
                <w:szCs w:val="20"/>
                <w:u w:val="none"/>
                <w:lang w:val="en-US" w:eastAsia="zh-CN" w:bidi="ar"/>
              </w:rPr>
              <w:t>500个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发明专利申请</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val="en-US" w:eastAsia="zh-CN" w:bidi="ar"/>
              </w:rPr>
              <w:t>1340件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检定、建标、标准复查数量、引进专家对专业技术人员培训业务培训</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检定35000台（件）  计量器具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 w:eastAsia="zh-CN" w:bidi="ar-SA"/>
              </w:rPr>
            </w:pPr>
            <w:r>
              <w:rPr>
                <w:rFonts w:hint="eastAsia" w:ascii="仿宋_GB2312" w:hAnsi="仿宋_GB2312" w:eastAsia="仿宋_GB2312" w:cs="仿宋_GB2312"/>
                <w:color w:val="000000"/>
                <w:kern w:val="0"/>
                <w:sz w:val="20"/>
                <w:szCs w:val="20"/>
                <w:lang w:eastAsia="zh-CN"/>
              </w:rPr>
              <w:t>特种设备安全监管员培训次数</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 w:eastAsia="zh-CN" w:bidi="ar-SA"/>
              </w:rPr>
              <w:t>执法人员培训</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bidi="ar-SA"/>
              </w:rPr>
              <w:t>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eastAsia="zh-CN"/>
              </w:rPr>
              <w:t>罚没物资销毁</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1批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质量</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抽检完成率</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检定合格率</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color w:val="000000"/>
                <w:kern w:val="0"/>
                <w:sz w:val="20"/>
                <w:szCs w:val="20"/>
                <w:lang w:val="en-US" w:eastAsia="zh-CN"/>
              </w:rPr>
              <w:t>95%以上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时效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0" w:type="auto"/>
            <w:noWrap w:val="0"/>
            <w:vAlign w:val="center"/>
          </w:tcPr>
          <w:p>
            <w:pPr>
              <w:keepNext w:val="0"/>
              <w:keepLines w:val="0"/>
              <w:widowControl/>
              <w:suppressLineNumbers w:val="0"/>
              <w:jc w:val="left"/>
              <w:textAlignment w:val="center"/>
              <w:rPr>
                <w:rFonts w:hint="default"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iCs w:val="0"/>
                <w:color w:val="000000"/>
                <w:kern w:val="0"/>
                <w:sz w:val="20"/>
                <w:szCs w:val="20"/>
                <w:u w:val="none"/>
                <w:lang w:val="en-US" w:eastAsia="zh-CN" w:bidi="ar"/>
              </w:rPr>
              <w:t>专项任务完成时间</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2023年12月前完成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成本</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指标</w:t>
            </w:r>
          </w:p>
        </w:tc>
        <w:tc>
          <w:tcPr>
            <w:tcW w:w="0" w:type="auto"/>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培训成本</w:t>
            </w:r>
          </w:p>
        </w:tc>
        <w:tc>
          <w:tcPr>
            <w:tcW w:w="0" w:type="auto"/>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themeColor="text1"/>
                <w:kern w:val="0"/>
                <w:sz w:val="21"/>
                <w:szCs w:val="21"/>
                <w:lang w:val="en-US" w:eastAsia="zh-CN" w:bidi="ar"/>
                <w14:textFill>
                  <w14:solidFill>
                    <w14:schemeClr w14:val="tx1"/>
                  </w14:solidFill>
                </w14:textFill>
              </w:rPr>
              <w:t>≤320元/人/天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效益指标</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（3</w:t>
            </w:r>
            <w:r>
              <w:rPr>
                <w:rFonts w:hint="eastAsia" w:ascii="仿宋_GB2312" w:hAnsi="仿宋_GB2312" w:eastAsia="仿宋_GB2312" w:cs="仿宋_GB2312"/>
                <w:color w:val="000000"/>
                <w:kern w:val="0"/>
                <w:sz w:val="20"/>
                <w:szCs w:val="20"/>
                <w:lang w:val="en-US" w:eastAsia="zh-CN"/>
              </w:rPr>
              <w:t>0</w:t>
            </w:r>
            <w:r>
              <w:rPr>
                <w:rFonts w:hint="eastAsia" w:ascii="仿宋_GB2312" w:hAnsi="仿宋_GB2312" w:eastAsia="仿宋_GB2312" w:cs="仿宋_GB2312"/>
                <w:color w:val="000000"/>
                <w:kern w:val="0"/>
                <w:sz w:val="20"/>
                <w:szCs w:val="20"/>
              </w:rPr>
              <w:t>分）</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经济效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restart"/>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社会效</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益指标</w:t>
            </w: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推动建立食品安全属地管理责任和企业主体责任长效机制第二年的全覆盖。</w:t>
            </w:r>
          </w:p>
        </w:tc>
        <w:tc>
          <w:tcPr>
            <w:tcW w:w="0" w:type="auto"/>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0"/>
                <w:szCs w:val="20"/>
                <w:lang w:val="en-US" w:eastAsia="zh-CN" w:bidi="ar-SA"/>
              </w:rPr>
            </w:pPr>
            <w:r>
              <w:rPr>
                <w:rFonts w:hint="eastAsia" w:ascii="仿宋_GB2312" w:hAnsi="仿宋_GB2312" w:eastAsia="仿宋_GB2312" w:cs="仿宋_GB2312"/>
                <w:i w:val="0"/>
                <w:iCs w:val="0"/>
                <w:color w:val="000000"/>
                <w:kern w:val="0"/>
                <w:sz w:val="20"/>
                <w:szCs w:val="20"/>
                <w:u w:val="none"/>
                <w:lang w:val="en-US" w:eastAsia="zh-CN" w:bidi="ar"/>
              </w:rPr>
              <w:t>效果明显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widowControl/>
              <w:suppressLineNumbers w:val="0"/>
              <w:jc w:val="left"/>
              <w:textAlignment w:val="center"/>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i w:val="0"/>
                <w:iCs w:val="0"/>
                <w:color w:val="000000"/>
                <w:kern w:val="0"/>
                <w:sz w:val="20"/>
                <w:szCs w:val="20"/>
                <w:u w:val="none"/>
                <w:lang w:val="en-US" w:eastAsia="zh-CN" w:bidi="ar"/>
              </w:rPr>
              <w:t>假冒伪劣产品制售行为</w:t>
            </w:r>
          </w:p>
        </w:tc>
        <w:tc>
          <w:tcPr>
            <w:tcW w:w="0" w:type="auto"/>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iCs w:val="0"/>
                <w:color w:val="000000"/>
                <w:kern w:val="0"/>
                <w:sz w:val="20"/>
                <w:szCs w:val="20"/>
                <w:u w:val="none"/>
                <w:lang w:val="en-US" w:eastAsia="zh-CN" w:bidi="ar"/>
              </w:rPr>
              <w:t>不断降低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p>
        </w:tc>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可持续影响指标</w:t>
            </w:r>
          </w:p>
        </w:tc>
        <w:tc>
          <w:tcPr>
            <w:tcW w:w="0" w:type="auto"/>
            <w:noWrap w:val="0"/>
            <w:vAlign w:val="center"/>
          </w:tcPr>
          <w:p>
            <w:pPr>
              <w:keepNext w:val="0"/>
              <w:keepLines w:val="0"/>
              <w:widowControl/>
              <w:suppressLineNumbers w:val="0"/>
              <w:jc w:val="left"/>
              <w:textAlignment w:val="center"/>
              <w:rPr>
                <w:rFonts w:hint="default" w:ascii="仿宋_GB2312" w:hAnsi="仿宋_GB2312" w:eastAsia="仿宋_GB2312" w:cs="仿宋_GB2312"/>
                <w:color w:val="000000"/>
                <w:kern w:val="0"/>
                <w:sz w:val="20"/>
                <w:szCs w:val="20"/>
                <w:lang w:val="en-US"/>
              </w:rPr>
            </w:pPr>
            <w:r>
              <w:rPr>
                <w:rFonts w:hint="eastAsia" w:ascii="仿宋_GB2312" w:hAnsi="仿宋_GB2312" w:eastAsia="仿宋_GB2312" w:cs="仿宋_GB2312"/>
                <w:i w:val="0"/>
                <w:iCs w:val="0"/>
                <w:color w:val="000000"/>
                <w:kern w:val="0"/>
                <w:sz w:val="20"/>
                <w:szCs w:val="20"/>
                <w:u w:val="none"/>
                <w:lang w:val="en-US" w:eastAsia="zh-CN" w:bidi="ar"/>
              </w:rPr>
              <w:t>安全监管队伍素质、执法能力和监管水平</w:t>
            </w:r>
          </w:p>
        </w:tc>
        <w:tc>
          <w:tcPr>
            <w:tcW w:w="0" w:type="auto"/>
            <w:noWrap w:val="0"/>
            <w:vAlign w:val="center"/>
          </w:tcPr>
          <w:p>
            <w:pPr>
              <w:keepNext w:val="0"/>
              <w:keepLines w:val="0"/>
              <w:widowControl/>
              <w:suppressLineNumbers w:val="0"/>
              <w:jc w:val="center"/>
              <w:textAlignment w:val="center"/>
              <w:rPr>
                <w:rFonts w:hint="default" w:ascii="仿宋_GB2312" w:hAnsi="仿宋_GB2312" w:eastAsia="仿宋_GB2312" w:cs="仿宋_GB2312"/>
                <w:color w:val="000000"/>
                <w:kern w:val="0"/>
                <w:sz w:val="20"/>
                <w:szCs w:val="20"/>
                <w:lang w:val="en-US" w:eastAsia="zh-CN"/>
              </w:rPr>
            </w:pPr>
            <w:r>
              <w:rPr>
                <w:rFonts w:hint="eastAsia" w:ascii="仿宋_GB2312" w:hAnsi="仿宋_GB2312" w:eastAsia="仿宋_GB2312" w:cs="仿宋_GB2312"/>
                <w:color w:val="000000"/>
                <w:kern w:val="0"/>
                <w:sz w:val="20"/>
                <w:szCs w:val="20"/>
                <w:lang w:val="en-US" w:eastAsia="zh-CN"/>
              </w:rPr>
              <w:t>不断提升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0" w:type="auto"/>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仿宋_GB2312" w:hAnsi="仿宋_GB2312" w:eastAsia="仿宋_GB2312" w:cs="仿宋_GB2312"/>
                <w:color w:val="000000"/>
                <w:kern w:val="0"/>
                <w:sz w:val="20"/>
                <w:szCs w:val="20"/>
              </w:rPr>
            </w:pP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满意度指标（10分）</w:t>
            </w:r>
          </w:p>
        </w:tc>
        <w:tc>
          <w:tcPr>
            <w:tcW w:w="0" w:type="auto"/>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仿宋_GB2312" w:hAnsi="仿宋_GB2312" w:eastAsia="仿宋_GB2312" w:cs="仿宋_GB2312"/>
                <w:color w:val="000000"/>
                <w:kern w:val="0"/>
                <w:sz w:val="20"/>
                <w:szCs w:val="20"/>
              </w:rPr>
            </w:pPr>
            <w:r>
              <w:rPr>
                <w:rFonts w:hint="eastAsia" w:ascii="仿宋_GB2312" w:hAnsi="仿宋_GB2312" w:eastAsia="仿宋_GB2312" w:cs="仿宋_GB2312"/>
                <w:color w:val="000000"/>
                <w:kern w:val="0"/>
                <w:sz w:val="20"/>
                <w:szCs w:val="20"/>
              </w:rPr>
              <w:t>服务对象满意度指标</w:t>
            </w:r>
          </w:p>
        </w:tc>
        <w:tc>
          <w:tcPr>
            <w:tcW w:w="0" w:type="auto"/>
            <w:noWrap w:val="0"/>
            <w:vAlign w:val="center"/>
          </w:tcPr>
          <w:p>
            <w:pPr>
              <w:keepNext w:val="0"/>
              <w:keepLines w:val="0"/>
              <w:suppressLineNumbers w:val="0"/>
              <w:spacing w:before="0" w:beforeAutospacing="0" w:after="0" w:afterAutospacing="0"/>
              <w:ind w:left="-53" w:leftChars="-25" w:right="-53" w:rightChars="-25"/>
              <w:jc w:val="left"/>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lang w:eastAsia="zh-CN"/>
                <w14:textFill>
                  <w14:solidFill>
                    <w14:schemeClr w14:val="tx1"/>
                  </w14:solidFill>
                </w14:textFill>
              </w:rPr>
              <w:t>公众对</w:t>
            </w:r>
            <w:r>
              <w:rPr>
                <w:rFonts w:hint="eastAsia" w:ascii="仿宋_GB2312" w:hAnsi="仿宋_GB2312" w:eastAsia="仿宋_GB2312" w:cs="仿宋_GB2312"/>
                <w:color w:val="000000" w:themeColor="text1"/>
                <w:kern w:val="0"/>
                <w:sz w:val="21"/>
                <w:szCs w:val="21"/>
                <w:lang w:val="en-US" w:eastAsia="zh-CN"/>
                <w14:textFill>
                  <w14:solidFill>
                    <w14:schemeClr w14:val="tx1"/>
                  </w14:solidFill>
                </w14:textFill>
              </w:rPr>
              <w:t>市场</w:t>
            </w:r>
            <w:r>
              <w:rPr>
                <w:rFonts w:hint="eastAsia" w:ascii="仿宋_GB2312" w:hAnsi="仿宋_GB2312" w:eastAsia="仿宋_GB2312" w:cs="仿宋_GB2312"/>
                <w:color w:val="000000" w:themeColor="text1"/>
                <w:kern w:val="0"/>
                <w:sz w:val="21"/>
                <w:szCs w:val="21"/>
                <w:lang w:eastAsia="zh-CN"/>
                <w14:textFill>
                  <w14:solidFill>
                    <w14:schemeClr w14:val="tx1"/>
                  </w14:solidFill>
                </w14:textFill>
              </w:rPr>
              <w:t>监管工作满意度</w:t>
            </w:r>
          </w:p>
        </w:tc>
        <w:tc>
          <w:tcPr>
            <w:tcW w:w="0" w:type="auto"/>
            <w:noWrap w:val="0"/>
            <w:vAlign w:val="center"/>
          </w:tcPr>
          <w:p>
            <w:pPr>
              <w:keepNext w:val="0"/>
              <w:keepLines w:val="0"/>
              <w:suppressLineNumbers w:val="0"/>
              <w:spacing w:before="0" w:beforeAutospacing="0" w:after="0" w:afterAutospacing="0"/>
              <w:ind w:left="-53" w:leftChars="-25" w:right="-53" w:rightChars="-25"/>
              <w:jc w:val="center"/>
              <w:rPr>
                <w:rFonts w:hint="eastAsia" w:ascii="仿宋_GB2312" w:hAnsi="仿宋_GB2312" w:eastAsia="仿宋_GB2312" w:cs="仿宋_GB2312"/>
                <w:color w:val="000000" w:themeColor="text1"/>
                <w:kern w:val="0"/>
                <w:sz w:val="21"/>
                <w:szCs w:val="21"/>
                <w:lang w:val="en-US" w:eastAsia="zh-CN" w:bidi="ar-SA"/>
                <w14:textFill>
                  <w14:solidFill>
                    <w14:schemeClr w14:val="tx1"/>
                  </w14:solidFill>
                </w14:textFill>
              </w:rPr>
            </w:pPr>
            <w:r>
              <w:rPr>
                <w:rFonts w:hint="eastAsia" w:ascii="仿宋_GB2312" w:hAnsi="仿宋_GB2312" w:eastAsia="仿宋_GB2312" w:cs="仿宋_GB2312"/>
                <w:color w:val="000000" w:themeColor="text1"/>
                <w:kern w:val="0"/>
                <w:sz w:val="21"/>
                <w:szCs w:val="21"/>
                <w14:textFill>
                  <w14:solidFill>
                    <w14:schemeClr w14:val="tx1"/>
                  </w14:solidFill>
                </w14:textFill>
              </w:rPr>
              <w:t>≥90%</w:t>
            </w:r>
          </w:p>
        </w:tc>
      </w:tr>
    </w:tbl>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leftChars="0"/>
        <w:textAlignment w:val="auto"/>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二、绩效评价工作情况</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（一）绩效评价目的</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1" w:name="_Toc11844"/>
      <w:r>
        <w:rPr>
          <w:rFonts w:hint="eastAsia" w:ascii="仿宋" w:hAnsi="仿宋" w:eastAsia="仿宋" w:cs="仿宋"/>
          <w:i w:val="0"/>
          <w:iCs w:val="0"/>
          <w:caps w:val="0"/>
          <w:color w:val="000000"/>
          <w:spacing w:val="0"/>
          <w:kern w:val="0"/>
          <w:sz w:val="32"/>
          <w:szCs w:val="32"/>
          <w:shd w:val="clear" w:fill="FFFFFF"/>
          <w:lang w:val="en-US" w:eastAsia="zh-CN" w:bidi="ar"/>
        </w:rPr>
        <w:t>项目支出绩效评价是对项目支出情况进行评估和衡量的过程，旨在评估项目支出的效益、效果和效率，以确保项目资源的有效利用和合理配置。促使项目承担单位根据绩效评价中发现的问题，认真加以整改，及时调整和完善单位的工作计划和绩效目标并加强项目管理，提高管理水平，同时为项目后续资金投入、分配和管理提供决策依据。</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（二）被评价单位、绩效评价范围与时段</w:t>
      </w:r>
      <w:bookmarkEnd w:id="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2" w:name="_Toc31835"/>
      <w:r>
        <w:rPr>
          <w:rFonts w:hint="eastAsia" w:ascii="仿宋" w:hAnsi="仿宋" w:eastAsia="仿宋" w:cs="仿宋"/>
          <w:i w:val="0"/>
          <w:iCs w:val="0"/>
          <w:caps w:val="0"/>
          <w:color w:val="000000"/>
          <w:spacing w:val="0"/>
          <w:kern w:val="0"/>
          <w:sz w:val="32"/>
          <w:szCs w:val="32"/>
          <w:shd w:val="clear" w:fill="FFFFFF"/>
          <w:lang w:val="en-US" w:eastAsia="zh-CN" w:bidi="ar"/>
        </w:rPr>
        <w:t>被评价单位为怀化市市场监督管理局及下属二级机构，评价范围：中央食品、药品监管补助资金、省级市场监管专项资金、市级财政专项资金项目的各个阶段，包括前期准备、实施过程和成果验收等，评价时段为：2023年1月1日起至2023年12月31日止。</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val="0"/>
          <w:bCs w:val="0"/>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（三）绩效评价原则、评价指标体系、评价方法</w:t>
      </w:r>
      <w:bookmarkEnd w:id="2"/>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3" w:name="_Toc32076"/>
      <w:bookmarkStart w:id="4" w:name="_Toc7615"/>
      <w:r>
        <w:rPr>
          <w:rFonts w:hint="eastAsia" w:ascii="仿宋" w:hAnsi="仿宋" w:eastAsia="仿宋" w:cs="仿宋"/>
          <w:i w:val="0"/>
          <w:iCs w:val="0"/>
          <w:caps w:val="0"/>
          <w:color w:val="000000"/>
          <w:spacing w:val="0"/>
          <w:kern w:val="0"/>
          <w:sz w:val="32"/>
          <w:szCs w:val="32"/>
          <w:shd w:val="clear" w:fill="FFFFFF"/>
          <w:lang w:val="en-US" w:eastAsia="zh-CN" w:bidi="ar"/>
        </w:rPr>
        <w:t>绩效评价原则遵循科学规范、公正公开、分级分类、绩效相关的原则，评价指标体系由一级指标：产出指标、效益指标及满意度指标构成，其中产出指标分为数量指标、质量指标、时效指标、成本指标构成。评价方法采用定量和定性评价相结合的比较法，总分通过各项指标得分汇总形成。</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三、主要绩效及评价结论</w:t>
      </w:r>
      <w:bookmarkEnd w:id="3"/>
      <w:bookmarkEnd w:id="4"/>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（一）社会效益</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1、食品安全保障水平稳步提升。坚持深入贯彻习近平总书记关于食品安全重要指示批示精神，按照省局有关食品安全工作部署，不断创新监管机制，守牢安全底线，包保干部配备率和责任承诺书签订率达100%，群众满意度持续提升，食品全省食品安全民众满意度调查得分91.67分，高于全省平均水平3.89分，排名第一。</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知识产权保护运用提速提效。准确把握知识产权强省战略，瞄定发展目标，大力推进我市知识产权强市建设。有效发明专利拥有量1672件，每万人拥有3.7件，增速30%，发明专利、每万人发明专利增速均位居全省第一，共有地理标志41个（件），总量排全省第一。2件商标恶意注册案件入选今年湖南4.26知识产权宣传周典型案例并对外发布；1件侵犯注册商标专用权案件入选长江中下游三省及省会城市知识产权行政执法案件典型案例;查处的“向某销售侵犯注册商标专用权的白酒案”入选2023年湖南省市场监管领域行刑衔接典型案例。知识产权工作被《中国知识产权报》专题报道，在省级媒体发布11次。</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（二）可持续影响</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全面履行监管职责，有力维护市场秩序。聚焦监管效能持续提升，打造公平有序的市场经营生态。一是强化反不正当竞争监管。出台《怀化市公平竞争审查工作重大政策措施会审制度》，健全内部审查机制。大力开展商业秘密保护，对涉及市场主体经济活动的地方性法规、政府规章、规范性文件和其他政策措施进行公平竞争审查。二是强化民生领域价格监管。持续开展教育收费、药品和医疗服务价格、养老领域、中介服务价格等专项整治。三是全面推进“双随机、一公开”监管和信用监管。以“校外托管机构管理”为试点，探索全市“一业一查”监管模式；开展电商行业“沙盒”式监管试点，完善适合网络交易新产业新业态的包容审慎监管模式；建立县域企业智慧监管平台，按照诚信等级“红黄橙绿”对食品药品企业进行差异化监管试点；推进“一网慧管”模式和“卤味”行业一站式监管试点，事中事后监管再创新路径。四是强化消费维权保障。全市放心消费创建示范单位，发展ODR（在线处理消费纠纷）单位，为消费者挽回损失。五是全面推进柔性执法。用制度形式推动执法规范化，印发《怀化市市场监督管理局关于推行柔性执法优化营商环境的指导意见》，制定两批次《怀化市市场监管部门初次轻微违法行为免于行政处罚清单》。</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（四）满意度情况</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公众对市场监管工作满意度≥93%。</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default"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（五）评价结论</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5" w:name="_Toc16332"/>
      <w:bookmarkStart w:id="6" w:name="_Toc27541"/>
      <w:r>
        <w:rPr>
          <w:rFonts w:hint="eastAsia" w:ascii="仿宋" w:hAnsi="仿宋" w:eastAsia="仿宋" w:cs="仿宋"/>
          <w:i w:val="0"/>
          <w:iCs w:val="0"/>
          <w:caps w:val="0"/>
          <w:color w:val="000000"/>
          <w:spacing w:val="0"/>
          <w:kern w:val="0"/>
          <w:sz w:val="32"/>
          <w:szCs w:val="32"/>
          <w:shd w:val="clear" w:fill="FFFFFF"/>
          <w:lang w:val="en-US" w:eastAsia="zh-CN" w:bidi="ar"/>
        </w:rPr>
        <w:t>经综合评价项目各绩效指标，项目自评得分90分，评级等级为“优秀”。</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四、绩效评价指标分析</w:t>
      </w:r>
      <w:bookmarkEnd w:id="5"/>
      <w:bookmarkEnd w:id="6"/>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bookmarkStart w:id="7" w:name="_Toc17679"/>
      <w:r>
        <w:rPr>
          <w:rFonts w:hint="eastAsia" w:ascii="楷体" w:hAnsi="楷体" w:eastAsia="楷体" w:cs="楷体"/>
          <w:b/>
          <w:bCs/>
          <w:i w:val="0"/>
          <w:iCs w:val="0"/>
          <w:caps w:val="0"/>
          <w:color w:val="000000"/>
          <w:spacing w:val="0"/>
          <w:kern w:val="0"/>
          <w:sz w:val="32"/>
          <w:szCs w:val="32"/>
          <w:shd w:val="clear" w:fill="FFFFFF"/>
          <w:lang w:val="en-US" w:eastAsia="zh-CN" w:bidi="ar"/>
        </w:rPr>
        <w:t>(一)项目决策情况</w:t>
      </w:r>
      <w:bookmarkEnd w:id="7"/>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8" w:name="_Toc28411"/>
      <w:r>
        <w:rPr>
          <w:rFonts w:hint="eastAsia" w:ascii="仿宋" w:hAnsi="仿宋" w:eastAsia="仿宋" w:cs="仿宋"/>
          <w:i w:val="0"/>
          <w:iCs w:val="0"/>
          <w:caps w:val="0"/>
          <w:color w:val="000000"/>
          <w:spacing w:val="0"/>
          <w:kern w:val="0"/>
          <w:sz w:val="32"/>
          <w:szCs w:val="32"/>
          <w:shd w:val="clear" w:fill="FFFFFF"/>
          <w:lang w:val="en-US" w:eastAsia="zh-CN" w:bidi="ar"/>
        </w:rPr>
        <w:t>项目决策程序规范，按相关制度规定执行。</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(二)项目过程情况</w:t>
      </w:r>
      <w:bookmarkEnd w:id="8"/>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9" w:name="_Toc10140"/>
      <w:bookmarkStart w:id="10" w:name="_Toc6604"/>
      <w:r>
        <w:rPr>
          <w:rFonts w:hint="eastAsia" w:ascii="仿宋" w:hAnsi="仿宋" w:eastAsia="仿宋" w:cs="仿宋"/>
          <w:i w:val="0"/>
          <w:iCs w:val="0"/>
          <w:caps w:val="0"/>
          <w:color w:val="000000"/>
          <w:spacing w:val="0"/>
          <w:kern w:val="0"/>
          <w:sz w:val="32"/>
          <w:szCs w:val="32"/>
          <w:shd w:val="clear" w:fill="FFFFFF"/>
          <w:lang w:val="en-US" w:eastAsia="zh-CN" w:bidi="ar"/>
        </w:rPr>
        <w:t>1.资金管理</w:t>
      </w:r>
      <w:bookmarkEnd w:id="9"/>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11" w:name="_Toc1210"/>
      <w:r>
        <w:rPr>
          <w:rFonts w:hint="eastAsia" w:ascii="仿宋" w:hAnsi="仿宋" w:eastAsia="仿宋" w:cs="仿宋"/>
          <w:i w:val="0"/>
          <w:iCs w:val="0"/>
          <w:caps w:val="0"/>
          <w:color w:val="000000"/>
          <w:spacing w:val="0"/>
          <w:kern w:val="0"/>
          <w:sz w:val="32"/>
          <w:szCs w:val="32"/>
          <w:shd w:val="clear" w:fill="FFFFFF"/>
          <w:lang w:val="en-US" w:eastAsia="zh-CN" w:bidi="ar"/>
        </w:rPr>
        <w:t>我单位严格按照《怀化市市场监督管理局专项资金管理办法》管理资金，确保专项资金使用的规范、安全和高效。</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2.项目实施</w:t>
      </w:r>
      <w:bookmarkEnd w:id="11"/>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项目的日常管理工作均按照我单位相关管理制度执行，建立了“工作有计划、实施有方案、日常有监督”的管理机制。</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(三)项目产出情况</w:t>
      </w:r>
      <w:bookmarkEnd w:id="10"/>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bookmarkStart w:id="12" w:name="_Toc20742"/>
      <w:r>
        <w:rPr>
          <w:rFonts w:hint="eastAsia" w:ascii="仿宋" w:hAnsi="仿宋" w:eastAsia="仿宋" w:cs="仿宋"/>
          <w:color w:val="000000"/>
          <w:kern w:val="2"/>
          <w:sz w:val="32"/>
          <w:szCs w:val="32"/>
          <w:lang w:val="en-US" w:eastAsia="zh-CN" w:bidi="ar-SA"/>
        </w:rPr>
        <w:t>1.产出数量</w:t>
      </w:r>
      <w:bookmarkEnd w:id="12"/>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bookmarkStart w:id="13" w:name="_Toc5372"/>
      <w:r>
        <w:rPr>
          <w:rFonts w:hint="eastAsia" w:ascii="仿宋" w:hAnsi="仿宋" w:eastAsia="仿宋" w:cs="仿宋"/>
          <w:color w:val="000000"/>
          <w:kern w:val="2"/>
          <w:sz w:val="32"/>
          <w:szCs w:val="32"/>
          <w:lang w:val="en-US" w:eastAsia="zh-CN" w:bidi="ar-SA"/>
        </w:rPr>
        <w:t>各项工作任务严格按照预期绩效指标完成。</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2.产出质量</w:t>
      </w:r>
      <w:bookmarkEnd w:id="13"/>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bookmarkStart w:id="14" w:name="_Toc25948"/>
      <w:r>
        <w:rPr>
          <w:rFonts w:hint="eastAsia" w:ascii="仿宋" w:hAnsi="仿宋" w:eastAsia="仿宋" w:cs="仿宋"/>
          <w:color w:val="000000"/>
          <w:kern w:val="2"/>
          <w:sz w:val="32"/>
          <w:szCs w:val="32"/>
          <w:lang w:val="en-US" w:eastAsia="zh-CN" w:bidi="ar-SA"/>
        </w:rPr>
        <w:t>各项抽检完成率、培训完成率、核查处置率、抽检合格率、工作完成率、投诉举报处置率、安全监督检查覆盖率均达到预期指标。</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3.产出成本</w:t>
      </w:r>
      <w:bookmarkEnd w:id="14"/>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bookmarkStart w:id="15" w:name="_Toc21477"/>
      <w:r>
        <w:rPr>
          <w:rFonts w:hint="eastAsia" w:ascii="仿宋" w:hAnsi="仿宋" w:eastAsia="仿宋" w:cs="仿宋"/>
          <w:color w:val="000000"/>
          <w:kern w:val="2"/>
          <w:sz w:val="32"/>
          <w:szCs w:val="32"/>
          <w:lang w:val="en-US" w:eastAsia="zh-CN" w:bidi="ar-SA"/>
        </w:rPr>
        <w:t>项目成本得到严格控制，均未超出项目计划成本。</w:t>
      </w: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600" w:lineRule="exact"/>
        <w:ind w:right="0" w:firstLine="640" w:firstLineChars="200"/>
        <w:jc w:val="both"/>
        <w:textAlignment w:val="auto"/>
        <w:rPr>
          <w:rFonts w:hint="eastAsia" w:ascii="仿宋" w:hAnsi="仿宋" w:eastAsia="仿宋" w:cs="仿宋"/>
          <w:color w:val="000000"/>
          <w:kern w:val="2"/>
          <w:sz w:val="32"/>
          <w:szCs w:val="32"/>
          <w:lang w:val="en-US" w:eastAsia="zh-CN" w:bidi="ar-SA"/>
        </w:rPr>
      </w:pPr>
      <w:r>
        <w:rPr>
          <w:rFonts w:hint="eastAsia" w:ascii="仿宋" w:hAnsi="仿宋" w:eastAsia="仿宋" w:cs="仿宋"/>
          <w:color w:val="000000"/>
          <w:kern w:val="2"/>
          <w:sz w:val="32"/>
          <w:szCs w:val="32"/>
          <w:lang w:val="en-US" w:eastAsia="zh-CN" w:bidi="ar-SA"/>
        </w:rPr>
        <w:t>4.产出时效</w:t>
      </w:r>
      <w:bookmarkEnd w:id="15"/>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16" w:name="_Toc12690"/>
      <w:bookmarkStart w:id="17" w:name="_Toc3072"/>
      <w:r>
        <w:rPr>
          <w:rFonts w:hint="eastAsia" w:ascii="仿宋" w:hAnsi="仿宋" w:eastAsia="仿宋" w:cs="仿宋"/>
          <w:i w:val="0"/>
          <w:iCs w:val="0"/>
          <w:caps w:val="0"/>
          <w:color w:val="000000"/>
          <w:spacing w:val="0"/>
          <w:kern w:val="0"/>
          <w:sz w:val="32"/>
          <w:szCs w:val="32"/>
          <w:shd w:val="clear" w:fill="FFFFFF"/>
          <w:lang w:val="en-US" w:eastAsia="zh-CN" w:bidi="ar"/>
        </w:rPr>
        <w:t>各项工作任务均于2023年12月31日前完成。</w:t>
      </w:r>
    </w:p>
    <w:p>
      <w:pPr>
        <w:pStyle w:val="9"/>
        <w:keepNext w:val="0"/>
        <w:keepLines w:val="0"/>
        <w:pageBreakBefore w:val="0"/>
        <w:widowControl w:val="0"/>
        <w:kinsoku/>
        <w:wordWrap/>
        <w:overflowPunct/>
        <w:topLinePunct w:val="0"/>
        <w:autoSpaceDE/>
        <w:autoSpaceDN/>
        <w:bidi w:val="0"/>
        <w:adjustRightInd/>
        <w:snapToGrid w:val="0"/>
        <w:spacing w:beforeLines="0" w:afterLines="0" w:line="520" w:lineRule="exact"/>
        <w:ind w:left="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(四)项目效益情况</w:t>
      </w:r>
      <w:bookmarkEnd w:id="16"/>
      <w:bookmarkEnd w:id="17"/>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18" w:name="_Toc390096931"/>
      <w:bookmarkStart w:id="19" w:name="_Toc390267055"/>
      <w:bookmarkStart w:id="20" w:name="_Toc24241"/>
      <w:bookmarkStart w:id="21" w:name="_Toc12414"/>
      <w:r>
        <w:rPr>
          <w:rFonts w:hint="eastAsia" w:ascii="仿宋" w:hAnsi="仿宋" w:eastAsia="仿宋" w:cs="仿宋"/>
          <w:i w:val="0"/>
          <w:iCs w:val="0"/>
          <w:caps w:val="0"/>
          <w:color w:val="000000"/>
          <w:spacing w:val="0"/>
          <w:kern w:val="0"/>
          <w:sz w:val="32"/>
          <w:szCs w:val="32"/>
          <w:shd w:val="clear" w:fill="FFFFFF"/>
          <w:lang w:val="en-US" w:eastAsia="zh-CN" w:bidi="ar"/>
        </w:rPr>
        <w:t>持续提升餐饮经营者食品安全主体责任意识水平；推动建立食品安全属地管理责任和企业主体责任长效机制第二年的全覆盖；持续提升食品经营监管能力和水平；通过打击价格违法行为，保障经营者和消费者价格合法权益，保持社会稳定；公众反垄断及公平竞争审查知识素养提高；持续促进怀化产品质量安全水平的趋势；提升依法行政能力，构建现代化市场监管法治体系；“两品一械”宣传体系不断完善；队伍素质和装备配置水平不断提高；公众对“两品一械”监管工作认可度和满意感持续提升；公众“两品一械”安全使用常识持续增强。</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0"/>
        <w:rPr>
          <w:rFonts w:hint="eastAsia" w:ascii="黑体" w:hAnsi="黑体" w:eastAsia="黑体" w:cs="黑体"/>
          <w:i w:val="0"/>
          <w:iCs w:val="0"/>
          <w:caps w:val="0"/>
          <w:color w:val="000000"/>
          <w:spacing w:val="0"/>
          <w:kern w:val="0"/>
          <w:sz w:val="32"/>
          <w:szCs w:val="32"/>
          <w:shd w:val="clear" w:fill="FFFFFF"/>
          <w:lang w:val="en-US" w:eastAsia="zh-CN" w:bidi="ar"/>
        </w:rPr>
      </w:pPr>
      <w:r>
        <w:rPr>
          <w:rFonts w:hint="eastAsia" w:ascii="黑体" w:hAnsi="黑体" w:eastAsia="黑体" w:cs="黑体"/>
          <w:i w:val="0"/>
          <w:iCs w:val="0"/>
          <w:caps w:val="0"/>
          <w:color w:val="000000"/>
          <w:spacing w:val="0"/>
          <w:kern w:val="0"/>
          <w:sz w:val="32"/>
          <w:szCs w:val="32"/>
          <w:shd w:val="clear" w:fill="FFFFFF"/>
          <w:lang w:val="en-US" w:eastAsia="zh-CN" w:bidi="ar"/>
        </w:rPr>
        <w:t>五、项目主要经验、存在的问题</w:t>
      </w:r>
      <w:bookmarkEnd w:id="18"/>
      <w:bookmarkEnd w:id="19"/>
      <w:r>
        <w:rPr>
          <w:rFonts w:hint="eastAsia" w:ascii="黑体" w:hAnsi="黑体" w:eastAsia="黑体" w:cs="黑体"/>
          <w:i w:val="0"/>
          <w:iCs w:val="0"/>
          <w:caps w:val="0"/>
          <w:color w:val="000000"/>
          <w:spacing w:val="0"/>
          <w:kern w:val="0"/>
          <w:sz w:val="32"/>
          <w:szCs w:val="32"/>
          <w:shd w:val="clear" w:fill="FFFFFF"/>
          <w:lang w:val="en-US" w:eastAsia="zh-CN" w:bidi="ar"/>
        </w:rPr>
        <w:t>及建议</w:t>
      </w:r>
      <w:bookmarkEnd w:id="20"/>
      <w:bookmarkEnd w:id="21"/>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楷体" w:hAnsi="楷体" w:eastAsia="楷体" w:cs="楷体"/>
          <w:b/>
          <w:bCs/>
          <w:i w:val="0"/>
          <w:iCs w:val="0"/>
          <w:caps w:val="0"/>
          <w:color w:val="000000"/>
          <w:spacing w:val="0"/>
          <w:kern w:val="0"/>
          <w:sz w:val="32"/>
          <w:szCs w:val="32"/>
          <w:shd w:val="clear" w:fill="FFFFFF"/>
          <w:lang w:val="en-US" w:eastAsia="zh-CN" w:bidi="ar"/>
        </w:rPr>
      </w:pPr>
      <w:bookmarkStart w:id="22" w:name="_Toc23434"/>
      <w:bookmarkStart w:id="23" w:name="_Toc5316"/>
      <w:r>
        <w:rPr>
          <w:rFonts w:hint="eastAsia" w:ascii="楷体" w:hAnsi="楷体" w:eastAsia="楷体" w:cs="楷体"/>
          <w:b/>
          <w:bCs/>
          <w:i w:val="0"/>
          <w:iCs w:val="0"/>
          <w:caps w:val="0"/>
          <w:color w:val="000000"/>
          <w:spacing w:val="0"/>
          <w:kern w:val="0"/>
          <w:sz w:val="32"/>
          <w:szCs w:val="32"/>
          <w:shd w:val="clear" w:fill="FFFFFF"/>
          <w:lang w:val="en-US" w:eastAsia="zh-CN" w:bidi="ar"/>
        </w:rPr>
        <w:t>（一）项目主要经验</w:t>
      </w:r>
      <w:bookmarkEnd w:id="22"/>
      <w:r>
        <w:rPr>
          <w:rFonts w:hint="eastAsia" w:ascii="楷体" w:hAnsi="楷体" w:eastAsia="楷体" w:cs="楷体"/>
          <w:b/>
          <w:bCs/>
          <w:i w:val="0"/>
          <w:iCs w:val="0"/>
          <w:caps w:val="0"/>
          <w:color w:val="000000"/>
          <w:spacing w:val="0"/>
          <w:kern w:val="0"/>
          <w:sz w:val="32"/>
          <w:szCs w:val="32"/>
          <w:shd w:val="clear" w:fill="FFFFFF"/>
          <w:lang w:val="en-US" w:eastAsia="zh-CN" w:bidi="ar"/>
        </w:rPr>
        <w:t>及做法</w:t>
      </w:r>
      <w:bookmarkEnd w:id="23"/>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bookmarkStart w:id="24" w:name="_Toc6772"/>
      <w:bookmarkStart w:id="25" w:name="_Toc2597"/>
      <w:r>
        <w:rPr>
          <w:rFonts w:hint="eastAsia" w:ascii="仿宋" w:hAnsi="仿宋" w:eastAsia="仿宋" w:cs="仿宋"/>
          <w:i w:val="0"/>
          <w:iCs w:val="0"/>
          <w:caps w:val="0"/>
          <w:color w:val="000000"/>
          <w:spacing w:val="0"/>
          <w:kern w:val="0"/>
          <w:sz w:val="32"/>
          <w:szCs w:val="32"/>
          <w:shd w:val="clear" w:fill="FFFFFF"/>
          <w:lang w:val="en-US" w:eastAsia="zh-CN" w:bidi="ar"/>
        </w:rPr>
        <w:t>1、加强党建引领，扛牢管党治党政治责任。牢牢把握政治机关的定位，把坚持和加强党的全面领导贯穿到市场监管工作的全过程，着力打造一支“政治强、作风实、业务精、纪律严”的市场监管“铁军”，树立“清廉市监”新形象。</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2、深化市场改革，持续激发市场活力。继续推动落实打好发展“六仗”相关政策措施，深化商事制度改革，提升登记注册服务质量，深入开展“提升年”活动，加强涉企违规收费专项检查，切实减轻经营主体负担。</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3、强化体系支撑，助推高质量发展。深入推进实施“五新四城”战略，大力实施质量强市战略，着力打造知识产权保护运用“一站式”服务平台，深入开展“提升年”活动，推进品牌建设，培育一批省以上“怀字号”质量品牌。</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4、坚守底线意识，强化市场安全监管。推动“两个责任”全覆盖，严格落实“四个最严”要求，持续加强食品全过程全链条监管。加大对药品、化妆品、医疗器械、特种设备、工业产品等检查、抽检力度，严厉打击各类违法行为。</w:t>
      </w:r>
    </w:p>
    <w:p>
      <w:pPr>
        <w:keepNext w:val="0"/>
        <w:keepLines w:val="0"/>
        <w:pageBreakBefore w:val="0"/>
        <w:widowControl w:val="0"/>
        <w:kinsoku/>
        <w:wordWrap/>
        <w:overflowPunct/>
        <w:topLinePunct w:val="0"/>
        <w:autoSpaceDE/>
        <w:autoSpaceDN/>
        <w:bidi w:val="0"/>
        <w:adjustRightInd/>
        <w:snapToGrid w:val="0"/>
        <w:spacing w:line="560" w:lineRule="exact"/>
        <w:ind w:left="0" w:leftChars="0" w:firstLine="640" w:firstLineChars="200"/>
        <w:textAlignment w:val="auto"/>
        <w:outlineLvl w:val="2"/>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i w:val="0"/>
          <w:iCs w:val="0"/>
          <w:caps w:val="0"/>
          <w:color w:val="000000"/>
          <w:spacing w:val="0"/>
          <w:kern w:val="0"/>
          <w:sz w:val="32"/>
          <w:szCs w:val="32"/>
          <w:shd w:val="clear" w:fill="FFFFFF"/>
          <w:lang w:val="en-US" w:eastAsia="zh-CN" w:bidi="ar"/>
        </w:rPr>
        <w:t>5、突出监管执法，规范市场经营秩序。持续开展教育、医疗、养老领域、居民生活必需品等民生领域价费检查，用好12315投诉咨询平台，提高消费维权工作水平，持续创建放心消费示范单位和发展线下无理由退货承诺单位。</w:t>
      </w:r>
    </w:p>
    <w:p>
      <w:pPr>
        <w:keepNext w:val="0"/>
        <w:keepLines w:val="0"/>
        <w:pageBreakBefore w:val="0"/>
        <w:widowControl w:val="0"/>
        <w:kinsoku/>
        <w:wordWrap/>
        <w:overflowPunct/>
        <w:topLinePunct w:val="0"/>
        <w:autoSpaceDE/>
        <w:autoSpaceDN/>
        <w:bidi w:val="0"/>
        <w:adjustRightInd/>
        <w:snapToGrid w:val="0"/>
        <w:spacing w:line="520" w:lineRule="exact"/>
        <w:ind w:left="0" w:leftChars="0" w:firstLine="643" w:firstLineChars="200"/>
        <w:textAlignment w:val="auto"/>
        <w:outlineLvl w:val="1"/>
        <w:rPr>
          <w:rFonts w:hint="eastAsia" w:ascii="楷体" w:hAnsi="楷体" w:eastAsia="楷体" w:cs="楷体"/>
          <w:b/>
          <w:bCs/>
          <w:i w:val="0"/>
          <w:iCs w:val="0"/>
          <w:caps w:val="0"/>
          <w:color w:val="000000"/>
          <w:spacing w:val="0"/>
          <w:kern w:val="0"/>
          <w:sz w:val="32"/>
          <w:szCs w:val="32"/>
          <w:shd w:val="clear" w:fill="FFFFFF"/>
          <w:lang w:val="en-US" w:eastAsia="zh-CN" w:bidi="ar"/>
        </w:rPr>
      </w:pPr>
      <w:r>
        <w:rPr>
          <w:rFonts w:hint="eastAsia" w:ascii="楷体" w:hAnsi="楷体" w:eastAsia="楷体" w:cs="楷体"/>
          <w:b/>
          <w:bCs/>
          <w:i w:val="0"/>
          <w:iCs w:val="0"/>
          <w:caps w:val="0"/>
          <w:color w:val="000000"/>
          <w:spacing w:val="0"/>
          <w:kern w:val="0"/>
          <w:sz w:val="32"/>
          <w:szCs w:val="32"/>
          <w:shd w:val="clear" w:fill="FFFFFF"/>
          <w:lang w:val="en-US" w:eastAsia="zh-CN" w:bidi="ar"/>
        </w:rPr>
        <w:t>（二）存在的问题</w:t>
      </w:r>
      <w:bookmarkEnd w:id="24"/>
      <w:bookmarkEnd w:id="25"/>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 w:hAnsi="仿宋" w:eastAsia="仿宋" w:cs="仿宋"/>
          <w:sz w:val="32"/>
          <w:szCs w:val="32"/>
          <w:lang w:val="en-US" w:eastAsia="zh-CN"/>
        </w:rPr>
      </w:pPr>
      <w:bookmarkStart w:id="26" w:name="_Toc29278"/>
      <w:bookmarkStart w:id="27" w:name="_Toc16271"/>
      <w:r>
        <w:rPr>
          <w:rFonts w:hint="eastAsia" w:ascii="仿宋" w:hAnsi="仿宋" w:eastAsia="仿宋" w:cs="仿宋"/>
          <w:sz w:val="32"/>
          <w:szCs w:val="32"/>
          <w:lang w:val="en-US" w:eastAsia="zh-CN"/>
        </w:rPr>
        <w:t>1、</w:t>
      </w:r>
      <w:r>
        <w:rPr>
          <w:rFonts w:hint="eastAsia" w:ascii="仿宋" w:hAnsi="仿宋" w:eastAsia="仿宋" w:cs="仿宋"/>
          <w:sz w:val="32"/>
          <w:szCs w:val="32"/>
          <w:lang w:val="en-US" w:eastAsia="zh-TW"/>
        </w:rPr>
        <w:t>综合监管、检验检测能力等方面需进一步加强；“放管服”改革需要持续深化，营商环境需进一步优化；安全监管形势依然严峻，</w:t>
      </w:r>
      <w:r>
        <w:rPr>
          <w:rFonts w:hint="eastAsia" w:ascii="仿宋" w:hAnsi="仿宋" w:eastAsia="仿宋" w:cs="仿宋"/>
          <w:sz w:val="32"/>
          <w:szCs w:val="32"/>
          <w:lang w:val="en-US" w:eastAsia="zh-CN"/>
        </w:rPr>
        <w:t>专业人才不足，</w:t>
      </w:r>
      <w:r>
        <w:rPr>
          <w:rFonts w:hint="eastAsia" w:ascii="仿宋" w:hAnsi="仿宋" w:eastAsia="仿宋" w:cs="仿宋"/>
          <w:sz w:val="32"/>
          <w:szCs w:val="32"/>
          <w:lang w:val="en-US" w:eastAsia="zh-TW"/>
        </w:rPr>
        <w:t>基层监管能力有待持续提升</w:t>
      </w:r>
      <w:r>
        <w:rPr>
          <w:rFonts w:hint="eastAsia" w:ascii="仿宋" w:hAnsi="仿宋" w:eastAsia="仿宋" w:cs="仿宋"/>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房屋配套设施、大型药品、化妆品检测仪器设备，检验资质的能力储备与提高，应由省级相关部门统一规划，当地政府和省财政加大投入，了解检验检测的重要性和必要性，保证正常的检验检测监督工作开展。</w:t>
      </w:r>
    </w:p>
    <w:p>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outlineLvl w:val="1"/>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3、为适应与时俱进的检验检测工作，作为市级检验检测机构，应加强安全法规等知识的学习、农兽药残留及非法添加检验检测能力，学习前沿先进的检验检测技术，提高检验检测水平。</w:t>
      </w:r>
    </w:p>
    <w:p>
      <w:pPr>
        <w:keepNext w:val="0"/>
        <w:keepLines w:val="0"/>
        <w:pageBreakBefore w:val="0"/>
        <w:widowControl w:val="0"/>
        <w:kinsoku/>
        <w:wordWrap/>
        <w:overflowPunct/>
        <w:topLinePunct w:val="0"/>
        <w:autoSpaceDE/>
        <w:autoSpaceDN/>
        <w:bidi w:val="0"/>
        <w:adjustRightInd/>
        <w:snapToGrid w:val="0"/>
        <w:spacing w:line="520" w:lineRule="exact"/>
        <w:ind w:firstLine="643" w:firstLineChars="200"/>
        <w:textAlignment w:val="auto"/>
        <w:outlineLvl w:val="1"/>
        <w:rPr>
          <w:rFonts w:hint="default" w:ascii="Times New Roman" w:hAnsi="Times New Roman" w:cs="Times New Roman"/>
          <w:i w:val="0"/>
          <w:iCs w:val="0"/>
          <w:caps w:val="0"/>
          <w:color w:val="000000"/>
          <w:spacing w:val="0"/>
          <w:sz w:val="32"/>
          <w:szCs w:val="32"/>
        </w:rPr>
      </w:pPr>
      <w:r>
        <w:rPr>
          <w:rFonts w:hint="eastAsia" w:ascii="楷体" w:hAnsi="楷体" w:eastAsia="楷体" w:cs="楷体"/>
          <w:b/>
          <w:bCs/>
          <w:i w:val="0"/>
          <w:iCs w:val="0"/>
          <w:caps w:val="0"/>
          <w:color w:val="000000"/>
          <w:spacing w:val="0"/>
          <w:kern w:val="0"/>
          <w:sz w:val="32"/>
          <w:szCs w:val="32"/>
          <w:shd w:val="clear" w:fill="FFFFFF"/>
          <w:lang w:val="en-US" w:eastAsia="zh-CN" w:bidi="ar"/>
        </w:rPr>
        <w:t>（三）有关建议</w:t>
      </w:r>
      <w:bookmarkEnd w:id="26"/>
      <w:bookmarkEnd w:id="27"/>
    </w:p>
    <w:p>
      <w:pPr>
        <w:autoSpaceDE w:val="0"/>
        <w:spacing w:line="56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为确保项目预期目标有效实现，适当</w:t>
      </w:r>
      <w:r>
        <w:rPr>
          <w:rFonts w:hint="eastAsia" w:ascii="仿宋" w:hAnsi="仿宋" w:eastAsia="仿宋" w:cs="仿宋"/>
          <w:sz w:val="32"/>
          <w:szCs w:val="32"/>
          <w:lang w:val="en-US" w:eastAsia="zh-CN"/>
        </w:rPr>
        <w:t>增加基层人员配置和</w:t>
      </w:r>
      <w:r>
        <w:rPr>
          <w:rFonts w:hint="eastAsia" w:ascii="仿宋" w:hAnsi="仿宋" w:eastAsia="仿宋" w:cs="仿宋"/>
          <w:sz w:val="32"/>
          <w:szCs w:val="32"/>
        </w:rPr>
        <w:t>提高专项资金预算</w:t>
      </w:r>
      <w:r>
        <w:rPr>
          <w:rFonts w:hint="eastAsia" w:ascii="仿宋" w:hAnsi="仿宋" w:eastAsia="仿宋" w:cs="仿宋"/>
          <w:sz w:val="32"/>
          <w:szCs w:val="32"/>
          <w:lang w:eastAsia="zh-CN"/>
        </w:rPr>
        <w:t>；加强对市、县级的培训指导力度，建立专业的人才队伍。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80" w:lineRule="atLeast"/>
        <w:ind w:right="0"/>
        <w:rPr>
          <w:rFonts w:hint="eastAsia" w:ascii="仿宋" w:hAnsi="仿宋" w:eastAsia="仿宋" w:cs="仿宋"/>
          <w:i w:val="0"/>
          <w:iCs w:val="0"/>
          <w:caps w:val="0"/>
          <w:color w:val="000000"/>
          <w:spacing w:val="0"/>
          <w:kern w:val="0"/>
          <w:sz w:val="32"/>
          <w:szCs w:val="32"/>
          <w:shd w:val="clear" w:fill="FFFFFF"/>
          <w:lang w:val="en-US" w:eastAsia="zh-CN" w:bidi="ar"/>
        </w:rPr>
      </w:pPr>
      <w:bookmarkStart w:id="28" w:name="_GoBack"/>
      <w:bookmarkEnd w:id="28"/>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A361E5-428E-44CB-B665-C290A574F94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panose1 w:val="02010609030101010101"/>
    <w:charset w:val="86"/>
    <w:family w:val="auto"/>
    <w:pitch w:val="default"/>
    <w:sig w:usb0="00000000" w:usb1="00000000" w:usb2="00000000" w:usb3="00000000" w:csb0="00000000" w:csb1="00000000"/>
    <w:embedRegular r:id="rId2" w:fontKey="{74A68D01-0AD6-40C8-9F6A-EC4B11D2E391}"/>
  </w:font>
  <w:font w:name="仿宋">
    <w:panose1 w:val="02010609060101010101"/>
    <w:charset w:val="86"/>
    <w:family w:val="auto"/>
    <w:pitch w:val="default"/>
    <w:sig w:usb0="800002BF" w:usb1="38CF7CFA" w:usb2="00000016" w:usb3="00000000" w:csb0="00040001" w:csb1="00000000"/>
    <w:embedRegular r:id="rId3" w:fontKey="{37E7F9FD-8AF7-4286-B055-260B6BF8ECDD}"/>
  </w:font>
  <w:font w:name="方正小标宋_GBK">
    <w:panose1 w:val="02000000000000000000"/>
    <w:charset w:val="86"/>
    <w:family w:val="auto"/>
    <w:pitch w:val="default"/>
    <w:sig w:usb0="00000000" w:usb1="00000000" w:usb2="00000000" w:usb3="00000000" w:csb0="00000000" w:csb1="00000000"/>
    <w:embedRegular r:id="rId4" w:fontKey="{AE262863-2824-4339-B583-D2DBE2449402}"/>
  </w:font>
  <w:font w:name="楷体">
    <w:panose1 w:val="02010609060101010101"/>
    <w:charset w:val="86"/>
    <w:family w:val="auto"/>
    <w:pitch w:val="default"/>
    <w:sig w:usb0="800002BF" w:usb1="38CF7CFA" w:usb2="00000016" w:usb3="00000000" w:csb0="00040001" w:csb1="00000000"/>
    <w:embedRegular r:id="rId5" w:fontKey="{78C8D4A5-6E3E-4586-99C9-8EF4295E79CE}"/>
  </w:font>
  <w:font w:name="仿宋_GB2312">
    <w:panose1 w:val="02010609030101010101"/>
    <w:charset w:val="86"/>
    <w:family w:val="auto"/>
    <w:pitch w:val="default"/>
    <w:sig w:usb0="00000000" w:usb1="00000000" w:usb2="00000000" w:usb3="00000000" w:csb0="00000000" w:csb1="00000000"/>
    <w:embedRegular r:id="rId6" w:fontKey="{BB4B0F1F-0C61-40FE-AD86-9AAB6C981E1E}"/>
  </w:font>
  <w:font w:name="方正仿宋_GB2312">
    <w:panose1 w:val="02000000000000000000"/>
    <w:charset w:val="86"/>
    <w:family w:val="auto"/>
    <w:pitch w:val="default"/>
    <w:sig w:usb0="00000000" w:usb1="00000000" w:usb2="00000000" w:usb3="00000000" w:csb0="00000000" w:csb1="00000000"/>
    <w:embedRegular r:id="rId7" w:fontKey="{C6518BBD-ADFA-4790-99D2-A9AEA25F17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4NTFiZGNjMGQ3YTQ4MDY3MzExNTM0NjQ4NGVkZjMifQ=="/>
    <w:docVar w:name="KSO_WPS_MARK_KEY" w:val="9920a277-c0c3-43b4-93d3-1636fe398e0b"/>
  </w:docVars>
  <w:rsids>
    <w:rsidRoot w:val="753C4E9B"/>
    <w:rsid w:val="01AE7EA9"/>
    <w:rsid w:val="05E95AA6"/>
    <w:rsid w:val="06DA69AD"/>
    <w:rsid w:val="07E5408B"/>
    <w:rsid w:val="07EF6488"/>
    <w:rsid w:val="0C180A78"/>
    <w:rsid w:val="0CF522ED"/>
    <w:rsid w:val="0D276746"/>
    <w:rsid w:val="0D464D9C"/>
    <w:rsid w:val="0DD52794"/>
    <w:rsid w:val="0E956870"/>
    <w:rsid w:val="0F1C4607"/>
    <w:rsid w:val="10C666A5"/>
    <w:rsid w:val="1223366A"/>
    <w:rsid w:val="12A3059B"/>
    <w:rsid w:val="143877FD"/>
    <w:rsid w:val="1686445B"/>
    <w:rsid w:val="184A1642"/>
    <w:rsid w:val="19E805B2"/>
    <w:rsid w:val="1B790B30"/>
    <w:rsid w:val="1E0E7B05"/>
    <w:rsid w:val="214C20C7"/>
    <w:rsid w:val="21766B19"/>
    <w:rsid w:val="22C80D5F"/>
    <w:rsid w:val="22FE234B"/>
    <w:rsid w:val="230E3001"/>
    <w:rsid w:val="25F63CCC"/>
    <w:rsid w:val="277E6F02"/>
    <w:rsid w:val="29990575"/>
    <w:rsid w:val="2AF53506"/>
    <w:rsid w:val="2AF6742D"/>
    <w:rsid w:val="2B593A95"/>
    <w:rsid w:val="2E094138"/>
    <w:rsid w:val="2E833798"/>
    <w:rsid w:val="312A2265"/>
    <w:rsid w:val="36FC0F5D"/>
    <w:rsid w:val="375773F8"/>
    <w:rsid w:val="38B525E8"/>
    <w:rsid w:val="393E32BB"/>
    <w:rsid w:val="3E6447D3"/>
    <w:rsid w:val="419B2857"/>
    <w:rsid w:val="419C158B"/>
    <w:rsid w:val="41D71DA8"/>
    <w:rsid w:val="43B23825"/>
    <w:rsid w:val="440E1469"/>
    <w:rsid w:val="4A593F9E"/>
    <w:rsid w:val="4C416153"/>
    <w:rsid w:val="4C6611ED"/>
    <w:rsid w:val="4D0258E3"/>
    <w:rsid w:val="4E3221F7"/>
    <w:rsid w:val="5086682B"/>
    <w:rsid w:val="50B14275"/>
    <w:rsid w:val="51D359B6"/>
    <w:rsid w:val="544E765F"/>
    <w:rsid w:val="552A0475"/>
    <w:rsid w:val="574D1E50"/>
    <w:rsid w:val="578D10CB"/>
    <w:rsid w:val="583F5BB3"/>
    <w:rsid w:val="5A5915AC"/>
    <w:rsid w:val="5C2E2250"/>
    <w:rsid w:val="62856942"/>
    <w:rsid w:val="648105D0"/>
    <w:rsid w:val="66575054"/>
    <w:rsid w:val="68FF1AE8"/>
    <w:rsid w:val="6A12486A"/>
    <w:rsid w:val="6E8F5238"/>
    <w:rsid w:val="70757FF6"/>
    <w:rsid w:val="732906A0"/>
    <w:rsid w:val="74703EDD"/>
    <w:rsid w:val="74EA495F"/>
    <w:rsid w:val="753C4E9B"/>
    <w:rsid w:val="76C92E49"/>
    <w:rsid w:val="781113A7"/>
    <w:rsid w:val="791E6510"/>
    <w:rsid w:val="79C618C2"/>
    <w:rsid w:val="7BE5320B"/>
    <w:rsid w:val="7C8D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footnote text"/>
    <w:basedOn w:val="1"/>
    <w:semiHidden/>
    <w:qFormat/>
    <w:uiPriority w:val="99"/>
    <w:rPr>
      <w:sz w:val="18"/>
      <w:szCs w:val="18"/>
    </w:rPr>
  </w:style>
  <w:style w:type="paragraph" w:styleId="4">
    <w:name w:val="Body Text"/>
    <w:basedOn w:val="1"/>
    <w:qFormat/>
    <w:uiPriority w:val="0"/>
    <w:rPr>
      <w:kern w:val="0"/>
      <w:sz w:val="20"/>
      <w:szCs w:val="20"/>
    </w:rPr>
  </w:style>
  <w:style w:type="paragraph" w:styleId="5">
    <w:name w:val="Body Text Indent"/>
    <w:basedOn w:val="1"/>
    <w:unhideWhenUsed/>
    <w:qFormat/>
    <w:uiPriority w:val="0"/>
    <w:pPr>
      <w:spacing w:beforeLines="0" w:afterLines="0"/>
      <w:ind w:firstLine="640" w:firstLineChars="200"/>
    </w:pPr>
    <w:rPr>
      <w:rFonts w:hint="default"/>
      <w:sz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unhideWhenUsed/>
    <w:qFormat/>
    <w:uiPriority w:val="99"/>
    <w:pPr>
      <w:spacing w:beforeLines="0" w:afterLines="0"/>
      <w:ind w:firstLine="420"/>
    </w:pPr>
    <w:rPr>
      <w:rFonts w:hint="default"/>
      <w:sz w:val="32"/>
    </w:rPr>
  </w:style>
  <w:style w:type="paragraph" w:customStyle="1" w:styleId="12">
    <w:name w:val="标题1"/>
    <w:basedOn w:val="3"/>
    <w:qFormat/>
    <w:uiPriority w:val="0"/>
    <w:rPr>
      <w:rFonts w:eastAsia="黑体"/>
    </w:rPr>
  </w:style>
  <w:style w:type="paragraph" w:customStyle="1" w:styleId="13">
    <w:name w:val="首行缩进"/>
    <w:basedOn w:val="1"/>
    <w:qFormat/>
    <w:uiPriority w:val="0"/>
    <w:pPr>
      <w:ind w:firstLine="480" w:firstLineChars="200"/>
    </w:pPr>
    <w:rPr>
      <w:lang w:val="zh-CN"/>
    </w:rPr>
  </w:style>
  <w:style w:type="character" w:customStyle="1" w:styleId="14">
    <w:name w:val="font21"/>
    <w:basedOn w:val="11"/>
    <w:qFormat/>
    <w:uiPriority w:val="0"/>
    <w:rPr>
      <w:rFonts w:hint="eastAsia" w:ascii="仿宋" w:hAnsi="仿宋" w:eastAsia="仿宋" w:cs="仿宋"/>
      <w:color w:val="000000"/>
      <w:sz w:val="20"/>
      <w:szCs w:val="20"/>
      <w:u w:val="none"/>
    </w:rPr>
  </w:style>
  <w:style w:type="paragraph" w:styleId="15">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10738</Words>
  <Characters>11306</Characters>
  <Lines>0</Lines>
  <Paragraphs>0</Paragraphs>
  <TotalTime>15</TotalTime>
  <ScaleCrop>false</ScaleCrop>
  <LinksUpToDate>false</LinksUpToDate>
  <CharactersWithSpaces>11315</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2024-02-22T02:03:00Z</dcterms:created>
  <dc:creator>1402836399</dc:creator>
  <cp:lastModifiedBy>影子</cp:lastModifiedBy>
  <cp:lastPrinted>2024-09-05T09:18:14Z</cp:lastPrinted>
  <dcterms:modified xsi:type="dcterms:W3CDTF">2024-09-05T09:18:43Z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y fmtid="{D5CDD505-2E9C-101B-9397-08002B2CF9AE}" pid="3" name="ICV">
    <vt:lpwstr>DBCD081F0B5F44B1B1EDE1B20AFBCD2D_13</vt:lpwstr>
  </property>
</Properties>
</file>