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jc w:val="both"/>
        <w:rPr>
          <w:rFonts w:hAnsi="黑体"/>
          <w:sz w:val="36"/>
          <w:szCs w:val="36"/>
        </w:rPr>
      </w:pPr>
      <w:r>
        <w:rPr>
          <w:rFonts w:hint="eastAsia" w:hAnsi="黑体"/>
          <w:sz w:val="36"/>
          <w:szCs w:val="36"/>
        </w:rPr>
        <w:t>附件1</w:t>
      </w:r>
    </w:p>
    <w:p>
      <w:pPr>
        <w:jc w:val="center"/>
        <w:rPr>
          <w:rFonts w:hint="eastAsia"/>
          <w:w w:val="100"/>
          <w:sz w:val="36"/>
          <w:szCs w:val="36"/>
        </w:rPr>
      </w:pPr>
    </w:p>
    <w:p>
      <w:pPr>
        <w:jc w:val="center"/>
        <w:rPr>
          <w:rFonts w:hint="eastAsia"/>
          <w:w w:val="100"/>
          <w:sz w:val="36"/>
          <w:szCs w:val="36"/>
        </w:rPr>
      </w:pPr>
    </w:p>
    <w:p>
      <w:pPr>
        <w:jc w:val="center"/>
        <w:rPr>
          <w:rFonts w:hint="eastAsia"/>
          <w:w w:val="100"/>
          <w:sz w:val="36"/>
          <w:szCs w:val="36"/>
        </w:rPr>
      </w:pPr>
    </w:p>
    <w:p>
      <w:pPr>
        <w:jc w:val="center"/>
        <w:rPr>
          <w:rFonts w:hint="eastAsia"/>
          <w:w w:val="100"/>
          <w:sz w:val="36"/>
          <w:szCs w:val="36"/>
        </w:rPr>
      </w:pPr>
    </w:p>
    <w:p>
      <w:pPr>
        <w:jc w:val="center"/>
        <w:rPr>
          <w:rFonts w:hint="eastAsia"/>
          <w:w w:val="100"/>
          <w:sz w:val="36"/>
          <w:szCs w:val="36"/>
        </w:rPr>
      </w:pPr>
    </w:p>
    <w:p>
      <w:pPr>
        <w:keepNext w:val="0"/>
        <w:keepLines w:val="0"/>
        <w:pageBreakBefore w:val="0"/>
        <w:widowControl w:val="0"/>
        <w:kinsoku/>
        <w:wordWrap/>
        <w:overflowPunct/>
        <w:topLinePunct w:val="0"/>
        <w:autoSpaceDE/>
        <w:autoSpaceDN/>
        <w:bidi w:val="0"/>
        <w:adjustRightInd/>
        <w:snapToGrid/>
        <w:spacing w:line="1200" w:lineRule="exact"/>
        <w:jc w:val="center"/>
        <w:textAlignment w:val="auto"/>
        <w:rPr>
          <w:rFonts w:hint="eastAsia" w:ascii="方正小标宋简体" w:hAnsi="方正小标宋简体" w:eastAsia="方正小标宋简体" w:cs="方正小标宋简体"/>
          <w:w w:val="100"/>
          <w:sz w:val="60"/>
          <w:szCs w:val="60"/>
        </w:rPr>
      </w:pPr>
      <w:r>
        <w:rPr>
          <w:rFonts w:hint="eastAsia" w:ascii="方正小标宋简体" w:hAnsi="方正小标宋简体" w:eastAsia="方正小标宋简体" w:cs="方正小标宋简体"/>
          <w:w w:val="100"/>
          <w:sz w:val="60"/>
          <w:szCs w:val="60"/>
        </w:rPr>
        <w:t>2024年度</w:t>
      </w:r>
    </w:p>
    <w:p>
      <w:pPr>
        <w:keepNext w:val="0"/>
        <w:keepLines w:val="0"/>
        <w:pageBreakBefore w:val="0"/>
        <w:widowControl w:val="0"/>
        <w:kinsoku/>
        <w:wordWrap/>
        <w:overflowPunct/>
        <w:topLinePunct w:val="0"/>
        <w:autoSpaceDE/>
        <w:autoSpaceDN/>
        <w:bidi w:val="0"/>
        <w:adjustRightInd/>
        <w:snapToGrid/>
        <w:spacing w:line="1200" w:lineRule="exact"/>
        <w:jc w:val="center"/>
        <w:textAlignment w:val="auto"/>
        <w:rPr>
          <w:rFonts w:hint="eastAsia" w:ascii="方正小标宋简体" w:hAnsi="方正小标宋简体" w:eastAsia="方正小标宋简体" w:cs="方正小标宋简体"/>
          <w:w w:val="100"/>
          <w:sz w:val="60"/>
          <w:szCs w:val="60"/>
        </w:rPr>
      </w:pPr>
      <w:r>
        <w:rPr>
          <w:rFonts w:hint="eastAsia" w:ascii="方正小标宋简体" w:hAnsi="方正小标宋简体" w:eastAsia="方正小标宋简体" w:cs="方正小标宋简体"/>
          <w:w w:val="100"/>
          <w:sz w:val="60"/>
          <w:szCs w:val="60"/>
        </w:rPr>
        <w:t>怀化市市场监督管理局（本级）</w:t>
      </w:r>
    </w:p>
    <w:p>
      <w:pPr>
        <w:keepNext w:val="0"/>
        <w:keepLines w:val="0"/>
        <w:pageBreakBefore w:val="0"/>
        <w:widowControl w:val="0"/>
        <w:kinsoku/>
        <w:wordWrap/>
        <w:overflowPunct/>
        <w:topLinePunct w:val="0"/>
        <w:autoSpaceDE/>
        <w:autoSpaceDN/>
        <w:bidi w:val="0"/>
        <w:adjustRightInd/>
        <w:snapToGrid/>
        <w:spacing w:line="1200" w:lineRule="exact"/>
        <w:jc w:val="center"/>
        <w:textAlignment w:val="auto"/>
        <w:rPr>
          <w:rFonts w:hint="eastAsia" w:ascii="方正小标宋简体" w:hAnsi="方正小标宋简体" w:eastAsia="方正小标宋简体" w:cs="方正小标宋简体"/>
          <w:w w:val="100"/>
          <w:sz w:val="72"/>
          <w:szCs w:val="72"/>
        </w:rPr>
      </w:pPr>
      <w:r>
        <w:rPr>
          <w:rFonts w:hint="eastAsia" w:ascii="方正小标宋简体" w:hAnsi="方正小标宋简体" w:eastAsia="方正小标宋简体" w:cs="方正小标宋简体"/>
          <w:w w:val="100"/>
          <w:sz w:val="60"/>
          <w:szCs w:val="60"/>
        </w:rPr>
        <w:t>决算公开说明</w:t>
      </w:r>
    </w:p>
    <w:p>
      <w:pPr>
        <w:widowControl/>
        <w:jc w:val="left"/>
        <w:rPr>
          <w:rFonts w:ascii="仿宋" w:hAnsi="仿宋" w:eastAsia="仿宋"/>
          <w:w w:val="100"/>
          <w:sz w:val="30"/>
          <w:szCs w:val="30"/>
        </w:rPr>
      </w:pPr>
      <w:r>
        <w:rPr>
          <w:rFonts w:ascii="仿宋" w:hAnsi="仿宋" w:eastAsia="仿宋"/>
          <w:w w:val="100"/>
          <w:sz w:val="30"/>
          <w:szCs w:val="30"/>
        </w:rPr>
        <w:br w:type="page"/>
      </w:r>
    </w:p>
    <w:p>
      <w:pPr>
        <w:rPr>
          <w:w w:val="100"/>
          <w:sz w:val="30"/>
          <w:szCs w:val="30"/>
        </w:rPr>
      </w:pPr>
    </w:p>
    <w:p>
      <w:pPr>
        <w:jc w:val="center"/>
        <w:rPr>
          <w:rFonts w:hint="eastAsia" w:ascii="方正小标宋简体" w:hAnsi="方正小标宋简体" w:eastAsia="方正小标宋简体" w:cs="方正小标宋简体"/>
          <w:w w:val="100"/>
          <w:sz w:val="44"/>
          <w:szCs w:val="44"/>
        </w:rPr>
      </w:pPr>
      <w:r>
        <w:rPr>
          <w:rFonts w:hint="eastAsia" w:ascii="方正小标宋简体" w:hAnsi="方正小标宋简体" w:eastAsia="方正小标宋简体" w:cs="方正小标宋简体"/>
          <w:w w:val="100"/>
          <w:sz w:val="44"/>
          <w:szCs w:val="44"/>
        </w:rPr>
        <w:t>目</w:t>
      </w:r>
      <w:r>
        <w:rPr>
          <w:rFonts w:hint="eastAsia" w:ascii="方正小标宋简体" w:hAnsi="方正小标宋简体" w:eastAsia="方正小标宋简体" w:cs="方正小标宋简体"/>
          <w:w w:val="100"/>
          <w:sz w:val="44"/>
          <w:szCs w:val="44"/>
          <w:lang w:val="en-US" w:eastAsia="zh-CN"/>
        </w:rPr>
        <w:t xml:space="preserve">    </w:t>
      </w:r>
      <w:r>
        <w:rPr>
          <w:rFonts w:hint="eastAsia" w:ascii="方正小标宋简体" w:hAnsi="方正小标宋简体" w:eastAsia="方正小标宋简体" w:cs="方正小标宋简体"/>
          <w:w w:val="100"/>
          <w:sz w:val="44"/>
          <w:szCs w:val="44"/>
        </w:rPr>
        <w:t>录</w:t>
      </w:r>
    </w:p>
    <w:p>
      <w:pPr>
        <w:rPr>
          <w:w w:val="100"/>
          <w:sz w:val="30"/>
          <w:szCs w:val="30"/>
        </w:rPr>
      </w:pPr>
    </w:p>
    <w:p>
      <w:pPr>
        <w:keepNext w:val="0"/>
        <w:keepLines w:val="0"/>
        <w:pageBreakBefore w:val="0"/>
        <w:widowControl w:val="0"/>
        <w:kinsoku/>
        <w:wordWrap/>
        <w:overflowPunct/>
        <w:topLinePunct w:val="0"/>
        <w:bidi w:val="0"/>
        <w:snapToGrid/>
        <w:spacing w:line="600" w:lineRule="exact"/>
        <w:textAlignment w:val="auto"/>
        <w:rPr>
          <w:rFonts w:hint="eastAsia"/>
          <w:w w:val="100"/>
          <w:sz w:val="32"/>
          <w:szCs w:val="32"/>
        </w:rPr>
      </w:pPr>
      <w:r>
        <w:rPr>
          <w:w w:val="100"/>
          <w:sz w:val="32"/>
          <w:szCs w:val="32"/>
        </w:rPr>
        <w:t>第一部分</w:t>
      </w:r>
      <w:r>
        <w:rPr>
          <w:rFonts w:hint="eastAsia"/>
          <w:w w:val="100"/>
          <w:sz w:val="32"/>
          <w:szCs w:val="32"/>
          <w:lang w:val="en-US" w:eastAsia="zh-CN"/>
        </w:rPr>
        <w:t xml:space="preserve">  </w:t>
      </w:r>
      <w:r>
        <w:rPr>
          <w:w w:val="100"/>
          <w:sz w:val="32"/>
          <w:szCs w:val="32"/>
        </w:rPr>
        <w:t>怀化市市场监督管理局概况</w:t>
      </w:r>
    </w:p>
    <w:p>
      <w:pPr>
        <w:keepNext w:val="0"/>
        <w:keepLines w:val="0"/>
        <w:pageBreakBefore w:val="0"/>
        <w:widowControl w:val="0"/>
        <w:kinsoku/>
        <w:wordWrap/>
        <w:overflowPunct/>
        <w:topLinePunct w:val="0"/>
        <w:bidi w:val="0"/>
        <w:snapToGrid/>
        <w:spacing w:line="600" w:lineRule="exact"/>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一、部门职责</w:t>
      </w:r>
    </w:p>
    <w:p>
      <w:pPr>
        <w:keepNext w:val="0"/>
        <w:keepLines w:val="0"/>
        <w:pageBreakBefore w:val="0"/>
        <w:widowControl w:val="0"/>
        <w:kinsoku/>
        <w:wordWrap/>
        <w:overflowPunct/>
        <w:topLinePunct w:val="0"/>
        <w:bidi w:val="0"/>
        <w:snapToGrid/>
        <w:spacing w:line="600" w:lineRule="exact"/>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二、机构设置及决算单位构成</w:t>
      </w:r>
    </w:p>
    <w:p>
      <w:pPr>
        <w:keepNext w:val="0"/>
        <w:keepLines w:val="0"/>
        <w:pageBreakBefore w:val="0"/>
        <w:widowControl w:val="0"/>
        <w:kinsoku/>
        <w:wordWrap/>
        <w:overflowPunct/>
        <w:topLinePunct w:val="0"/>
        <w:bidi w:val="0"/>
        <w:snapToGrid/>
        <w:spacing w:line="600" w:lineRule="exact"/>
        <w:textAlignment w:val="auto"/>
        <w:rPr>
          <w:rFonts w:hint="eastAsia"/>
          <w:w w:val="100"/>
          <w:sz w:val="32"/>
          <w:szCs w:val="32"/>
        </w:rPr>
      </w:pPr>
      <w:r>
        <w:rPr>
          <w:w w:val="100"/>
          <w:sz w:val="32"/>
          <w:szCs w:val="32"/>
        </w:rPr>
        <w:t>第二部分</w:t>
      </w:r>
      <w:r>
        <w:rPr>
          <w:rFonts w:hint="eastAsia"/>
          <w:w w:val="100"/>
          <w:sz w:val="32"/>
          <w:szCs w:val="32"/>
          <w:lang w:val="en-US" w:eastAsia="zh-CN"/>
        </w:rPr>
        <w:t xml:space="preserve">  </w:t>
      </w:r>
      <w:r>
        <w:rPr>
          <w:w w:val="100"/>
          <w:sz w:val="32"/>
          <w:szCs w:val="32"/>
        </w:rPr>
        <w:t>部门决算表</w:t>
      </w:r>
    </w:p>
    <w:p>
      <w:pPr>
        <w:keepNext w:val="0"/>
        <w:keepLines w:val="0"/>
        <w:pageBreakBefore w:val="0"/>
        <w:widowControl w:val="0"/>
        <w:kinsoku/>
        <w:wordWrap/>
        <w:overflowPunct/>
        <w:topLinePunct w:val="0"/>
        <w:bidi w:val="0"/>
        <w:snapToGrid/>
        <w:spacing w:line="600" w:lineRule="exact"/>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一、收入支出决算总表</w:t>
      </w:r>
      <w:r>
        <w:rPr>
          <w:rFonts w:hint="eastAsia" w:ascii="仿宋_GB2312" w:hAnsi="仿宋_GB2312" w:eastAsia="仿宋_GB2312" w:cs="仿宋_GB2312"/>
          <w:w w:val="100"/>
          <w:sz w:val="32"/>
          <w:szCs w:val="32"/>
        </w:rPr>
        <w:br w:type="textWrapping"/>
      </w:r>
      <w:r>
        <w:rPr>
          <w:rFonts w:hint="eastAsia" w:ascii="仿宋_GB2312" w:hAnsi="仿宋_GB2312" w:eastAsia="仿宋_GB2312" w:cs="仿宋_GB2312"/>
          <w:w w:val="100"/>
          <w:sz w:val="32"/>
          <w:szCs w:val="32"/>
        </w:rPr>
        <w:t>二、收入决算表</w:t>
      </w:r>
      <w:r>
        <w:rPr>
          <w:rFonts w:hint="eastAsia" w:ascii="仿宋_GB2312" w:hAnsi="仿宋_GB2312" w:eastAsia="仿宋_GB2312" w:cs="仿宋_GB2312"/>
          <w:w w:val="100"/>
          <w:sz w:val="32"/>
          <w:szCs w:val="32"/>
        </w:rPr>
        <w:br w:type="textWrapping"/>
      </w:r>
      <w:r>
        <w:rPr>
          <w:rFonts w:hint="eastAsia" w:ascii="仿宋_GB2312" w:hAnsi="仿宋_GB2312" w:eastAsia="仿宋_GB2312" w:cs="仿宋_GB2312"/>
          <w:w w:val="100"/>
          <w:sz w:val="32"/>
          <w:szCs w:val="32"/>
        </w:rPr>
        <w:t>三、支出决算表</w:t>
      </w:r>
      <w:r>
        <w:rPr>
          <w:rFonts w:hint="eastAsia" w:ascii="仿宋_GB2312" w:hAnsi="仿宋_GB2312" w:eastAsia="仿宋_GB2312" w:cs="仿宋_GB2312"/>
          <w:w w:val="100"/>
          <w:sz w:val="32"/>
          <w:szCs w:val="32"/>
        </w:rPr>
        <w:br w:type="textWrapping"/>
      </w:r>
      <w:r>
        <w:rPr>
          <w:rFonts w:hint="eastAsia" w:ascii="仿宋_GB2312" w:hAnsi="仿宋_GB2312" w:eastAsia="仿宋_GB2312" w:cs="仿宋_GB2312"/>
          <w:w w:val="100"/>
          <w:sz w:val="32"/>
          <w:szCs w:val="32"/>
        </w:rPr>
        <w:t>四、财政拨款收入支出决算总表</w:t>
      </w:r>
      <w:r>
        <w:rPr>
          <w:rFonts w:hint="eastAsia" w:ascii="仿宋_GB2312" w:hAnsi="仿宋_GB2312" w:eastAsia="仿宋_GB2312" w:cs="仿宋_GB2312"/>
          <w:w w:val="100"/>
          <w:sz w:val="32"/>
          <w:szCs w:val="32"/>
        </w:rPr>
        <w:br w:type="textWrapping"/>
      </w:r>
      <w:r>
        <w:rPr>
          <w:rFonts w:hint="eastAsia" w:ascii="仿宋_GB2312" w:hAnsi="仿宋_GB2312" w:eastAsia="仿宋_GB2312" w:cs="仿宋_GB2312"/>
          <w:w w:val="100"/>
          <w:sz w:val="32"/>
          <w:szCs w:val="32"/>
        </w:rPr>
        <w:t>五、一般公共预算财政拨款支出决算表</w:t>
      </w:r>
      <w:r>
        <w:rPr>
          <w:rFonts w:hint="eastAsia" w:ascii="仿宋_GB2312" w:hAnsi="仿宋_GB2312" w:eastAsia="仿宋_GB2312" w:cs="仿宋_GB2312"/>
          <w:w w:val="100"/>
          <w:sz w:val="32"/>
          <w:szCs w:val="32"/>
        </w:rPr>
        <w:br w:type="textWrapping"/>
      </w:r>
      <w:r>
        <w:rPr>
          <w:rFonts w:hint="eastAsia" w:ascii="仿宋_GB2312" w:hAnsi="仿宋_GB2312" w:eastAsia="仿宋_GB2312" w:cs="仿宋_GB2312"/>
          <w:w w:val="100"/>
          <w:sz w:val="32"/>
          <w:szCs w:val="32"/>
        </w:rPr>
        <w:t>六、一般公共预算财政拨款基本支出决算明细表</w:t>
      </w:r>
      <w:r>
        <w:rPr>
          <w:rFonts w:hint="eastAsia" w:ascii="仿宋_GB2312" w:hAnsi="仿宋_GB2312" w:eastAsia="仿宋_GB2312" w:cs="仿宋_GB2312"/>
          <w:w w:val="100"/>
          <w:sz w:val="32"/>
          <w:szCs w:val="32"/>
        </w:rPr>
        <w:br w:type="textWrapping"/>
      </w:r>
      <w:r>
        <w:rPr>
          <w:rFonts w:hint="eastAsia" w:ascii="仿宋_GB2312" w:hAnsi="仿宋_GB2312" w:eastAsia="仿宋_GB2312" w:cs="仿宋_GB2312"/>
          <w:w w:val="100"/>
          <w:sz w:val="32"/>
          <w:szCs w:val="32"/>
        </w:rPr>
        <w:t>七、政府性基金预算财政拨款收入支出决算表</w:t>
      </w:r>
      <w:r>
        <w:rPr>
          <w:rFonts w:hint="eastAsia" w:ascii="仿宋_GB2312" w:hAnsi="仿宋_GB2312" w:eastAsia="仿宋_GB2312" w:cs="仿宋_GB2312"/>
          <w:w w:val="100"/>
          <w:sz w:val="32"/>
          <w:szCs w:val="32"/>
        </w:rPr>
        <w:br w:type="textWrapping"/>
      </w:r>
      <w:r>
        <w:rPr>
          <w:rFonts w:hint="eastAsia" w:ascii="仿宋_GB2312" w:hAnsi="仿宋_GB2312" w:eastAsia="仿宋_GB2312" w:cs="仿宋_GB2312"/>
          <w:w w:val="100"/>
          <w:sz w:val="32"/>
          <w:szCs w:val="32"/>
        </w:rPr>
        <w:t>八、国有资本经营预算财政拨款支出决算表</w:t>
      </w:r>
      <w:r>
        <w:rPr>
          <w:rFonts w:hint="eastAsia" w:ascii="仿宋_GB2312" w:hAnsi="仿宋_GB2312" w:eastAsia="仿宋_GB2312" w:cs="仿宋_GB2312"/>
          <w:w w:val="100"/>
          <w:sz w:val="32"/>
          <w:szCs w:val="32"/>
        </w:rPr>
        <w:br w:type="textWrapping"/>
      </w:r>
      <w:r>
        <w:rPr>
          <w:rFonts w:hint="eastAsia" w:ascii="仿宋_GB2312" w:hAnsi="仿宋_GB2312" w:eastAsia="仿宋_GB2312" w:cs="仿宋_GB2312"/>
          <w:w w:val="100"/>
          <w:sz w:val="32"/>
          <w:szCs w:val="32"/>
        </w:rPr>
        <w:t>九、财政拨款“三公”经费支出决算表</w:t>
      </w:r>
    </w:p>
    <w:p>
      <w:pPr>
        <w:keepNext w:val="0"/>
        <w:keepLines w:val="0"/>
        <w:pageBreakBefore w:val="0"/>
        <w:widowControl w:val="0"/>
        <w:kinsoku/>
        <w:wordWrap/>
        <w:overflowPunct/>
        <w:topLinePunct w:val="0"/>
        <w:bidi w:val="0"/>
        <w:snapToGrid/>
        <w:spacing w:line="600" w:lineRule="exact"/>
        <w:textAlignment w:val="auto"/>
        <w:rPr>
          <w:rFonts w:hint="eastAsia"/>
          <w:w w:val="100"/>
          <w:sz w:val="32"/>
          <w:szCs w:val="32"/>
        </w:rPr>
      </w:pPr>
      <w:r>
        <w:rPr>
          <w:w w:val="100"/>
          <w:sz w:val="32"/>
          <w:szCs w:val="32"/>
        </w:rPr>
        <w:t>第三部分</w:t>
      </w:r>
      <w:r>
        <w:rPr>
          <w:rFonts w:hint="eastAsia"/>
          <w:w w:val="100"/>
          <w:sz w:val="32"/>
          <w:szCs w:val="32"/>
          <w:lang w:val="en-US" w:eastAsia="zh-CN"/>
        </w:rPr>
        <w:t xml:space="preserve">  </w:t>
      </w:r>
      <w:r>
        <w:rPr>
          <w:w w:val="100"/>
          <w:sz w:val="32"/>
          <w:szCs w:val="32"/>
        </w:rPr>
        <w:t>部门决算情况说明</w:t>
      </w:r>
    </w:p>
    <w:p>
      <w:pPr>
        <w:keepNext w:val="0"/>
        <w:keepLines w:val="0"/>
        <w:pageBreakBefore w:val="0"/>
        <w:widowControl w:val="0"/>
        <w:kinsoku/>
        <w:wordWrap/>
        <w:overflowPunct/>
        <w:topLinePunct w:val="0"/>
        <w:autoSpaceDE w:val="0"/>
        <w:autoSpaceDN w:val="0"/>
        <w:bidi w:val="0"/>
        <w:adjustRightInd w:val="0"/>
        <w:snapToGrid/>
        <w:spacing w:line="600" w:lineRule="exact"/>
        <w:jc w:val="left"/>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一、收入支出决算总体情况说明</w:t>
      </w:r>
      <w:r>
        <w:rPr>
          <w:rFonts w:hint="eastAsia" w:ascii="仿宋_GB2312" w:hAnsi="仿宋_GB2312" w:eastAsia="仿宋_GB2312" w:cs="仿宋_GB2312"/>
          <w:w w:val="100"/>
          <w:sz w:val="32"/>
          <w:szCs w:val="32"/>
        </w:rPr>
        <w:br w:type="textWrapping"/>
      </w:r>
      <w:r>
        <w:rPr>
          <w:rFonts w:hint="eastAsia" w:ascii="仿宋_GB2312" w:hAnsi="仿宋_GB2312" w:eastAsia="仿宋_GB2312" w:cs="仿宋_GB2312"/>
          <w:w w:val="100"/>
          <w:sz w:val="32"/>
          <w:szCs w:val="32"/>
        </w:rPr>
        <w:t>二、收入决算情况说明</w:t>
      </w:r>
      <w:r>
        <w:rPr>
          <w:rFonts w:hint="eastAsia" w:ascii="仿宋_GB2312" w:hAnsi="仿宋_GB2312" w:eastAsia="仿宋_GB2312" w:cs="仿宋_GB2312"/>
          <w:w w:val="100"/>
          <w:sz w:val="32"/>
          <w:szCs w:val="32"/>
        </w:rPr>
        <w:br w:type="textWrapping"/>
      </w:r>
      <w:r>
        <w:rPr>
          <w:rFonts w:hint="eastAsia" w:ascii="仿宋_GB2312" w:hAnsi="仿宋_GB2312" w:eastAsia="仿宋_GB2312" w:cs="仿宋_GB2312"/>
          <w:w w:val="100"/>
          <w:sz w:val="32"/>
          <w:szCs w:val="32"/>
        </w:rPr>
        <w:t>三、支出决算情况说明</w:t>
      </w:r>
      <w:r>
        <w:rPr>
          <w:rFonts w:hint="eastAsia" w:ascii="仿宋_GB2312" w:hAnsi="仿宋_GB2312" w:eastAsia="仿宋_GB2312" w:cs="仿宋_GB2312"/>
          <w:w w:val="100"/>
          <w:sz w:val="32"/>
          <w:szCs w:val="32"/>
        </w:rPr>
        <w:br w:type="textWrapping"/>
      </w:r>
      <w:r>
        <w:rPr>
          <w:rFonts w:hint="eastAsia" w:ascii="仿宋_GB2312" w:hAnsi="仿宋_GB2312" w:eastAsia="仿宋_GB2312" w:cs="仿宋_GB2312"/>
          <w:w w:val="100"/>
          <w:sz w:val="32"/>
          <w:szCs w:val="32"/>
        </w:rPr>
        <w:t>四、财政拨款收入支出决算总体情况说明</w:t>
      </w:r>
      <w:r>
        <w:rPr>
          <w:rFonts w:hint="eastAsia" w:ascii="仿宋_GB2312" w:hAnsi="仿宋_GB2312" w:eastAsia="仿宋_GB2312" w:cs="仿宋_GB2312"/>
          <w:w w:val="100"/>
          <w:sz w:val="32"/>
          <w:szCs w:val="32"/>
        </w:rPr>
        <w:br w:type="textWrapping"/>
      </w:r>
      <w:r>
        <w:rPr>
          <w:rFonts w:hint="eastAsia" w:ascii="仿宋_GB2312" w:hAnsi="仿宋_GB2312" w:eastAsia="仿宋_GB2312" w:cs="仿宋_GB2312"/>
          <w:w w:val="100"/>
          <w:sz w:val="32"/>
          <w:szCs w:val="32"/>
        </w:rPr>
        <w:t>五、一般公共预算财政拨款支出决算情况说明</w:t>
      </w:r>
      <w:r>
        <w:rPr>
          <w:rFonts w:hint="eastAsia" w:ascii="仿宋_GB2312" w:hAnsi="仿宋_GB2312" w:eastAsia="仿宋_GB2312" w:cs="仿宋_GB2312"/>
          <w:w w:val="100"/>
          <w:sz w:val="32"/>
          <w:szCs w:val="32"/>
        </w:rPr>
        <w:br w:type="textWrapping"/>
      </w:r>
      <w:r>
        <w:rPr>
          <w:rFonts w:hint="eastAsia" w:ascii="仿宋_GB2312" w:hAnsi="仿宋_GB2312" w:eastAsia="仿宋_GB2312" w:cs="仿宋_GB2312"/>
          <w:w w:val="100"/>
          <w:sz w:val="32"/>
          <w:szCs w:val="32"/>
        </w:rPr>
        <w:t>六、一般公共预算财政拨款基本支出决算情况说明</w:t>
      </w:r>
      <w:r>
        <w:rPr>
          <w:rFonts w:hint="eastAsia" w:ascii="仿宋_GB2312" w:hAnsi="仿宋_GB2312" w:eastAsia="仿宋_GB2312" w:cs="仿宋_GB2312"/>
          <w:w w:val="100"/>
          <w:sz w:val="32"/>
          <w:szCs w:val="32"/>
        </w:rPr>
        <w:br w:type="textWrapping"/>
      </w:r>
      <w:r>
        <w:rPr>
          <w:rFonts w:hint="eastAsia" w:ascii="仿宋_GB2312" w:hAnsi="仿宋_GB2312" w:eastAsia="仿宋_GB2312" w:cs="仿宋_GB2312"/>
          <w:w w:val="100"/>
          <w:sz w:val="32"/>
          <w:szCs w:val="32"/>
        </w:rPr>
        <w:t>七、财政拨款“三公”经费支出决算情况说明</w:t>
      </w:r>
      <w:r>
        <w:rPr>
          <w:rFonts w:hint="eastAsia" w:ascii="仿宋_GB2312" w:hAnsi="仿宋_GB2312" w:eastAsia="仿宋_GB2312" w:cs="仿宋_GB2312"/>
          <w:w w:val="100"/>
          <w:sz w:val="32"/>
          <w:szCs w:val="32"/>
        </w:rPr>
        <w:br w:type="textWrapping"/>
      </w:r>
      <w:r>
        <w:rPr>
          <w:rFonts w:hint="eastAsia" w:ascii="仿宋_GB2312" w:hAnsi="仿宋_GB2312" w:eastAsia="仿宋_GB2312" w:cs="仿宋_GB2312"/>
          <w:w w:val="100"/>
          <w:sz w:val="32"/>
          <w:szCs w:val="32"/>
        </w:rPr>
        <w:t>八、政府性基金预算收入支出决算情况</w:t>
      </w:r>
      <w:r>
        <w:rPr>
          <w:rFonts w:hint="eastAsia" w:ascii="仿宋_GB2312" w:hAnsi="仿宋_GB2312" w:eastAsia="仿宋_GB2312" w:cs="仿宋_GB2312"/>
          <w:w w:val="100"/>
          <w:sz w:val="32"/>
          <w:szCs w:val="32"/>
        </w:rPr>
        <w:br w:type="textWrapping"/>
      </w:r>
      <w:r>
        <w:rPr>
          <w:rFonts w:hint="eastAsia" w:ascii="仿宋_GB2312" w:hAnsi="仿宋_GB2312" w:eastAsia="仿宋_GB2312" w:cs="仿宋_GB2312"/>
          <w:w w:val="100"/>
          <w:sz w:val="32"/>
          <w:szCs w:val="32"/>
        </w:rPr>
        <w:t>九、国有资本经营预算收入支出决算情况</w:t>
      </w:r>
    </w:p>
    <w:p>
      <w:pPr>
        <w:keepNext w:val="0"/>
        <w:keepLines w:val="0"/>
        <w:pageBreakBefore w:val="0"/>
        <w:widowControl w:val="0"/>
        <w:kinsoku/>
        <w:wordWrap/>
        <w:overflowPunct/>
        <w:topLinePunct w:val="0"/>
        <w:autoSpaceDE w:val="0"/>
        <w:autoSpaceDN w:val="0"/>
        <w:bidi w:val="0"/>
        <w:adjustRightInd w:val="0"/>
        <w:snapToGrid/>
        <w:spacing w:line="600" w:lineRule="exact"/>
        <w:jc w:val="left"/>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十、关于机关运行经费支出说明</w:t>
      </w:r>
    </w:p>
    <w:p>
      <w:pPr>
        <w:keepNext w:val="0"/>
        <w:keepLines w:val="0"/>
        <w:pageBreakBefore w:val="0"/>
        <w:widowControl w:val="0"/>
        <w:kinsoku/>
        <w:wordWrap/>
        <w:overflowPunct/>
        <w:topLinePunct w:val="0"/>
        <w:autoSpaceDE w:val="0"/>
        <w:autoSpaceDN w:val="0"/>
        <w:bidi w:val="0"/>
        <w:adjustRightInd w:val="0"/>
        <w:snapToGrid/>
        <w:spacing w:line="600" w:lineRule="exact"/>
        <w:jc w:val="left"/>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十一、一般性支出情况说明</w:t>
      </w:r>
    </w:p>
    <w:p>
      <w:pPr>
        <w:keepNext w:val="0"/>
        <w:keepLines w:val="0"/>
        <w:pageBreakBefore w:val="0"/>
        <w:widowControl w:val="0"/>
        <w:kinsoku/>
        <w:wordWrap/>
        <w:overflowPunct/>
        <w:topLinePunct w:val="0"/>
        <w:autoSpaceDE w:val="0"/>
        <w:autoSpaceDN w:val="0"/>
        <w:bidi w:val="0"/>
        <w:adjustRightInd w:val="0"/>
        <w:snapToGrid/>
        <w:spacing w:line="600" w:lineRule="exact"/>
        <w:jc w:val="left"/>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十二、关于政府采购支出说明</w:t>
      </w:r>
    </w:p>
    <w:p>
      <w:pPr>
        <w:keepNext w:val="0"/>
        <w:keepLines w:val="0"/>
        <w:pageBreakBefore w:val="0"/>
        <w:widowControl w:val="0"/>
        <w:kinsoku/>
        <w:wordWrap/>
        <w:overflowPunct/>
        <w:topLinePunct w:val="0"/>
        <w:autoSpaceDE w:val="0"/>
        <w:autoSpaceDN w:val="0"/>
        <w:bidi w:val="0"/>
        <w:adjustRightInd w:val="0"/>
        <w:snapToGrid/>
        <w:spacing w:line="600" w:lineRule="exact"/>
        <w:jc w:val="left"/>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十三、关于国有资产占用情况说明</w:t>
      </w:r>
    </w:p>
    <w:p>
      <w:pPr>
        <w:keepNext w:val="0"/>
        <w:keepLines w:val="0"/>
        <w:pageBreakBefore w:val="0"/>
        <w:widowControl w:val="0"/>
        <w:kinsoku/>
        <w:wordWrap/>
        <w:overflowPunct/>
        <w:topLinePunct w:val="0"/>
        <w:bidi w:val="0"/>
        <w:snapToGrid/>
        <w:spacing w:line="600" w:lineRule="exact"/>
        <w:textAlignment w:val="auto"/>
        <w:rPr>
          <w:rFonts w:ascii="仿宋" w:hAnsi="仿宋" w:eastAsia="仿宋"/>
          <w:w w:val="100"/>
          <w:sz w:val="32"/>
          <w:szCs w:val="32"/>
        </w:rPr>
      </w:pPr>
      <w:r>
        <w:rPr>
          <w:rFonts w:hint="eastAsia" w:ascii="仿宋_GB2312" w:hAnsi="仿宋_GB2312" w:eastAsia="仿宋_GB2312" w:cs="仿宋_GB2312"/>
          <w:w w:val="100"/>
          <w:sz w:val="32"/>
          <w:szCs w:val="32"/>
        </w:rPr>
        <w:t>十四、关于2024年度预算绩效管理情况的说明</w:t>
      </w:r>
    </w:p>
    <w:p>
      <w:pPr>
        <w:keepNext w:val="0"/>
        <w:keepLines w:val="0"/>
        <w:pageBreakBefore w:val="0"/>
        <w:widowControl w:val="0"/>
        <w:kinsoku/>
        <w:wordWrap/>
        <w:overflowPunct/>
        <w:topLinePunct w:val="0"/>
        <w:bidi w:val="0"/>
        <w:snapToGrid/>
        <w:spacing w:line="600" w:lineRule="exact"/>
        <w:textAlignment w:val="auto"/>
        <w:rPr>
          <w:w w:val="100"/>
          <w:sz w:val="32"/>
          <w:szCs w:val="32"/>
        </w:rPr>
      </w:pPr>
      <w:r>
        <w:rPr>
          <w:w w:val="100"/>
          <w:sz w:val="32"/>
          <w:szCs w:val="32"/>
        </w:rPr>
        <w:t>第四部分</w:t>
      </w:r>
      <w:r>
        <w:rPr>
          <w:rFonts w:hint="eastAsia"/>
          <w:w w:val="100"/>
          <w:sz w:val="32"/>
          <w:szCs w:val="32"/>
          <w:lang w:val="en-US" w:eastAsia="zh-CN"/>
        </w:rPr>
        <w:t xml:space="preserve">  </w:t>
      </w:r>
      <w:r>
        <w:rPr>
          <w:w w:val="100"/>
          <w:sz w:val="32"/>
          <w:szCs w:val="32"/>
        </w:rPr>
        <w:t>名词解释</w:t>
      </w:r>
    </w:p>
    <w:p>
      <w:pPr>
        <w:keepNext w:val="0"/>
        <w:keepLines w:val="0"/>
        <w:pageBreakBefore w:val="0"/>
        <w:widowControl w:val="0"/>
        <w:kinsoku/>
        <w:wordWrap/>
        <w:overflowPunct/>
        <w:topLinePunct w:val="0"/>
        <w:bidi w:val="0"/>
        <w:snapToGrid/>
        <w:spacing w:line="600" w:lineRule="exact"/>
        <w:textAlignment w:val="auto"/>
        <w:rPr>
          <w:w w:val="100"/>
          <w:sz w:val="32"/>
          <w:szCs w:val="32"/>
        </w:rPr>
      </w:pPr>
      <w:r>
        <w:rPr>
          <w:w w:val="100"/>
          <w:sz w:val="32"/>
          <w:szCs w:val="32"/>
        </w:rPr>
        <w:t>第五部分</w:t>
      </w:r>
      <w:r>
        <w:rPr>
          <w:rFonts w:hint="eastAsia"/>
          <w:w w:val="100"/>
          <w:sz w:val="32"/>
          <w:szCs w:val="32"/>
          <w:lang w:val="en-US" w:eastAsia="zh-CN"/>
        </w:rPr>
        <w:t xml:space="preserve">  </w:t>
      </w:r>
      <w:r>
        <w:rPr>
          <w:w w:val="100"/>
          <w:sz w:val="32"/>
          <w:szCs w:val="32"/>
        </w:rPr>
        <w:t>附件</w:t>
      </w:r>
    </w:p>
    <w:p>
      <w:pPr>
        <w:widowControl/>
        <w:jc w:val="left"/>
        <w:rPr>
          <w:w w:val="100"/>
          <w:sz w:val="30"/>
          <w:szCs w:val="30"/>
        </w:rPr>
      </w:pPr>
      <w:r>
        <w:rPr>
          <w:w w:val="100"/>
          <w:sz w:val="30"/>
          <w:szCs w:val="30"/>
        </w:rPr>
        <w:br w:type="page"/>
      </w:r>
    </w:p>
    <w:p>
      <w:pPr>
        <w:ind w:firstLine="604" w:firstLineChars="189"/>
        <w:jc w:val="center"/>
        <w:rPr>
          <w:rFonts w:hint="eastAsia" w:ascii="仿宋_GB2312" w:hAnsi="仿宋_GB2312" w:eastAsia="仿宋_GB2312" w:cs="仿宋_GB2312"/>
          <w:w w:val="100"/>
          <w:sz w:val="32"/>
          <w:szCs w:val="32"/>
        </w:rPr>
      </w:pPr>
    </w:p>
    <w:p>
      <w:pPr>
        <w:ind w:firstLine="604" w:firstLineChars="189"/>
        <w:jc w:val="center"/>
        <w:rPr>
          <w:rFonts w:hint="eastAsia" w:ascii="仿宋_GB2312" w:hAnsi="仿宋_GB2312" w:eastAsia="仿宋_GB2312" w:cs="仿宋_GB2312"/>
          <w:w w:val="100"/>
          <w:sz w:val="32"/>
          <w:szCs w:val="32"/>
        </w:rPr>
      </w:pPr>
    </w:p>
    <w:p>
      <w:pPr>
        <w:ind w:firstLine="604" w:firstLineChars="189"/>
        <w:jc w:val="center"/>
        <w:rPr>
          <w:rFonts w:hint="eastAsia" w:ascii="仿宋_GB2312" w:hAnsi="仿宋_GB2312" w:eastAsia="仿宋_GB2312" w:cs="仿宋_GB2312"/>
          <w:w w:val="100"/>
          <w:sz w:val="32"/>
          <w:szCs w:val="32"/>
        </w:rPr>
      </w:pPr>
    </w:p>
    <w:p>
      <w:pPr>
        <w:ind w:firstLine="604" w:firstLineChars="189"/>
        <w:jc w:val="center"/>
        <w:rPr>
          <w:rFonts w:hint="eastAsia" w:ascii="仿宋_GB2312" w:hAnsi="仿宋_GB2312" w:eastAsia="仿宋_GB2312" w:cs="仿宋_GB2312"/>
          <w:w w:val="100"/>
          <w:sz w:val="32"/>
          <w:szCs w:val="32"/>
        </w:rPr>
      </w:pPr>
    </w:p>
    <w:p>
      <w:pPr>
        <w:ind w:firstLine="604" w:firstLineChars="189"/>
        <w:jc w:val="center"/>
        <w:rPr>
          <w:rFonts w:hint="eastAsia" w:ascii="仿宋_GB2312" w:hAnsi="仿宋_GB2312" w:eastAsia="仿宋_GB2312" w:cs="仿宋_GB2312"/>
          <w:w w:val="100"/>
          <w:sz w:val="32"/>
          <w:szCs w:val="32"/>
        </w:rPr>
      </w:pPr>
    </w:p>
    <w:p>
      <w:pPr>
        <w:ind w:firstLine="604" w:firstLineChars="189"/>
        <w:jc w:val="center"/>
        <w:rPr>
          <w:rFonts w:hint="eastAsia" w:ascii="仿宋_GB2312" w:hAnsi="仿宋_GB2312" w:eastAsia="仿宋_GB2312" w:cs="仿宋_GB2312"/>
          <w:w w:val="100"/>
          <w:sz w:val="32"/>
          <w:szCs w:val="32"/>
        </w:rPr>
      </w:pPr>
    </w:p>
    <w:p>
      <w:pPr>
        <w:pStyle w:val="13"/>
        <w:spacing w:line="360" w:lineRule="auto"/>
        <w:jc w:val="center"/>
        <w:rPr>
          <w:rFonts w:hint="eastAsia" w:ascii="仿宋_GB2312" w:hAnsi="仿宋_GB2312" w:eastAsia="仿宋_GB2312" w:cs="仿宋_GB2312"/>
          <w:w w:val="100"/>
          <w:sz w:val="32"/>
          <w:szCs w:val="32"/>
        </w:rPr>
      </w:pPr>
    </w:p>
    <w:p>
      <w:pPr>
        <w:pStyle w:val="13"/>
        <w:numPr>
          <w:ilvl w:val="0"/>
          <w:numId w:val="0"/>
        </w:numPr>
        <w:spacing w:line="360" w:lineRule="auto"/>
        <w:jc w:val="center"/>
        <w:rPr>
          <w:rFonts w:hint="eastAsia" w:ascii="方正小标宋简体" w:hAnsi="方正小标宋简体" w:eastAsia="方正小标宋简体" w:cs="方正小标宋简体"/>
          <w:color w:val="000000"/>
          <w:w w:val="100"/>
          <w:kern w:val="0"/>
          <w:sz w:val="52"/>
          <w:szCs w:val="52"/>
          <w:lang w:val="en-US" w:eastAsia="zh-CN" w:bidi="ar-SA"/>
        </w:rPr>
      </w:pPr>
      <w:r>
        <w:rPr>
          <w:rFonts w:hint="eastAsia" w:ascii="方正小标宋简体" w:hAnsi="方正小标宋简体" w:eastAsia="方正小标宋简体" w:cs="方正小标宋简体"/>
          <w:color w:val="000000"/>
          <w:w w:val="100"/>
          <w:kern w:val="0"/>
          <w:sz w:val="52"/>
          <w:szCs w:val="52"/>
          <w:lang w:val="en-US" w:eastAsia="zh-CN" w:bidi="ar-SA"/>
        </w:rPr>
        <w:t>第一部分</w:t>
      </w:r>
    </w:p>
    <w:p>
      <w:pPr>
        <w:pStyle w:val="13"/>
        <w:numPr>
          <w:ilvl w:val="0"/>
          <w:numId w:val="0"/>
        </w:numPr>
        <w:spacing w:line="360" w:lineRule="auto"/>
        <w:jc w:val="center"/>
        <w:rPr>
          <w:rFonts w:hint="eastAsia" w:ascii="方正小标宋简体" w:hAnsi="方正小标宋简体" w:eastAsia="方正小标宋简体" w:cs="方正小标宋简体"/>
          <w:color w:val="000000"/>
          <w:w w:val="100"/>
          <w:kern w:val="0"/>
          <w:sz w:val="52"/>
          <w:szCs w:val="52"/>
          <w:lang w:val="en-US" w:eastAsia="zh-CN" w:bidi="ar-SA"/>
        </w:rPr>
      </w:pPr>
      <w:r>
        <w:rPr>
          <w:rFonts w:hint="eastAsia" w:ascii="方正小标宋简体" w:hAnsi="方正小标宋简体" w:eastAsia="方正小标宋简体" w:cs="方正小标宋简体"/>
          <w:color w:val="000000"/>
          <w:w w:val="100"/>
          <w:kern w:val="0"/>
          <w:sz w:val="52"/>
          <w:szCs w:val="52"/>
          <w:lang w:val="en-US" w:eastAsia="zh-CN" w:bidi="ar-SA"/>
        </w:rPr>
        <w:t>怀化市市场监督管理局（本级）概况</w:t>
      </w:r>
    </w:p>
    <w:p>
      <w:pPr>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br w:type="page"/>
      </w:r>
    </w:p>
    <w:p>
      <w:pPr>
        <w:keepNext w:val="0"/>
        <w:keepLines w:val="0"/>
        <w:pageBreakBefore w:val="0"/>
        <w:widowControl w:val="0"/>
        <w:kinsoku/>
        <w:wordWrap/>
        <w:overflowPunct/>
        <w:topLinePunct w:val="0"/>
        <w:autoSpaceDN/>
        <w:bidi w:val="0"/>
        <w:adjustRightInd/>
        <w:snapToGrid/>
        <w:spacing w:line="240" w:lineRule="auto"/>
        <w:ind w:firstLine="640" w:firstLineChars="200"/>
        <w:textAlignment w:val="auto"/>
        <w:rPr>
          <w:rFonts w:hint="eastAsia" w:ascii="仿宋_GB2312" w:hAnsi="仿宋_GB2312" w:eastAsia="仿宋_GB2312" w:cs="仿宋_GB2312"/>
          <w:w w:val="100"/>
          <w:sz w:val="32"/>
          <w:szCs w:val="32"/>
        </w:rPr>
      </w:pPr>
    </w:p>
    <w:p>
      <w:pPr>
        <w:keepNext w:val="0"/>
        <w:keepLines w:val="0"/>
        <w:pageBreakBefore w:val="0"/>
        <w:widowControl w:val="0"/>
        <w:kinsoku/>
        <w:wordWrap/>
        <w:overflowPunct/>
        <w:topLinePunct w:val="0"/>
        <w:autoSpaceDN/>
        <w:bidi w:val="0"/>
        <w:adjustRightInd/>
        <w:snapToGrid/>
        <w:spacing w:line="240" w:lineRule="auto"/>
        <w:ind w:firstLine="640" w:firstLineChars="200"/>
        <w:textAlignment w:val="auto"/>
        <w:rPr>
          <w:rFonts w:hint="eastAsia" w:ascii="黑体" w:hAnsi="黑体" w:eastAsia="黑体" w:cs="黑体"/>
          <w:w w:val="100"/>
          <w:sz w:val="32"/>
          <w:szCs w:val="32"/>
        </w:rPr>
      </w:pPr>
      <w:r>
        <w:rPr>
          <w:rFonts w:hint="eastAsia" w:ascii="黑体" w:hAnsi="黑体" w:eastAsia="黑体" w:cs="黑体"/>
          <w:w w:val="100"/>
          <w:sz w:val="32"/>
          <w:szCs w:val="32"/>
        </w:rPr>
        <w:t>一、部门职责</w:t>
      </w:r>
    </w:p>
    <w:p>
      <w:pPr>
        <w:keepNext w:val="0"/>
        <w:keepLines w:val="0"/>
        <w:pageBreakBefore w:val="0"/>
        <w:widowControl w:val="0"/>
        <w:kinsoku/>
        <w:wordWrap/>
        <w:overflowPunct/>
        <w:topLinePunct w:val="0"/>
        <w:autoSpaceDN/>
        <w:bidi w:val="0"/>
        <w:adjustRightInd/>
        <w:snapToGrid/>
        <w:spacing w:line="240" w:lineRule="auto"/>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怀化市市场监督管理局（本级）（以下简称“市市场监管局”）是市政府工作部门，为正处级，对外加挂怀化市知识产权局牌子，贯彻落实党中央、省委、市委关于市场监督管理工作的方针政策和决策部署，坚持和加强党对市场监督管理工作的集中统一领导，主要职责包括：</w:t>
      </w:r>
    </w:p>
    <w:p>
      <w:pPr>
        <w:keepNext w:val="0"/>
        <w:keepLines w:val="0"/>
        <w:pageBreakBefore w:val="0"/>
        <w:widowControl w:val="0"/>
        <w:kinsoku/>
        <w:wordWrap/>
        <w:overflowPunct/>
        <w:topLinePunct w:val="0"/>
        <w:autoSpaceDN/>
        <w:bidi w:val="0"/>
        <w:adjustRightInd/>
        <w:snapToGrid/>
        <w:spacing w:line="240" w:lineRule="auto"/>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一）负责市场综合监督管理。拟订市场监督管理有关制度措施，组织实施质量强市战略、食品安全战略、标准化战略和知识产权战略，拟订并组织实施有关规划，规范和维护市场秩序，营造诚实守信、公平竞争的市场环境。</w:t>
      </w:r>
    </w:p>
    <w:p>
      <w:pPr>
        <w:keepNext w:val="0"/>
        <w:keepLines w:val="0"/>
        <w:pageBreakBefore w:val="0"/>
        <w:widowControl w:val="0"/>
        <w:kinsoku/>
        <w:wordWrap/>
        <w:overflowPunct/>
        <w:topLinePunct w:val="0"/>
        <w:autoSpaceDN/>
        <w:bidi w:val="0"/>
        <w:adjustRightInd/>
        <w:snapToGrid/>
        <w:spacing w:line="240" w:lineRule="auto"/>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w:t>
      </w:r>
      <w:r>
        <w:rPr>
          <w:rFonts w:hint="eastAsia" w:ascii="仿宋_GB2312" w:hAnsi="仿宋_GB2312" w:eastAsia="仿宋_GB2312" w:cs="仿宋_GB2312"/>
          <w:w w:val="100"/>
          <w:sz w:val="32"/>
          <w:szCs w:val="32"/>
          <w:lang w:val="en-US" w:eastAsia="zh-CN"/>
        </w:rPr>
        <w:t>二</w:t>
      </w:r>
      <w:r>
        <w:rPr>
          <w:rFonts w:hint="eastAsia" w:ascii="仿宋_GB2312" w:hAnsi="仿宋_GB2312" w:eastAsia="仿宋_GB2312" w:cs="仿宋_GB2312"/>
          <w:w w:val="100"/>
          <w:sz w:val="32"/>
          <w:szCs w:val="32"/>
        </w:rPr>
        <w:t>）负责市场主体统一登记注册。指导各类企业、农民专业合作社和从事经营活动的单位、个体工商户以及外国（地区）企业常驻代表机构等市场主体的登记注册和监督管理工作。建立市场主体信息公示和共享机制，依法公示和共享有关信息，加强信用监管，推动市场主体信用体系建设。</w:t>
      </w:r>
    </w:p>
    <w:p>
      <w:pPr>
        <w:keepNext w:val="0"/>
        <w:keepLines w:val="0"/>
        <w:pageBreakBefore w:val="0"/>
        <w:widowControl w:val="0"/>
        <w:kinsoku/>
        <w:wordWrap/>
        <w:overflowPunct/>
        <w:topLinePunct w:val="0"/>
        <w:autoSpaceDN/>
        <w:bidi w:val="0"/>
        <w:adjustRightInd/>
        <w:snapToGrid/>
        <w:spacing w:line="240" w:lineRule="auto"/>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w:t>
      </w:r>
      <w:r>
        <w:rPr>
          <w:rFonts w:hint="eastAsia" w:ascii="仿宋_GB2312" w:hAnsi="仿宋_GB2312" w:eastAsia="仿宋_GB2312" w:cs="仿宋_GB2312"/>
          <w:w w:val="100"/>
          <w:sz w:val="32"/>
          <w:szCs w:val="32"/>
          <w:lang w:val="en-US" w:eastAsia="zh-CN"/>
        </w:rPr>
        <w:t>三</w:t>
      </w:r>
      <w:r>
        <w:rPr>
          <w:rFonts w:hint="eastAsia" w:ascii="仿宋_GB2312" w:hAnsi="仿宋_GB2312" w:eastAsia="仿宋_GB2312" w:cs="仿宋_GB2312"/>
          <w:w w:val="100"/>
          <w:sz w:val="32"/>
          <w:szCs w:val="32"/>
        </w:rPr>
        <w:t>）负责组织和指导市场监管综合执法工作。指导县（市、区）市场监管综合执法队伍整合和建设，推动实行统一的市场监管。组织查处违法案件。规范市场监管行政执法行为。</w:t>
      </w:r>
    </w:p>
    <w:p>
      <w:pPr>
        <w:keepNext w:val="0"/>
        <w:keepLines w:val="0"/>
        <w:pageBreakBefore w:val="0"/>
        <w:widowControl w:val="0"/>
        <w:kinsoku/>
        <w:wordWrap/>
        <w:overflowPunct/>
        <w:topLinePunct w:val="0"/>
        <w:autoSpaceDN/>
        <w:bidi w:val="0"/>
        <w:adjustRightInd/>
        <w:snapToGrid/>
        <w:spacing w:line="240" w:lineRule="auto"/>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w:t>
      </w:r>
      <w:r>
        <w:rPr>
          <w:rFonts w:hint="eastAsia" w:ascii="仿宋_GB2312" w:hAnsi="仿宋_GB2312" w:eastAsia="仿宋_GB2312" w:cs="仿宋_GB2312"/>
          <w:w w:val="100"/>
          <w:sz w:val="32"/>
          <w:szCs w:val="32"/>
          <w:lang w:val="en-US" w:eastAsia="zh-CN"/>
        </w:rPr>
        <w:t>四</w:t>
      </w:r>
      <w:r>
        <w:rPr>
          <w:rFonts w:hint="eastAsia" w:ascii="仿宋_GB2312" w:hAnsi="仿宋_GB2312" w:eastAsia="仿宋_GB2312" w:cs="仿宋_GB2312"/>
          <w:w w:val="100"/>
          <w:sz w:val="32"/>
          <w:szCs w:val="32"/>
        </w:rPr>
        <w:t>）负责反垄断工作。统筹推进竞争政策实施，组织实施公平竞争审查制度。依法对经营者集中行为进行反垄断审查，根据授权负责垄断协议、滥用市场支配地位和滥用行政权力排除、限制竞争等反垄断工作。</w:t>
      </w:r>
    </w:p>
    <w:p>
      <w:pPr>
        <w:keepNext w:val="0"/>
        <w:keepLines w:val="0"/>
        <w:pageBreakBefore w:val="0"/>
        <w:widowControl w:val="0"/>
        <w:kinsoku/>
        <w:wordWrap/>
        <w:overflowPunct/>
        <w:topLinePunct w:val="0"/>
        <w:autoSpaceDN/>
        <w:bidi w:val="0"/>
        <w:adjustRightInd/>
        <w:snapToGrid/>
        <w:spacing w:line="240" w:lineRule="auto"/>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w:t>
      </w:r>
      <w:r>
        <w:rPr>
          <w:rFonts w:hint="eastAsia" w:ascii="仿宋_GB2312" w:hAnsi="仿宋_GB2312" w:eastAsia="仿宋_GB2312" w:cs="仿宋_GB2312"/>
          <w:w w:val="100"/>
          <w:sz w:val="32"/>
          <w:szCs w:val="32"/>
          <w:lang w:val="en-US" w:eastAsia="zh-CN"/>
        </w:rPr>
        <w:t>五</w:t>
      </w:r>
      <w:r>
        <w:rPr>
          <w:rFonts w:hint="eastAsia" w:ascii="仿宋_GB2312" w:hAnsi="仿宋_GB2312" w:eastAsia="仿宋_GB2312" w:cs="仿宋_GB2312"/>
          <w:w w:val="100"/>
          <w:sz w:val="32"/>
          <w:szCs w:val="32"/>
        </w:rPr>
        <w:t>）负责监督管理市场秩序。依法监督管理市场交易、网络商品交易及有关服务的行为。组织指导查处价格收费违法违规、不正当竞争、违法直销、传销、侵犯商标专利知识产权和制售假冒伪劣行为。指导广告业的发展，监督管理广告活动。承担依法查处无照生产经营和相关无证生产经营行为。</w:t>
      </w:r>
    </w:p>
    <w:p>
      <w:pPr>
        <w:keepNext w:val="0"/>
        <w:keepLines w:val="0"/>
        <w:pageBreakBefore w:val="0"/>
        <w:widowControl w:val="0"/>
        <w:kinsoku/>
        <w:wordWrap/>
        <w:overflowPunct/>
        <w:topLinePunct w:val="0"/>
        <w:autoSpaceDN/>
        <w:bidi w:val="0"/>
        <w:adjustRightInd/>
        <w:snapToGrid/>
        <w:spacing w:line="240" w:lineRule="auto"/>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w:t>
      </w:r>
      <w:r>
        <w:rPr>
          <w:rFonts w:hint="eastAsia" w:ascii="仿宋_GB2312" w:hAnsi="仿宋_GB2312" w:eastAsia="仿宋_GB2312" w:cs="仿宋_GB2312"/>
          <w:w w:val="100"/>
          <w:sz w:val="32"/>
          <w:szCs w:val="32"/>
          <w:lang w:val="en-US" w:eastAsia="zh-CN"/>
        </w:rPr>
        <w:t>六</w:t>
      </w:r>
      <w:r>
        <w:rPr>
          <w:rFonts w:hint="eastAsia" w:ascii="仿宋_GB2312" w:hAnsi="仿宋_GB2312" w:eastAsia="仿宋_GB2312" w:cs="仿宋_GB2312"/>
          <w:w w:val="100"/>
          <w:sz w:val="32"/>
          <w:szCs w:val="32"/>
        </w:rPr>
        <w:t>）负责宏观质量管理。拟订推进质量强市战略的政策措施并组织实施，会同有关部门组织实施重大工程设备质量监理制度，组织重大产品质量事故调查，贯彻实施缺陷产品召回制度，监督管理产品防伪工作。</w:t>
      </w:r>
    </w:p>
    <w:p>
      <w:pPr>
        <w:keepNext w:val="0"/>
        <w:keepLines w:val="0"/>
        <w:pageBreakBefore w:val="0"/>
        <w:widowControl w:val="0"/>
        <w:kinsoku/>
        <w:wordWrap/>
        <w:overflowPunct/>
        <w:topLinePunct w:val="0"/>
        <w:autoSpaceDN/>
        <w:bidi w:val="0"/>
        <w:adjustRightInd/>
        <w:snapToGrid/>
        <w:spacing w:line="240" w:lineRule="auto"/>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w:t>
      </w:r>
      <w:r>
        <w:rPr>
          <w:rFonts w:hint="eastAsia" w:ascii="仿宋_GB2312" w:hAnsi="仿宋_GB2312" w:eastAsia="仿宋_GB2312" w:cs="仿宋_GB2312"/>
          <w:w w:val="100"/>
          <w:sz w:val="32"/>
          <w:szCs w:val="32"/>
          <w:lang w:val="en-US" w:eastAsia="zh-CN"/>
        </w:rPr>
        <w:t>七</w:t>
      </w:r>
      <w:r>
        <w:rPr>
          <w:rFonts w:hint="eastAsia" w:ascii="仿宋_GB2312" w:hAnsi="仿宋_GB2312" w:eastAsia="仿宋_GB2312" w:cs="仿宋_GB2312"/>
          <w:w w:val="100"/>
          <w:sz w:val="32"/>
          <w:szCs w:val="32"/>
        </w:rPr>
        <w:t>）负责产品质量安全监督管理。负责产品质量安全风险监控，全市监督抽查工作。落实质量分级制度、质量安全追溯制度。负责工业产品生产许可监督管理。负责纤维质量监督工作。</w:t>
      </w:r>
    </w:p>
    <w:p>
      <w:pPr>
        <w:keepNext w:val="0"/>
        <w:keepLines w:val="0"/>
        <w:pageBreakBefore w:val="0"/>
        <w:widowControl w:val="0"/>
        <w:kinsoku/>
        <w:wordWrap/>
        <w:overflowPunct/>
        <w:topLinePunct w:val="0"/>
        <w:autoSpaceDN/>
        <w:bidi w:val="0"/>
        <w:adjustRightInd/>
        <w:snapToGrid/>
        <w:spacing w:line="240" w:lineRule="auto"/>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w:t>
      </w:r>
      <w:r>
        <w:rPr>
          <w:rFonts w:hint="eastAsia" w:ascii="仿宋_GB2312" w:hAnsi="仿宋_GB2312" w:eastAsia="仿宋_GB2312" w:cs="仿宋_GB2312"/>
          <w:w w:val="100"/>
          <w:sz w:val="32"/>
          <w:szCs w:val="32"/>
          <w:lang w:val="en-US" w:eastAsia="zh-CN"/>
        </w:rPr>
        <w:t>八</w:t>
      </w:r>
      <w:r>
        <w:rPr>
          <w:rFonts w:hint="eastAsia" w:ascii="仿宋_GB2312" w:hAnsi="仿宋_GB2312" w:eastAsia="仿宋_GB2312" w:cs="仿宋_GB2312"/>
          <w:w w:val="100"/>
          <w:sz w:val="32"/>
          <w:szCs w:val="32"/>
        </w:rPr>
        <w:t>）负责特种设备安全监督管理。综合管理特种设备安全监察、监督工作。监督检查高耗能特种设备节能标准和锅炉环境保护标准的执行情况。按规定权限组织调查处理特种设备事故并进行统计分析。</w:t>
      </w:r>
    </w:p>
    <w:p>
      <w:pPr>
        <w:keepNext w:val="0"/>
        <w:keepLines w:val="0"/>
        <w:pageBreakBefore w:val="0"/>
        <w:widowControl w:val="0"/>
        <w:kinsoku/>
        <w:wordWrap/>
        <w:overflowPunct/>
        <w:topLinePunct w:val="0"/>
        <w:autoSpaceDN/>
        <w:bidi w:val="0"/>
        <w:adjustRightInd/>
        <w:snapToGrid/>
        <w:spacing w:line="240" w:lineRule="auto"/>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w:t>
      </w:r>
      <w:r>
        <w:rPr>
          <w:rFonts w:hint="eastAsia" w:ascii="仿宋_GB2312" w:hAnsi="仿宋_GB2312" w:eastAsia="仿宋_GB2312" w:cs="仿宋_GB2312"/>
          <w:w w:val="100"/>
          <w:sz w:val="32"/>
          <w:szCs w:val="32"/>
          <w:lang w:val="en-US" w:eastAsia="zh-CN"/>
        </w:rPr>
        <w:t>九</w:t>
      </w:r>
      <w:r>
        <w:rPr>
          <w:rFonts w:hint="eastAsia" w:ascii="仿宋_GB2312" w:hAnsi="仿宋_GB2312" w:eastAsia="仿宋_GB2312" w:cs="仿宋_GB2312"/>
          <w:w w:val="100"/>
          <w:sz w:val="32"/>
          <w:szCs w:val="32"/>
        </w:rPr>
        <w:t>）负责食品安全监督管理综合协调。组织制定食品安全重大政策并组织实施。负责食品安全应急体系建设，组织指导重大食品安全事件应急处置和调查处理工作。落实食品安全重要信息直报制度。承担市食品安全委员会日常工作。</w:t>
      </w:r>
    </w:p>
    <w:p>
      <w:pPr>
        <w:keepNext w:val="0"/>
        <w:keepLines w:val="0"/>
        <w:pageBreakBefore w:val="0"/>
        <w:widowControl w:val="0"/>
        <w:kinsoku/>
        <w:wordWrap/>
        <w:overflowPunct/>
        <w:topLinePunct w:val="0"/>
        <w:autoSpaceDN/>
        <w:bidi w:val="0"/>
        <w:adjustRightInd/>
        <w:snapToGrid/>
        <w:spacing w:line="240" w:lineRule="auto"/>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w:t>
      </w:r>
      <w:r>
        <w:rPr>
          <w:rFonts w:hint="eastAsia" w:ascii="仿宋_GB2312" w:hAnsi="仿宋_GB2312" w:eastAsia="仿宋_GB2312" w:cs="仿宋_GB2312"/>
          <w:w w:val="100"/>
          <w:sz w:val="32"/>
          <w:szCs w:val="32"/>
          <w:lang w:val="en-US" w:eastAsia="zh-CN"/>
        </w:rPr>
        <w:t>十</w:t>
      </w:r>
      <w:r>
        <w:rPr>
          <w:rFonts w:hint="eastAsia" w:ascii="仿宋_GB2312" w:hAnsi="仿宋_GB2312" w:eastAsia="仿宋_GB2312" w:cs="仿宋_GB2312"/>
          <w:w w:val="100"/>
          <w:sz w:val="32"/>
          <w:szCs w:val="32"/>
        </w:rPr>
        <w:t>）负责食品安全监督管理。建立覆盖食品生产、流通、消费全过程的监督检查制度和隐患排查治理机制并组织实施，防范区域性、系统性食品安全风险。推动建立食品生产经营者落实主体责任的机制，健全食品安全追溯体系。组织开展食品安全监督抽检、风险监测、核查处置和风险预警、风险交流工作。组织实施特殊食品监督管理。负责食盐专营管理和食盐安全监督管理。</w:t>
      </w:r>
    </w:p>
    <w:p>
      <w:pPr>
        <w:keepNext w:val="0"/>
        <w:keepLines w:val="0"/>
        <w:pageBreakBefore w:val="0"/>
        <w:widowControl w:val="0"/>
        <w:kinsoku/>
        <w:wordWrap/>
        <w:overflowPunct/>
        <w:topLinePunct w:val="0"/>
        <w:autoSpaceDN/>
        <w:bidi w:val="0"/>
        <w:adjustRightInd/>
        <w:snapToGrid/>
        <w:spacing w:line="240" w:lineRule="auto"/>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w:t>
      </w:r>
      <w:r>
        <w:rPr>
          <w:rFonts w:hint="eastAsia" w:ascii="仿宋_GB2312" w:hAnsi="仿宋_GB2312" w:eastAsia="仿宋_GB2312" w:cs="仿宋_GB2312"/>
          <w:w w:val="100"/>
          <w:sz w:val="32"/>
          <w:szCs w:val="32"/>
          <w:lang w:val="en-US" w:eastAsia="zh-CN"/>
        </w:rPr>
        <w:t>十一</w:t>
      </w:r>
      <w:r>
        <w:rPr>
          <w:rFonts w:hint="eastAsia" w:ascii="仿宋_GB2312" w:hAnsi="仿宋_GB2312" w:eastAsia="仿宋_GB2312" w:cs="仿宋_GB2312"/>
          <w:w w:val="100"/>
          <w:sz w:val="32"/>
          <w:szCs w:val="32"/>
        </w:rPr>
        <w:t>）负责统一管理计量工作。推行法定计量单位和国家计量制度，依职责管理计量器具及量值传递和比对工作。规范、监督商品量和市场计量行为。</w:t>
      </w:r>
    </w:p>
    <w:p>
      <w:pPr>
        <w:keepNext w:val="0"/>
        <w:keepLines w:val="0"/>
        <w:pageBreakBefore w:val="0"/>
        <w:widowControl w:val="0"/>
        <w:kinsoku/>
        <w:wordWrap/>
        <w:overflowPunct/>
        <w:topLinePunct w:val="0"/>
        <w:autoSpaceDN/>
        <w:bidi w:val="0"/>
        <w:adjustRightInd/>
        <w:snapToGrid/>
        <w:spacing w:line="240" w:lineRule="auto"/>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w:t>
      </w:r>
      <w:r>
        <w:rPr>
          <w:rFonts w:hint="eastAsia" w:ascii="仿宋_GB2312" w:hAnsi="仿宋_GB2312" w:eastAsia="仿宋_GB2312" w:cs="仿宋_GB2312"/>
          <w:w w:val="100"/>
          <w:sz w:val="32"/>
          <w:szCs w:val="32"/>
          <w:lang w:val="en-US" w:eastAsia="zh-CN"/>
        </w:rPr>
        <w:t>十二</w:t>
      </w:r>
      <w:r>
        <w:rPr>
          <w:rFonts w:hint="eastAsia" w:ascii="仿宋_GB2312" w:hAnsi="仿宋_GB2312" w:eastAsia="仿宋_GB2312" w:cs="仿宋_GB2312"/>
          <w:w w:val="100"/>
          <w:sz w:val="32"/>
          <w:szCs w:val="32"/>
        </w:rPr>
        <w:t>）负责统一管理标准化工作。依法承担地方标准立项、编号和发布工作，指导开展标准化试点示范工作。依据法定职责，对标准的制定进行指导监督，对标准的实施进行监督检查。推行采用国际标准。</w:t>
      </w:r>
    </w:p>
    <w:p>
      <w:pPr>
        <w:keepNext w:val="0"/>
        <w:keepLines w:val="0"/>
        <w:pageBreakBefore w:val="0"/>
        <w:widowControl w:val="0"/>
        <w:kinsoku/>
        <w:wordWrap/>
        <w:overflowPunct/>
        <w:topLinePunct w:val="0"/>
        <w:autoSpaceDN/>
        <w:bidi w:val="0"/>
        <w:adjustRightInd/>
        <w:snapToGrid/>
        <w:spacing w:line="240" w:lineRule="auto"/>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w:t>
      </w:r>
      <w:r>
        <w:rPr>
          <w:rFonts w:hint="eastAsia" w:ascii="仿宋_GB2312" w:hAnsi="仿宋_GB2312" w:eastAsia="仿宋_GB2312" w:cs="仿宋_GB2312"/>
          <w:w w:val="100"/>
          <w:sz w:val="32"/>
          <w:szCs w:val="32"/>
          <w:lang w:val="en-US" w:eastAsia="zh-CN"/>
        </w:rPr>
        <w:t>十三</w:t>
      </w:r>
      <w:r>
        <w:rPr>
          <w:rFonts w:hint="eastAsia" w:ascii="仿宋_GB2312" w:hAnsi="仿宋_GB2312" w:eastAsia="仿宋_GB2312" w:cs="仿宋_GB2312"/>
          <w:w w:val="100"/>
          <w:sz w:val="32"/>
          <w:szCs w:val="32"/>
        </w:rPr>
        <w:t>）负责统一管理检验检测工作。推进检验检测机构改革，规范检验检测市场，完善检验检测体系，指导协调检验检测行业发展。</w:t>
      </w:r>
    </w:p>
    <w:p>
      <w:pPr>
        <w:keepNext w:val="0"/>
        <w:keepLines w:val="0"/>
        <w:pageBreakBefore w:val="0"/>
        <w:widowControl w:val="0"/>
        <w:kinsoku/>
        <w:wordWrap/>
        <w:overflowPunct/>
        <w:topLinePunct w:val="0"/>
        <w:autoSpaceDN/>
        <w:bidi w:val="0"/>
        <w:adjustRightInd/>
        <w:snapToGrid/>
        <w:spacing w:line="240" w:lineRule="auto"/>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w:t>
      </w:r>
      <w:r>
        <w:rPr>
          <w:rFonts w:hint="eastAsia" w:ascii="仿宋_GB2312" w:hAnsi="仿宋_GB2312" w:eastAsia="仿宋_GB2312" w:cs="仿宋_GB2312"/>
          <w:w w:val="100"/>
          <w:sz w:val="32"/>
          <w:szCs w:val="32"/>
          <w:lang w:val="en-US" w:eastAsia="zh-CN"/>
        </w:rPr>
        <w:t>十四</w:t>
      </w:r>
      <w:r>
        <w:rPr>
          <w:rFonts w:hint="eastAsia" w:ascii="仿宋_GB2312" w:hAnsi="仿宋_GB2312" w:eastAsia="仿宋_GB2312" w:cs="仿宋_GB2312"/>
          <w:w w:val="100"/>
          <w:sz w:val="32"/>
          <w:szCs w:val="32"/>
        </w:rPr>
        <w:t>）负责统一管理、监督和综合协调全市认证认可工作。依法监督管理全市认证认可和合格评定有关活动。</w:t>
      </w:r>
    </w:p>
    <w:p>
      <w:pPr>
        <w:keepNext w:val="0"/>
        <w:keepLines w:val="0"/>
        <w:pageBreakBefore w:val="0"/>
        <w:widowControl w:val="0"/>
        <w:kinsoku/>
        <w:wordWrap/>
        <w:overflowPunct/>
        <w:topLinePunct w:val="0"/>
        <w:autoSpaceDN/>
        <w:bidi w:val="0"/>
        <w:adjustRightInd/>
        <w:snapToGrid/>
        <w:spacing w:line="240" w:lineRule="auto"/>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w:t>
      </w:r>
      <w:r>
        <w:rPr>
          <w:rFonts w:hint="eastAsia" w:ascii="仿宋_GB2312" w:hAnsi="仿宋_GB2312" w:eastAsia="仿宋_GB2312" w:cs="仿宋_GB2312"/>
          <w:w w:val="100"/>
          <w:sz w:val="32"/>
          <w:szCs w:val="32"/>
          <w:lang w:val="en-US" w:eastAsia="zh-CN"/>
        </w:rPr>
        <w:t>十五</w:t>
      </w:r>
      <w:r>
        <w:rPr>
          <w:rFonts w:hint="eastAsia" w:ascii="仿宋_GB2312" w:hAnsi="仿宋_GB2312" w:eastAsia="仿宋_GB2312" w:cs="仿宋_GB2312"/>
          <w:w w:val="100"/>
          <w:sz w:val="32"/>
          <w:szCs w:val="32"/>
        </w:rPr>
        <w:t>）负责市场监督管理、知识产权领域科技和信息化建设、新闻宣传、对外交流与合作。按规定承担技术性贸易措施有关工作。</w:t>
      </w:r>
    </w:p>
    <w:p>
      <w:pPr>
        <w:keepNext w:val="0"/>
        <w:keepLines w:val="0"/>
        <w:pageBreakBefore w:val="0"/>
        <w:widowControl w:val="0"/>
        <w:kinsoku/>
        <w:wordWrap/>
        <w:overflowPunct/>
        <w:topLinePunct w:val="0"/>
        <w:autoSpaceDN/>
        <w:bidi w:val="0"/>
        <w:adjustRightInd/>
        <w:snapToGrid/>
        <w:spacing w:line="240" w:lineRule="auto"/>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w:t>
      </w:r>
      <w:r>
        <w:rPr>
          <w:rFonts w:hint="eastAsia" w:ascii="仿宋_GB2312" w:hAnsi="仿宋_GB2312" w:eastAsia="仿宋_GB2312" w:cs="仿宋_GB2312"/>
          <w:w w:val="100"/>
          <w:sz w:val="32"/>
          <w:szCs w:val="32"/>
          <w:lang w:val="en-US" w:eastAsia="zh-CN"/>
        </w:rPr>
        <w:t>十六</w:t>
      </w:r>
      <w:r>
        <w:rPr>
          <w:rFonts w:hint="eastAsia" w:ascii="仿宋_GB2312" w:hAnsi="仿宋_GB2312" w:eastAsia="仿宋_GB2312" w:cs="仿宋_GB2312"/>
          <w:w w:val="100"/>
          <w:sz w:val="32"/>
          <w:szCs w:val="32"/>
        </w:rPr>
        <w:t>）负责实施知识产权战略，配合推进知识产权强省建设。制定实施知识产权创造、保护、运用的政策和措施。负责知识产权公共服务体系建设，推动知识产权信息传播利用，统筹协调涉外知识产权有关事宜。指导县（市、区）知识产权工作。</w:t>
      </w:r>
    </w:p>
    <w:p>
      <w:pPr>
        <w:keepNext w:val="0"/>
        <w:keepLines w:val="0"/>
        <w:pageBreakBefore w:val="0"/>
        <w:widowControl w:val="0"/>
        <w:kinsoku/>
        <w:wordWrap/>
        <w:overflowPunct/>
        <w:topLinePunct w:val="0"/>
        <w:autoSpaceDN/>
        <w:bidi w:val="0"/>
        <w:adjustRightInd/>
        <w:snapToGrid/>
        <w:spacing w:line="240" w:lineRule="auto"/>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w:t>
      </w:r>
      <w:r>
        <w:rPr>
          <w:rFonts w:hint="eastAsia" w:ascii="仿宋_GB2312" w:hAnsi="仿宋_GB2312" w:eastAsia="仿宋_GB2312" w:cs="仿宋_GB2312"/>
          <w:w w:val="100"/>
          <w:sz w:val="32"/>
          <w:szCs w:val="32"/>
          <w:lang w:val="en-US" w:eastAsia="zh-CN"/>
        </w:rPr>
        <w:t>十七</w:t>
      </w:r>
      <w:r>
        <w:rPr>
          <w:rFonts w:hint="eastAsia" w:ascii="仿宋_GB2312" w:hAnsi="仿宋_GB2312" w:eastAsia="仿宋_GB2312" w:cs="仿宋_GB2312"/>
          <w:w w:val="100"/>
          <w:sz w:val="32"/>
          <w:szCs w:val="32"/>
        </w:rPr>
        <w:t>）负责保护知识产权。落实严格保护商标、专利、原产地地理标志等相关工作，负责知识产权保护体系建设，组织指导商标、专利执法工作。</w:t>
      </w:r>
    </w:p>
    <w:p>
      <w:pPr>
        <w:keepNext w:val="0"/>
        <w:keepLines w:val="0"/>
        <w:pageBreakBefore w:val="0"/>
        <w:widowControl w:val="0"/>
        <w:kinsoku/>
        <w:wordWrap/>
        <w:overflowPunct/>
        <w:topLinePunct w:val="0"/>
        <w:autoSpaceDN/>
        <w:bidi w:val="0"/>
        <w:adjustRightInd/>
        <w:snapToGrid/>
        <w:spacing w:line="240" w:lineRule="auto"/>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w:t>
      </w:r>
      <w:r>
        <w:rPr>
          <w:rFonts w:hint="eastAsia" w:ascii="仿宋_GB2312" w:hAnsi="仿宋_GB2312" w:eastAsia="仿宋_GB2312" w:cs="仿宋_GB2312"/>
          <w:w w:val="100"/>
          <w:sz w:val="32"/>
          <w:szCs w:val="32"/>
          <w:lang w:val="en-US" w:eastAsia="zh-CN"/>
        </w:rPr>
        <w:t>十八</w:t>
      </w:r>
      <w:r>
        <w:rPr>
          <w:rFonts w:hint="eastAsia" w:ascii="仿宋_GB2312" w:hAnsi="仿宋_GB2312" w:eastAsia="仿宋_GB2312" w:cs="仿宋_GB2312"/>
          <w:w w:val="100"/>
          <w:sz w:val="32"/>
          <w:szCs w:val="32"/>
        </w:rPr>
        <w:t>）负责知识产权创造运用。按权限负责商标、专利和原产地地理标志的管理，开展知识产权运营体系建设，指导重大经营活动知识产权评议，规范知识产权交易和无形资产评估，促进知识产权转移转化。</w:t>
      </w:r>
    </w:p>
    <w:p>
      <w:pPr>
        <w:keepNext w:val="0"/>
        <w:keepLines w:val="0"/>
        <w:pageBreakBefore w:val="0"/>
        <w:widowControl w:val="0"/>
        <w:kinsoku/>
        <w:wordWrap/>
        <w:overflowPunct/>
        <w:topLinePunct w:val="0"/>
        <w:autoSpaceDN/>
        <w:bidi w:val="0"/>
        <w:adjustRightInd/>
        <w:snapToGrid/>
        <w:spacing w:line="240" w:lineRule="auto"/>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w:t>
      </w:r>
      <w:r>
        <w:rPr>
          <w:rFonts w:hint="eastAsia" w:ascii="仿宋_GB2312" w:hAnsi="仿宋_GB2312" w:eastAsia="仿宋_GB2312" w:cs="仿宋_GB2312"/>
          <w:w w:val="100"/>
          <w:sz w:val="32"/>
          <w:szCs w:val="32"/>
          <w:lang w:val="en-US" w:eastAsia="zh-CN"/>
        </w:rPr>
        <w:t>十九</w:t>
      </w:r>
      <w:r>
        <w:rPr>
          <w:rFonts w:hint="eastAsia" w:ascii="仿宋_GB2312" w:hAnsi="仿宋_GB2312" w:eastAsia="仿宋_GB2312" w:cs="仿宋_GB2312"/>
          <w:w w:val="100"/>
          <w:sz w:val="32"/>
          <w:szCs w:val="32"/>
        </w:rPr>
        <w:t>）负责组织开展有关服务领域消费维权工作，查处制售假冒伪劣等违法行为，指导消费者咨询、申诉、举报受理、处理和网络体系建设等工作，保护经营者、消费者合法权益。</w:t>
      </w:r>
    </w:p>
    <w:p>
      <w:pPr>
        <w:keepNext w:val="0"/>
        <w:keepLines w:val="0"/>
        <w:pageBreakBefore w:val="0"/>
        <w:widowControl w:val="0"/>
        <w:kinsoku/>
        <w:wordWrap/>
        <w:overflowPunct/>
        <w:topLinePunct w:val="0"/>
        <w:autoSpaceDN/>
        <w:bidi w:val="0"/>
        <w:adjustRightInd/>
        <w:snapToGrid/>
        <w:spacing w:line="240" w:lineRule="auto"/>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w:t>
      </w:r>
      <w:r>
        <w:rPr>
          <w:rFonts w:hint="eastAsia" w:ascii="仿宋_GB2312" w:hAnsi="仿宋_GB2312" w:eastAsia="仿宋_GB2312" w:cs="仿宋_GB2312"/>
          <w:w w:val="100"/>
          <w:sz w:val="32"/>
          <w:szCs w:val="32"/>
          <w:lang w:val="en-US" w:eastAsia="zh-CN"/>
        </w:rPr>
        <w:t>二十</w:t>
      </w:r>
      <w:r>
        <w:rPr>
          <w:rFonts w:hint="eastAsia" w:ascii="仿宋_GB2312" w:hAnsi="仿宋_GB2312" w:eastAsia="仿宋_GB2312" w:cs="仿宋_GB2312"/>
          <w:w w:val="100"/>
          <w:sz w:val="32"/>
          <w:szCs w:val="32"/>
        </w:rPr>
        <w:t>）负责药品（含中药、民族药，下同）、医疗器械和化妆品安全监督管理。贯彻执行国家药品、医疗器械和化妆品安全监督管理的法律、法规和规章，拟订相关制度措施，并组织实施。研究拟订鼓励药品、医疗器械和化妆品新技术新产品的管理与服务政策。</w:t>
      </w:r>
    </w:p>
    <w:p>
      <w:pPr>
        <w:keepNext w:val="0"/>
        <w:keepLines w:val="0"/>
        <w:pageBreakBefore w:val="0"/>
        <w:widowControl w:val="0"/>
        <w:kinsoku/>
        <w:wordWrap/>
        <w:overflowPunct/>
        <w:topLinePunct w:val="0"/>
        <w:autoSpaceDN/>
        <w:bidi w:val="0"/>
        <w:adjustRightInd/>
        <w:snapToGrid/>
        <w:spacing w:line="240" w:lineRule="auto"/>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w:t>
      </w:r>
      <w:r>
        <w:rPr>
          <w:rFonts w:hint="eastAsia" w:ascii="仿宋_GB2312" w:hAnsi="仿宋_GB2312" w:eastAsia="仿宋_GB2312" w:cs="仿宋_GB2312"/>
          <w:w w:val="100"/>
          <w:sz w:val="32"/>
          <w:szCs w:val="32"/>
          <w:lang w:val="en-US" w:eastAsia="zh-CN"/>
        </w:rPr>
        <w:t>二十一</w:t>
      </w:r>
      <w:r>
        <w:rPr>
          <w:rFonts w:hint="eastAsia" w:ascii="仿宋_GB2312" w:hAnsi="仿宋_GB2312" w:eastAsia="仿宋_GB2312" w:cs="仿宋_GB2312"/>
          <w:w w:val="100"/>
          <w:sz w:val="32"/>
          <w:szCs w:val="32"/>
        </w:rPr>
        <w:t>）监督实施药品、医疗器械、化妆品分类管理制度，配合有关部门实施国家基本药物制度。</w:t>
      </w:r>
    </w:p>
    <w:p>
      <w:pPr>
        <w:keepNext w:val="0"/>
        <w:keepLines w:val="0"/>
        <w:pageBreakBefore w:val="0"/>
        <w:widowControl w:val="0"/>
        <w:kinsoku/>
        <w:wordWrap/>
        <w:overflowPunct/>
        <w:topLinePunct w:val="0"/>
        <w:autoSpaceDN/>
        <w:bidi w:val="0"/>
        <w:adjustRightInd/>
        <w:snapToGrid/>
        <w:spacing w:line="240" w:lineRule="auto"/>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w:t>
      </w:r>
      <w:r>
        <w:rPr>
          <w:rFonts w:hint="eastAsia" w:ascii="仿宋_GB2312" w:hAnsi="仿宋_GB2312" w:eastAsia="仿宋_GB2312" w:cs="仿宋_GB2312"/>
          <w:w w:val="100"/>
          <w:sz w:val="32"/>
          <w:szCs w:val="32"/>
          <w:lang w:val="en-US" w:eastAsia="zh-CN"/>
        </w:rPr>
        <w:t>二十二</w:t>
      </w:r>
      <w:r>
        <w:rPr>
          <w:rFonts w:hint="eastAsia" w:ascii="仿宋_GB2312" w:hAnsi="仿宋_GB2312" w:eastAsia="仿宋_GB2312" w:cs="仿宋_GB2312"/>
          <w:w w:val="100"/>
          <w:sz w:val="32"/>
          <w:szCs w:val="32"/>
        </w:rPr>
        <w:t>）负责药品、医疗器械和化妆品质量管理。监督实施药品、医疗器械经营质量管理规范，监督实施化妆品经营、使用卫生标准和技术规范。负责药品零售许可和医疗器械经营许可、备案及化妆品经营备案。</w:t>
      </w:r>
    </w:p>
    <w:p>
      <w:pPr>
        <w:keepNext w:val="0"/>
        <w:keepLines w:val="0"/>
        <w:pageBreakBefore w:val="0"/>
        <w:widowControl w:val="0"/>
        <w:kinsoku/>
        <w:wordWrap/>
        <w:overflowPunct/>
        <w:topLinePunct w:val="0"/>
        <w:autoSpaceDN/>
        <w:bidi w:val="0"/>
        <w:adjustRightInd/>
        <w:snapToGrid/>
        <w:spacing w:line="240" w:lineRule="auto"/>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w:t>
      </w:r>
      <w:r>
        <w:rPr>
          <w:rFonts w:hint="eastAsia" w:ascii="仿宋_GB2312" w:hAnsi="仿宋_GB2312" w:eastAsia="仿宋_GB2312" w:cs="仿宋_GB2312"/>
          <w:w w:val="100"/>
          <w:sz w:val="32"/>
          <w:szCs w:val="32"/>
          <w:lang w:val="en-US" w:eastAsia="zh-CN"/>
        </w:rPr>
        <w:t>二十三</w:t>
      </w:r>
      <w:r>
        <w:rPr>
          <w:rFonts w:hint="eastAsia" w:ascii="仿宋_GB2312" w:hAnsi="仿宋_GB2312" w:eastAsia="仿宋_GB2312" w:cs="仿宋_GB2312"/>
          <w:w w:val="100"/>
          <w:sz w:val="32"/>
          <w:szCs w:val="32"/>
        </w:rPr>
        <w:t>）负责药品、医疗器械和化妆品上市后风险管理。组织开展药品不良反应、医疗器械不良事件和化妆品不良反应的监测、评价和处置工作。依法承担药品、医疗器械和化妆品安全应急管理工作。</w:t>
      </w:r>
    </w:p>
    <w:p>
      <w:pPr>
        <w:keepNext w:val="0"/>
        <w:keepLines w:val="0"/>
        <w:pageBreakBefore w:val="0"/>
        <w:widowControl w:val="0"/>
        <w:kinsoku/>
        <w:wordWrap/>
        <w:overflowPunct/>
        <w:topLinePunct w:val="0"/>
        <w:autoSpaceDN/>
        <w:bidi w:val="0"/>
        <w:adjustRightInd/>
        <w:snapToGrid/>
        <w:spacing w:line="240" w:lineRule="auto"/>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w:t>
      </w:r>
      <w:r>
        <w:rPr>
          <w:rFonts w:hint="eastAsia" w:ascii="仿宋_GB2312" w:hAnsi="仿宋_GB2312" w:eastAsia="仿宋_GB2312" w:cs="仿宋_GB2312"/>
          <w:w w:val="100"/>
          <w:sz w:val="32"/>
          <w:szCs w:val="32"/>
          <w:lang w:val="en-US" w:eastAsia="zh-CN"/>
        </w:rPr>
        <w:t>二十四</w:t>
      </w:r>
      <w:r>
        <w:rPr>
          <w:rFonts w:hint="eastAsia" w:ascii="仿宋_GB2312" w:hAnsi="仿宋_GB2312" w:eastAsia="仿宋_GB2312" w:cs="仿宋_GB2312"/>
          <w:w w:val="100"/>
          <w:sz w:val="32"/>
          <w:szCs w:val="32"/>
        </w:rPr>
        <w:t>）负责组织实施药品、医疗器械和化妆品监督检查。落实检查制度，依法查处药品零售、使用环节及医疗器械和化妆品经营、使用环节违法行为。</w:t>
      </w:r>
    </w:p>
    <w:p>
      <w:pPr>
        <w:keepNext w:val="0"/>
        <w:keepLines w:val="0"/>
        <w:pageBreakBefore w:val="0"/>
        <w:widowControl w:val="0"/>
        <w:kinsoku/>
        <w:wordWrap/>
        <w:overflowPunct/>
        <w:topLinePunct w:val="0"/>
        <w:autoSpaceDN/>
        <w:bidi w:val="0"/>
        <w:adjustRightInd/>
        <w:snapToGrid/>
        <w:spacing w:line="240" w:lineRule="auto"/>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w:t>
      </w:r>
      <w:r>
        <w:rPr>
          <w:rFonts w:hint="eastAsia" w:ascii="仿宋_GB2312" w:hAnsi="仿宋_GB2312" w:eastAsia="仿宋_GB2312" w:cs="仿宋_GB2312"/>
          <w:w w:val="100"/>
          <w:sz w:val="32"/>
          <w:szCs w:val="32"/>
          <w:lang w:val="en-US" w:eastAsia="zh-CN"/>
        </w:rPr>
        <w:t>二十五</w:t>
      </w:r>
      <w:r>
        <w:rPr>
          <w:rFonts w:hint="eastAsia" w:ascii="仿宋_GB2312" w:hAnsi="仿宋_GB2312" w:eastAsia="仿宋_GB2312" w:cs="仿宋_GB2312"/>
          <w:w w:val="100"/>
          <w:sz w:val="32"/>
          <w:szCs w:val="32"/>
        </w:rPr>
        <w:t>）负责职责范围内食品药品行业安全生产工作。</w:t>
      </w:r>
    </w:p>
    <w:p>
      <w:pPr>
        <w:keepNext w:val="0"/>
        <w:keepLines w:val="0"/>
        <w:pageBreakBefore w:val="0"/>
        <w:widowControl w:val="0"/>
        <w:kinsoku/>
        <w:wordWrap/>
        <w:overflowPunct/>
        <w:topLinePunct w:val="0"/>
        <w:autoSpaceDN/>
        <w:bidi w:val="0"/>
        <w:adjustRightInd/>
        <w:snapToGrid/>
        <w:spacing w:line="240" w:lineRule="auto"/>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w:t>
      </w:r>
      <w:r>
        <w:rPr>
          <w:rFonts w:hint="eastAsia" w:ascii="仿宋_GB2312" w:hAnsi="仿宋_GB2312" w:eastAsia="仿宋_GB2312" w:cs="仿宋_GB2312"/>
          <w:w w:val="100"/>
          <w:sz w:val="32"/>
          <w:szCs w:val="32"/>
          <w:lang w:val="en-US" w:eastAsia="zh-CN"/>
        </w:rPr>
        <w:t>二十六</w:t>
      </w:r>
      <w:r>
        <w:rPr>
          <w:rFonts w:hint="eastAsia" w:ascii="仿宋_GB2312" w:hAnsi="仿宋_GB2312" w:eastAsia="仿宋_GB2312" w:cs="仿宋_GB2312"/>
          <w:w w:val="100"/>
          <w:sz w:val="32"/>
          <w:szCs w:val="32"/>
        </w:rPr>
        <w:t>）完成市委、市政府交办的其他任务。</w:t>
      </w:r>
    </w:p>
    <w:p>
      <w:pPr>
        <w:keepNext w:val="0"/>
        <w:keepLines w:val="0"/>
        <w:pageBreakBefore w:val="0"/>
        <w:widowControl w:val="0"/>
        <w:kinsoku/>
        <w:wordWrap/>
        <w:overflowPunct/>
        <w:topLinePunct w:val="0"/>
        <w:autoSpaceDN/>
        <w:bidi w:val="0"/>
        <w:adjustRightInd/>
        <w:snapToGrid/>
        <w:spacing w:line="240" w:lineRule="auto"/>
        <w:ind w:firstLine="640" w:firstLineChars="200"/>
        <w:textAlignment w:val="auto"/>
        <w:rPr>
          <w:rFonts w:hint="eastAsia" w:ascii="黑体" w:hAnsi="黑体" w:eastAsia="黑体" w:cs="黑体"/>
          <w:w w:val="100"/>
          <w:sz w:val="32"/>
          <w:szCs w:val="32"/>
        </w:rPr>
      </w:pPr>
      <w:r>
        <w:rPr>
          <w:rFonts w:hint="eastAsia" w:ascii="黑体" w:hAnsi="黑体" w:eastAsia="黑体" w:cs="黑体"/>
          <w:w w:val="100"/>
          <w:sz w:val="32"/>
          <w:szCs w:val="32"/>
        </w:rPr>
        <w:t>二、机构设置及决算单位构成</w:t>
      </w:r>
    </w:p>
    <w:p>
      <w:pPr>
        <w:keepNext w:val="0"/>
        <w:keepLines w:val="0"/>
        <w:pageBreakBefore w:val="0"/>
        <w:widowControl w:val="0"/>
        <w:kinsoku/>
        <w:wordWrap/>
        <w:overflowPunct/>
        <w:topLinePunct w:val="0"/>
        <w:autoSpaceDN/>
        <w:bidi w:val="0"/>
        <w:adjustRightInd/>
        <w:snapToGrid/>
        <w:spacing w:line="240" w:lineRule="auto"/>
        <w:ind w:firstLine="643" w:firstLineChars="200"/>
        <w:textAlignment w:val="auto"/>
        <w:rPr>
          <w:rFonts w:hint="eastAsia" w:ascii="楷体_GB2312" w:hAnsi="楷体_GB2312" w:eastAsia="楷体_GB2312" w:cs="楷体_GB2312"/>
          <w:b/>
          <w:bCs/>
          <w:w w:val="100"/>
          <w:sz w:val="32"/>
          <w:szCs w:val="32"/>
        </w:rPr>
      </w:pPr>
      <w:r>
        <w:rPr>
          <w:rFonts w:hint="eastAsia" w:ascii="楷体_GB2312" w:hAnsi="楷体_GB2312" w:eastAsia="楷体_GB2312" w:cs="楷体_GB2312"/>
          <w:b/>
          <w:bCs/>
          <w:w w:val="100"/>
          <w:sz w:val="32"/>
          <w:szCs w:val="32"/>
        </w:rPr>
        <w:t>（一）内设机构设置</w:t>
      </w:r>
    </w:p>
    <w:p>
      <w:pPr>
        <w:keepNext w:val="0"/>
        <w:keepLines w:val="0"/>
        <w:pageBreakBefore w:val="0"/>
        <w:widowControl w:val="0"/>
        <w:kinsoku/>
        <w:wordWrap/>
        <w:overflowPunct/>
        <w:topLinePunct w:val="0"/>
        <w:autoSpaceDN/>
        <w:bidi w:val="0"/>
        <w:adjustRightInd/>
        <w:snapToGrid/>
        <w:spacing w:line="240" w:lineRule="auto"/>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怀化市市场监督管理局作为一级部门预算单位，内设办公室、政策法规科、信用监督管理科、价格监督检查和反不正当竞争科（规范直销与打击传销办公室）、网络交易监督管理科、广告监督管理科、质量发展科、产品质量安全监督管理科、食品安全协调科、食品生产安全监督管理科、食品流通安全监督管理科、餐饮食品安全监督管理科、特种设备安全监察科、计量科、认证认可监督管理科、标准化科、知识产权促进保护科、知识产权运用科、消费者权益保护科（投诉举报办公室）、药品监督管理科、医疗器械监督管理科、化妆品监督管理科、宣传与应急反应科、科技和财务科、人事科（退休人员管理服务科）、机关党委。</w:t>
      </w:r>
    </w:p>
    <w:p>
      <w:pPr>
        <w:keepNext w:val="0"/>
        <w:keepLines w:val="0"/>
        <w:pageBreakBefore w:val="0"/>
        <w:widowControl w:val="0"/>
        <w:kinsoku/>
        <w:wordWrap/>
        <w:overflowPunct/>
        <w:topLinePunct w:val="0"/>
        <w:autoSpaceDN/>
        <w:bidi w:val="0"/>
        <w:adjustRightInd/>
        <w:snapToGrid/>
        <w:spacing w:line="240" w:lineRule="auto"/>
        <w:ind w:firstLine="643" w:firstLineChars="200"/>
        <w:textAlignment w:val="auto"/>
        <w:rPr>
          <w:rFonts w:hint="eastAsia" w:ascii="楷体_GB2312" w:hAnsi="楷体_GB2312" w:eastAsia="楷体_GB2312" w:cs="楷体_GB2312"/>
          <w:b/>
          <w:bCs/>
          <w:w w:val="100"/>
          <w:sz w:val="32"/>
          <w:szCs w:val="32"/>
        </w:rPr>
      </w:pPr>
      <w:r>
        <w:rPr>
          <w:rFonts w:hint="eastAsia" w:ascii="楷体_GB2312" w:hAnsi="楷体_GB2312" w:eastAsia="楷体_GB2312" w:cs="楷体_GB2312"/>
          <w:b/>
          <w:bCs/>
          <w:w w:val="100"/>
          <w:sz w:val="32"/>
          <w:szCs w:val="32"/>
        </w:rPr>
        <w:t>（二）决算单位构成</w:t>
      </w:r>
    </w:p>
    <w:p>
      <w:pPr>
        <w:keepNext w:val="0"/>
        <w:keepLines w:val="0"/>
        <w:pageBreakBefore w:val="0"/>
        <w:widowControl w:val="0"/>
        <w:kinsoku/>
        <w:wordWrap/>
        <w:overflowPunct/>
        <w:topLinePunct w:val="0"/>
        <w:autoSpaceDE w:val="0"/>
        <w:autoSpaceDN/>
        <w:bidi w:val="0"/>
        <w:adjustRightInd/>
        <w:snapToGrid/>
        <w:spacing w:line="240" w:lineRule="auto"/>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怀化市市场监督管理局（本级）2024年部门决算公开单位构成包括：怀化市市场监督管理局（本级）。</w:t>
      </w:r>
    </w:p>
    <w:p>
      <w:pPr>
        <w:keepNext w:val="0"/>
        <w:keepLines w:val="0"/>
        <w:pageBreakBefore w:val="0"/>
        <w:widowControl w:val="0"/>
        <w:kinsoku/>
        <w:wordWrap/>
        <w:overflowPunct/>
        <w:topLinePunct w:val="0"/>
        <w:autoSpaceDE w:val="0"/>
        <w:autoSpaceDN/>
        <w:bidi w:val="0"/>
        <w:adjustRightInd/>
        <w:snapToGrid/>
        <w:spacing w:line="240" w:lineRule="auto"/>
        <w:ind w:firstLine="640" w:firstLineChars="200"/>
        <w:textAlignment w:val="auto"/>
        <w:rPr>
          <w:rFonts w:hint="eastAsia" w:ascii="仿宋_GB2312" w:hAnsi="仿宋_GB2312" w:eastAsia="仿宋_GB2312" w:cs="仿宋_GB2312"/>
          <w:w w:val="100"/>
          <w:sz w:val="32"/>
          <w:szCs w:val="32"/>
        </w:rPr>
      </w:pPr>
    </w:p>
    <w:p>
      <w:pPr>
        <w:keepNext w:val="0"/>
        <w:keepLines w:val="0"/>
        <w:pageBreakBefore w:val="0"/>
        <w:widowControl w:val="0"/>
        <w:kinsoku/>
        <w:wordWrap/>
        <w:overflowPunct/>
        <w:topLinePunct w:val="0"/>
        <w:autoSpaceDE w:val="0"/>
        <w:autoSpaceDN/>
        <w:bidi w:val="0"/>
        <w:adjustRightInd/>
        <w:snapToGrid/>
        <w:spacing w:line="240" w:lineRule="auto"/>
        <w:ind w:firstLine="640" w:firstLineChars="200"/>
        <w:textAlignment w:val="auto"/>
        <w:rPr>
          <w:rFonts w:hint="eastAsia" w:ascii="仿宋_GB2312" w:hAnsi="仿宋_GB2312" w:eastAsia="仿宋_GB2312" w:cs="仿宋_GB2312"/>
          <w:w w:val="100"/>
          <w:sz w:val="32"/>
          <w:szCs w:val="32"/>
        </w:rPr>
      </w:pPr>
    </w:p>
    <w:p>
      <w:pPr>
        <w:keepNext w:val="0"/>
        <w:keepLines w:val="0"/>
        <w:pageBreakBefore w:val="0"/>
        <w:widowControl w:val="0"/>
        <w:kinsoku/>
        <w:wordWrap/>
        <w:overflowPunct/>
        <w:topLinePunct w:val="0"/>
        <w:autoSpaceDE w:val="0"/>
        <w:autoSpaceDN/>
        <w:bidi w:val="0"/>
        <w:adjustRightInd/>
        <w:snapToGrid/>
        <w:spacing w:line="240" w:lineRule="auto"/>
        <w:ind w:firstLine="640" w:firstLineChars="200"/>
        <w:textAlignment w:val="auto"/>
        <w:rPr>
          <w:rFonts w:hint="eastAsia" w:ascii="仿宋_GB2312" w:hAnsi="仿宋_GB2312" w:eastAsia="仿宋_GB2312" w:cs="仿宋_GB2312"/>
          <w:w w:val="100"/>
          <w:sz w:val="32"/>
          <w:szCs w:val="32"/>
        </w:rPr>
      </w:pPr>
    </w:p>
    <w:p>
      <w:pPr>
        <w:keepNext w:val="0"/>
        <w:keepLines w:val="0"/>
        <w:pageBreakBefore w:val="0"/>
        <w:widowControl w:val="0"/>
        <w:kinsoku/>
        <w:wordWrap/>
        <w:overflowPunct/>
        <w:topLinePunct w:val="0"/>
        <w:autoSpaceDN/>
        <w:bidi w:val="0"/>
        <w:adjustRightInd/>
        <w:snapToGrid/>
        <w:spacing w:line="240" w:lineRule="auto"/>
        <w:ind w:firstLine="640" w:firstLineChars="200"/>
        <w:textAlignment w:val="auto"/>
        <w:rPr>
          <w:rFonts w:hint="eastAsia" w:ascii="仿宋_GB2312" w:hAnsi="仿宋_GB2312" w:eastAsia="仿宋_GB2312" w:cs="仿宋_GB2312"/>
          <w:w w:val="100"/>
          <w:sz w:val="32"/>
          <w:szCs w:val="32"/>
        </w:rPr>
        <w:sectPr>
          <w:pgSz w:w="11906" w:h="16838"/>
          <w:pgMar w:top="1701" w:right="1701" w:bottom="1701" w:left="1701" w:header="851" w:footer="992" w:gutter="0"/>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w w:val="100"/>
          <w:sz w:val="44"/>
          <w:szCs w:val="44"/>
        </w:rPr>
      </w:pPr>
      <w:r>
        <w:rPr>
          <w:rFonts w:hint="eastAsia" w:ascii="方正小标宋简体" w:hAnsi="方正小标宋简体" w:eastAsia="方正小标宋简体" w:cs="方正小标宋简体"/>
          <w:w w:val="100"/>
          <w:sz w:val="44"/>
          <w:szCs w:val="44"/>
        </w:rPr>
        <w:t>第二部分 部门决算表</w:t>
      </w:r>
    </w:p>
    <w:p>
      <w:pPr>
        <w:ind w:firstLine="831" w:firstLineChars="189"/>
        <w:jc w:val="right"/>
        <w:rPr>
          <w:rFonts w:hint="eastAsia" w:ascii="仿宋_GB2312" w:hAnsi="仿宋_GB2312" w:eastAsia="仿宋_GB2312" w:cs="仿宋_GB2312"/>
          <w:w w:val="100"/>
          <w:sz w:val="30"/>
          <w:szCs w:val="30"/>
        </w:rPr>
      </w:pPr>
      <w:r>
        <w:rPr>
          <w:rFonts w:hint="eastAsia" w:ascii="方正小标宋简体" w:hAnsi="方正小标宋简体" w:eastAsia="方正小标宋简体" w:cs="方正小标宋简体"/>
          <w:w w:val="100"/>
          <w:sz w:val="44"/>
          <w:szCs w:val="44"/>
        </w:rPr>
        <w:t>收入支出决算总表</w:t>
      </w:r>
      <w:r>
        <w:rPr>
          <w:rFonts w:hint="eastAsia" w:ascii="仿宋" w:hAnsi="仿宋" w:eastAsia="仿宋"/>
          <w:w w:val="100"/>
          <w:sz w:val="30"/>
          <w:szCs w:val="30"/>
          <w:lang w:val="en-US" w:eastAsia="zh-CN"/>
        </w:rPr>
        <w:t xml:space="preserve">                      </w:t>
      </w:r>
      <w:r>
        <w:rPr>
          <w:rFonts w:hint="eastAsia" w:ascii="仿宋_GB2312" w:hAnsi="仿宋_GB2312" w:eastAsia="仿宋_GB2312" w:cs="仿宋_GB2312"/>
          <w:w w:val="100"/>
          <w:sz w:val="30"/>
          <w:szCs w:val="30"/>
        </w:rPr>
        <w:t>（公开01表）</w:t>
      </w:r>
    </w:p>
    <w:p>
      <w:pPr>
        <w:rPr>
          <w:rFonts w:ascii="仿宋" w:hAnsi="仿宋" w:eastAsia="仿宋"/>
          <w:w w:val="100"/>
          <w:sz w:val="30"/>
          <w:szCs w:val="30"/>
        </w:rPr>
      </w:pPr>
      <w:r>
        <w:rPr>
          <w:rFonts w:hint="eastAsia" w:ascii="仿宋_GB2312" w:hAnsi="仿宋_GB2312" w:eastAsia="仿宋_GB2312" w:cs="仿宋_GB2312"/>
          <w:w w:val="100"/>
          <w:sz w:val="30"/>
          <w:szCs w:val="30"/>
        </w:rPr>
        <w:t>部门：怀化市市场监督管理局（本级）</w:t>
      </w:r>
      <w:r>
        <w:rPr>
          <w:rFonts w:hint="eastAsia" w:ascii="仿宋_GB2312" w:hAnsi="仿宋_GB2312" w:eastAsia="仿宋_GB2312" w:cs="仿宋_GB2312"/>
          <w:w w:val="100"/>
          <w:sz w:val="30"/>
          <w:szCs w:val="30"/>
          <w:lang w:val="en-US" w:eastAsia="zh-CN"/>
        </w:rPr>
        <w:t xml:space="preserve">                                                </w:t>
      </w:r>
      <w:r>
        <w:rPr>
          <w:rFonts w:hint="eastAsia" w:ascii="仿宋_GB2312" w:hAnsi="仿宋_GB2312" w:eastAsia="仿宋_GB2312" w:cs="仿宋_GB2312"/>
          <w:w w:val="100"/>
          <w:sz w:val="30"/>
          <w:szCs w:val="30"/>
        </w:rPr>
        <w:t>单位：万元</w:t>
      </w:r>
    </w:p>
    <w:tbl>
      <w:tblPr>
        <w:tblStyle w:val="7"/>
        <w:tblW w:w="1408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32" w:type="dxa"/>
          <w:left w:w="64" w:type="dxa"/>
          <w:bottom w:w="32" w:type="dxa"/>
          <w:right w:w="64" w:type="dxa"/>
        </w:tblCellMar>
      </w:tblPr>
      <w:tblGrid>
        <w:gridCol w:w="5011"/>
        <w:gridCol w:w="786"/>
        <w:gridCol w:w="1395"/>
        <w:gridCol w:w="4710"/>
        <w:gridCol w:w="786"/>
        <w:gridCol w:w="13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tblHeader/>
          <w:jc w:val="center"/>
        </w:trPr>
        <w:tc>
          <w:tcPr>
            <w:tcW w:w="1395" w:type="dxa"/>
            <w:gridSpan w:val="3"/>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1"/>
                <w:szCs w:val="21"/>
                <w:u w:val="none"/>
              </w:rPr>
            </w:pPr>
            <w:r>
              <w:rPr>
                <w:rFonts w:hint="eastAsia" w:ascii="宋体" w:hAnsi="宋体" w:eastAsia="宋体" w:cs="宋体"/>
                <w:b/>
                <w:i w:val="0"/>
                <w:iCs w:val="0"/>
                <w:color w:val="000000"/>
                <w:w w:val="100"/>
                <w:kern w:val="0"/>
                <w:sz w:val="21"/>
                <w:szCs w:val="21"/>
                <w:u w:val="none"/>
                <w:lang w:val="en-US" w:eastAsia="zh-CN" w:bidi="ar"/>
              </w:rPr>
              <w:t>收入</w:t>
            </w:r>
          </w:p>
        </w:tc>
        <w:tc>
          <w:tcPr>
            <w:tcW w:w="1395" w:type="dxa"/>
            <w:gridSpan w:val="3"/>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1"/>
                <w:szCs w:val="21"/>
                <w:u w:val="none"/>
              </w:rPr>
            </w:pPr>
            <w:r>
              <w:rPr>
                <w:rFonts w:hint="eastAsia" w:ascii="宋体" w:hAnsi="宋体" w:eastAsia="宋体" w:cs="宋体"/>
                <w:b/>
                <w:i w:val="0"/>
                <w:iCs w:val="0"/>
                <w:color w:val="000000"/>
                <w:w w:val="100"/>
                <w:kern w:val="0"/>
                <w:sz w:val="21"/>
                <w:szCs w:val="21"/>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tblHeader/>
          <w:jc w:val="center"/>
        </w:trPr>
        <w:tc>
          <w:tcPr>
            <w:tcW w:w="501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1"/>
                <w:szCs w:val="21"/>
                <w:u w:val="none"/>
              </w:rPr>
            </w:pPr>
            <w:r>
              <w:rPr>
                <w:rFonts w:hint="eastAsia" w:ascii="宋体" w:hAnsi="宋体" w:eastAsia="宋体" w:cs="宋体"/>
                <w:b/>
                <w:i w:val="0"/>
                <w:iCs w:val="0"/>
                <w:color w:val="000000"/>
                <w:w w:val="100"/>
                <w:kern w:val="0"/>
                <w:sz w:val="21"/>
                <w:szCs w:val="21"/>
                <w:u w:val="none"/>
                <w:lang w:val="en-US" w:eastAsia="zh-CN" w:bidi="ar"/>
              </w:rPr>
              <w:t>项目</w:t>
            </w: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1"/>
                <w:szCs w:val="21"/>
                <w:u w:val="none"/>
              </w:rPr>
            </w:pPr>
            <w:r>
              <w:rPr>
                <w:rFonts w:hint="eastAsia" w:ascii="宋体" w:hAnsi="宋体" w:eastAsia="宋体" w:cs="宋体"/>
                <w:b/>
                <w:i w:val="0"/>
                <w:iCs w:val="0"/>
                <w:color w:val="000000"/>
                <w:w w:val="100"/>
                <w:kern w:val="0"/>
                <w:sz w:val="21"/>
                <w:szCs w:val="21"/>
                <w:u w:val="none"/>
                <w:lang w:val="en-US" w:eastAsia="zh-CN" w:bidi="ar"/>
              </w:rPr>
              <w:t>行次</w:t>
            </w:r>
          </w:p>
        </w:tc>
        <w:tc>
          <w:tcPr>
            <w:tcW w:w="139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1"/>
                <w:szCs w:val="21"/>
                <w:u w:val="none"/>
              </w:rPr>
            </w:pPr>
            <w:r>
              <w:rPr>
                <w:rFonts w:hint="eastAsia" w:ascii="宋体" w:hAnsi="宋体" w:eastAsia="宋体" w:cs="宋体"/>
                <w:b/>
                <w:i w:val="0"/>
                <w:iCs w:val="0"/>
                <w:color w:val="000000"/>
                <w:w w:val="100"/>
                <w:kern w:val="0"/>
                <w:sz w:val="21"/>
                <w:szCs w:val="21"/>
                <w:u w:val="none"/>
                <w:lang w:val="en-US" w:eastAsia="zh-CN" w:bidi="ar"/>
              </w:rPr>
              <w:t>金额</w:t>
            </w:r>
          </w:p>
        </w:tc>
        <w:tc>
          <w:tcPr>
            <w:tcW w:w="471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1"/>
                <w:szCs w:val="21"/>
                <w:u w:val="none"/>
              </w:rPr>
            </w:pPr>
            <w:r>
              <w:rPr>
                <w:rFonts w:hint="eastAsia" w:ascii="宋体" w:hAnsi="宋体" w:eastAsia="宋体" w:cs="宋体"/>
                <w:b/>
                <w:i w:val="0"/>
                <w:iCs w:val="0"/>
                <w:color w:val="000000"/>
                <w:w w:val="100"/>
                <w:kern w:val="0"/>
                <w:sz w:val="21"/>
                <w:szCs w:val="21"/>
                <w:u w:val="none"/>
                <w:lang w:val="en-US" w:eastAsia="zh-CN" w:bidi="ar"/>
              </w:rPr>
              <w:t>项目</w:t>
            </w: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1"/>
                <w:szCs w:val="21"/>
                <w:u w:val="none"/>
              </w:rPr>
            </w:pPr>
            <w:r>
              <w:rPr>
                <w:rFonts w:hint="eastAsia" w:ascii="宋体" w:hAnsi="宋体" w:eastAsia="宋体" w:cs="宋体"/>
                <w:b/>
                <w:i w:val="0"/>
                <w:iCs w:val="0"/>
                <w:color w:val="000000"/>
                <w:w w:val="100"/>
                <w:kern w:val="0"/>
                <w:sz w:val="21"/>
                <w:szCs w:val="21"/>
                <w:u w:val="none"/>
                <w:lang w:val="en-US" w:eastAsia="zh-CN" w:bidi="ar"/>
              </w:rPr>
              <w:t>行次</w:t>
            </w:r>
          </w:p>
        </w:tc>
        <w:tc>
          <w:tcPr>
            <w:tcW w:w="139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1"/>
                <w:szCs w:val="21"/>
                <w:u w:val="none"/>
              </w:rPr>
            </w:pPr>
            <w:r>
              <w:rPr>
                <w:rFonts w:hint="eastAsia" w:ascii="宋体" w:hAnsi="宋体" w:eastAsia="宋体" w:cs="宋体"/>
                <w:b/>
                <w:i w:val="0"/>
                <w:iCs w:val="0"/>
                <w:color w:val="000000"/>
                <w:w w:val="100"/>
                <w:kern w:val="0"/>
                <w:sz w:val="21"/>
                <w:szCs w:val="21"/>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501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栏次</w:t>
            </w: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1"/>
                <w:szCs w:val="21"/>
                <w:u w:val="none"/>
              </w:rPr>
            </w:pPr>
          </w:p>
        </w:tc>
        <w:tc>
          <w:tcPr>
            <w:tcW w:w="139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1</w:t>
            </w:r>
          </w:p>
        </w:tc>
        <w:tc>
          <w:tcPr>
            <w:tcW w:w="471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栏次</w:t>
            </w: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1"/>
                <w:szCs w:val="21"/>
                <w:u w:val="none"/>
              </w:rPr>
            </w:pPr>
          </w:p>
        </w:tc>
        <w:tc>
          <w:tcPr>
            <w:tcW w:w="139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501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一、一般公共预算财政拨款收入</w:t>
            </w: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1</w:t>
            </w:r>
          </w:p>
        </w:tc>
        <w:tc>
          <w:tcPr>
            <w:tcW w:w="13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7,073.81</w:t>
            </w:r>
          </w:p>
        </w:tc>
        <w:tc>
          <w:tcPr>
            <w:tcW w:w="471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一、一般公共服务支出</w:t>
            </w: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31</w:t>
            </w:r>
          </w:p>
        </w:tc>
        <w:tc>
          <w:tcPr>
            <w:tcW w:w="13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5,856.65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501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二、政府性基金预算财政拨款收入</w:t>
            </w: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2</w:t>
            </w:r>
          </w:p>
        </w:tc>
        <w:tc>
          <w:tcPr>
            <w:tcW w:w="13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1"/>
                <w:szCs w:val="21"/>
                <w:u w:val="none"/>
              </w:rPr>
            </w:pPr>
          </w:p>
        </w:tc>
        <w:tc>
          <w:tcPr>
            <w:tcW w:w="471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二、外交支出</w:t>
            </w: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32</w:t>
            </w:r>
          </w:p>
        </w:tc>
        <w:tc>
          <w:tcPr>
            <w:tcW w:w="13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501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三、国有资本经营预算财政拨款收入</w:t>
            </w: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3</w:t>
            </w:r>
          </w:p>
        </w:tc>
        <w:tc>
          <w:tcPr>
            <w:tcW w:w="13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1"/>
                <w:szCs w:val="21"/>
                <w:u w:val="none"/>
              </w:rPr>
            </w:pPr>
          </w:p>
        </w:tc>
        <w:tc>
          <w:tcPr>
            <w:tcW w:w="471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三、国防支出</w:t>
            </w: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33</w:t>
            </w:r>
          </w:p>
        </w:tc>
        <w:tc>
          <w:tcPr>
            <w:tcW w:w="13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1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四、上级补助收入</w:t>
            </w: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4</w:t>
            </w:r>
          </w:p>
        </w:tc>
        <w:tc>
          <w:tcPr>
            <w:tcW w:w="13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1"/>
                <w:szCs w:val="21"/>
                <w:u w:val="none"/>
              </w:rPr>
            </w:pPr>
          </w:p>
        </w:tc>
        <w:tc>
          <w:tcPr>
            <w:tcW w:w="471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四、公共安全支出</w:t>
            </w: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34</w:t>
            </w:r>
          </w:p>
        </w:tc>
        <w:tc>
          <w:tcPr>
            <w:tcW w:w="13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1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五、事业收入</w:t>
            </w: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5</w:t>
            </w:r>
          </w:p>
        </w:tc>
        <w:tc>
          <w:tcPr>
            <w:tcW w:w="13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1"/>
                <w:szCs w:val="21"/>
                <w:u w:val="none"/>
              </w:rPr>
            </w:pPr>
          </w:p>
        </w:tc>
        <w:tc>
          <w:tcPr>
            <w:tcW w:w="471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五、教育支出</w:t>
            </w: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35</w:t>
            </w:r>
          </w:p>
        </w:tc>
        <w:tc>
          <w:tcPr>
            <w:tcW w:w="13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501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六、经营收入</w:t>
            </w: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6</w:t>
            </w:r>
          </w:p>
        </w:tc>
        <w:tc>
          <w:tcPr>
            <w:tcW w:w="13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1"/>
                <w:szCs w:val="21"/>
                <w:u w:val="none"/>
              </w:rPr>
            </w:pPr>
          </w:p>
        </w:tc>
        <w:tc>
          <w:tcPr>
            <w:tcW w:w="471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六、科学技术支出</w:t>
            </w: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36</w:t>
            </w:r>
          </w:p>
        </w:tc>
        <w:tc>
          <w:tcPr>
            <w:tcW w:w="13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501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七、附属单位上缴收入</w:t>
            </w: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7</w:t>
            </w:r>
          </w:p>
        </w:tc>
        <w:tc>
          <w:tcPr>
            <w:tcW w:w="13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1"/>
                <w:szCs w:val="21"/>
                <w:u w:val="none"/>
              </w:rPr>
            </w:pPr>
          </w:p>
        </w:tc>
        <w:tc>
          <w:tcPr>
            <w:tcW w:w="471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七、文化旅游体育与传媒支出</w:t>
            </w: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37</w:t>
            </w:r>
          </w:p>
        </w:tc>
        <w:tc>
          <w:tcPr>
            <w:tcW w:w="13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501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八、其他收入</w:t>
            </w: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8</w:t>
            </w:r>
          </w:p>
        </w:tc>
        <w:tc>
          <w:tcPr>
            <w:tcW w:w="13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31.30</w:t>
            </w:r>
          </w:p>
        </w:tc>
        <w:tc>
          <w:tcPr>
            <w:tcW w:w="471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八、社会保障和就业支出</w:t>
            </w: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38</w:t>
            </w:r>
          </w:p>
        </w:tc>
        <w:tc>
          <w:tcPr>
            <w:tcW w:w="13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1,015.01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501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1"/>
                <w:szCs w:val="21"/>
                <w:u w:val="none"/>
              </w:rPr>
            </w:pP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9</w:t>
            </w:r>
          </w:p>
        </w:tc>
        <w:tc>
          <w:tcPr>
            <w:tcW w:w="13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1"/>
                <w:szCs w:val="21"/>
                <w:u w:val="none"/>
              </w:rPr>
            </w:pPr>
          </w:p>
        </w:tc>
        <w:tc>
          <w:tcPr>
            <w:tcW w:w="471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九、卫生健康支出</w:t>
            </w: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39</w:t>
            </w:r>
          </w:p>
        </w:tc>
        <w:tc>
          <w:tcPr>
            <w:tcW w:w="13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188.34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501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1"/>
                <w:szCs w:val="21"/>
                <w:u w:val="none"/>
              </w:rPr>
            </w:pP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10</w:t>
            </w:r>
          </w:p>
        </w:tc>
        <w:tc>
          <w:tcPr>
            <w:tcW w:w="13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1"/>
                <w:szCs w:val="21"/>
                <w:u w:val="none"/>
              </w:rPr>
            </w:pPr>
          </w:p>
        </w:tc>
        <w:tc>
          <w:tcPr>
            <w:tcW w:w="471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十、节能环保支出</w:t>
            </w: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40</w:t>
            </w:r>
          </w:p>
        </w:tc>
        <w:tc>
          <w:tcPr>
            <w:tcW w:w="13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501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1"/>
                <w:szCs w:val="21"/>
                <w:u w:val="none"/>
              </w:rPr>
            </w:pP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11</w:t>
            </w:r>
          </w:p>
        </w:tc>
        <w:tc>
          <w:tcPr>
            <w:tcW w:w="13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1"/>
                <w:szCs w:val="21"/>
                <w:u w:val="none"/>
              </w:rPr>
            </w:pPr>
          </w:p>
        </w:tc>
        <w:tc>
          <w:tcPr>
            <w:tcW w:w="471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十一、城乡社区支出</w:t>
            </w: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41</w:t>
            </w:r>
          </w:p>
        </w:tc>
        <w:tc>
          <w:tcPr>
            <w:tcW w:w="13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501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1"/>
                <w:szCs w:val="21"/>
                <w:u w:val="none"/>
              </w:rPr>
            </w:pP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12</w:t>
            </w:r>
          </w:p>
        </w:tc>
        <w:tc>
          <w:tcPr>
            <w:tcW w:w="13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1"/>
                <w:szCs w:val="21"/>
                <w:u w:val="none"/>
              </w:rPr>
            </w:pPr>
          </w:p>
        </w:tc>
        <w:tc>
          <w:tcPr>
            <w:tcW w:w="471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十二、农林水支出</w:t>
            </w: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42</w:t>
            </w:r>
          </w:p>
        </w:tc>
        <w:tc>
          <w:tcPr>
            <w:tcW w:w="13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1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1"/>
                <w:szCs w:val="21"/>
                <w:u w:val="none"/>
              </w:rPr>
            </w:pP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13</w:t>
            </w:r>
          </w:p>
        </w:tc>
        <w:tc>
          <w:tcPr>
            <w:tcW w:w="13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1"/>
                <w:szCs w:val="21"/>
                <w:u w:val="none"/>
              </w:rPr>
            </w:pPr>
          </w:p>
        </w:tc>
        <w:tc>
          <w:tcPr>
            <w:tcW w:w="471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十三、交通运输支出</w:t>
            </w: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43</w:t>
            </w:r>
          </w:p>
        </w:tc>
        <w:tc>
          <w:tcPr>
            <w:tcW w:w="13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501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1"/>
                <w:szCs w:val="21"/>
                <w:u w:val="none"/>
              </w:rPr>
            </w:pP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14</w:t>
            </w:r>
          </w:p>
        </w:tc>
        <w:tc>
          <w:tcPr>
            <w:tcW w:w="13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1"/>
                <w:szCs w:val="21"/>
                <w:u w:val="none"/>
              </w:rPr>
            </w:pPr>
          </w:p>
        </w:tc>
        <w:tc>
          <w:tcPr>
            <w:tcW w:w="471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十四、资源勘探工业信息等支出</w:t>
            </w: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44</w:t>
            </w:r>
          </w:p>
        </w:tc>
        <w:tc>
          <w:tcPr>
            <w:tcW w:w="13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501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1"/>
                <w:szCs w:val="21"/>
                <w:u w:val="none"/>
              </w:rPr>
            </w:pP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15</w:t>
            </w:r>
          </w:p>
        </w:tc>
        <w:tc>
          <w:tcPr>
            <w:tcW w:w="13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1"/>
                <w:szCs w:val="21"/>
                <w:u w:val="none"/>
              </w:rPr>
            </w:pPr>
          </w:p>
        </w:tc>
        <w:tc>
          <w:tcPr>
            <w:tcW w:w="471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十五、商业服务业等支出</w:t>
            </w: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45</w:t>
            </w:r>
          </w:p>
        </w:tc>
        <w:tc>
          <w:tcPr>
            <w:tcW w:w="13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501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1"/>
                <w:szCs w:val="21"/>
                <w:u w:val="none"/>
              </w:rPr>
            </w:pP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16</w:t>
            </w:r>
          </w:p>
        </w:tc>
        <w:tc>
          <w:tcPr>
            <w:tcW w:w="13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1"/>
                <w:szCs w:val="21"/>
                <w:u w:val="none"/>
              </w:rPr>
            </w:pPr>
          </w:p>
        </w:tc>
        <w:tc>
          <w:tcPr>
            <w:tcW w:w="471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十六、金融支出</w:t>
            </w: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46</w:t>
            </w:r>
          </w:p>
        </w:tc>
        <w:tc>
          <w:tcPr>
            <w:tcW w:w="13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501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1"/>
                <w:szCs w:val="21"/>
                <w:u w:val="none"/>
              </w:rPr>
            </w:pP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17</w:t>
            </w:r>
          </w:p>
        </w:tc>
        <w:tc>
          <w:tcPr>
            <w:tcW w:w="13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1"/>
                <w:szCs w:val="21"/>
                <w:u w:val="none"/>
              </w:rPr>
            </w:pPr>
          </w:p>
        </w:tc>
        <w:tc>
          <w:tcPr>
            <w:tcW w:w="471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十七、援助其他地区支出</w:t>
            </w: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47</w:t>
            </w:r>
          </w:p>
        </w:tc>
        <w:tc>
          <w:tcPr>
            <w:tcW w:w="13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1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1"/>
                <w:szCs w:val="21"/>
                <w:u w:val="none"/>
              </w:rPr>
            </w:pP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18</w:t>
            </w:r>
          </w:p>
        </w:tc>
        <w:tc>
          <w:tcPr>
            <w:tcW w:w="13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1"/>
                <w:szCs w:val="21"/>
                <w:u w:val="none"/>
              </w:rPr>
            </w:pPr>
          </w:p>
        </w:tc>
        <w:tc>
          <w:tcPr>
            <w:tcW w:w="471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十八、自然资源海洋气象等支出</w:t>
            </w: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48</w:t>
            </w:r>
          </w:p>
        </w:tc>
        <w:tc>
          <w:tcPr>
            <w:tcW w:w="13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1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1"/>
                <w:szCs w:val="21"/>
                <w:u w:val="none"/>
              </w:rPr>
            </w:pP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19</w:t>
            </w:r>
          </w:p>
        </w:tc>
        <w:tc>
          <w:tcPr>
            <w:tcW w:w="13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1"/>
                <w:szCs w:val="21"/>
                <w:u w:val="none"/>
              </w:rPr>
            </w:pPr>
          </w:p>
        </w:tc>
        <w:tc>
          <w:tcPr>
            <w:tcW w:w="471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十九、住房保障支出</w:t>
            </w: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49</w:t>
            </w:r>
          </w:p>
        </w:tc>
        <w:tc>
          <w:tcPr>
            <w:tcW w:w="13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11.80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501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1"/>
                <w:szCs w:val="21"/>
                <w:u w:val="none"/>
              </w:rPr>
            </w:pP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20</w:t>
            </w:r>
          </w:p>
        </w:tc>
        <w:tc>
          <w:tcPr>
            <w:tcW w:w="13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1"/>
                <w:szCs w:val="21"/>
                <w:u w:val="none"/>
              </w:rPr>
            </w:pPr>
          </w:p>
        </w:tc>
        <w:tc>
          <w:tcPr>
            <w:tcW w:w="471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二十、粮油物资储备支出</w:t>
            </w: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50</w:t>
            </w:r>
          </w:p>
        </w:tc>
        <w:tc>
          <w:tcPr>
            <w:tcW w:w="13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1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1"/>
                <w:szCs w:val="21"/>
                <w:u w:val="none"/>
              </w:rPr>
            </w:pP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21</w:t>
            </w:r>
          </w:p>
        </w:tc>
        <w:tc>
          <w:tcPr>
            <w:tcW w:w="13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1"/>
                <w:szCs w:val="21"/>
                <w:u w:val="none"/>
              </w:rPr>
            </w:pPr>
          </w:p>
        </w:tc>
        <w:tc>
          <w:tcPr>
            <w:tcW w:w="471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二十一、国有资本经营预算支出</w:t>
            </w: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51</w:t>
            </w:r>
          </w:p>
        </w:tc>
        <w:tc>
          <w:tcPr>
            <w:tcW w:w="13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501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1"/>
                <w:szCs w:val="21"/>
                <w:u w:val="none"/>
              </w:rPr>
            </w:pP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22</w:t>
            </w:r>
          </w:p>
        </w:tc>
        <w:tc>
          <w:tcPr>
            <w:tcW w:w="13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1"/>
                <w:szCs w:val="21"/>
                <w:u w:val="none"/>
              </w:rPr>
            </w:pPr>
          </w:p>
        </w:tc>
        <w:tc>
          <w:tcPr>
            <w:tcW w:w="471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二十二、灾害防治及应急管理支出</w:t>
            </w: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52</w:t>
            </w:r>
          </w:p>
        </w:tc>
        <w:tc>
          <w:tcPr>
            <w:tcW w:w="13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501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1"/>
                <w:szCs w:val="21"/>
                <w:u w:val="none"/>
              </w:rPr>
            </w:pP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23</w:t>
            </w:r>
          </w:p>
        </w:tc>
        <w:tc>
          <w:tcPr>
            <w:tcW w:w="13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1"/>
                <w:szCs w:val="21"/>
                <w:u w:val="none"/>
              </w:rPr>
            </w:pPr>
          </w:p>
        </w:tc>
        <w:tc>
          <w:tcPr>
            <w:tcW w:w="471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二十三、其他支出</w:t>
            </w: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53</w:t>
            </w:r>
          </w:p>
        </w:tc>
        <w:tc>
          <w:tcPr>
            <w:tcW w:w="13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31.30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501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b/>
                <w:bCs/>
                <w:i w:val="0"/>
                <w:iCs w:val="0"/>
                <w:color w:val="000000"/>
                <w:w w:val="100"/>
                <w:sz w:val="21"/>
                <w:szCs w:val="21"/>
                <w:u w:val="none"/>
              </w:rPr>
            </w:pP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24</w:t>
            </w:r>
          </w:p>
        </w:tc>
        <w:tc>
          <w:tcPr>
            <w:tcW w:w="13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1"/>
                <w:szCs w:val="21"/>
                <w:u w:val="none"/>
              </w:rPr>
            </w:pPr>
          </w:p>
        </w:tc>
        <w:tc>
          <w:tcPr>
            <w:tcW w:w="471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二十四、债务还本支出</w:t>
            </w: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54</w:t>
            </w:r>
          </w:p>
        </w:tc>
        <w:tc>
          <w:tcPr>
            <w:tcW w:w="13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501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1"/>
                <w:szCs w:val="21"/>
                <w:u w:val="none"/>
              </w:rPr>
            </w:pP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25</w:t>
            </w:r>
          </w:p>
        </w:tc>
        <w:tc>
          <w:tcPr>
            <w:tcW w:w="13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1"/>
                <w:szCs w:val="21"/>
                <w:u w:val="none"/>
              </w:rPr>
            </w:pPr>
          </w:p>
        </w:tc>
        <w:tc>
          <w:tcPr>
            <w:tcW w:w="471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二十五、债务付息支出</w:t>
            </w: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55</w:t>
            </w:r>
          </w:p>
        </w:tc>
        <w:tc>
          <w:tcPr>
            <w:tcW w:w="13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501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1"/>
                <w:szCs w:val="21"/>
                <w:u w:val="none"/>
              </w:rPr>
            </w:pP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26</w:t>
            </w:r>
          </w:p>
        </w:tc>
        <w:tc>
          <w:tcPr>
            <w:tcW w:w="13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1"/>
                <w:szCs w:val="21"/>
                <w:u w:val="none"/>
              </w:rPr>
            </w:pPr>
          </w:p>
        </w:tc>
        <w:tc>
          <w:tcPr>
            <w:tcW w:w="471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二十六、抗疫特别国债安排的支出</w:t>
            </w: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56</w:t>
            </w:r>
          </w:p>
        </w:tc>
        <w:tc>
          <w:tcPr>
            <w:tcW w:w="13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501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1"/>
                <w:szCs w:val="21"/>
                <w:u w:val="none"/>
              </w:rPr>
            </w:pPr>
            <w:r>
              <w:rPr>
                <w:rFonts w:hint="eastAsia" w:ascii="宋体" w:hAnsi="宋体" w:eastAsia="宋体" w:cs="宋体"/>
                <w:b/>
                <w:bCs/>
                <w:i w:val="0"/>
                <w:iCs w:val="0"/>
                <w:color w:val="000000"/>
                <w:w w:val="100"/>
                <w:kern w:val="0"/>
                <w:sz w:val="21"/>
                <w:szCs w:val="21"/>
                <w:u w:val="none"/>
                <w:lang w:val="en-US" w:eastAsia="zh-CN" w:bidi="ar"/>
              </w:rPr>
              <w:t>本年收入合计</w:t>
            </w: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1"/>
                <w:szCs w:val="21"/>
                <w:u w:val="none"/>
              </w:rPr>
            </w:pPr>
            <w:r>
              <w:rPr>
                <w:rFonts w:hint="eastAsia" w:ascii="宋体" w:hAnsi="宋体" w:eastAsia="宋体" w:cs="宋体"/>
                <w:b/>
                <w:i w:val="0"/>
                <w:iCs w:val="0"/>
                <w:color w:val="000000"/>
                <w:w w:val="100"/>
                <w:kern w:val="0"/>
                <w:sz w:val="21"/>
                <w:szCs w:val="21"/>
                <w:u w:val="none"/>
                <w:lang w:val="en-US" w:eastAsia="zh-CN" w:bidi="ar"/>
              </w:rPr>
              <w:t>27</w:t>
            </w:r>
          </w:p>
        </w:tc>
        <w:tc>
          <w:tcPr>
            <w:tcW w:w="13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b/>
                <w:i w:val="0"/>
                <w:iCs w:val="0"/>
                <w:color w:val="000000"/>
                <w:w w:val="100"/>
                <w:sz w:val="21"/>
                <w:szCs w:val="21"/>
                <w:u w:val="none"/>
              </w:rPr>
            </w:pPr>
            <w:r>
              <w:rPr>
                <w:rFonts w:hint="eastAsia" w:ascii="宋体" w:hAnsi="宋体" w:eastAsia="宋体" w:cs="宋体"/>
                <w:b/>
                <w:i w:val="0"/>
                <w:iCs w:val="0"/>
                <w:color w:val="000000"/>
                <w:w w:val="100"/>
                <w:kern w:val="0"/>
                <w:sz w:val="21"/>
                <w:szCs w:val="21"/>
                <w:u w:val="none"/>
                <w:lang w:val="en-US" w:eastAsia="zh-CN" w:bidi="ar"/>
              </w:rPr>
              <w:t>7,105.12</w:t>
            </w:r>
          </w:p>
        </w:tc>
        <w:tc>
          <w:tcPr>
            <w:tcW w:w="471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1"/>
                <w:szCs w:val="21"/>
                <w:u w:val="none"/>
              </w:rPr>
            </w:pPr>
            <w:r>
              <w:rPr>
                <w:rFonts w:hint="eastAsia" w:ascii="宋体" w:hAnsi="宋体" w:eastAsia="宋体" w:cs="宋体"/>
                <w:b/>
                <w:bCs/>
                <w:i w:val="0"/>
                <w:iCs w:val="0"/>
                <w:color w:val="000000"/>
                <w:w w:val="100"/>
                <w:kern w:val="0"/>
                <w:sz w:val="21"/>
                <w:szCs w:val="21"/>
                <w:u w:val="none"/>
                <w:lang w:val="en-US" w:eastAsia="zh-CN" w:bidi="ar"/>
              </w:rPr>
              <w:t>本年支出合计</w:t>
            </w: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1"/>
                <w:szCs w:val="21"/>
                <w:u w:val="none"/>
              </w:rPr>
            </w:pPr>
            <w:r>
              <w:rPr>
                <w:rFonts w:hint="eastAsia" w:ascii="宋体" w:hAnsi="宋体" w:eastAsia="宋体" w:cs="宋体"/>
                <w:b/>
                <w:i w:val="0"/>
                <w:iCs w:val="0"/>
                <w:color w:val="000000"/>
                <w:w w:val="100"/>
                <w:kern w:val="0"/>
                <w:sz w:val="21"/>
                <w:szCs w:val="21"/>
                <w:u w:val="none"/>
                <w:lang w:val="en-US" w:eastAsia="zh-CN" w:bidi="ar"/>
              </w:rPr>
              <w:t>57</w:t>
            </w:r>
          </w:p>
        </w:tc>
        <w:tc>
          <w:tcPr>
            <w:tcW w:w="13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b/>
                <w:i w:val="0"/>
                <w:iCs w:val="0"/>
                <w:color w:val="000000"/>
                <w:w w:val="100"/>
                <w:sz w:val="21"/>
                <w:szCs w:val="21"/>
                <w:u w:val="none"/>
              </w:rPr>
            </w:pPr>
            <w:r>
              <w:rPr>
                <w:rFonts w:hint="eastAsia" w:ascii="宋体" w:hAnsi="宋体" w:eastAsia="宋体" w:cs="宋体"/>
                <w:b/>
                <w:i w:val="0"/>
                <w:iCs w:val="0"/>
                <w:color w:val="000000"/>
                <w:w w:val="100"/>
                <w:kern w:val="0"/>
                <w:sz w:val="21"/>
                <w:szCs w:val="21"/>
                <w:u w:val="none"/>
                <w:lang w:val="en-US" w:eastAsia="zh-CN" w:bidi="ar"/>
              </w:rPr>
              <w:t>7,105.12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501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使用非财政拨款结余（含专用结余）</w:t>
            </w: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28</w:t>
            </w:r>
          </w:p>
        </w:tc>
        <w:tc>
          <w:tcPr>
            <w:tcW w:w="13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1"/>
                <w:szCs w:val="21"/>
                <w:u w:val="none"/>
              </w:rPr>
            </w:pPr>
          </w:p>
        </w:tc>
        <w:tc>
          <w:tcPr>
            <w:tcW w:w="471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结余分配</w:t>
            </w: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58</w:t>
            </w:r>
          </w:p>
        </w:tc>
        <w:tc>
          <w:tcPr>
            <w:tcW w:w="13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1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年初结转和结余</w:t>
            </w: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29</w:t>
            </w:r>
          </w:p>
        </w:tc>
        <w:tc>
          <w:tcPr>
            <w:tcW w:w="13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0.00</w:t>
            </w:r>
          </w:p>
        </w:tc>
        <w:tc>
          <w:tcPr>
            <w:tcW w:w="471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年末结转和结余</w:t>
            </w: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1"/>
                <w:szCs w:val="21"/>
                <w:u w:val="none"/>
              </w:rPr>
            </w:pPr>
            <w:r>
              <w:rPr>
                <w:rFonts w:hint="eastAsia" w:ascii="宋体" w:hAnsi="宋体" w:eastAsia="宋体" w:cs="宋体"/>
                <w:i w:val="0"/>
                <w:iCs w:val="0"/>
                <w:color w:val="000000"/>
                <w:w w:val="100"/>
                <w:kern w:val="0"/>
                <w:sz w:val="21"/>
                <w:szCs w:val="21"/>
                <w:u w:val="none"/>
                <w:lang w:val="en-US" w:eastAsia="zh-CN" w:bidi="ar"/>
              </w:rPr>
              <w:t>59</w:t>
            </w:r>
          </w:p>
        </w:tc>
        <w:tc>
          <w:tcPr>
            <w:tcW w:w="13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501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1"/>
                <w:szCs w:val="21"/>
                <w:u w:val="none"/>
              </w:rPr>
            </w:pPr>
            <w:r>
              <w:rPr>
                <w:rFonts w:hint="eastAsia" w:ascii="宋体" w:hAnsi="宋体" w:eastAsia="宋体" w:cs="宋体"/>
                <w:b/>
                <w:bCs/>
                <w:i w:val="0"/>
                <w:iCs w:val="0"/>
                <w:color w:val="000000"/>
                <w:w w:val="100"/>
                <w:kern w:val="0"/>
                <w:sz w:val="21"/>
                <w:szCs w:val="21"/>
                <w:u w:val="none"/>
                <w:lang w:val="en-US" w:eastAsia="zh-CN" w:bidi="ar"/>
              </w:rPr>
              <w:t>总计</w:t>
            </w: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1"/>
                <w:szCs w:val="21"/>
                <w:u w:val="none"/>
              </w:rPr>
            </w:pPr>
            <w:r>
              <w:rPr>
                <w:rFonts w:hint="eastAsia" w:ascii="宋体" w:hAnsi="宋体" w:eastAsia="宋体" w:cs="宋体"/>
                <w:b/>
                <w:i w:val="0"/>
                <w:iCs w:val="0"/>
                <w:color w:val="000000"/>
                <w:w w:val="100"/>
                <w:kern w:val="0"/>
                <w:sz w:val="21"/>
                <w:szCs w:val="21"/>
                <w:u w:val="none"/>
                <w:lang w:val="en-US" w:eastAsia="zh-CN" w:bidi="ar"/>
              </w:rPr>
              <w:t>30</w:t>
            </w:r>
          </w:p>
        </w:tc>
        <w:tc>
          <w:tcPr>
            <w:tcW w:w="13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b/>
                <w:i w:val="0"/>
                <w:iCs w:val="0"/>
                <w:color w:val="000000"/>
                <w:w w:val="100"/>
                <w:sz w:val="21"/>
                <w:szCs w:val="21"/>
                <w:u w:val="none"/>
              </w:rPr>
            </w:pPr>
            <w:r>
              <w:rPr>
                <w:rFonts w:hint="eastAsia" w:ascii="宋体" w:hAnsi="宋体" w:eastAsia="宋体" w:cs="宋体"/>
                <w:b/>
                <w:i w:val="0"/>
                <w:iCs w:val="0"/>
                <w:color w:val="000000"/>
                <w:w w:val="100"/>
                <w:kern w:val="0"/>
                <w:sz w:val="21"/>
                <w:szCs w:val="21"/>
                <w:u w:val="none"/>
                <w:lang w:val="en-US" w:eastAsia="zh-CN" w:bidi="ar"/>
              </w:rPr>
              <w:t>7,105.12</w:t>
            </w:r>
          </w:p>
        </w:tc>
        <w:tc>
          <w:tcPr>
            <w:tcW w:w="471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1"/>
                <w:szCs w:val="21"/>
                <w:u w:val="none"/>
              </w:rPr>
            </w:pPr>
            <w:r>
              <w:rPr>
                <w:rFonts w:hint="eastAsia" w:ascii="宋体" w:hAnsi="宋体" w:eastAsia="宋体" w:cs="宋体"/>
                <w:b/>
                <w:bCs/>
                <w:i w:val="0"/>
                <w:iCs w:val="0"/>
                <w:color w:val="000000"/>
                <w:w w:val="100"/>
                <w:kern w:val="0"/>
                <w:sz w:val="21"/>
                <w:szCs w:val="21"/>
                <w:u w:val="none"/>
                <w:lang w:val="en-US" w:eastAsia="zh-CN" w:bidi="ar"/>
              </w:rPr>
              <w:t>总计</w:t>
            </w:r>
          </w:p>
        </w:tc>
        <w:tc>
          <w:tcPr>
            <w:tcW w:w="78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1"/>
                <w:szCs w:val="21"/>
                <w:u w:val="none"/>
              </w:rPr>
            </w:pPr>
            <w:r>
              <w:rPr>
                <w:rFonts w:hint="eastAsia" w:ascii="宋体" w:hAnsi="宋体" w:eastAsia="宋体" w:cs="宋体"/>
                <w:b/>
                <w:i w:val="0"/>
                <w:iCs w:val="0"/>
                <w:color w:val="000000"/>
                <w:w w:val="100"/>
                <w:kern w:val="0"/>
                <w:sz w:val="21"/>
                <w:szCs w:val="21"/>
                <w:u w:val="none"/>
                <w:lang w:val="en-US" w:eastAsia="zh-CN" w:bidi="ar"/>
              </w:rPr>
              <w:t>60</w:t>
            </w:r>
          </w:p>
        </w:tc>
        <w:tc>
          <w:tcPr>
            <w:tcW w:w="13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b/>
                <w:i w:val="0"/>
                <w:iCs w:val="0"/>
                <w:color w:val="000000"/>
                <w:w w:val="100"/>
                <w:sz w:val="21"/>
                <w:szCs w:val="21"/>
                <w:u w:val="none"/>
              </w:rPr>
            </w:pPr>
            <w:r>
              <w:rPr>
                <w:rFonts w:hint="eastAsia" w:ascii="宋体" w:hAnsi="宋体" w:eastAsia="宋体" w:cs="宋体"/>
                <w:b/>
                <w:i w:val="0"/>
                <w:iCs w:val="0"/>
                <w:color w:val="000000"/>
                <w:w w:val="100"/>
                <w:kern w:val="0"/>
                <w:sz w:val="21"/>
                <w:szCs w:val="21"/>
                <w:u w:val="none"/>
                <w:lang w:val="en-US" w:eastAsia="zh-CN" w:bidi="ar"/>
              </w:rPr>
              <w:t>7,105.12</w:t>
            </w:r>
          </w:p>
        </w:tc>
      </w:tr>
    </w:tbl>
    <w:p>
      <w:pPr>
        <w:rPr>
          <w:rFonts w:hint="eastAsia" w:ascii="仿宋_GB2312" w:hAnsi="仿宋_GB2312" w:eastAsia="仿宋_GB2312" w:cs="仿宋_GB2312"/>
          <w:w w:val="100"/>
          <w:sz w:val="21"/>
          <w:szCs w:val="21"/>
        </w:rPr>
      </w:pPr>
    </w:p>
    <w:p>
      <w:pPr>
        <w:ind w:firstLine="566" w:firstLineChars="236"/>
        <w:rPr>
          <w:rFonts w:hint="eastAsia" w:ascii="仿宋_GB2312" w:hAnsi="仿宋_GB2312" w:eastAsia="仿宋_GB2312" w:cs="仿宋_GB2312"/>
          <w:w w:val="100"/>
          <w:sz w:val="24"/>
          <w:szCs w:val="24"/>
        </w:rPr>
      </w:pPr>
      <w:r>
        <w:rPr>
          <w:rFonts w:hint="eastAsia" w:ascii="仿宋_GB2312" w:hAnsi="仿宋_GB2312" w:eastAsia="仿宋_GB2312" w:cs="仿宋_GB2312"/>
          <w:w w:val="100"/>
          <w:sz w:val="24"/>
          <w:szCs w:val="24"/>
        </w:rPr>
        <w:t>注：1.本表反映部门本年度的总收支和年末结转结余情况。</w:t>
      </w:r>
    </w:p>
    <w:p>
      <w:pPr>
        <w:ind w:firstLine="1041" w:firstLineChars="434"/>
        <w:rPr>
          <w:rFonts w:hint="eastAsia" w:ascii="仿宋_GB2312" w:hAnsi="仿宋_GB2312" w:eastAsia="仿宋_GB2312" w:cs="仿宋_GB2312"/>
          <w:w w:val="100"/>
          <w:sz w:val="24"/>
          <w:szCs w:val="24"/>
        </w:rPr>
        <w:sectPr>
          <w:pgSz w:w="16838" w:h="11906" w:orient="landscape"/>
          <w:pgMar w:top="1800" w:right="1440" w:bottom="1800" w:left="1440" w:header="851" w:footer="992" w:gutter="0"/>
          <w:cols w:space="425" w:num="1"/>
          <w:docGrid w:type="lines" w:linePitch="312" w:charSpace="0"/>
        </w:sectPr>
      </w:pPr>
      <w:r>
        <w:rPr>
          <w:rFonts w:hint="eastAsia" w:ascii="仿宋_GB2312" w:hAnsi="仿宋_GB2312" w:eastAsia="仿宋_GB2312" w:cs="仿宋_GB2312"/>
          <w:w w:val="100"/>
          <w:sz w:val="24"/>
          <w:szCs w:val="24"/>
        </w:rPr>
        <w:t>2.本套报表金额单位转换时可能存在尾数误差。</w:t>
      </w:r>
    </w:p>
    <w:p>
      <w:pPr>
        <w:ind w:firstLine="849" w:firstLineChars="236"/>
        <w:jc w:val="right"/>
        <w:rPr>
          <w:rFonts w:hint="eastAsia" w:ascii="仿宋_GB2312" w:hAnsi="仿宋_GB2312" w:eastAsia="仿宋_GB2312" w:cs="仿宋_GB2312"/>
          <w:w w:val="100"/>
          <w:sz w:val="30"/>
          <w:szCs w:val="30"/>
        </w:rPr>
      </w:pPr>
      <w:r>
        <w:rPr>
          <w:rFonts w:hint="eastAsia" w:ascii="黑体" w:hAnsi="黑体" w:eastAsia="黑体" w:cs="黑体"/>
          <w:w w:val="100"/>
          <w:sz w:val="36"/>
          <w:szCs w:val="36"/>
        </w:rPr>
        <w:t>收入决算表</w:t>
      </w:r>
      <w:r>
        <w:rPr>
          <w:rFonts w:hint="eastAsia" w:ascii="黑体" w:hAnsi="黑体" w:eastAsia="黑体" w:cs="黑体"/>
          <w:w w:val="100"/>
          <w:sz w:val="36"/>
          <w:szCs w:val="36"/>
          <w:lang w:val="en-US" w:eastAsia="zh-CN"/>
        </w:rPr>
        <w:t xml:space="preserve">  </w:t>
      </w:r>
      <w:r>
        <w:rPr>
          <w:rFonts w:hint="eastAsia" w:cs="黑体"/>
          <w:w w:val="100"/>
          <w:sz w:val="36"/>
          <w:szCs w:val="36"/>
          <w:lang w:val="en-US" w:eastAsia="zh-CN"/>
        </w:rPr>
        <w:t xml:space="preserve">   </w:t>
      </w:r>
      <w:r>
        <w:rPr>
          <w:rFonts w:hint="eastAsia" w:ascii="黑体" w:hAnsi="黑体" w:eastAsia="黑体" w:cs="黑体"/>
          <w:w w:val="100"/>
          <w:sz w:val="36"/>
          <w:szCs w:val="36"/>
          <w:lang w:val="en-US" w:eastAsia="zh-CN"/>
        </w:rPr>
        <w:t xml:space="preserve">   </w:t>
      </w:r>
      <w:r>
        <w:rPr>
          <w:rFonts w:hint="eastAsia" w:ascii="仿宋" w:hAnsi="仿宋" w:eastAsia="仿宋"/>
          <w:w w:val="100"/>
          <w:sz w:val="30"/>
          <w:szCs w:val="30"/>
          <w:lang w:val="en-US" w:eastAsia="zh-CN"/>
        </w:rPr>
        <w:t xml:space="preserve">                   </w:t>
      </w:r>
      <w:r>
        <w:rPr>
          <w:rFonts w:hint="eastAsia" w:ascii="仿宋_GB2312" w:hAnsi="仿宋_GB2312" w:eastAsia="仿宋_GB2312" w:cs="仿宋_GB2312"/>
          <w:w w:val="100"/>
          <w:sz w:val="30"/>
          <w:szCs w:val="30"/>
          <w:lang w:val="en-US" w:eastAsia="zh-CN"/>
        </w:rPr>
        <w:t xml:space="preserve">  </w:t>
      </w:r>
      <w:r>
        <w:rPr>
          <w:rFonts w:hint="eastAsia" w:ascii="仿宋_GB2312" w:hAnsi="仿宋_GB2312" w:eastAsia="仿宋_GB2312" w:cs="仿宋_GB2312"/>
          <w:w w:val="100"/>
          <w:sz w:val="30"/>
          <w:szCs w:val="30"/>
        </w:rPr>
        <w:t>（公开02表）</w:t>
      </w:r>
    </w:p>
    <w:p>
      <w:pPr>
        <w:rPr>
          <w:rFonts w:hint="eastAsia" w:ascii="仿宋_GB2312" w:hAnsi="仿宋_GB2312" w:eastAsia="仿宋_GB2312" w:cs="仿宋_GB2312"/>
          <w:w w:val="100"/>
          <w:sz w:val="30"/>
          <w:szCs w:val="30"/>
        </w:rPr>
      </w:pPr>
      <w:r>
        <w:rPr>
          <w:rFonts w:hint="eastAsia" w:ascii="仿宋_GB2312" w:hAnsi="仿宋_GB2312" w:eastAsia="仿宋_GB2312" w:cs="仿宋_GB2312"/>
          <w:w w:val="100"/>
          <w:sz w:val="30"/>
          <w:szCs w:val="30"/>
        </w:rPr>
        <w:t>部门：怀化市市场监督管理局（本级）</w:t>
      </w:r>
      <w:r>
        <w:rPr>
          <w:rFonts w:hint="eastAsia" w:ascii="仿宋_GB2312" w:hAnsi="仿宋_GB2312" w:eastAsia="仿宋_GB2312" w:cs="仿宋_GB2312"/>
          <w:w w:val="100"/>
          <w:sz w:val="30"/>
          <w:szCs w:val="30"/>
          <w:lang w:val="en-US" w:eastAsia="zh-CN"/>
        </w:rPr>
        <w:t xml:space="preserve">                                                </w:t>
      </w:r>
      <w:r>
        <w:rPr>
          <w:rFonts w:hint="eastAsia" w:ascii="仿宋_GB2312" w:hAnsi="仿宋_GB2312" w:eastAsia="仿宋_GB2312" w:cs="仿宋_GB2312"/>
          <w:w w:val="100"/>
          <w:sz w:val="30"/>
          <w:szCs w:val="30"/>
        </w:rPr>
        <w:t>单位：万元</w:t>
      </w:r>
    </w:p>
    <w:tbl>
      <w:tblPr>
        <w:tblStyle w:val="7"/>
        <w:tblW w:w="140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32" w:type="dxa"/>
          <w:left w:w="64" w:type="dxa"/>
          <w:bottom w:w="32" w:type="dxa"/>
          <w:right w:w="64" w:type="dxa"/>
        </w:tblCellMar>
      </w:tblPr>
      <w:tblGrid>
        <w:gridCol w:w="1020"/>
        <w:gridCol w:w="3687"/>
        <w:gridCol w:w="1466"/>
        <w:gridCol w:w="1466"/>
        <w:gridCol w:w="1466"/>
        <w:gridCol w:w="1020"/>
        <w:gridCol w:w="1020"/>
        <w:gridCol w:w="1914"/>
        <w:gridCol w:w="10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tblHeader/>
          <w:jc w:val="center"/>
        </w:trPr>
        <w:tc>
          <w:tcPr>
            <w:tcW w:w="4707"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w:t>
            </w:r>
          </w:p>
        </w:tc>
        <w:tc>
          <w:tcPr>
            <w:tcW w:w="1466"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本年收入合计</w:t>
            </w:r>
          </w:p>
        </w:tc>
        <w:tc>
          <w:tcPr>
            <w:tcW w:w="1466"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财政拨款收入</w:t>
            </w:r>
          </w:p>
        </w:tc>
        <w:tc>
          <w:tcPr>
            <w:tcW w:w="1466"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上级补助收入</w:t>
            </w:r>
          </w:p>
        </w:tc>
        <w:tc>
          <w:tcPr>
            <w:tcW w:w="1020"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事业收入</w:t>
            </w:r>
          </w:p>
        </w:tc>
        <w:tc>
          <w:tcPr>
            <w:tcW w:w="1020"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经营收入</w:t>
            </w:r>
          </w:p>
        </w:tc>
        <w:tc>
          <w:tcPr>
            <w:tcW w:w="1914"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附属单位上缴收入</w:t>
            </w:r>
          </w:p>
        </w:tc>
        <w:tc>
          <w:tcPr>
            <w:tcW w:w="1021"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312" w:hRule="atLeast"/>
          <w:tblHeader/>
          <w:jc w:val="center"/>
        </w:trPr>
        <w:tc>
          <w:tcPr>
            <w:tcW w:w="1020" w:type="dxa"/>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科目代码</w:t>
            </w:r>
          </w:p>
        </w:tc>
        <w:tc>
          <w:tcPr>
            <w:tcW w:w="368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科目名称</w:t>
            </w:r>
          </w:p>
        </w:tc>
        <w:tc>
          <w:tcPr>
            <w:tcW w:w="1466"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466"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466"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02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02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914"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021"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4707"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栏次</w:t>
            </w:r>
          </w:p>
        </w:tc>
        <w:tc>
          <w:tcPr>
            <w:tcW w:w="1466" w:type="dxa"/>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1466" w:type="dxa"/>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c>
          <w:tcPr>
            <w:tcW w:w="1466" w:type="dxa"/>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w:t>
            </w:r>
          </w:p>
        </w:tc>
        <w:tc>
          <w:tcPr>
            <w:tcW w:w="1020" w:type="dxa"/>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w:t>
            </w:r>
          </w:p>
        </w:tc>
        <w:tc>
          <w:tcPr>
            <w:tcW w:w="1020" w:type="dxa"/>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w:t>
            </w:r>
          </w:p>
        </w:tc>
        <w:tc>
          <w:tcPr>
            <w:tcW w:w="1914" w:type="dxa"/>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w:t>
            </w:r>
          </w:p>
        </w:tc>
        <w:tc>
          <w:tcPr>
            <w:tcW w:w="1021" w:type="dxa"/>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4707"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合计</w:t>
            </w:r>
          </w:p>
        </w:tc>
        <w:tc>
          <w:tcPr>
            <w:tcW w:w="146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7,105.12</w:t>
            </w:r>
          </w:p>
        </w:tc>
        <w:tc>
          <w:tcPr>
            <w:tcW w:w="146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7,073.81</w:t>
            </w:r>
          </w:p>
        </w:tc>
        <w:tc>
          <w:tcPr>
            <w:tcW w:w="146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b/>
                <w:bCs/>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b/>
                <w:bCs/>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b/>
                <w:bCs/>
                <w:i w:val="0"/>
                <w:iCs w:val="0"/>
                <w:color w:val="000000"/>
                <w:w w:val="100"/>
                <w:sz w:val="22"/>
                <w:szCs w:val="22"/>
                <w:u w:val="none"/>
              </w:rPr>
            </w:pPr>
          </w:p>
        </w:tc>
        <w:tc>
          <w:tcPr>
            <w:tcW w:w="191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b/>
                <w:bCs/>
                <w:i w:val="0"/>
                <w:iCs w:val="0"/>
                <w:color w:val="000000"/>
                <w:w w:val="100"/>
                <w:sz w:val="22"/>
                <w:szCs w:val="22"/>
                <w:u w:val="none"/>
              </w:rPr>
            </w:pPr>
          </w:p>
        </w:tc>
        <w:tc>
          <w:tcPr>
            <w:tcW w:w="10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31.30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2010699</w:t>
            </w:r>
          </w:p>
        </w:tc>
        <w:tc>
          <w:tcPr>
            <w:tcW w:w="368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其他财政事务支出</w:t>
            </w:r>
          </w:p>
        </w:tc>
        <w:tc>
          <w:tcPr>
            <w:tcW w:w="146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5.00</w:t>
            </w:r>
          </w:p>
        </w:tc>
        <w:tc>
          <w:tcPr>
            <w:tcW w:w="146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5.00</w:t>
            </w:r>
          </w:p>
        </w:tc>
        <w:tc>
          <w:tcPr>
            <w:tcW w:w="146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91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0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2011499</w:t>
            </w:r>
          </w:p>
        </w:tc>
        <w:tc>
          <w:tcPr>
            <w:tcW w:w="368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其他知识产权事务支出</w:t>
            </w:r>
          </w:p>
        </w:tc>
        <w:tc>
          <w:tcPr>
            <w:tcW w:w="146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129.81</w:t>
            </w:r>
          </w:p>
        </w:tc>
        <w:tc>
          <w:tcPr>
            <w:tcW w:w="146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129.81</w:t>
            </w:r>
          </w:p>
        </w:tc>
        <w:tc>
          <w:tcPr>
            <w:tcW w:w="146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91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0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2013801</w:t>
            </w:r>
          </w:p>
        </w:tc>
        <w:tc>
          <w:tcPr>
            <w:tcW w:w="368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行政运行</w:t>
            </w:r>
          </w:p>
        </w:tc>
        <w:tc>
          <w:tcPr>
            <w:tcW w:w="146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4,125.98</w:t>
            </w:r>
          </w:p>
        </w:tc>
        <w:tc>
          <w:tcPr>
            <w:tcW w:w="146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4,125.98</w:t>
            </w:r>
          </w:p>
        </w:tc>
        <w:tc>
          <w:tcPr>
            <w:tcW w:w="146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91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0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2013805</w:t>
            </w:r>
          </w:p>
        </w:tc>
        <w:tc>
          <w:tcPr>
            <w:tcW w:w="368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市场秩序执法</w:t>
            </w:r>
          </w:p>
        </w:tc>
        <w:tc>
          <w:tcPr>
            <w:tcW w:w="146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5.00</w:t>
            </w:r>
          </w:p>
        </w:tc>
        <w:tc>
          <w:tcPr>
            <w:tcW w:w="146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5.00</w:t>
            </w:r>
          </w:p>
        </w:tc>
        <w:tc>
          <w:tcPr>
            <w:tcW w:w="146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91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0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2013810</w:t>
            </w:r>
          </w:p>
        </w:tc>
        <w:tc>
          <w:tcPr>
            <w:tcW w:w="368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质量基础</w:t>
            </w:r>
          </w:p>
        </w:tc>
        <w:tc>
          <w:tcPr>
            <w:tcW w:w="146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4.00</w:t>
            </w:r>
          </w:p>
        </w:tc>
        <w:tc>
          <w:tcPr>
            <w:tcW w:w="146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4.00</w:t>
            </w:r>
          </w:p>
        </w:tc>
        <w:tc>
          <w:tcPr>
            <w:tcW w:w="146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91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0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2013812</w:t>
            </w:r>
          </w:p>
        </w:tc>
        <w:tc>
          <w:tcPr>
            <w:tcW w:w="368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药品事务</w:t>
            </w:r>
          </w:p>
        </w:tc>
        <w:tc>
          <w:tcPr>
            <w:tcW w:w="146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94.90</w:t>
            </w:r>
          </w:p>
        </w:tc>
        <w:tc>
          <w:tcPr>
            <w:tcW w:w="146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94.90</w:t>
            </w:r>
          </w:p>
        </w:tc>
        <w:tc>
          <w:tcPr>
            <w:tcW w:w="146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91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0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2013816</w:t>
            </w:r>
          </w:p>
        </w:tc>
        <w:tc>
          <w:tcPr>
            <w:tcW w:w="368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食品安全监管</w:t>
            </w:r>
          </w:p>
        </w:tc>
        <w:tc>
          <w:tcPr>
            <w:tcW w:w="146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53.00</w:t>
            </w:r>
          </w:p>
        </w:tc>
        <w:tc>
          <w:tcPr>
            <w:tcW w:w="146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53.00</w:t>
            </w:r>
          </w:p>
        </w:tc>
        <w:tc>
          <w:tcPr>
            <w:tcW w:w="146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91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0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2013899</w:t>
            </w:r>
          </w:p>
        </w:tc>
        <w:tc>
          <w:tcPr>
            <w:tcW w:w="368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其他市场监督管理事务</w:t>
            </w:r>
          </w:p>
        </w:tc>
        <w:tc>
          <w:tcPr>
            <w:tcW w:w="146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1,432.27</w:t>
            </w:r>
          </w:p>
        </w:tc>
        <w:tc>
          <w:tcPr>
            <w:tcW w:w="146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1,432.27</w:t>
            </w:r>
          </w:p>
        </w:tc>
        <w:tc>
          <w:tcPr>
            <w:tcW w:w="146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91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0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2019999</w:t>
            </w:r>
          </w:p>
        </w:tc>
        <w:tc>
          <w:tcPr>
            <w:tcW w:w="368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其他一般公共服务支出</w:t>
            </w:r>
          </w:p>
        </w:tc>
        <w:tc>
          <w:tcPr>
            <w:tcW w:w="146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6.70</w:t>
            </w:r>
          </w:p>
        </w:tc>
        <w:tc>
          <w:tcPr>
            <w:tcW w:w="146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6.70</w:t>
            </w:r>
          </w:p>
        </w:tc>
        <w:tc>
          <w:tcPr>
            <w:tcW w:w="146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91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0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2079999</w:t>
            </w:r>
          </w:p>
        </w:tc>
        <w:tc>
          <w:tcPr>
            <w:tcW w:w="368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其他文化旅游体育与传媒支出</w:t>
            </w:r>
          </w:p>
        </w:tc>
        <w:tc>
          <w:tcPr>
            <w:tcW w:w="146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2.00</w:t>
            </w:r>
          </w:p>
        </w:tc>
        <w:tc>
          <w:tcPr>
            <w:tcW w:w="146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2.00</w:t>
            </w:r>
          </w:p>
        </w:tc>
        <w:tc>
          <w:tcPr>
            <w:tcW w:w="146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91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0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2080505</w:t>
            </w:r>
          </w:p>
        </w:tc>
        <w:tc>
          <w:tcPr>
            <w:tcW w:w="368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机关事业单位基本养老保险缴费支出</w:t>
            </w:r>
          </w:p>
        </w:tc>
        <w:tc>
          <w:tcPr>
            <w:tcW w:w="146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1,015.01</w:t>
            </w:r>
          </w:p>
        </w:tc>
        <w:tc>
          <w:tcPr>
            <w:tcW w:w="146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1,015.01</w:t>
            </w:r>
          </w:p>
        </w:tc>
        <w:tc>
          <w:tcPr>
            <w:tcW w:w="146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91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0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2101101</w:t>
            </w:r>
          </w:p>
        </w:tc>
        <w:tc>
          <w:tcPr>
            <w:tcW w:w="368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行政单位医疗</w:t>
            </w:r>
          </w:p>
        </w:tc>
        <w:tc>
          <w:tcPr>
            <w:tcW w:w="146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188.34</w:t>
            </w:r>
          </w:p>
        </w:tc>
        <w:tc>
          <w:tcPr>
            <w:tcW w:w="146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188.34</w:t>
            </w:r>
          </w:p>
        </w:tc>
        <w:tc>
          <w:tcPr>
            <w:tcW w:w="146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91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0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2210201</w:t>
            </w:r>
          </w:p>
        </w:tc>
        <w:tc>
          <w:tcPr>
            <w:tcW w:w="368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住房公积金</w:t>
            </w:r>
          </w:p>
        </w:tc>
        <w:tc>
          <w:tcPr>
            <w:tcW w:w="146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11.80</w:t>
            </w:r>
          </w:p>
        </w:tc>
        <w:tc>
          <w:tcPr>
            <w:tcW w:w="146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11.80</w:t>
            </w:r>
          </w:p>
        </w:tc>
        <w:tc>
          <w:tcPr>
            <w:tcW w:w="146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91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0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2299999</w:t>
            </w:r>
          </w:p>
        </w:tc>
        <w:tc>
          <w:tcPr>
            <w:tcW w:w="368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其他支出</w:t>
            </w:r>
          </w:p>
        </w:tc>
        <w:tc>
          <w:tcPr>
            <w:tcW w:w="146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31.30</w:t>
            </w:r>
          </w:p>
        </w:tc>
        <w:tc>
          <w:tcPr>
            <w:tcW w:w="146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6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91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0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31.30</w:t>
            </w:r>
          </w:p>
        </w:tc>
      </w:tr>
    </w:tbl>
    <w:p>
      <w:pPr>
        <w:ind w:firstLine="566" w:firstLineChars="236"/>
        <w:rPr>
          <w:rFonts w:hint="eastAsia" w:ascii="仿宋_GB2312" w:hAnsi="仿宋_GB2312" w:eastAsia="仿宋_GB2312" w:cs="仿宋_GB2312"/>
          <w:w w:val="100"/>
          <w:sz w:val="24"/>
          <w:szCs w:val="24"/>
        </w:rPr>
      </w:pPr>
      <w:r>
        <w:rPr>
          <w:rFonts w:hint="eastAsia" w:ascii="仿宋_GB2312" w:hAnsi="仿宋_GB2312" w:eastAsia="仿宋_GB2312" w:cs="仿宋_GB2312"/>
          <w:w w:val="100"/>
          <w:sz w:val="24"/>
          <w:szCs w:val="24"/>
        </w:rPr>
        <w:t>注：本表反映部门本年度取得的各项收入情况。</w:t>
      </w:r>
    </w:p>
    <w:p>
      <w:pPr>
        <w:widowControl/>
        <w:jc w:val="left"/>
        <w:rPr>
          <w:rFonts w:ascii="仿宋" w:hAnsi="仿宋" w:eastAsia="仿宋"/>
          <w:w w:val="100"/>
          <w:sz w:val="30"/>
          <w:szCs w:val="30"/>
        </w:rPr>
      </w:pPr>
      <w:r>
        <w:rPr>
          <w:rFonts w:ascii="仿宋" w:hAnsi="仿宋" w:eastAsia="仿宋"/>
          <w:w w:val="100"/>
          <w:sz w:val="30"/>
          <w:szCs w:val="30"/>
        </w:rPr>
        <w:br w:type="page"/>
      </w:r>
    </w:p>
    <w:p>
      <w:pPr>
        <w:ind w:firstLine="849" w:firstLineChars="236"/>
        <w:jc w:val="right"/>
        <w:rPr>
          <w:rFonts w:hint="eastAsia" w:ascii="仿宋_GB2312" w:hAnsi="仿宋_GB2312" w:eastAsia="仿宋_GB2312" w:cs="仿宋_GB2312"/>
          <w:w w:val="100"/>
          <w:sz w:val="30"/>
          <w:szCs w:val="30"/>
        </w:rPr>
      </w:pPr>
      <w:r>
        <w:rPr>
          <w:rFonts w:hint="eastAsia" w:ascii="黑体" w:hAnsi="黑体" w:eastAsia="黑体" w:cs="黑体"/>
          <w:w w:val="100"/>
          <w:sz w:val="36"/>
          <w:szCs w:val="36"/>
        </w:rPr>
        <w:t>支出决算表</w:t>
      </w:r>
      <w:r>
        <w:rPr>
          <w:rFonts w:hint="eastAsia" w:cs="黑体"/>
          <w:w w:val="100"/>
          <w:sz w:val="36"/>
          <w:szCs w:val="36"/>
          <w:lang w:val="en-US" w:eastAsia="zh-CN"/>
        </w:rPr>
        <w:t xml:space="preserve">                      </w:t>
      </w:r>
      <w:r>
        <w:rPr>
          <w:rFonts w:hint="eastAsia" w:ascii="仿宋_GB2312" w:hAnsi="仿宋_GB2312" w:eastAsia="仿宋_GB2312" w:cs="仿宋_GB2312"/>
          <w:w w:val="100"/>
          <w:sz w:val="30"/>
          <w:szCs w:val="30"/>
        </w:rPr>
        <w:t>（公开03表）</w:t>
      </w:r>
    </w:p>
    <w:p>
      <w:pPr>
        <w:rPr>
          <w:rFonts w:hint="eastAsia" w:ascii="仿宋_GB2312" w:hAnsi="仿宋_GB2312" w:eastAsia="仿宋_GB2312" w:cs="仿宋_GB2312"/>
          <w:w w:val="100"/>
          <w:sz w:val="30"/>
          <w:szCs w:val="30"/>
        </w:rPr>
      </w:pPr>
      <w:r>
        <w:rPr>
          <w:rFonts w:hint="eastAsia" w:ascii="仿宋_GB2312" w:hAnsi="仿宋_GB2312" w:eastAsia="仿宋_GB2312" w:cs="仿宋_GB2312"/>
          <w:w w:val="100"/>
          <w:sz w:val="30"/>
          <w:szCs w:val="30"/>
        </w:rPr>
        <w:t>部门：怀化市市场监督管理局（本级）</w:t>
      </w:r>
      <w:r>
        <w:rPr>
          <w:rFonts w:hint="eastAsia" w:ascii="仿宋_GB2312" w:hAnsi="仿宋_GB2312" w:eastAsia="仿宋_GB2312" w:cs="仿宋_GB2312"/>
          <w:w w:val="100"/>
          <w:sz w:val="30"/>
          <w:szCs w:val="30"/>
          <w:lang w:val="en-US" w:eastAsia="zh-CN"/>
        </w:rPr>
        <w:t xml:space="preserve">                                                </w:t>
      </w:r>
      <w:r>
        <w:rPr>
          <w:rFonts w:hint="eastAsia" w:ascii="仿宋_GB2312" w:hAnsi="仿宋_GB2312" w:eastAsia="仿宋_GB2312" w:cs="仿宋_GB2312"/>
          <w:w w:val="100"/>
          <w:sz w:val="30"/>
          <w:szCs w:val="30"/>
        </w:rPr>
        <w:t>单位：万元</w:t>
      </w:r>
    </w:p>
    <w:tbl>
      <w:tblPr>
        <w:tblStyle w:val="7"/>
        <w:tblW w:w="140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32" w:type="dxa"/>
          <w:left w:w="64" w:type="dxa"/>
          <w:bottom w:w="32" w:type="dxa"/>
          <w:right w:w="64" w:type="dxa"/>
        </w:tblCellMar>
      </w:tblPr>
      <w:tblGrid>
        <w:gridCol w:w="1116"/>
        <w:gridCol w:w="4053"/>
        <w:gridCol w:w="1607"/>
        <w:gridCol w:w="1125"/>
        <w:gridCol w:w="1116"/>
        <w:gridCol w:w="1607"/>
        <w:gridCol w:w="1116"/>
        <w:gridCol w:w="23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blHeader/>
          <w:jc w:val="center"/>
        </w:trPr>
        <w:tc>
          <w:tcPr>
            <w:tcW w:w="5169"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w:t>
            </w:r>
          </w:p>
        </w:tc>
        <w:tc>
          <w:tcPr>
            <w:tcW w:w="1607"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本年支出合计</w:t>
            </w:r>
          </w:p>
        </w:tc>
        <w:tc>
          <w:tcPr>
            <w:tcW w:w="1125"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基本支出</w:t>
            </w:r>
          </w:p>
        </w:tc>
        <w:tc>
          <w:tcPr>
            <w:tcW w:w="1116"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项目支出</w:t>
            </w:r>
          </w:p>
        </w:tc>
        <w:tc>
          <w:tcPr>
            <w:tcW w:w="1607"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上缴上级支出</w:t>
            </w:r>
          </w:p>
        </w:tc>
        <w:tc>
          <w:tcPr>
            <w:tcW w:w="1116"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经营支出</w:t>
            </w:r>
          </w:p>
        </w:tc>
        <w:tc>
          <w:tcPr>
            <w:tcW w:w="2340"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312" w:hRule="atLeast"/>
          <w:tblHeader/>
          <w:jc w:val="center"/>
        </w:trPr>
        <w:tc>
          <w:tcPr>
            <w:tcW w:w="1116" w:type="dxa"/>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科目代码</w:t>
            </w:r>
          </w:p>
        </w:tc>
        <w:tc>
          <w:tcPr>
            <w:tcW w:w="405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科目名称</w:t>
            </w:r>
          </w:p>
        </w:tc>
        <w:tc>
          <w:tcPr>
            <w:tcW w:w="1607"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12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116"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607"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116"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234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5169"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栏次</w:t>
            </w:r>
          </w:p>
        </w:tc>
        <w:tc>
          <w:tcPr>
            <w:tcW w:w="1607" w:type="dxa"/>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1125" w:type="dxa"/>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c>
          <w:tcPr>
            <w:tcW w:w="1116" w:type="dxa"/>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w:t>
            </w:r>
          </w:p>
        </w:tc>
        <w:tc>
          <w:tcPr>
            <w:tcW w:w="1607" w:type="dxa"/>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w:t>
            </w:r>
          </w:p>
        </w:tc>
        <w:tc>
          <w:tcPr>
            <w:tcW w:w="1116" w:type="dxa"/>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w:t>
            </w:r>
          </w:p>
        </w:tc>
        <w:tc>
          <w:tcPr>
            <w:tcW w:w="2340" w:type="dxa"/>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5169"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合计</w:t>
            </w:r>
          </w:p>
        </w:tc>
        <w:tc>
          <w:tcPr>
            <w:tcW w:w="160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7,105.12</w:t>
            </w:r>
          </w:p>
        </w:tc>
        <w:tc>
          <w:tcPr>
            <w:tcW w:w="112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6,195.97</w:t>
            </w:r>
          </w:p>
        </w:tc>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909.15</w:t>
            </w:r>
          </w:p>
        </w:tc>
        <w:tc>
          <w:tcPr>
            <w:tcW w:w="160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b/>
                <w:bCs/>
                <w:i w:val="0"/>
                <w:iCs w:val="0"/>
                <w:color w:val="000000"/>
                <w:w w:val="100"/>
                <w:sz w:val="22"/>
                <w:szCs w:val="22"/>
                <w:u w:val="none"/>
              </w:rPr>
            </w:pPr>
          </w:p>
        </w:tc>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b/>
                <w:bCs/>
                <w:i w:val="0"/>
                <w:iCs w:val="0"/>
                <w:color w:val="000000"/>
                <w:w w:val="100"/>
                <w:sz w:val="22"/>
                <w:szCs w:val="22"/>
                <w:u w:val="none"/>
              </w:rPr>
            </w:pPr>
          </w:p>
        </w:tc>
        <w:tc>
          <w:tcPr>
            <w:tcW w:w="234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b/>
                <w:bCs/>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2010699</w:t>
            </w:r>
          </w:p>
        </w:tc>
        <w:tc>
          <w:tcPr>
            <w:tcW w:w="405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其他财政事务支出</w:t>
            </w:r>
          </w:p>
        </w:tc>
        <w:tc>
          <w:tcPr>
            <w:tcW w:w="160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5.00</w:t>
            </w:r>
          </w:p>
        </w:tc>
        <w:tc>
          <w:tcPr>
            <w:tcW w:w="112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5.00</w:t>
            </w:r>
          </w:p>
        </w:tc>
        <w:tc>
          <w:tcPr>
            <w:tcW w:w="160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234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lef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2011499</w:t>
            </w:r>
          </w:p>
        </w:tc>
        <w:tc>
          <w:tcPr>
            <w:tcW w:w="405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其他知识产权事务支出</w:t>
            </w:r>
          </w:p>
        </w:tc>
        <w:tc>
          <w:tcPr>
            <w:tcW w:w="160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129.81</w:t>
            </w:r>
          </w:p>
        </w:tc>
        <w:tc>
          <w:tcPr>
            <w:tcW w:w="112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129.81</w:t>
            </w:r>
          </w:p>
        </w:tc>
        <w:tc>
          <w:tcPr>
            <w:tcW w:w="160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234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lef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2013801</w:t>
            </w:r>
          </w:p>
        </w:tc>
        <w:tc>
          <w:tcPr>
            <w:tcW w:w="405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行政运行</w:t>
            </w:r>
          </w:p>
        </w:tc>
        <w:tc>
          <w:tcPr>
            <w:tcW w:w="160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4,125.98</w:t>
            </w:r>
          </w:p>
        </w:tc>
        <w:tc>
          <w:tcPr>
            <w:tcW w:w="112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4,125.98</w:t>
            </w:r>
          </w:p>
        </w:tc>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60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234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lef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2013805</w:t>
            </w:r>
          </w:p>
        </w:tc>
        <w:tc>
          <w:tcPr>
            <w:tcW w:w="405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市场秩序执法</w:t>
            </w:r>
          </w:p>
        </w:tc>
        <w:tc>
          <w:tcPr>
            <w:tcW w:w="160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5.00</w:t>
            </w:r>
          </w:p>
        </w:tc>
        <w:tc>
          <w:tcPr>
            <w:tcW w:w="112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5.00</w:t>
            </w:r>
          </w:p>
        </w:tc>
        <w:tc>
          <w:tcPr>
            <w:tcW w:w="160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234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lef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2013810</w:t>
            </w:r>
          </w:p>
        </w:tc>
        <w:tc>
          <w:tcPr>
            <w:tcW w:w="405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质量基础</w:t>
            </w:r>
          </w:p>
        </w:tc>
        <w:tc>
          <w:tcPr>
            <w:tcW w:w="160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4.00</w:t>
            </w:r>
          </w:p>
        </w:tc>
        <w:tc>
          <w:tcPr>
            <w:tcW w:w="112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4.00</w:t>
            </w:r>
          </w:p>
        </w:tc>
        <w:tc>
          <w:tcPr>
            <w:tcW w:w="160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234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lef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2013812</w:t>
            </w:r>
          </w:p>
        </w:tc>
        <w:tc>
          <w:tcPr>
            <w:tcW w:w="405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药品事务</w:t>
            </w:r>
          </w:p>
        </w:tc>
        <w:tc>
          <w:tcPr>
            <w:tcW w:w="160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94.90</w:t>
            </w:r>
          </w:p>
        </w:tc>
        <w:tc>
          <w:tcPr>
            <w:tcW w:w="112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94.90</w:t>
            </w:r>
          </w:p>
        </w:tc>
        <w:tc>
          <w:tcPr>
            <w:tcW w:w="160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234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lef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2013816</w:t>
            </w:r>
          </w:p>
        </w:tc>
        <w:tc>
          <w:tcPr>
            <w:tcW w:w="405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食品安全监管</w:t>
            </w:r>
          </w:p>
        </w:tc>
        <w:tc>
          <w:tcPr>
            <w:tcW w:w="160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53.00</w:t>
            </w:r>
          </w:p>
        </w:tc>
        <w:tc>
          <w:tcPr>
            <w:tcW w:w="112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53.00</w:t>
            </w:r>
          </w:p>
        </w:tc>
        <w:tc>
          <w:tcPr>
            <w:tcW w:w="160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234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lef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2013899</w:t>
            </w:r>
          </w:p>
        </w:tc>
        <w:tc>
          <w:tcPr>
            <w:tcW w:w="405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其他市场监督管理事务</w:t>
            </w:r>
          </w:p>
        </w:tc>
        <w:tc>
          <w:tcPr>
            <w:tcW w:w="160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1,432.27</w:t>
            </w:r>
          </w:p>
        </w:tc>
        <w:tc>
          <w:tcPr>
            <w:tcW w:w="112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823.53</w:t>
            </w:r>
          </w:p>
        </w:tc>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608.74</w:t>
            </w:r>
          </w:p>
        </w:tc>
        <w:tc>
          <w:tcPr>
            <w:tcW w:w="160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234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lef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2019999</w:t>
            </w:r>
          </w:p>
        </w:tc>
        <w:tc>
          <w:tcPr>
            <w:tcW w:w="405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其他一般公共服务支出</w:t>
            </w:r>
          </w:p>
        </w:tc>
        <w:tc>
          <w:tcPr>
            <w:tcW w:w="160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6.70</w:t>
            </w:r>
          </w:p>
        </w:tc>
        <w:tc>
          <w:tcPr>
            <w:tcW w:w="112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6.70</w:t>
            </w:r>
          </w:p>
        </w:tc>
        <w:tc>
          <w:tcPr>
            <w:tcW w:w="160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234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lef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2079999</w:t>
            </w:r>
          </w:p>
        </w:tc>
        <w:tc>
          <w:tcPr>
            <w:tcW w:w="405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其他文化旅游体育与传媒支出</w:t>
            </w:r>
          </w:p>
        </w:tc>
        <w:tc>
          <w:tcPr>
            <w:tcW w:w="160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2.00</w:t>
            </w:r>
          </w:p>
        </w:tc>
        <w:tc>
          <w:tcPr>
            <w:tcW w:w="112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2.00</w:t>
            </w:r>
          </w:p>
        </w:tc>
        <w:tc>
          <w:tcPr>
            <w:tcW w:w="160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234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lef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2080505</w:t>
            </w:r>
          </w:p>
        </w:tc>
        <w:tc>
          <w:tcPr>
            <w:tcW w:w="405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机关事业单位基本养老保险缴费支出</w:t>
            </w:r>
          </w:p>
        </w:tc>
        <w:tc>
          <w:tcPr>
            <w:tcW w:w="160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1,015.01</w:t>
            </w:r>
          </w:p>
        </w:tc>
        <w:tc>
          <w:tcPr>
            <w:tcW w:w="112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1,015.01</w:t>
            </w:r>
          </w:p>
        </w:tc>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60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234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lef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2101101</w:t>
            </w:r>
          </w:p>
        </w:tc>
        <w:tc>
          <w:tcPr>
            <w:tcW w:w="405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行政单位医疗</w:t>
            </w:r>
          </w:p>
        </w:tc>
        <w:tc>
          <w:tcPr>
            <w:tcW w:w="160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188.34</w:t>
            </w:r>
          </w:p>
        </w:tc>
        <w:tc>
          <w:tcPr>
            <w:tcW w:w="112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188.34</w:t>
            </w:r>
          </w:p>
        </w:tc>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60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234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lef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2210201</w:t>
            </w:r>
          </w:p>
        </w:tc>
        <w:tc>
          <w:tcPr>
            <w:tcW w:w="405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住房公积金</w:t>
            </w:r>
          </w:p>
        </w:tc>
        <w:tc>
          <w:tcPr>
            <w:tcW w:w="160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11.80</w:t>
            </w:r>
          </w:p>
        </w:tc>
        <w:tc>
          <w:tcPr>
            <w:tcW w:w="112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11.80</w:t>
            </w:r>
          </w:p>
        </w:tc>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60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234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2299999</w:t>
            </w:r>
          </w:p>
        </w:tc>
        <w:tc>
          <w:tcPr>
            <w:tcW w:w="405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其他支出</w:t>
            </w:r>
          </w:p>
        </w:tc>
        <w:tc>
          <w:tcPr>
            <w:tcW w:w="160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31.30</w:t>
            </w:r>
          </w:p>
        </w:tc>
        <w:tc>
          <w:tcPr>
            <w:tcW w:w="112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31.30</w:t>
            </w:r>
          </w:p>
        </w:tc>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60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234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bl>
    <w:p>
      <w:pPr>
        <w:ind w:firstLine="566" w:firstLineChars="236"/>
        <w:rPr>
          <w:rFonts w:ascii="仿宋" w:hAnsi="仿宋" w:eastAsia="仿宋"/>
          <w:w w:val="100"/>
          <w:sz w:val="24"/>
          <w:szCs w:val="24"/>
        </w:rPr>
      </w:pPr>
      <w:r>
        <w:rPr>
          <w:rFonts w:hint="eastAsia" w:ascii="仿宋_GB2312" w:hAnsi="仿宋_GB2312" w:eastAsia="仿宋_GB2312" w:cs="仿宋_GB2312"/>
          <w:w w:val="100"/>
          <w:sz w:val="24"/>
          <w:szCs w:val="24"/>
        </w:rPr>
        <w:t>注：本表反映部门本年度各项支出情况。</w:t>
      </w:r>
    </w:p>
    <w:p>
      <w:pPr>
        <w:widowControl/>
        <w:jc w:val="left"/>
        <w:rPr>
          <w:rFonts w:ascii="仿宋" w:hAnsi="仿宋" w:eastAsia="仿宋"/>
          <w:w w:val="100"/>
          <w:sz w:val="30"/>
          <w:szCs w:val="30"/>
        </w:rPr>
      </w:pPr>
      <w:r>
        <w:rPr>
          <w:rFonts w:ascii="仿宋" w:hAnsi="仿宋" w:eastAsia="仿宋"/>
          <w:w w:val="100"/>
          <w:sz w:val="30"/>
          <w:szCs w:val="30"/>
        </w:rPr>
        <w:br w:type="page"/>
      </w:r>
    </w:p>
    <w:p>
      <w:pPr>
        <w:ind w:firstLine="755" w:firstLineChars="236"/>
        <w:jc w:val="right"/>
        <w:rPr>
          <w:rFonts w:hint="eastAsia" w:ascii="仿宋_GB2312" w:hAnsi="仿宋_GB2312" w:eastAsia="仿宋_GB2312" w:cs="仿宋_GB2312"/>
          <w:w w:val="100"/>
          <w:sz w:val="30"/>
          <w:szCs w:val="30"/>
        </w:rPr>
      </w:pPr>
      <w:r>
        <w:rPr>
          <w:rFonts w:hint="eastAsia" w:ascii="黑体" w:hAnsi="黑体" w:eastAsia="黑体" w:cs="黑体"/>
          <w:w w:val="100"/>
          <w:sz w:val="32"/>
          <w:szCs w:val="32"/>
        </w:rPr>
        <w:t>财政拨款收入支出决算总表</w:t>
      </w:r>
      <w:r>
        <w:rPr>
          <w:rFonts w:hint="eastAsia" w:cs="黑体"/>
          <w:w w:val="100"/>
          <w:sz w:val="36"/>
          <w:szCs w:val="36"/>
          <w:lang w:val="en-US" w:eastAsia="zh-CN"/>
        </w:rPr>
        <w:t xml:space="preserve">                 </w:t>
      </w:r>
      <w:r>
        <w:rPr>
          <w:rFonts w:hint="eastAsia" w:ascii="仿宋_GB2312" w:hAnsi="仿宋_GB2312" w:eastAsia="仿宋_GB2312" w:cs="仿宋_GB2312"/>
          <w:w w:val="100"/>
          <w:sz w:val="30"/>
          <w:szCs w:val="30"/>
        </w:rPr>
        <w:t>（公开04表）</w:t>
      </w:r>
    </w:p>
    <w:p>
      <w:pPr>
        <w:rPr>
          <w:rFonts w:ascii="仿宋" w:hAnsi="仿宋" w:eastAsia="仿宋"/>
          <w:w w:val="100"/>
          <w:sz w:val="30"/>
          <w:szCs w:val="30"/>
        </w:rPr>
      </w:pPr>
      <w:r>
        <w:rPr>
          <w:rFonts w:hint="eastAsia" w:ascii="仿宋_GB2312" w:hAnsi="仿宋_GB2312" w:eastAsia="仿宋_GB2312" w:cs="仿宋_GB2312"/>
          <w:w w:val="100"/>
          <w:sz w:val="30"/>
          <w:szCs w:val="30"/>
        </w:rPr>
        <w:t>部门：怀化市市场监督管理局（本级）</w:t>
      </w:r>
      <w:r>
        <w:rPr>
          <w:rFonts w:hint="eastAsia" w:ascii="仿宋_GB2312" w:hAnsi="仿宋_GB2312" w:eastAsia="仿宋_GB2312" w:cs="仿宋_GB2312"/>
          <w:w w:val="100"/>
          <w:sz w:val="30"/>
          <w:szCs w:val="30"/>
          <w:lang w:val="en-US" w:eastAsia="zh-CN"/>
        </w:rPr>
        <w:t xml:space="preserve">                                                </w:t>
      </w:r>
      <w:r>
        <w:rPr>
          <w:rFonts w:hint="eastAsia" w:ascii="仿宋_GB2312" w:hAnsi="仿宋_GB2312" w:eastAsia="仿宋_GB2312" w:cs="仿宋_GB2312"/>
          <w:w w:val="100"/>
          <w:sz w:val="30"/>
          <w:szCs w:val="30"/>
        </w:rPr>
        <w:t>单位：万元</w:t>
      </w:r>
    </w:p>
    <w:tbl>
      <w:tblPr>
        <w:tblStyle w:val="7"/>
        <w:tblW w:w="1426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32" w:type="dxa"/>
          <w:left w:w="64" w:type="dxa"/>
          <w:bottom w:w="32" w:type="dxa"/>
          <w:right w:w="64" w:type="dxa"/>
        </w:tblCellMar>
      </w:tblPr>
      <w:tblGrid>
        <w:gridCol w:w="3228"/>
        <w:gridCol w:w="451"/>
        <w:gridCol w:w="1017"/>
        <w:gridCol w:w="3448"/>
        <w:gridCol w:w="451"/>
        <w:gridCol w:w="1106"/>
        <w:gridCol w:w="1531"/>
        <w:gridCol w:w="1542"/>
        <w:gridCol w:w="14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tblHeader/>
          <w:jc w:val="center"/>
        </w:trPr>
        <w:tc>
          <w:tcPr>
            <w:tcW w:w="4696" w:type="dxa"/>
            <w:gridSpan w:val="3"/>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收入</w:t>
            </w:r>
          </w:p>
        </w:tc>
        <w:tc>
          <w:tcPr>
            <w:tcW w:w="9565" w:type="dxa"/>
            <w:gridSpan w:val="6"/>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312" w:hRule="atLeast"/>
          <w:tblHeader/>
          <w:jc w:val="center"/>
        </w:trPr>
        <w:tc>
          <w:tcPr>
            <w:tcW w:w="3228"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w:t>
            </w:r>
          </w:p>
        </w:tc>
        <w:tc>
          <w:tcPr>
            <w:tcW w:w="451"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行次</w:t>
            </w:r>
          </w:p>
        </w:tc>
        <w:tc>
          <w:tcPr>
            <w:tcW w:w="1017"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金额</w:t>
            </w:r>
          </w:p>
        </w:tc>
        <w:tc>
          <w:tcPr>
            <w:tcW w:w="3448"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w:t>
            </w:r>
          </w:p>
        </w:tc>
        <w:tc>
          <w:tcPr>
            <w:tcW w:w="451"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行次</w:t>
            </w:r>
          </w:p>
        </w:tc>
        <w:tc>
          <w:tcPr>
            <w:tcW w:w="1106" w:type="dxa"/>
            <w:vMerge w:val="restart"/>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合计</w:t>
            </w:r>
          </w:p>
        </w:tc>
        <w:tc>
          <w:tcPr>
            <w:tcW w:w="1531"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一般公共预算财政拨款</w:t>
            </w:r>
          </w:p>
        </w:tc>
        <w:tc>
          <w:tcPr>
            <w:tcW w:w="1542"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政府性基金预算财政拨款</w:t>
            </w:r>
          </w:p>
        </w:tc>
        <w:tc>
          <w:tcPr>
            <w:tcW w:w="1487"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312" w:hRule="atLeast"/>
          <w:tblHeader/>
          <w:jc w:val="center"/>
        </w:trPr>
        <w:tc>
          <w:tcPr>
            <w:tcW w:w="3228"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451"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017"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right"/>
              <w:rPr>
                <w:rFonts w:hint="eastAsia" w:ascii="宋体" w:hAnsi="宋体" w:eastAsia="宋体" w:cs="宋体"/>
                <w:b/>
                <w:i w:val="0"/>
                <w:iCs w:val="0"/>
                <w:color w:val="000000"/>
                <w:w w:val="100"/>
                <w:sz w:val="22"/>
                <w:szCs w:val="22"/>
                <w:u w:val="none"/>
                <w:lang w:eastAsia="zh-CN"/>
              </w:rPr>
            </w:pPr>
          </w:p>
        </w:tc>
        <w:tc>
          <w:tcPr>
            <w:tcW w:w="3448"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451"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106" w:type="dxa"/>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right"/>
              <w:rPr>
                <w:rFonts w:hint="eastAsia" w:ascii="宋体" w:hAnsi="宋体" w:eastAsia="宋体" w:cs="宋体"/>
                <w:b/>
                <w:i w:val="0"/>
                <w:iCs w:val="0"/>
                <w:color w:val="000000"/>
                <w:w w:val="100"/>
                <w:sz w:val="22"/>
                <w:szCs w:val="22"/>
                <w:u w:val="none"/>
                <w:lang w:eastAsia="zh-CN"/>
              </w:rPr>
            </w:pPr>
          </w:p>
        </w:tc>
        <w:tc>
          <w:tcPr>
            <w:tcW w:w="1531"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right"/>
              <w:rPr>
                <w:rFonts w:hint="eastAsia" w:ascii="宋体" w:hAnsi="宋体" w:eastAsia="宋体" w:cs="宋体"/>
                <w:b/>
                <w:i w:val="0"/>
                <w:iCs w:val="0"/>
                <w:color w:val="000000"/>
                <w:w w:val="100"/>
                <w:sz w:val="22"/>
                <w:szCs w:val="22"/>
                <w:u w:val="none"/>
                <w:lang w:eastAsia="zh-CN"/>
              </w:rPr>
            </w:pPr>
          </w:p>
        </w:tc>
        <w:tc>
          <w:tcPr>
            <w:tcW w:w="1542"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487"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栏次</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101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栏次</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110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c>
          <w:tcPr>
            <w:tcW w:w="153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w:t>
            </w:r>
          </w:p>
        </w:tc>
        <w:tc>
          <w:tcPr>
            <w:tcW w:w="1542"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w:t>
            </w:r>
          </w:p>
        </w:tc>
        <w:tc>
          <w:tcPr>
            <w:tcW w:w="148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一、一般公共预算财政拨款</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7,073.81</w:t>
            </w: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一、一般公共服务支出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33</w:t>
            </w:r>
          </w:p>
        </w:tc>
        <w:tc>
          <w:tcPr>
            <w:tcW w:w="11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5,856.65</w:t>
            </w:r>
          </w:p>
        </w:tc>
        <w:tc>
          <w:tcPr>
            <w:tcW w:w="153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5,856.65</w:t>
            </w:r>
          </w:p>
        </w:tc>
        <w:tc>
          <w:tcPr>
            <w:tcW w:w="154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8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二、政府性基金预算财政拨款</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二、外交支出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34</w:t>
            </w:r>
          </w:p>
        </w:tc>
        <w:tc>
          <w:tcPr>
            <w:tcW w:w="11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53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54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8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三、国有资本经营预算财政拨款</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三、国防支出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35</w:t>
            </w:r>
          </w:p>
        </w:tc>
        <w:tc>
          <w:tcPr>
            <w:tcW w:w="11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53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54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8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四、公共安全支出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36</w:t>
            </w:r>
          </w:p>
        </w:tc>
        <w:tc>
          <w:tcPr>
            <w:tcW w:w="11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53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54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8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五、教育支出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37</w:t>
            </w:r>
          </w:p>
        </w:tc>
        <w:tc>
          <w:tcPr>
            <w:tcW w:w="11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53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54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8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六、科学技术支出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38</w:t>
            </w:r>
          </w:p>
        </w:tc>
        <w:tc>
          <w:tcPr>
            <w:tcW w:w="11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53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54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8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7</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七、文化旅游体育与传媒支出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39</w:t>
            </w:r>
          </w:p>
        </w:tc>
        <w:tc>
          <w:tcPr>
            <w:tcW w:w="11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2.00</w:t>
            </w:r>
          </w:p>
        </w:tc>
        <w:tc>
          <w:tcPr>
            <w:tcW w:w="153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2.00</w:t>
            </w:r>
          </w:p>
        </w:tc>
        <w:tc>
          <w:tcPr>
            <w:tcW w:w="154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8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8</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八、社会保障和就业支出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40</w:t>
            </w:r>
          </w:p>
        </w:tc>
        <w:tc>
          <w:tcPr>
            <w:tcW w:w="11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1,015.01</w:t>
            </w:r>
          </w:p>
        </w:tc>
        <w:tc>
          <w:tcPr>
            <w:tcW w:w="153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1,015.01</w:t>
            </w:r>
          </w:p>
        </w:tc>
        <w:tc>
          <w:tcPr>
            <w:tcW w:w="154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8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九、卫生健康支出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41</w:t>
            </w:r>
          </w:p>
        </w:tc>
        <w:tc>
          <w:tcPr>
            <w:tcW w:w="11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188.34</w:t>
            </w:r>
          </w:p>
        </w:tc>
        <w:tc>
          <w:tcPr>
            <w:tcW w:w="153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188.34</w:t>
            </w:r>
          </w:p>
        </w:tc>
        <w:tc>
          <w:tcPr>
            <w:tcW w:w="154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8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10</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十、节能环保支出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42</w:t>
            </w:r>
          </w:p>
        </w:tc>
        <w:tc>
          <w:tcPr>
            <w:tcW w:w="11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53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54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8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11</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十一、城乡社区支出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43</w:t>
            </w:r>
          </w:p>
        </w:tc>
        <w:tc>
          <w:tcPr>
            <w:tcW w:w="11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53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54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8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12</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十二、农林水支出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44</w:t>
            </w:r>
          </w:p>
        </w:tc>
        <w:tc>
          <w:tcPr>
            <w:tcW w:w="11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53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54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8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13</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十三、交通运输支出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45</w:t>
            </w:r>
          </w:p>
        </w:tc>
        <w:tc>
          <w:tcPr>
            <w:tcW w:w="11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53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54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8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14</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十四、资源勘探工业信息等支出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46</w:t>
            </w:r>
          </w:p>
        </w:tc>
        <w:tc>
          <w:tcPr>
            <w:tcW w:w="11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53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54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8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15</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十五、商业服务业等支出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47</w:t>
            </w:r>
          </w:p>
        </w:tc>
        <w:tc>
          <w:tcPr>
            <w:tcW w:w="11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53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54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8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16</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十六、金融支出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48</w:t>
            </w:r>
          </w:p>
        </w:tc>
        <w:tc>
          <w:tcPr>
            <w:tcW w:w="11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53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54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8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17</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十七、援助其他地区支出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49</w:t>
            </w:r>
          </w:p>
        </w:tc>
        <w:tc>
          <w:tcPr>
            <w:tcW w:w="11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53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54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8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18</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十八、自然资源海洋气象等支出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50</w:t>
            </w:r>
          </w:p>
        </w:tc>
        <w:tc>
          <w:tcPr>
            <w:tcW w:w="11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53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54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8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19</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十九、住房保障支出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51</w:t>
            </w:r>
          </w:p>
        </w:tc>
        <w:tc>
          <w:tcPr>
            <w:tcW w:w="11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11.80</w:t>
            </w:r>
          </w:p>
        </w:tc>
        <w:tc>
          <w:tcPr>
            <w:tcW w:w="153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11.80</w:t>
            </w:r>
          </w:p>
        </w:tc>
        <w:tc>
          <w:tcPr>
            <w:tcW w:w="154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8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二十、粮油物资储备支出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52</w:t>
            </w:r>
          </w:p>
        </w:tc>
        <w:tc>
          <w:tcPr>
            <w:tcW w:w="11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53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54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8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21</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二十一、国有资本经营预算支出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53</w:t>
            </w:r>
          </w:p>
        </w:tc>
        <w:tc>
          <w:tcPr>
            <w:tcW w:w="11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53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54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8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22</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二十二、灾害防治及应急管理支出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54</w:t>
            </w:r>
          </w:p>
        </w:tc>
        <w:tc>
          <w:tcPr>
            <w:tcW w:w="11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53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54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8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23</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二十三、其他支出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55</w:t>
            </w:r>
          </w:p>
        </w:tc>
        <w:tc>
          <w:tcPr>
            <w:tcW w:w="11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53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54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8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b/>
                <w:bCs/>
                <w:i w:val="0"/>
                <w:iCs w:val="0"/>
                <w:color w:val="000000"/>
                <w:w w:val="100"/>
                <w:sz w:val="20"/>
                <w:szCs w:val="20"/>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24</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二十四、债务还本支出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56</w:t>
            </w:r>
          </w:p>
        </w:tc>
        <w:tc>
          <w:tcPr>
            <w:tcW w:w="11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53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54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8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0"/>
                <w:szCs w:val="20"/>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25</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二十五、债务付息支出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57</w:t>
            </w:r>
          </w:p>
        </w:tc>
        <w:tc>
          <w:tcPr>
            <w:tcW w:w="11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53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54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8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b/>
                <w:i w:val="0"/>
                <w:iCs w:val="0"/>
                <w:color w:val="000000"/>
                <w:w w:val="100"/>
                <w:sz w:val="20"/>
                <w:szCs w:val="20"/>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26</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b/>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二十六、抗疫特别国债安排的支出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58</w:t>
            </w:r>
          </w:p>
        </w:tc>
        <w:tc>
          <w:tcPr>
            <w:tcW w:w="11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b/>
                <w:i w:val="0"/>
                <w:iCs w:val="0"/>
                <w:color w:val="000000"/>
                <w:w w:val="100"/>
                <w:sz w:val="22"/>
                <w:szCs w:val="22"/>
                <w:u w:val="none"/>
              </w:rPr>
            </w:pPr>
          </w:p>
        </w:tc>
        <w:tc>
          <w:tcPr>
            <w:tcW w:w="153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b/>
                <w:i w:val="0"/>
                <w:iCs w:val="0"/>
                <w:color w:val="000000"/>
                <w:w w:val="100"/>
                <w:sz w:val="22"/>
                <w:szCs w:val="22"/>
                <w:u w:val="none"/>
              </w:rPr>
            </w:pPr>
          </w:p>
        </w:tc>
        <w:tc>
          <w:tcPr>
            <w:tcW w:w="154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b/>
                <w:i w:val="0"/>
                <w:iCs w:val="0"/>
                <w:color w:val="000000"/>
                <w:w w:val="100"/>
                <w:sz w:val="22"/>
                <w:szCs w:val="22"/>
                <w:u w:val="none"/>
              </w:rPr>
            </w:pPr>
          </w:p>
        </w:tc>
        <w:tc>
          <w:tcPr>
            <w:tcW w:w="148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b/>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本年收入合计</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27</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7,073.81</w:t>
            </w: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本年支出合计</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59</w:t>
            </w:r>
          </w:p>
        </w:tc>
        <w:tc>
          <w:tcPr>
            <w:tcW w:w="11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7,073.81</w:t>
            </w:r>
          </w:p>
        </w:tc>
        <w:tc>
          <w:tcPr>
            <w:tcW w:w="153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7,073.81</w:t>
            </w:r>
          </w:p>
        </w:tc>
        <w:tc>
          <w:tcPr>
            <w:tcW w:w="154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8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年初财政拨款结转和结余</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28</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年末财政拨款结转和结余</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60</w:t>
            </w:r>
          </w:p>
        </w:tc>
        <w:tc>
          <w:tcPr>
            <w:tcW w:w="11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53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54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8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一般公共预算财政拨款</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29</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61</w:t>
            </w:r>
          </w:p>
        </w:tc>
        <w:tc>
          <w:tcPr>
            <w:tcW w:w="11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53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54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8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政府性基金预算财政拨款</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62</w:t>
            </w:r>
          </w:p>
        </w:tc>
        <w:tc>
          <w:tcPr>
            <w:tcW w:w="11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53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54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8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 xml:space="preserve">  国有资本经营预算财政拨款</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31</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b/>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b/>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63</w:t>
            </w:r>
          </w:p>
        </w:tc>
        <w:tc>
          <w:tcPr>
            <w:tcW w:w="11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b/>
                <w:i w:val="0"/>
                <w:iCs w:val="0"/>
                <w:color w:val="000000"/>
                <w:w w:val="100"/>
                <w:sz w:val="22"/>
                <w:szCs w:val="22"/>
                <w:u w:val="none"/>
              </w:rPr>
            </w:pPr>
          </w:p>
        </w:tc>
        <w:tc>
          <w:tcPr>
            <w:tcW w:w="153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b/>
                <w:i w:val="0"/>
                <w:iCs w:val="0"/>
                <w:color w:val="000000"/>
                <w:w w:val="100"/>
                <w:sz w:val="22"/>
                <w:szCs w:val="22"/>
                <w:u w:val="none"/>
              </w:rPr>
            </w:pPr>
          </w:p>
        </w:tc>
        <w:tc>
          <w:tcPr>
            <w:tcW w:w="154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b/>
                <w:i w:val="0"/>
                <w:iCs w:val="0"/>
                <w:color w:val="000000"/>
                <w:w w:val="100"/>
                <w:sz w:val="22"/>
                <w:szCs w:val="22"/>
                <w:u w:val="none"/>
              </w:rPr>
            </w:pPr>
          </w:p>
        </w:tc>
        <w:tc>
          <w:tcPr>
            <w:tcW w:w="148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b/>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总计</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32</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7,073.81</w:t>
            </w: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总计</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64</w:t>
            </w:r>
          </w:p>
        </w:tc>
        <w:tc>
          <w:tcPr>
            <w:tcW w:w="11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7,073.81</w:t>
            </w:r>
          </w:p>
        </w:tc>
        <w:tc>
          <w:tcPr>
            <w:tcW w:w="153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7,073.81</w:t>
            </w:r>
          </w:p>
        </w:tc>
        <w:tc>
          <w:tcPr>
            <w:tcW w:w="154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8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bl>
    <w:p>
      <w:pPr>
        <w:ind w:firstLine="566" w:firstLineChars="236"/>
        <w:rPr>
          <w:rFonts w:ascii="仿宋" w:hAnsi="仿宋" w:eastAsia="仿宋"/>
          <w:w w:val="100"/>
          <w:sz w:val="24"/>
          <w:szCs w:val="24"/>
        </w:rPr>
      </w:pPr>
      <w:r>
        <w:rPr>
          <w:rFonts w:hint="eastAsia" w:ascii="仿宋_GB2312" w:hAnsi="仿宋_GB2312" w:eastAsia="仿宋_GB2312" w:cs="仿宋_GB2312"/>
          <w:w w:val="100"/>
          <w:sz w:val="24"/>
          <w:szCs w:val="24"/>
        </w:rPr>
        <w:t>注：本表反映部门本年度一般公共预算财政拨款、政府性基金预算财政拨款和国有资本经营预算财政拨款的总收支和年末结转结余情况。</w:t>
      </w:r>
    </w:p>
    <w:p>
      <w:pPr>
        <w:widowControl/>
        <w:jc w:val="left"/>
        <w:rPr>
          <w:rFonts w:ascii="仿宋" w:hAnsi="仿宋" w:eastAsia="仿宋"/>
          <w:w w:val="100"/>
          <w:sz w:val="30"/>
          <w:szCs w:val="30"/>
        </w:rPr>
      </w:pPr>
      <w:r>
        <w:rPr>
          <w:rFonts w:ascii="仿宋" w:hAnsi="仿宋" w:eastAsia="仿宋"/>
          <w:w w:val="100"/>
          <w:sz w:val="30"/>
          <w:szCs w:val="30"/>
        </w:rPr>
        <w:br w:type="page"/>
      </w:r>
    </w:p>
    <w:p>
      <w:pPr>
        <w:ind w:firstLine="755" w:firstLineChars="236"/>
        <w:jc w:val="right"/>
        <w:rPr>
          <w:rFonts w:hint="eastAsia" w:ascii="仿宋_GB2312" w:hAnsi="仿宋_GB2312" w:eastAsia="仿宋_GB2312" w:cs="仿宋_GB2312"/>
          <w:w w:val="100"/>
          <w:sz w:val="30"/>
          <w:szCs w:val="30"/>
        </w:rPr>
      </w:pPr>
      <w:r>
        <w:rPr>
          <w:rFonts w:hint="eastAsia" w:ascii="黑体" w:hAnsi="黑体" w:eastAsia="黑体" w:cs="黑体"/>
          <w:w w:val="100"/>
          <w:sz w:val="32"/>
          <w:szCs w:val="32"/>
        </w:rPr>
        <w:t>一般公共预算财政拨款支出决算表</w:t>
      </w:r>
      <w:r>
        <w:rPr>
          <w:rFonts w:hint="eastAsia" w:ascii="黑体" w:hAnsi="黑体" w:eastAsia="黑体" w:cs="黑体"/>
          <w:w w:val="100"/>
          <w:sz w:val="36"/>
          <w:szCs w:val="36"/>
          <w:lang w:val="en-US" w:eastAsia="zh-CN"/>
        </w:rPr>
        <w:t xml:space="preserve"> </w:t>
      </w:r>
      <w:r>
        <w:rPr>
          <w:rFonts w:hint="eastAsia" w:ascii="仿宋" w:hAnsi="仿宋" w:eastAsia="仿宋"/>
          <w:w w:val="100"/>
          <w:sz w:val="30"/>
          <w:szCs w:val="30"/>
          <w:lang w:val="en-US" w:eastAsia="zh-CN"/>
        </w:rPr>
        <w:t xml:space="preserve">              </w:t>
      </w:r>
      <w:r>
        <w:rPr>
          <w:rFonts w:hint="eastAsia" w:ascii="仿宋_GB2312" w:hAnsi="仿宋_GB2312" w:eastAsia="仿宋_GB2312" w:cs="仿宋_GB2312"/>
          <w:w w:val="100"/>
          <w:sz w:val="30"/>
          <w:szCs w:val="30"/>
        </w:rPr>
        <w:t>（公开05表）</w:t>
      </w:r>
    </w:p>
    <w:p>
      <w:pPr>
        <w:rPr>
          <w:rFonts w:ascii="仿宋" w:hAnsi="仿宋" w:eastAsia="仿宋"/>
          <w:w w:val="100"/>
          <w:sz w:val="30"/>
          <w:szCs w:val="30"/>
        </w:rPr>
      </w:pPr>
      <w:r>
        <w:rPr>
          <w:rFonts w:hint="eastAsia" w:ascii="仿宋_GB2312" w:hAnsi="仿宋_GB2312" w:eastAsia="仿宋_GB2312" w:cs="仿宋_GB2312"/>
          <w:w w:val="100"/>
          <w:sz w:val="30"/>
          <w:szCs w:val="30"/>
        </w:rPr>
        <w:t>部门：怀化市市场监督管理局（本级）</w:t>
      </w:r>
      <w:r>
        <w:rPr>
          <w:rFonts w:hint="eastAsia" w:ascii="仿宋_GB2312" w:hAnsi="仿宋_GB2312" w:eastAsia="仿宋_GB2312" w:cs="仿宋_GB2312"/>
          <w:w w:val="100"/>
          <w:sz w:val="30"/>
          <w:szCs w:val="30"/>
          <w:lang w:val="en-US" w:eastAsia="zh-CN"/>
        </w:rPr>
        <w:t xml:space="preserve">                                                </w:t>
      </w:r>
      <w:r>
        <w:rPr>
          <w:rFonts w:hint="eastAsia" w:ascii="仿宋_GB2312" w:hAnsi="仿宋_GB2312" w:eastAsia="仿宋_GB2312" w:cs="仿宋_GB2312"/>
          <w:w w:val="100"/>
          <w:sz w:val="30"/>
          <w:szCs w:val="30"/>
        </w:rPr>
        <w:t>单位：万元</w:t>
      </w:r>
    </w:p>
    <w:tbl>
      <w:tblPr>
        <w:tblStyle w:val="7"/>
        <w:tblW w:w="1445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32" w:type="dxa"/>
          <w:left w:w="64" w:type="dxa"/>
          <w:bottom w:w="32" w:type="dxa"/>
          <w:right w:w="64" w:type="dxa"/>
        </w:tblCellMar>
      </w:tblPr>
      <w:tblGrid>
        <w:gridCol w:w="1890"/>
        <w:gridCol w:w="6859"/>
        <w:gridCol w:w="1906"/>
        <w:gridCol w:w="1906"/>
        <w:gridCol w:w="189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312" w:hRule="atLeast"/>
          <w:tblHeader/>
          <w:jc w:val="center"/>
        </w:trPr>
        <w:tc>
          <w:tcPr>
            <w:tcW w:w="8749"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w:t>
            </w:r>
          </w:p>
        </w:tc>
        <w:tc>
          <w:tcPr>
            <w:tcW w:w="5710" w:type="dxa"/>
            <w:gridSpan w:val="3"/>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312" w:hRule="atLeast"/>
          <w:tblHeader/>
          <w:jc w:val="center"/>
        </w:trPr>
        <w:tc>
          <w:tcPr>
            <w:tcW w:w="1890" w:type="dxa"/>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科目代码</w:t>
            </w:r>
          </w:p>
        </w:tc>
        <w:tc>
          <w:tcPr>
            <w:tcW w:w="685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科目名称</w:t>
            </w:r>
          </w:p>
        </w:tc>
        <w:tc>
          <w:tcPr>
            <w:tcW w:w="1906" w:type="dxa"/>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小计</w:t>
            </w:r>
          </w:p>
        </w:tc>
        <w:tc>
          <w:tcPr>
            <w:tcW w:w="1906" w:type="dxa"/>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基本支出</w:t>
            </w:r>
          </w:p>
        </w:tc>
        <w:tc>
          <w:tcPr>
            <w:tcW w:w="1898" w:type="dxa"/>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312" w:hRule="atLeast"/>
          <w:jc w:val="center"/>
        </w:trPr>
        <w:tc>
          <w:tcPr>
            <w:tcW w:w="8749"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栏次</w:t>
            </w:r>
          </w:p>
        </w:tc>
        <w:tc>
          <w:tcPr>
            <w:tcW w:w="190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190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c>
          <w:tcPr>
            <w:tcW w:w="189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312" w:hRule="atLeast"/>
          <w:jc w:val="center"/>
        </w:trPr>
        <w:tc>
          <w:tcPr>
            <w:tcW w:w="8749"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合计</w:t>
            </w:r>
          </w:p>
        </w:tc>
        <w:tc>
          <w:tcPr>
            <w:tcW w:w="19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7,073.81</w:t>
            </w:r>
          </w:p>
        </w:tc>
        <w:tc>
          <w:tcPr>
            <w:tcW w:w="19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6,164.67</w:t>
            </w:r>
          </w:p>
        </w:tc>
        <w:tc>
          <w:tcPr>
            <w:tcW w:w="18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909.15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312" w:hRule="atLeast"/>
          <w:jc w:val="center"/>
        </w:trPr>
        <w:tc>
          <w:tcPr>
            <w:tcW w:w="189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2010699</w:t>
            </w:r>
          </w:p>
        </w:tc>
        <w:tc>
          <w:tcPr>
            <w:tcW w:w="685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其他财政事务支出</w:t>
            </w:r>
          </w:p>
        </w:tc>
        <w:tc>
          <w:tcPr>
            <w:tcW w:w="19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5.00</w:t>
            </w:r>
          </w:p>
        </w:tc>
        <w:tc>
          <w:tcPr>
            <w:tcW w:w="19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8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312" w:hRule="atLeast"/>
          <w:jc w:val="center"/>
        </w:trPr>
        <w:tc>
          <w:tcPr>
            <w:tcW w:w="189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2011499</w:t>
            </w:r>
          </w:p>
        </w:tc>
        <w:tc>
          <w:tcPr>
            <w:tcW w:w="685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其他知识产权事务支出</w:t>
            </w:r>
          </w:p>
        </w:tc>
        <w:tc>
          <w:tcPr>
            <w:tcW w:w="19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129.81</w:t>
            </w:r>
          </w:p>
        </w:tc>
        <w:tc>
          <w:tcPr>
            <w:tcW w:w="19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8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129.81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312" w:hRule="atLeast"/>
          <w:jc w:val="center"/>
        </w:trPr>
        <w:tc>
          <w:tcPr>
            <w:tcW w:w="189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2013801</w:t>
            </w:r>
          </w:p>
        </w:tc>
        <w:tc>
          <w:tcPr>
            <w:tcW w:w="685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行政运行</w:t>
            </w:r>
          </w:p>
        </w:tc>
        <w:tc>
          <w:tcPr>
            <w:tcW w:w="19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4,125.98</w:t>
            </w:r>
          </w:p>
        </w:tc>
        <w:tc>
          <w:tcPr>
            <w:tcW w:w="19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4,125.98</w:t>
            </w:r>
          </w:p>
        </w:tc>
        <w:tc>
          <w:tcPr>
            <w:tcW w:w="18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312" w:hRule="atLeast"/>
          <w:jc w:val="center"/>
        </w:trPr>
        <w:tc>
          <w:tcPr>
            <w:tcW w:w="189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2013805</w:t>
            </w:r>
          </w:p>
        </w:tc>
        <w:tc>
          <w:tcPr>
            <w:tcW w:w="685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市场秩序执法</w:t>
            </w:r>
          </w:p>
        </w:tc>
        <w:tc>
          <w:tcPr>
            <w:tcW w:w="19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5.00</w:t>
            </w:r>
          </w:p>
        </w:tc>
        <w:tc>
          <w:tcPr>
            <w:tcW w:w="19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8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312" w:hRule="atLeast"/>
          <w:jc w:val="center"/>
        </w:trPr>
        <w:tc>
          <w:tcPr>
            <w:tcW w:w="189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2013810</w:t>
            </w:r>
          </w:p>
        </w:tc>
        <w:tc>
          <w:tcPr>
            <w:tcW w:w="685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质量基础</w:t>
            </w:r>
          </w:p>
        </w:tc>
        <w:tc>
          <w:tcPr>
            <w:tcW w:w="19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4.00</w:t>
            </w:r>
          </w:p>
        </w:tc>
        <w:tc>
          <w:tcPr>
            <w:tcW w:w="19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8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312" w:hRule="atLeast"/>
          <w:jc w:val="center"/>
        </w:trPr>
        <w:tc>
          <w:tcPr>
            <w:tcW w:w="189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2013812</w:t>
            </w:r>
          </w:p>
        </w:tc>
        <w:tc>
          <w:tcPr>
            <w:tcW w:w="685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药品事务</w:t>
            </w:r>
          </w:p>
        </w:tc>
        <w:tc>
          <w:tcPr>
            <w:tcW w:w="19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94.90</w:t>
            </w:r>
          </w:p>
        </w:tc>
        <w:tc>
          <w:tcPr>
            <w:tcW w:w="19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8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94.90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312" w:hRule="atLeast"/>
          <w:jc w:val="center"/>
        </w:trPr>
        <w:tc>
          <w:tcPr>
            <w:tcW w:w="189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2013816</w:t>
            </w:r>
          </w:p>
        </w:tc>
        <w:tc>
          <w:tcPr>
            <w:tcW w:w="685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食品安全监管</w:t>
            </w:r>
          </w:p>
        </w:tc>
        <w:tc>
          <w:tcPr>
            <w:tcW w:w="19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53.00</w:t>
            </w:r>
          </w:p>
        </w:tc>
        <w:tc>
          <w:tcPr>
            <w:tcW w:w="19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8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312" w:hRule="atLeast"/>
          <w:jc w:val="center"/>
        </w:trPr>
        <w:tc>
          <w:tcPr>
            <w:tcW w:w="189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2013899</w:t>
            </w:r>
          </w:p>
        </w:tc>
        <w:tc>
          <w:tcPr>
            <w:tcW w:w="685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其他市场监督管理事务</w:t>
            </w:r>
          </w:p>
        </w:tc>
        <w:tc>
          <w:tcPr>
            <w:tcW w:w="19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1,432.27</w:t>
            </w:r>
          </w:p>
        </w:tc>
        <w:tc>
          <w:tcPr>
            <w:tcW w:w="19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823.53</w:t>
            </w:r>
          </w:p>
        </w:tc>
        <w:tc>
          <w:tcPr>
            <w:tcW w:w="18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608.74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312" w:hRule="atLeast"/>
          <w:jc w:val="center"/>
        </w:trPr>
        <w:tc>
          <w:tcPr>
            <w:tcW w:w="189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2019999</w:t>
            </w:r>
          </w:p>
        </w:tc>
        <w:tc>
          <w:tcPr>
            <w:tcW w:w="685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其他一般公共服务支出</w:t>
            </w:r>
          </w:p>
        </w:tc>
        <w:tc>
          <w:tcPr>
            <w:tcW w:w="19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6.70</w:t>
            </w:r>
          </w:p>
        </w:tc>
        <w:tc>
          <w:tcPr>
            <w:tcW w:w="19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8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312" w:hRule="atLeast"/>
          <w:jc w:val="center"/>
        </w:trPr>
        <w:tc>
          <w:tcPr>
            <w:tcW w:w="189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2079999</w:t>
            </w:r>
          </w:p>
        </w:tc>
        <w:tc>
          <w:tcPr>
            <w:tcW w:w="685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其他文化旅游体育与传媒支出</w:t>
            </w:r>
          </w:p>
        </w:tc>
        <w:tc>
          <w:tcPr>
            <w:tcW w:w="19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2.00</w:t>
            </w:r>
          </w:p>
        </w:tc>
        <w:tc>
          <w:tcPr>
            <w:tcW w:w="19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8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312" w:hRule="atLeast"/>
          <w:jc w:val="center"/>
        </w:trPr>
        <w:tc>
          <w:tcPr>
            <w:tcW w:w="189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2080505</w:t>
            </w:r>
          </w:p>
        </w:tc>
        <w:tc>
          <w:tcPr>
            <w:tcW w:w="685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机关事业单位基本养老保险缴费支出</w:t>
            </w:r>
          </w:p>
        </w:tc>
        <w:tc>
          <w:tcPr>
            <w:tcW w:w="19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1,015.01</w:t>
            </w:r>
          </w:p>
        </w:tc>
        <w:tc>
          <w:tcPr>
            <w:tcW w:w="19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1,015.01</w:t>
            </w:r>
          </w:p>
        </w:tc>
        <w:tc>
          <w:tcPr>
            <w:tcW w:w="18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312" w:hRule="atLeast"/>
          <w:jc w:val="center"/>
        </w:trPr>
        <w:tc>
          <w:tcPr>
            <w:tcW w:w="189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2101101</w:t>
            </w:r>
          </w:p>
        </w:tc>
        <w:tc>
          <w:tcPr>
            <w:tcW w:w="685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行政单位医疗</w:t>
            </w:r>
          </w:p>
        </w:tc>
        <w:tc>
          <w:tcPr>
            <w:tcW w:w="19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188.34</w:t>
            </w:r>
          </w:p>
        </w:tc>
        <w:tc>
          <w:tcPr>
            <w:tcW w:w="19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188.34</w:t>
            </w:r>
          </w:p>
        </w:tc>
        <w:tc>
          <w:tcPr>
            <w:tcW w:w="18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312" w:hRule="atLeast"/>
          <w:jc w:val="center"/>
        </w:trPr>
        <w:tc>
          <w:tcPr>
            <w:tcW w:w="189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2210201</w:t>
            </w:r>
          </w:p>
        </w:tc>
        <w:tc>
          <w:tcPr>
            <w:tcW w:w="685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住房公积金</w:t>
            </w:r>
          </w:p>
        </w:tc>
        <w:tc>
          <w:tcPr>
            <w:tcW w:w="19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11.80</w:t>
            </w:r>
          </w:p>
        </w:tc>
        <w:tc>
          <w:tcPr>
            <w:tcW w:w="19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11.80</w:t>
            </w:r>
          </w:p>
        </w:tc>
        <w:tc>
          <w:tcPr>
            <w:tcW w:w="18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bl>
    <w:p>
      <w:pPr>
        <w:ind w:firstLine="566" w:firstLineChars="236"/>
        <w:rPr>
          <w:rFonts w:hint="eastAsia" w:ascii="仿宋_GB2312" w:hAnsi="仿宋_GB2312" w:eastAsia="仿宋_GB2312" w:cs="仿宋_GB2312"/>
          <w:w w:val="100"/>
          <w:sz w:val="24"/>
          <w:szCs w:val="24"/>
        </w:rPr>
      </w:pPr>
      <w:r>
        <w:rPr>
          <w:rFonts w:hint="eastAsia" w:ascii="仿宋_GB2312" w:hAnsi="仿宋_GB2312" w:eastAsia="仿宋_GB2312" w:cs="仿宋_GB2312"/>
          <w:w w:val="100"/>
          <w:sz w:val="24"/>
          <w:szCs w:val="24"/>
        </w:rPr>
        <w:t>注：本表反映部门本年度一般公共预算财政拨款支出情况。</w:t>
      </w:r>
    </w:p>
    <w:p>
      <w:pPr>
        <w:widowControl/>
        <w:jc w:val="left"/>
        <w:rPr>
          <w:rFonts w:ascii="仿宋" w:hAnsi="仿宋" w:eastAsia="仿宋"/>
          <w:w w:val="100"/>
          <w:sz w:val="30"/>
          <w:szCs w:val="30"/>
        </w:rPr>
      </w:pPr>
      <w:r>
        <w:rPr>
          <w:rFonts w:ascii="仿宋" w:hAnsi="仿宋" w:eastAsia="仿宋"/>
          <w:w w:val="100"/>
          <w:sz w:val="30"/>
          <w:szCs w:val="30"/>
        </w:rPr>
        <w:br w:type="page"/>
      </w:r>
    </w:p>
    <w:p>
      <w:pPr>
        <w:ind w:firstLine="755" w:firstLineChars="236"/>
        <w:jc w:val="right"/>
        <w:rPr>
          <w:rFonts w:hint="eastAsia" w:ascii="仿宋_GB2312" w:hAnsi="仿宋_GB2312" w:eastAsia="仿宋_GB2312" w:cs="仿宋_GB2312"/>
          <w:w w:val="100"/>
          <w:sz w:val="30"/>
          <w:szCs w:val="30"/>
        </w:rPr>
      </w:pPr>
      <w:r>
        <w:rPr>
          <w:rFonts w:hint="eastAsia" w:ascii="黑体" w:hAnsi="黑体" w:eastAsia="黑体" w:cs="黑体"/>
          <w:w w:val="100"/>
          <w:sz w:val="32"/>
          <w:szCs w:val="32"/>
        </w:rPr>
        <w:t>一般公共预算财政拨款基本支出决算明细表</w:t>
      </w:r>
      <w:r>
        <w:rPr>
          <w:rFonts w:hint="eastAsia" w:cs="黑体"/>
          <w:w w:val="100"/>
          <w:sz w:val="36"/>
          <w:szCs w:val="36"/>
          <w:lang w:val="en-US" w:eastAsia="zh-CN"/>
        </w:rPr>
        <w:t xml:space="preserve">         </w:t>
      </w:r>
      <w:r>
        <w:rPr>
          <w:rFonts w:hint="eastAsia" w:ascii="仿宋_GB2312" w:hAnsi="仿宋_GB2312" w:eastAsia="仿宋_GB2312" w:cs="仿宋_GB2312"/>
          <w:w w:val="100"/>
          <w:sz w:val="30"/>
          <w:szCs w:val="30"/>
        </w:rPr>
        <w:t>（公开06表）</w:t>
      </w:r>
    </w:p>
    <w:p>
      <w:pPr>
        <w:rPr>
          <w:rFonts w:ascii="仿宋" w:hAnsi="仿宋" w:eastAsia="仿宋"/>
          <w:w w:val="100"/>
          <w:sz w:val="30"/>
          <w:szCs w:val="30"/>
        </w:rPr>
      </w:pPr>
      <w:r>
        <w:rPr>
          <w:rFonts w:hint="eastAsia" w:ascii="仿宋_GB2312" w:hAnsi="仿宋_GB2312" w:eastAsia="仿宋_GB2312" w:cs="仿宋_GB2312"/>
          <w:w w:val="100"/>
          <w:sz w:val="30"/>
          <w:szCs w:val="30"/>
        </w:rPr>
        <w:t>部门：怀化市市场监督管理局（本级）</w:t>
      </w:r>
      <w:r>
        <w:rPr>
          <w:rFonts w:hint="eastAsia" w:ascii="仿宋_GB2312" w:hAnsi="仿宋_GB2312" w:eastAsia="仿宋_GB2312" w:cs="仿宋_GB2312"/>
          <w:w w:val="100"/>
          <w:sz w:val="30"/>
          <w:szCs w:val="30"/>
          <w:lang w:val="en-US" w:eastAsia="zh-CN"/>
        </w:rPr>
        <w:t xml:space="preserve">                                                </w:t>
      </w:r>
      <w:r>
        <w:rPr>
          <w:rFonts w:hint="eastAsia" w:ascii="仿宋_GB2312" w:hAnsi="仿宋_GB2312" w:eastAsia="仿宋_GB2312" w:cs="仿宋_GB2312"/>
          <w:w w:val="100"/>
          <w:sz w:val="30"/>
          <w:szCs w:val="30"/>
        </w:rPr>
        <w:t>单位：万元</w:t>
      </w:r>
    </w:p>
    <w:tbl>
      <w:tblPr>
        <w:tblStyle w:val="7"/>
        <w:tblW w:w="143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32" w:type="dxa"/>
          <w:left w:w="64" w:type="dxa"/>
          <w:bottom w:w="32" w:type="dxa"/>
          <w:right w:w="64" w:type="dxa"/>
        </w:tblCellMar>
      </w:tblPr>
      <w:tblGrid>
        <w:gridCol w:w="962"/>
        <w:gridCol w:w="2904"/>
        <w:gridCol w:w="1200"/>
        <w:gridCol w:w="1009"/>
        <w:gridCol w:w="1973"/>
        <w:gridCol w:w="961"/>
        <w:gridCol w:w="898"/>
        <w:gridCol w:w="3385"/>
        <w:gridCol w:w="105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5066" w:type="dxa"/>
            <w:gridSpan w:val="3"/>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人员经费</w:t>
            </w:r>
          </w:p>
        </w:tc>
        <w:tc>
          <w:tcPr>
            <w:tcW w:w="9279" w:type="dxa"/>
            <w:gridSpan w:val="6"/>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312" w:hRule="atLeast"/>
          <w:jc w:val="center"/>
        </w:trPr>
        <w:tc>
          <w:tcPr>
            <w:tcW w:w="962"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kern w:val="0"/>
                <w:sz w:val="22"/>
                <w:szCs w:val="22"/>
                <w:u w:val="none"/>
                <w:lang w:val="en-US" w:eastAsia="zh-CN" w:bidi="ar"/>
              </w:rPr>
            </w:pPr>
            <w:r>
              <w:rPr>
                <w:rFonts w:hint="eastAsia" w:ascii="宋体" w:hAnsi="宋体" w:eastAsia="宋体" w:cs="宋体"/>
                <w:i w:val="0"/>
                <w:iCs w:val="0"/>
                <w:color w:val="000000"/>
                <w:w w:val="100"/>
                <w:kern w:val="0"/>
                <w:sz w:val="22"/>
                <w:szCs w:val="22"/>
                <w:u w:val="none"/>
                <w:lang w:val="en-US" w:eastAsia="zh-CN" w:bidi="ar"/>
              </w:rPr>
              <w:t>科目</w:t>
            </w:r>
          </w:p>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代码</w:t>
            </w:r>
          </w:p>
        </w:tc>
        <w:tc>
          <w:tcPr>
            <w:tcW w:w="2904"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科目名称</w:t>
            </w:r>
          </w:p>
        </w:tc>
        <w:tc>
          <w:tcPr>
            <w:tcW w:w="1200"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决算数</w:t>
            </w:r>
          </w:p>
        </w:tc>
        <w:tc>
          <w:tcPr>
            <w:tcW w:w="1009"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kern w:val="0"/>
                <w:sz w:val="22"/>
                <w:szCs w:val="22"/>
                <w:u w:val="none"/>
                <w:lang w:val="en-US" w:eastAsia="zh-CN" w:bidi="ar"/>
              </w:rPr>
            </w:pPr>
            <w:r>
              <w:rPr>
                <w:rFonts w:hint="eastAsia" w:ascii="宋体" w:hAnsi="宋体" w:eastAsia="宋体" w:cs="宋体"/>
                <w:i w:val="0"/>
                <w:iCs w:val="0"/>
                <w:color w:val="000000"/>
                <w:w w:val="100"/>
                <w:kern w:val="0"/>
                <w:sz w:val="22"/>
                <w:szCs w:val="22"/>
                <w:u w:val="none"/>
                <w:lang w:val="en-US" w:eastAsia="zh-CN" w:bidi="ar"/>
              </w:rPr>
              <w:t>科目</w:t>
            </w:r>
          </w:p>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代码</w:t>
            </w:r>
          </w:p>
        </w:tc>
        <w:tc>
          <w:tcPr>
            <w:tcW w:w="1973"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科目名称</w:t>
            </w:r>
          </w:p>
        </w:tc>
        <w:tc>
          <w:tcPr>
            <w:tcW w:w="961"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决算数</w:t>
            </w:r>
          </w:p>
        </w:tc>
        <w:tc>
          <w:tcPr>
            <w:tcW w:w="898"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kern w:val="0"/>
                <w:sz w:val="22"/>
                <w:szCs w:val="22"/>
                <w:u w:val="none"/>
                <w:lang w:val="en-US" w:eastAsia="zh-CN" w:bidi="ar"/>
              </w:rPr>
            </w:pPr>
            <w:r>
              <w:rPr>
                <w:rFonts w:hint="eastAsia" w:ascii="宋体" w:hAnsi="宋体" w:eastAsia="宋体" w:cs="宋体"/>
                <w:i w:val="0"/>
                <w:iCs w:val="0"/>
                <w:color w:val="000000"/>
                <w:w w:val="100"/>
                <w:kern w:val="0"/>
                <w:sz w:val="22"/>
                <w:szCs w:val="22"/>
                <w:u w:val="none"/>
                <w:lang w:val="en-US" w:eastAsia="zh-CN" w:bidi="ar"/>
              </w:rPr>
              <w:t>科目</w:t>
            </w:r>
          </w:p>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代码</w:t>
            </w:r>
          </w:p>
        </w:tc>
        <w:tc>
          <w:tcPr>
            <w:tcW w:w="3385"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科目名称</w:t>
            </w:r>
          </w:p>
        </w:tc>
        <w:tc>
          <w:tcPr>
            <w:tcW w:w="1053"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312" w:hRule="atLeast"/>
          <w:jc w:val="center"/>
        </w:trPr>
        <w:tc>
          <w:tcPr>
            <w:tcW w:w="962"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i w:val="0"/>
                <w:iCs w:val="0"/>
                <w:color w:val="000000"/>
                <w:w w:val="100"/>
                <w:sz w:val="22"/>
                <w:szCs w:val="22"/>
                <w:u w:val="none"/>
              </w:rPr>
            </w:pPr>
          </w:p>
        </w:tc>
        <w:tc>
          <w:tcPr>
            <w:tcW w:w="2904"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i w:val="0"/>
                <w:iCs w:val="0"/>
                <w:color w:val="000000"/>
                <w:w w:val="100"/>
                <w:sz w:val="22"/>
                <w:szCs w:val="22"/>
                <w:u w:val="none"/>
              </w:rPr>
            </w:pPr>
          </w:p>
        </w:tc>
        <w:tc>
          <w:tcPr>
            <w:tcW w:w="120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i w:val="0"/>
                <w:iCs w:val="0"/>
                <w:color w:val="000000"/>
                <w:w w:val="100"/>
                <w:sz w:val="22"/>
                <w:szCs w:val="22"/>
                <w:u w:val="none"/>
              </w:rPr>
            </w:pPr>
          </w:p>
        </w:tc>
        <w:tc>
          <w:tcPr>
            <w:tcW w:w="1009"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i w:val="0"/>
                <w:iCs w:val="0"/>
                <w:color w:val="000000"/>
                <w:w w:val="100"/>
                <w:sz w:val="22"/>
                <w:szCs w:val="22"/>
                <w:u w:val="none"/>
              </w:rPr>
            </w:pPr>
          </w:p>
        </w:tc>
        <w:tc>
          <w:tcPr>
            <w:tcW w:w="1973"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i w:val="0"/>
                <w:iCs w:val="0"/>
                <w:color w:val="000000"/>
                <w:w w:val="100"/>
                <w:sz w:val="22"/>
                <w:szCs w:val="22"/>
                <w:u w:val="none"/>
              </w:rPr>
            </w:pPr>
          </w:p>
        </w:tc>
        <w:tc>
          <w:tcPr>
            <w:tcW w:w="961"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i w:val="0"/>
                <w:iCs w:val="0"/>
                <w:color w:val="000000"/>
                <w:w w:val="100"/>
                <w:sz w:val="22"/>
                <w:szCs w:val="22"/>
                <w:u w:val="none"/>
              </w:rPr>
            </w:pPr>
          </w:p>
        </w:tc>
        <w:tc>
          <w:tcPr>
            <w:tcW w:w="898"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i w:val="0"/>
                <w:iCs w:val="0"/>
                <w:color w:val="000000"/>
                <w:w w:val="100"/>
                <w:sz w:val="22"/>
                <w:szCs w:val="22"/>
                <w:u w:val="none"/>
              </w:rPr>
            </w:pPr>
          </w:p>
        </w:tc>
        <w:tc>
          <w:tcPr>
            <w:tcW w:w="338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i w:val="0"/>
                <w:iCs w:val="0"/>
                <w:color w:val="000000"/>
                <w:w w:val="100"/>
                <w:sz w:val="22"/>
                <w:szCs w:val="22"/>
                <w:u w:val="none"/>
              </w:rPr>
            </w:pPr>
          </w:p>
        </w:tc>
        <w:tc>
          <w:tcPr>
            <w:tcW w:w="1053"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962"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w:t>
            </w:r>
          </w:p>
        </w:tc>
        <w:tc>
          <w:tcPr>
            <w:tcW w:w="290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工资福利支出</w:t>
            </w:r>
          </w:p>
        </w:tc>
        <w:tc>
          <w:tcPr>
            <w:tcW w:w="120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4,805.86</w:t>
            </w:r>
          </w:p>
        </w:tc>
        <w:tc>
          <w:tcPr>
            <w:tcW w:w="100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w:t>
            </w:r>
          </w:p>
        </w:tc>
        <w:tc>
          <w:tcPr>
            <w:tcW w:w="197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商品和服务支出</w:t>
            </w:r>
          </w:p>
        </w:tc>
        <w:tc>
          <w:tcPr>
            <w:tcW w:w="96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887.11</w:t>
            </w:r>
          </w:p>
        </w:tc>
        <w:tc>
          <w:tcPr>
            <w:tcW w:w="89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307</w:t>
            </w:r>
          </w:p>
        </w:tc>
        <w:tc>
          <w:tcPr>
            <w:tcW w:w="338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债务利息及费用支出</w:t>
            </w:r>
          </w:p>
        </w:tc>
        <w:tc>
          <w:tcPr>
            <w:tcW w:w="105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962"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30101</w:t>
            </w:r>
          </w:p>
        </w:tc>
        <w:tc>
          <w:tcPr>
            <w:tcW w:w="290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基本工资</w:t>
            </w:r>
          </w:p>
        </w:tc>
        <w:tc>
          <w:tcPr>
            <w:tcW w:w="120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1,369.54</w:t>
            </w:r>
          </w:p>
        </w:tc>
        <w:tc>
          <w:tcPr>
            <w:tcW w:w="100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30201</w:t>
            </w:r>
          </w:p>
        </w:tc>
        <w:tc>
          <w:tcPr>
            <w:tcW w:w="197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办公费</w:t>
            </w:r>
          </w:p>
        </w:tc>
        <w:tc>
          <w:tcPr>
            <w:tcW w:w="96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38.40</w:t>
            </w:r>
          </w:p>
        </w:tc>
        <w:tc>
          <w:tcPr>
            <w:tcW w:w="89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30701</w:t>
            </w:r>
          </w:p>
        </w:tc>
        <w:tc>
          <w:tcPr>
            <w:tcW w:w="338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国内债务付息</w:t>
            </w:r>
          </w:p>
        </w:tc>
        <w:tc>
          <w:tcPr>
            <w:tcW w:w="105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962"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30102</w:t>
            </w:r>
          </w:p>
        </w:tc>
        <w:tc>
          <w:tcPr>
            <w:tcW w:w="290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津贴补贴</w:t>
            </w:r>
          </w:p>
        </w:tc>
        <w:tc>
          <w:tcPr>
            <w:tcW w:w="120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769.52</w:t>
            </w:r>
          </w:p>
        </w:tc>
        <w:tc>
          <w:tcPr>
            <w:tcW w:w="100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30202</w:t>
            </w:r>
          </w:p>
        </w:tc>
        <w:tc>
          <w:tcPr>
            <w:tcW w:w="197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印刷费</w:t>
            </w:r>
          </w:p>
        </w:tc>
        <w:tc>
          <w:tcPr>
            <w:tcW w:w="96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89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30702</w:t>
            </w:r>
          </w:p>
        </w:tc>
        <w:tc>
          <w:tcPr>
            <w:tcW w:w="338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国外债务付息</w:t>
            </w:r>
          </w:p>
        </w:tc>
        <w:tc>
          <w:tcPr>
            <w:tcW w:w="105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962"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30103</w:t>
            </w:r>
          </w:p>
        </w:tc>
        <w:tc>
          <w:tcPr>
            <w:tcW w:w="290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奖金</w:t>
            </w:r>
          </w:p>
        </w:tc>
        <w:tc>
          <w:tcPr>
            <w:tcW w:w="120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1,063.76</w:t>
            </w:r>
          </w:p>
        </w:tc>
        <w:tc>
          <w:tcPr>
            <w:tcW w:w="100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30203</w:t>
            </w:r>
          </w:p>
        </w:tc>
        <w:tc>
          <w:tcPr>
            <w:tcW w:w="197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咨询费</w:t>
            </w:r>
          </w:p>
        </w:tc>
        <w:tc>
          <w:tcPr>
            <w:tcW w:w="96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89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w:t>
            </w:r>
          </w:p>
        </w:tc>
        <w:tc>
          <w:tcPr>
            <w:tcW w:w="338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资本性支出</w:t>
            </w:r>
          </w:p>
        </w:tc>
        <w:tc>
          <w:tcPr>
            <w:tcW w:w="105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8.52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962"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30106</w:t>
            </w:r>
          </w:p>
        </w:tc>
        <w:tc>
          <w:tcPr>
            <w:tcW w:w="290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伙食补助费</w:t>
            </w:r>
          </w:p>
        </w:tc>
        <w:tc>
          <w:tcPr>
            <w:tcW w:w="120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00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30204</w:t>
            </w:r>
          </w:p>
        </w:tc>
        <w:tc>
          <w:tcPr>
            <w:tcW w:w="197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手续费</w:t>
            </w:r>
          </w:p>
        </w:tc>
        <w:tc>
          <w:tcPr>
            <w:tcW w:w="96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89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31001</w:t>
            </w:r>
          </w:p>
        </w:tc>
        <w:tc>
          <w:tcPr>
            <w:tcW w:w="338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房屋建筑物购建</w:t>
            </w:r>
          </w:p>
        </w:tc>
        <w:tc>
          <w:tcPr>
            <w:tcW w:w="105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962"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30107</w:t>
            </w:r>
          </w:p>
        </w:tc>
        <w:tc>
          <w:tcPr>
            <w:tcW w:w="290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绩效工资</w:t>
            </w:r>
          </w:p>
        </w:tc>
        <w:tc>
          <w:tcPr>
            <w:tcW w:w="120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00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30205</w:t>
            </w:r>
          </w:p>
        </w:tc>
        <w:tc>
          <w:tcPr>
            <w:tcW w:w="197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水费</w:t>
            </w:r>
          </w:p>
        </w:tc>
        <w:tc>
          <w:tcPr>
            <w:tcW w:w="96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5.55</w:t>
            </w:r>
          </w:p>
        </w:tc>
        <w:tc>
          <w:tcPr>
            <w:tcW w:w="89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31002</w:t>
            </w:r>
          </w:p>
        </w:tc>
        <w:tc>
          <w:tcPr>
            <w:tcW w:w="338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办公设备购置</w:t>
            </w:r>
          </w:p>
        </w:tc>
        <w:tc>
          <w:tcPr>
            <w:tcW w:w="105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8.52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962"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30108</w:t>
            </w:r>
          </w:p>
        </w:tc>
        <w:tc>
          <w:tcPr>
            <w:tcW w:w="290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机关事业单位基本养老保险缴费</w:t>
            </w:r>
          </w:p>
        </w:tc>
        <w:tc>
          <w:tcPr>
            <w:tcW w:w="120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451.31</w:t>
            </w:r>
          </w:p>
        </w:tc>
        <w:tc>
          <w:tcPr>
            <w:tcW w:w="100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30206</w:t>
            </w:r>
          </w:p>
        </w:tc>
        <w:tc>
          <w:tcPr>
            <w:tcW w:w="197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电费</w:t>
            </w:r>
          </w:p>
        </w:tc>
        <w:tc>
          <w:tcPr>
            <w:tcW w:w="96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32.14</w:t>
            </w:r>
          </w:p>
        </w:tc>
        <w:tc>
          <w:tcPr>
            <w:tcW w:w="89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31003</w:t>
            </w:r>
          </w:p>
        </w:tc>
        <w:tc>
          <w:tcPr>
            <w:tcW w:w="338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专用设备购置</w:t>
            </w:r>
          </w:p>
        </w:tc>
        <w:tc>
          <w:tcPr>
            <w:tcW w:w="105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962"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30109</w:t>
            </w:r>
          </w:p>
        </w:tc>
        <w:tc>
          <w:tcPr>
            <w:tcW w:w="290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职业年金缴费</w:t>
            </w:r>
          </w:p>
        </w:tc>
        <w:tc>
          <w:tcPr>
            <w:tcW w:w="120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00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30207</w:t>
            </w:r>
          </w:p>
        </w:tc>
        <w:tc>
          <w:tcPr>
            <w:tcW w:w="197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邮电费</w:t>
            </w:r>
          </w:p>
        </w:tc>
        <w:tc>
          <w:tcPr>
            <w:tcW w:w="96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7.59</w:t>
            </w:r>
          </w:p>
        </w:tc>
        <w:tc>
          <w:tcPr>
            <w:tcW w:w="89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31005</w:t>
            </w:r>
          </w:p>
        </w:tc>
        <w:tc>
          <w:tcPr>
            <w:tcW w:w="338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基础设施建设</w:t>
            </w:r>
          </w:p>
        </w:tc>
        <w:tc>
          <w:tcPr>
            <w:tcW w:w="105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962"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30110</w:t>
            </w:r>
          </w:p>
        </w:tc>
        <w:tc>
          <w:tcPr>
            <w:tcW w:w="290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职工基本医疗保险缴费</w:t>
            </w:r>
          </w:p>
        </w:tc>
        <w:tc>
          <w:tcPr>
            <w:tcW w:w="120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717.77</w:t>
            </w:r>
          </w:p>
        </w:tc>
        <w:tc>
          <w:tcPr>
            <w:tcW w:w="100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30208</w:t>
            </w:r>
          </w:p>
        </w:tc>
        <w:tc>
          <w:tcPr>
            <w:tcW w:w="197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取暖费</w:t>
            </w:r>
          </w:p>
        </w:tc>
        <w:tc>
          <w:tcPr>
            <w:tcW w:w="96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89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31006</w:t>
            </w:r>
          </w:p>
        </w:tc>
        <w:tc>
          <w:tcPr>
            <w:tcW w:w="338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大型修缮</w:t>
            </w:r>
          </w:p>
        </w:tc>
        <w:tc>
          <w:tcPr>
            <w:tcW w:w="105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962"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30111</w:t>
            </w:r>
          </w:p>
        </w:tc>
        <w:tc>
          <w:tcPr>
            <w:tcW w:w="290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公务员医疗补助缴费</w:t>
            </w:r>
          </w:p>
        </w:tc>
        <w:tc>
          <w:tcPr>
            <w:tcW w:w="120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00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30209</w:t>
            </w:r>
          </w:p>
        </w:tc>
        <w:tc>
          <w:tcPr>
            <w:tcW w:w="197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物业管理费</w:t>
            </w:r>
          </w:p>
        </w:tc>
        <w:tc>
          <w:tcPr>
            <w:tcW w:w="96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8.90</w:t>
            </w:r>
          </w:p>
        </w:tc>
        <w:tc>
          <w:tcPr>
            <w:tcW w:w="89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31007</w:t>
            </w:r>
          </w:p>
        </w:tc>
        <w:tc>
          <w:tcPr>
            <w:tcW w:w="338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信息网络及软件购置更新</w:t>
            </w:r>
          </w:p>
        </w:tc>
        <w:tc>
          <w:tcPr>
            <w:tcW w:w="105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962"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30112</w:t>
            </w:r>
          </w:p>
        </w:tc>
        <w:tc>
          <w:tcPr>
            <w:tcW w:w="290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其他社会保障缴费</w:t>
            </w:r>
          </w:p>
        </w:tc>
        <w:tc>
          <w:tcPr>
            <w:tcW w:w="120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85.69</w:t>
            </w:r>
          </w:p>
        </w:tc>
        <w:tc>
          <w:tcPr>
            <w:tcW w:w="100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30211</w:t>
            </w:r>
          </w:p>
        </w:tc>
        <w:tc>
          <w:tcPr>
            <w:tcW w:w="197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差旅费</w:t>
            </w:r>
          </w:p>
        </w:tc>
        <w:tc>
          <w:tcPr>
            <w:tcW w:w="96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7.70</w:t>
            </w:r>
          </w:p>
        </w:tc>
        <w:tc>
          <w:tcPr>
            <w:tcW w:w="89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31008</w:t>
            </w:r>
          </w:p>
        </w:tc>
        <w:tc>
          <w:tcPr>
            <w:tcW w:w="338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物资储备</w:t>
            </w:r>
          </w:p>
        </w:tc>
        <w:tc>
          <w:tcPr>
            <w:tcW w:w="105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962"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30113</w:t>
            </w:r>
          </w:p>
        </w:tc>
        <w:tc>
          <w:tcPr>
            <w:tcW w:w="290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住房公积金</w:t>
            </w:r>
          </w:p>
        </w:tc>
        <w:tc>
          <w:tcPr>
            <w:tcW w:w="120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348.26</w:t>
            </w:r>
          </w:p>
        </w:tc>
        <w:tc>
          <w:tcPr>
            <w:tcW w:w="100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30212</w:t>
            </w:r>
          </w:p>
        </w:tc>
        <w:tc>
          <w:tcPr>
            <w:tcW w:w="197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因公出国（境）费用</w:t>
            </w:r>
          </w:p>
        </w:tc>
        <w:tc>
          <w:tcPr>
            <w:tcW w:w="96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89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31009</w:t>
            </w:r>
          </w:p>
        </w:tc>
        <w:tc>
          <w:tcPr>
            <w:tcW w:w="338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土地补偿</w:t>
            </w:r>
          </w:p>
        </w:tc>
        <w:tc>
          <w:tcPr>
            <w:tcW w:w="105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962"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30114</w:t>
            </w:r>
          </w:p>
        </w:tc>
        <w:tc>
          <w:tcPr>
            <w:tcW w:w="290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医疗费</w:t>
            </w:r>
          </w:p>
        </w:tc>
        <w:tc>
          <w:tcPr>
            <w:tcW w:w="120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00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30213</w:t>
            </w:r>
          </w:p>
        </w:tc>
        <w:tc>
          <w:tcPr>
            <w:tcW w:w="197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维修（护）费</w:t>
            </w:r>
          </w:p>
        </w:tc>
        <w:tc>
          <w:tcPr>
            <w:tcW w:w="96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3.28</w:t>
            </w:r>
          </w:p>
        </w:tc>
        <w:tc>
          <w:tcPr>
            <w:tcW w:w="89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31010</w:t>
            </w:r>
          </w:p>
        </w:tc>
        <w:tc>
          <w:tcPr>
            <w:tcW w:w="338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安置补助</w:t>
            </w:r>
          </w:p>
        </w:tc>
        <w:tc>
          <w:tcPr>
            <w:tcW w:w="105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962"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30199</w:t>
            </w:r>
          </w:p>
        </w:tc>
        <w:tc>
          <w:tcPr>
            <w:tcW w:w="290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其他工资福利支出</w:t>
            </w:r>
          </w:p>
        </w:tc>
        <w:tc>
          <w:tcPr>
            <w:tcW w:w="120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00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30214</w:t>
            </w:r>
          </w:p>
        </w:tc>
        <w:tc>
          <w:tcPr>
            <w:tcW w:w="197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租赁费</w:t>
            </w:r>
          </w:p>
        </w:tc>
        <w:tc>
          <w:tcPr>
            <w:tcW w:w="96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0.93</w:t>
            </w:r>
          </w:p>
        </w:tc>
        <w:tc>
          <w:tcPr>
            <w:tcW w:w="89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31011</w:t>
            </w:r>
          </w:p>
        </w:tc>
        <w:tc>
          <w:tcPr>
            <w:tcW w:w="338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地上附着物和青苗补偿</w:t>
            </w:r>
          </w:p>
        </w:tc>
        <w:tc>
          <w:tcPr>
            <w:tcW w:w="105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962"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w:t>
            </w:r>
          </w:p>
        </w:tc>
        <w:tc>
          <w:tcPr>
            <w:tcW w:w="290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对个人和家庭的补助</w:t>
            </w:r>
          </w:p>
        </w:tc>
        <w:tc>
          <w:tcPr>
            <w:tcW w:w="120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463.18</w:t>
            </w:r>
          </w:p>
        </w:tc>
        <w:tc>
          <w:tcPr>
            <w:tcW w:w="100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30215</w:t>
            </w:r>
          </w:p>
        </w:tc>
        <w:tc>
          <w:tcPr>
            <w:tcW w:w="197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会议费</w:t>
            </w:r>
          </w:p>
        </w:tc>
        <w:tc>
          <w:tcPr>
            <w:tcW w:w="96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12.02</w:t>
            </w:r>
          </w:p>
        </w:tc>
        <w:tc>
          <w:tcPr>
            <w:tcW w:w="89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31012</w:t>
            </w:r>
          </w:p>
        </w:tc>
        <w:tc>
          <w:tcPr>
            <w:tcW w:w="338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拆迁补偿</w:t>
            </w:r>
          </w:p>
        </w:tc>
        <w:tc>
          <w:tcPr>
            <w:tcW w:w="105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962"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30301</w:t>
            </w:r>
          </w:p>
        </w:tc>
        <w:tc>
          <w:tcPr>
            <w:tcW w:w="290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离休费</w:t>
            </w:r>
          </w:p>
        </w:tc>
        <w:tc>
          <w:tcPr>
            <w:tcW w:w="120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00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30216</w:t>
            </w:r>
          </w:p>
        </w:tc>
        <w:tc>
          <w:tcPr>
            <w:tcW w:w="197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培训费</w:t>
            </w:r>
          </w:p>
        </w:tc>
        <w:tc>
          <w:tcPr>
            <w:tcW w:w="96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0.11</w:t>
            </w:r>
          </w:p>
        </w:tc>
        <w:tc>
          <w:tcPr>
            <w:tcW w:w="89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31013</w:t>
            </w:r>
          </w:p>
        </w:tc>
        <w:tc>
          <w:tcPr>
            <w:tcW w:w="338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公务用车购置</w:t>
            </w:r>
          </w:p>
        </w:tc>
        <w:tc>
          <w:tcPr>
            <w:tcW w:w="105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962"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30302</w:t>
            </w:r>
          </w:p>
        </w:tc>
        <w:tc>
          <w:tcPr>
            <w:tcW w:w="290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退休费</w:t>
            </w:r>
          </w:p>
        </w:tc>
        <w:tc>
          <w:tcPr>
            <w:tcW w:w="120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00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30217</w:t>
            </w:r>
          </w:p>
        </w:tc>
        <w:tc>
          <w:tcPr>
            <w:tcW w:w="197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公务接待费</w:t>
            </w:r>
          </w:p>
        </w:tc>
        <w:tc>
          <w:tcPr>
            <w:tcW w:w="96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8.25</w:t>
            </w:r>
          </w:p>
        </w:tc>
        <w:tc>
          <w:tcPr>
            <w:tcW w:w="89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31019</w:t>
            </w:r>
          </w:p>
        </w:tc>
        <w:tc>
          <w:tcPr>
            <w:tcW w:w="338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其他交通工具购置</w:t>
            </w:r>
          </w:p>
        </w:tc>
        <w:tc>
          <w:tcPr>
            <w:tcW w:w="105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962"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30303</w:t>
            </w:r>
          </w:p>
        </w:tc>
        <w:tc>
          <w:tcPr>
            <w:tcW w:w="290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退职（役）费</w:t>
            </w:r>
          </w:p>
        </w:tc>
        <w:tc>
          <w:tcPr>
            <w:tcW w:w="120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00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30218</w:t>
            </w:r>
          </w:p>
        </w:tc>
        <w:tc>
          <w:tcPr>
            <w:tcW w:w="197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专用材料费</w:t>
            </w:r>
          </w:p>
        </w:tc>
        <w:tc>
          <w:tcPr>
            <w:tcW w:w="96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1.59</w:t>
            </w:r>
          </w:p>
        </w:tc>
        <w:tc>
          <w:tcPr>
            <w:tcW w:w="89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31021</w:t>
            </w:r>
          </w:p>
        </w:tc>
        <w:tc>
          <w:tcPr>
            <w:tcW w:w="338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文物和陈列品购置</w:t>
            </w:r>
          </w:p>
        </w:tc>
        <w:tc>
          <w:tcPr>
            <w:tcW w:w="105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962"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30304</w:t>
            </w:r>
          </w:p>
        </w:tc>
        <w:tc>
          <w:tcPr>
            <w:tcW w:w="290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抚恤金</w:t>
            </w:r>
          </w:p>
        </w:tc>
        <w:tc>
          <w:tcPr>
            <w:tcW w:w="120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2.10</w:t>
            </w:r>
          </w:p>
        </w:tc>
        <w:tc>
          <w:tcPr>
            <w:tcW w:w="100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30224</w:t>
            </w:r>
          </w:p>
        </w:tc>
        <w:tc>
          <w:tcPr>
            <w:tcW w:w="197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被装购置费</w:t>
            </w:r>
          </w:p>
        </w:tc>
        <w:tc>
          <w:tcPr>
            <w:tcW w:w="96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89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31022</w:t>
            </w:r>
          </w:p>
        </w:tc>
        <w:tc>
          <w:tcPr>
            <w:tcW w:w="338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无形资产购置</w:t>
            </w:r>
          </w:p>
        </w:tc>
        <w:tc>
          <w:tcPr>
            <w:tcW w:w="105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962"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30305</w:t>
            </w:r>
          </w:p>
        </w:tc>
        <w:tc>
          <w:tcPr>
            <w:tcW w:w="290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生活补助</w:t>
            </w:r>
          </w:p>
        </w:tc>
        <w:tc>
          <w:tcPr>
            <w:tcW w:w="120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440.24</w:t>
            </w:r>
          </w:p>
        </w:tc>
        <w:tc>
          <w:tcPr>
            <w:tcW w:w="100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30225</w:t>
            </w:r>
          </w:p>
        </w:tc>
        <w:tc>
          <w:tcPr>
            <w:tcW w:w="197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专用燃料费</w:t>
            </w:r>
          </w:p>
        </w:tc>
        <w:tc>
          <w:tcPr>
            <w:tcW w:w="96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89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31099</w:t>
            </w:r>
          </w:p>
        </w:tc>
        <w:tc>
          <w:tcPr>
            <w:tcW w:w="338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其他资本性支出</w:t>
            </w:r>
          </w:p>
        </w:tc>
        <w:tc>
          <w:tcPr>
            <w:tcW w:w="105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962"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30306</w:t>
            </w:r>
          </w:p>
        </w:tc>
        <w:tc>
          <w:tcPr>
            <w:tcW w:w="290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救济费</w:t>
            </w:r>
          </w:p>
        </w:tc>
        <w:tc>
          <w:tcPr>
            <w:tcW w:w="120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00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30226</w:t>
            </w:r>
          </w:p>
        </w:tc>
        <w:tc>
          <w:tcPr>
            <w:tcW w:w="197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劳务费</w:t>
            </w:r>
          </w:p>
        </w:tc>
        <w:tc>
          <w:tcPr>
            <w:tcW w:w="96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139.26</w:t>
            </w:r>
          </w:p>
        </w:tc>
        <w:tc>
          <w:tcPr>
            <w:tcW w:w="89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399</w:t>
            </w:r>
          </w:p>
        </w:tc>
        <w:tc>
          <w:tcPr>
            <w:tcW w:w="338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其他支出</w:t>
            </w:r>
          </w:p>
        </w:tc>
        <w:tc>
          <w:tcPr>
            <w:tcW w:w="105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962"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30307</w:t>
            </w:r>
          </w:p>
        </w:tc>
        <w:tc>
          <w:tcPr>
            <w:tcW w:w="290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医疗费补助</w:t>
            </w:r>
          </w:p>
        </w:tc>
        <w:tc>
          <w:tcPr>
            <w:tcW w:w="120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00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30227</w:t>
            </w:r>
          </w:p>
        </w:tc>
        <w:tc>
          <w:tcPr>
            <w:tcW w:w="197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委托业务费</w:t>
            </w:r>
          </w:p>
        </w:tc>
        <w:tc>
          <w:tcPr>
            <w:tcW w:w="96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12.20</w:t>
            </w:r>
          </w:p>
        </w:tc>
        <w:tc>
          <w:tcPr>
            <w:tcW w:w="89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39907</w:t>
            </w:r>
          </w:p>
        </w:tc>
        <w:tc>
          <w:tcPr>
            <w:tcW w:w="338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国家赔偿费用支出</w:t>
            </w:r>
          </w:p>
        </w:tc>
        <w:tc>
          <w:tcPr>
            <w:tcW w:w="105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962"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30308</w:t>
            </w:r>
          </w:p>
        </w:tc>
        <w:tc>
          <w:tcPr>
            <w:tcW w:w="290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助学金</w:t>
            </w:r>
          </w:p>
        </w:tc>
        <w:tc>
          <w:tcPr>
            <w:tcW w:w="120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00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30228</w:t>
            </w:r>
          </w:p>
        </w:tc>
        <w:tc>
          <w:tcPr>
            <w:tcW w:w="197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工会经费</w:t>
            </w:r>
          </w:p>
        </w:tc>
        <w:tc>
          <w:tcPr>
            <w:tcW w:w="96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98.53</w:t>
            </w:r>
          </w:p>
        </w:tc>
        <w:tc>
          <w:tcPr>
            <w:tcW w:w="89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39908</w:t>
            </w:r>
          </w:p>
        </w:tc>
        <w:tc>
          <w:tcPr>
            <w:tcW w:w="338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对民间非营利组织和群众性自治组织补贴</w:t>
            </w:r>
          </w:p>
        </w:tc>
        <w:tc>
          <w:tcPr>
            <w:tcW w:w="105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962"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30309</w:t>
            </w:r>
          </w:p>
        </w:tc>
        <w:tc>
          <w:tcPr>
            <w:tcW w:w="290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奖励金</w:t>
            </w:r>
          </w:p>
        </w:tc>
        <w:tc>
          <w:tcPr>
            <w:tcW w:w="120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17.86</w:t>
            </w:r>
          </w:p>
        </w:tc>
        <w:tc>
          <w:tcPr>
            <w:tcW w:w="100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30229</w:t>
            </w:r>
          </w:p>
        </w:tc>
        <w:tc>
          <w:tcPr>
            <w:tcW w:w="197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福利费</w:t>
            </w:r>
          </w:p>
        </w:tc>
        <w:tc>
          <w:tcPr>
            <w:tcW w:w="96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193.38</w:t>
            </w:r>
          </w:p>
        </w:tc>
        <w:tc>
          <w:tcPr>
            <w:tcW w:w="89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39909</w:t>
            </w:r>
          </w:p>
        </w:tc>
        <w:tc>
          <w:tcPr>
            <w:tcW w:w="338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经常性赠与</w:t>
            </w:r>
          </w:p>
        </w:tc>
        <w:tc>
          <w:tcPr>
            <w:tcW w:w="105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962"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30310</w:t>
            </w:r>
          </w:p>
        </w:tc>
        <w:tc>
          <w:tcPr>
            <w:tcW w:w="290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个人农业生产补贴</w:t>
            </w:r>
          </w:p>
        </w:tc>
        <w:tc>
          <w:tcPr>
            <w:tcW w:w="120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00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30231</w:t>
            </w:r>
          </w:p>
        </w:tc>
        <w:tc>
          <w:tcPr>
            <w:tcW w:w="197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公务用车运行维护费</w:t>
            </w:r>
          </w:p>
        </w:tc>
        <w:tc>
          <w:tcPr>
            <w:tcW w:w="96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40.99</w:t>
            </w:r>
          </w:p>
        </w:tc>
        <w:tc>
          <w:tcPr>
            <w:tcW w:w="89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39910</w:t>
            </w:r>
          </w:p>
        </w:tc>
        <w:tc>
          <w:tcPr>
            <w:tcW w:w="338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资本性赠与</w:t>
            </w:r>
          </w:p>
        </w:tc>
        <w:tc>
          <w:tcPr>
            <w:tcW w:w="105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962"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30311</w:t>
            </w:r>
          </w:p>
        </w:tc>
        <w:tc>
          <w:tcPr>
            <w:tcW w:w="290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代缴社会保险费</w:t>
            </w:r>
          </w:p>
        </w:tc>
        <w:tc>
          <w:tcPr>
            <w:tcW w:w="120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00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30239</w:t>
            </w:r>
          </w:p>
        </w:tc>
        <w:tc>
          <w:tcPr>
            <w:tcW w:w="197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其他交通费用</w:t>
            </w:r>
          </w:p>
        </w:tc>
        <w:tc>
          <w:tcPr>
            <w:tcW w:w="96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180.35</w:t>
            </w:r>
          </w:p>
        </w:tc>
        <w:tc>
          <w:tcPr>
            <w:tcW w:w="89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39999</w:t>
            </w:r>
          </w:p>
        </w:tc>
        <w:tc>
          <w:tcPr>
            <w:tcW w:w="338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其他支出</w:t>
            </w:r>
          </w:p>
        </w:tc>
        <w:tc>
          <w:tcPr>
            <w:tcW w:w="105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962"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30399</w:t>
            </w:r>
          </w:p>
        </w:tc>
        <w:tc>
          <w:tcPr>
            <w:tcW w:w="290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其他对个人和家庭的补助</w:t>
            </w:r>
          </w:p>
        </w:tc>
        <w:tc>
          <w:tcPr>
            <w:tcW w:w="120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2.98</w:t>
            </w:r>
          </w:p>
        </w:tc>
        <w:tc>
          <w:tcPr>
            <w:tcW w:w="100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30240</w:t>
            </w:r>
          </w:p>
        </w:tc>
        <w:tc>
          <w:tcPr>
            <w:tcW w:w="197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税金及附加费用</w:t>
            </w:r>
          </w:p>
        </w:tc>
        <w:tc>
          <w:tcPr>
            <w:tcW w:w="96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0.11</w:t>
            </w:r>
          </w:p>
        </w:tc>
        <w:tc>
          <w:tcPr>
            <w:tcW w:w="89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left"/>
              <w:rPr>
                <w:rFonts w:hint="eastAsia" w:ascii="宋体" w:hAnsi="宋体" w:eastAsia="宋体" w:cs="宋体"/>
                <w:i w:val="0"/>
                <w:iCs w:val="0"/>
                <w:color w:val="000000"/>
                <w:w w:val="100"/>
                <w:sz w:val="22"/>
                <w:szCs w:val="22"/>
                <w:u w:val="none"/>
              </w:rPr>
            </w:pPr>
          </w:p>
        </w:tc>
        <w:tc>
          <w:tcPr>
            <w:tcW w:w="338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left"/>
              <w:rPr>
                <w:rFonts w:hint="eastAsia" w:ascii="宋体" w:hAnsi="宋体" w:eastAsia="宋体" w:cs="宋体"/>
                <w:i w:val="0"/>
                <w:iCs w:val="0"/>
                <w:color w:val="000000"/>
                <w:w w:val="100"/>
                <w:sz w:val="22"/>
                <w:szCs w:val="22"/>
                <w:u w:val="none"/>
              </w:rPr>
            </w:pPr>
          </w:p>
        </w:tc>
        <w:tc>
          <w:tcPr>
            <w:tcW w:w="105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962"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left"/>
              <w:rPr>
                <w:rFonts w:hint="eastAsia" w:ascii="宋体" w:hAnsi="宋体" w:eastAsia="宋体" w:cs="宋体"/>
                <w:i w:val="0"/>
                <w:iCs w:val="0"/>
                <w:color w:val="000000"/>
                <w:w w:val="100"/>
                <w:sz w:val="22"/>
                <w:szCs w:val="22"/>
                <w:u w:val="none"/>
              </w:rPr>
            </w:pPr>
          </w:p>
        </w:tc>
        <w:tc>
          <w:tcPr>
            <w:tcW w:w="290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left"/>
              <w:rPr>
                <w:rFonts w:hint="eastAsia" w:ascii="宋体" w:hAnsi="宋体" w:eastAsia="宋体" w:cs="宋体"/>
                <w:i w:val="0"/>
                <w:iCs w:val="0"/>
                <w:color w:val="000000"/>
                <w:w w:val="100"/>
                <w:sz w:val="22"/>
                <w:szCs w:val="22"/>
                <w:u w:val="none"/>
              </w:rPr>
            </w:pPr>
          </w:p>
        </w:tc>
        <w:tc>
          <w:tcPr>
            <w:tcW w:w="120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00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30299</w:t>
            </w:r>
          </w:p>
        </w:tc>
        <w:tc>
          <w:tcPr>
            <w:tcW w:w="197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其他商品和服务支出</w:t>
            </w:r>
          </w:p>
        </w:tc>
        <w:tc>
          <w:tcPr>
            <w:tcW w:w="96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95.83</w:t>
            </w:r>
          </w:p>
        </w:tc>
        <w:tc>
          <w:tcPr>
            <w:tcW w:w="89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left"/>
              <w:rPr>
                <w:rFonts w:hint="eastAsia" w:ascii="宋体" w:hAnsi="宋体" w:eastAsia="宋体" w:cs="宋体"/>
                <w:i w:val="0"/>
                <w:iCs w:val="0"/>
                <w:color w:val="000000"/>
                <w:w w:val="100"/>
                <w:sz w:val="22"/>
                <w:szCs w:val="22"/>
                <w:u w:val="none"/>
              </w:rPr>
            </w:pPr>
          </w:p>
        </w:tc>
        <w:tc>
          <w:tcPr>
            <w:tcW w:w="338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left"/>
              <w:rPr>
                <w:rFonts w:hint="eastAsia" w:ascii="宋体" w:hAnsi="宋体" w:eastAsia="宋体" w:cs="宋体"/>
                <w:i w:val="0"/>
                <w:iCs w:val="0"/>
                <w:color w:val="000000"/>
                <w:w w:val="100"/>
                <w:sz w:val="22"/>
                <w:szCs w:val="22"/>
                <w:u w:val="none"/>
              </w:rPr>
            </w:pPr>
          </w:p>
        </w:tc>
        <w:tc>
          <w:tcPr>
            <w:tcW w:w="105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866"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人员经费合计</w:t>
            </w:r>
          </w:p>
        </w:tc>
        <w:tc>
          <w:tcPr>
            <w:tcW w:w="120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5,269.04</w:t>
            </w:r>
          </w:p>
        </w:tc>
        <w:tc>
          <w:tcPr>
            <w:tcW w:w="8226" w:type="dxa"/>
            <w:gridSpan w:val="5"/>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公用经费合计</w:t>
            </w:r>
          </w:p>
        </w:tc>
        <w:tc>
          <w:tcPr>
            <w:tcW w:w="105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895.62</w:t>
            </w:r>
          </w:p>
        </w:tc>
      </w:tr>
    </w:tbl>
    <w:p>
      <w:pPr>
        <w:ind w:firstLine="566" w:firstLineChars="236"/>
        <w:rPr>
          <w:rFonts w:ascii="仿宋" w:hAnsi="仿宋" w:eastAsia="仿宋"/>
          <w:w w:val="100"/>
          <w:sz w:val="24"/>
          <w:szCs w:val="24"/>
        </w:rPr>
      </w:pPr>
      <w:r>
        <w:rPr>
          <w:rFonts w:hint="eastAsia" w:ascii="仿宋_GB2312" w:hAnsi="仿宋_GB2312" w:eastAsia="仿宋_GB2312" w:cs="仿宋_GB2312"/>
          <w:w w:val="100"/>
          <w:sz w:val="24"/>
          <w:szCs w:val="24"/>
        </w:rPr>
        <w:t>注：本表反映部门本年度一般公共预算财政拨款基本支出明细情况。</w:t>
      </w:r>
    </w:p>
    <w:p>
      <w:pPr>
        <w:widowControl/>
        <w:jc w:val="left"/>
        <w:rPr>
          <w:rFonts w:ascii="仿宋" w:hAnsi="仿宋" w:eastAsia="仿宋"/>
          <w:w w:val="100"/>
          <w:sz w:val="30"/>
          <w:szCs w:val="30"/>
        </w:rPr>
      </w:pPr>
      <w:r>
        <w:rPr>
          <w:rFonts w:ascii="仿宋" w:hAnsi="仿宋" w:eastAsia="仿宋"/>
          <w:w w:val="100"/>
          <w:sz w:val="30"/>
          <w:szCs w:val="30"/>
        </w:rPr>
        <w:br w:type="page"/>
      </w:r>
    </w:p>
    <w:p>
      <w:pPr>
        <w:ind w:firstLine="755" w:firstLineChars="236"/>
        <w:jc w:val="right"/>
        <w:rPr>
          <w:rFonts w:hint="eastAsia" w:ascii="仿宋_GB2312" w:hAnsi="仿宋_GB2312" w:eastAsia="仿宋_GB2312" w:cs="仿宋_GB2312"/>
          <w:w w:val="100"/>
          <w:sz w:val="30"/>
          <w:szCs w:val="30"/>
        </w:rPr>
      </w:pPr>
      <w:r>
        <w:rPr>
          <w:rFonts w:hint="eastAsia" w:ascii="黑体" w:hAnsi="黑体" w:eastAsia="黑体" w:cs="黑体"/>
          <w:w w:val="100"/>
          <w:sz w:val="32"/>
          <w:szCs w:val="32"/>
        </w:rPr>
        <w:t>政府性基金预算财政拨款收入支出决算表</w:t>
      </w:r>
      <w:r>
        <w:rPr>
          <w:rFonts w:hint="eastAsia" w:cs="黑体"/>
          <w:w w:val="100"/>
          <w:sz w:val="36"/>
          <w:szCs w:val="36"/>
          <w:lang w:val="en-US" w:eastAsia="zh-CN"/>
        </w:rPr>
        <w:t xml:space="preserve">         </w:t>
      </w:r>
      <w:r>
        <w:rPr>
          <w:rFonts w:hint="eastAsia" w:ascii="仿宋_GB2312" w:hAnsi="仿宋_GB2312" w:eastAsia="仿宋_GB2312" w:cs="仿宋_GB2312"/>
          <w:w w:val="100"/>
          <w:sz w:val="30"/>
          <w:szCs w:val="30"/>
        </w:rPr>
        <w:t>（公开07表）</w:t>
      </w:r>
    </w:p>
    <w:p>
      <w:pPr>
        <w:rPr>
          <w:rFonts w:ascii="仿宋" w:hAnsi="仿宋" w:eastAsia="仿宋"/>
          <w:w w:val="100"/>
          <w:sz w:val="30"/>
          <w:szCs w:val="30"/>
        </w:rPr>
      </w:pPr>
      <w:r>
        <w:rPr>
          <w:rFonts w:hint="eastAsia" w:ascii="仿宋_GB2312" w:hAnsi="仿宋_GB2312" w:eastAsia="仿宋_GB2312" w:cs="仿宋_GB2312"/>
          <w:w w:val="100"/>
          <w:sz w:val="30"/>
          <w:szCs w:val="30"/>
        </w:rPr>
        <w:t>部门：怀化市市场监督管理局（本级）</w:t>
      </w:r>
      <w:r>
        <w:rPr>
          <w:rFonts w:hint="eastAsia" w:ascii="仿宋_GB2312" w:hAnsi="仿宋_GB2312" w:eastAsia="仿宋_GB2312" w:cs="仿宋_GB2312"/>
          <w:w w:val="100"/>
          <w:sz w:val="30"/>
          <w:szCs w:val="30"/>
          <w:lang w:val="en-US" w:eastAsia="zh-CN"/>
        </w:rPr>
        <w:t xml:space="preserve">                                                </w:t>
      </w:r>
      <w:r>
        <w:rPr>
          <w:rFonts w:hint="eastAsia" w:ascii="仿宋_GB2312" w:hAnsi="仿宋_GB2312" w:eastAsia="仿宋_GB2312" w:cs="仿宋_GB2312"/>
          <w:w w:val="100"/>
          <w:sz w:val="30"/>
          <w:szCs w:val="30"/>
        </w:rPr>
        <w:t>单位：万元</w:t>
      </w:r>
    </w:p>
    <w:tbl>
      <w:tblPr>
        <w:tblStyle w:val="7"/>
        <w:tblW w:w="14100" w:type="dxa"/>
        <w:tblInd w:w="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56" w:type="dxa"/>
          <w:left w:w="96" w:type="dxa"/>
          <w:bottom w:w="56" w:type="dxa"/>
          <w:right w:w="96" w:type="dxa"/>
        </w:tblCellMar>
      </w:tblPr>
      <w:tblGrid>
        <w:gridCol w:w="1602"/>
        <w:gridCol w:w="1598"/>
        <w:gridCol w:w="2577"/>
        <w:gridCol w:w="1595"/>
        <w:gridCol w:w="1136"/>
        <w:gridCol w:w="1609"/>
        <w:gridCol w:w="1405"/>
        <w:gridCol w:w="257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6" w:type="dxa"/>
            <w:left w:w="96" w:type="dxa"/>
            <w:bottom w:w="56" w:type="dxa"/>
            <w:right w:w="96" w:type="dxa"/>
          </w:tblCellMar>
        </w:tblPrEx>
        <w:trPr>
          <w:trHeight w:val="567" w:hRule="atLeast"/>
          <w:tblHeader/>
        </w:trPr>
        <w:tc>
          <w:tcPr>
            <w:tcW w:w="3200"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w:t>
            </w:r>
          </w:p>
        </w:tc>
        <w:tc>
          <w:tcPr>
            <w:tcW w:w="2577"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年初结转和结余</w:t>
            </w:r>
          </w:p>
        </w:tc>
        <w:tc>
          <w:tcPr>
            <w:tcW w:w="1595"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本年收入</w:t>
            </w:r>
          </w:p>
        </w:tc>
        <w:tc>
          <w:tcPr>
            <w:tcW w:w="4150" w:type="dxa"/>
            <w:gridSpan w:val="3"/>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本年支出</w:t>
            </w:r>
          </w:p>
        </w:tc>
        <w:tc>
          <w:tcPr>
            <w:tcW w:w="2578"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6" w:type="dxa"/>
            <w:left w:w="96" w:type="dxa"/>
            <w:bottom w:w="56" w:type="dxa"/>
            <w:right w:w="96" w:type="dxa"/>
          </w:tblCellMar>
        </w:tblPrEx>
        <w:trPr>
          <w:trHeight w:val="567" w:hRule="atLeast"/>
          <w:tblHeader/>
        </w:trPr>
        <w:tc>
          <w:tcPr>
            <w:tcW w:w="1602" w:type="dxa"/>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科目代码</w:t>
            </w:r>
          </w:p>
        </w:tc>
        <w:tc>
          <w:tcPr>
            <w:tcW w:w="159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科目名称</w:t>
            </w:r>
          </w:p>
        </w:tc>
        <w:tc>
          <w:tcPr>
            <w:tcW w:w="2577"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59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136" w:type="dxa"/>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小计</w:t>
            </w:r>
          </w:p>
        </w:tc>
        <w:tc>
          <w:tcPr>
            <w:tcW w:w="1609" w:type="dxa"/>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基本支出</w:t>
            </w:r>
          </w:p>
        </w:tc>
        <w:tc>
          <w:tcPr>
            <w:tcW w:w="1405" w:type="dxa"/>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项目支出</w:t>
            </w:r>
          </w:p>
        </w:tc>
        <w:tc>
          <w:tcPr>
            <w:tcW w:w="2578"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6" w:type="dxa"/>
            <w:left w:w="96" w:type="dxa"/>
            <w:bottom w:w="56" w:type="dxa"/>
            <w:right w:w="96" w:type="dxa"/>
          </w:tblCellMar>
        </w:tblPrEx>
        <w:trPr>
          <w:trHeight w:val="567" w:hRule="atLeast"/>
        </w:trPr>
        <w:tc>
          <w:tcPr>
            <w:tcW w:w="3200"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栏次</w:t>
            </w:r>
          </w:p>
        </w:tc>
        <w:tc>
          <w:tcPr>
            <w:tcW w:w="257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159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c>
          <w:tcPr>
            <w:tcW w:w="113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w:t>
            </w:r>
          </w:p>
        </w:tc>
        <w:tc>
          <w:tcPr>
            <w:tcW w:w="160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w:t>
            </w:r>
          </w:p>
        </w:tc>
        <w:tc>
          <w:tcPr>
            <w:tcW w:w="140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w:t>
            </w:r>
          </w:p>
        </w:tc>
        <w:tc>
          <w:tcPr>
            <w:tcW w:w="257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6" w:type="dxa"/>
            <w:left w:w="96" w:type="dxa"/>
            <w:bottom w:w="56" w:type="dxa"/>
            <w:right w:w="96" w:type="dxa"/>
          </w:tblCellMar>
        </w:tblPrEx>
        <w:trPr>
          <w:trHeight w:val="567" w:hRule="atLeast"/>
        </w:trPr>
        <w:tc>
          <w:tcPr>
            <w:tcW w:w="3200"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合计</w:t>
            </w:r>
          </w:p>
        </w:tc>
        <w:tc>
          <w:tcPr>
            <w:tcW w:w="257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b/>
                <w:bCs/>
                <w:i w:val="0"/>
                <w:iCs w:val="0"/>
                <w:color w:val="000000"/>
                <w:w w:val="100"/>
                <w:sz w:val="22"/>
                <w:szCs w:val="22"/>
                <w:u w:val="none"/>
              </w:rPr>
            </w:pPr>
          </w:p>
        </w:tc>
        <w:tc>
          <w:tcPr>
            <w:tcW w:w="15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b/>
                <w:bCs/>
                <w:i w:val="0"/>
                <w:iCs w:val="0"/>
                <w:color w:val="000000"/>
                <w:w w:val="100"/>
                <w:sz w:val="22"/>
                <w:szCs w:val="22"/>
                <w:u w:val="none"/>
              </w:rPr>
            </w:pPr>
          </w:p>
        </w:tc>
        <w:tc>
          <w:tcPr>
            <w:tcW w:w="113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b/>
                <w:bCs/>
                <w:i w:val="0"/>
                <w:iCs w:val="0"/>
                <w:color w:val="000000"/>
                <w:w w:val="100"/>
                <w:sz w:val="22"/>
                <w:szCs w:val="22"/>
                <w:u w:val="none"/>
              </w:rPr>
            </w:pPr>
          </w:p>
        </w:tc>
        <w:tc>
          <w:tcPr>
            <w:tcW w:w="160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b/>
                <w:bCs/>
                <w:i w:val="0"/>
                <w:iCs w:val="0"/>
                <w:color w:val="000000"/>
                <w:w w:val="100"/>
                <w:sz w:val="22"/>
                <w:szCs w:val="22"/>
                <w:u w:val="none"/>
              </w:rPr>
            </w:pPr>
          </w:p>
        </w:tc>
        <w:tc>
          <w:tcPr>
            <w:tcW w:w="140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b/>
                <w:bCs/>
                <w:i w:val="0"/>
                <w:iCs w:val="0"/>
                <w:color w:val="000000"/>
                <w:w w:val="100"/>
                <w:sz w:val="22"/>
                <w:szCs w:val="22"/>
                <w:u w:val="none"/>
              </w:rPr>
            </w:pPr>
          </w:p>
        </w:tc>
        <w:tc>
          <w:tcPr>
            <w:tcW w:w="257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b/>
                <w:bCs/>
                <w:i w:val="0"/>
                <w:iCs w:val="0"/>
                <w:color w:val="000000"/>
                <w:w w:val="100"/>
                <w:sz w:val="22"/>
                <w:szCs w:val="22"/>
                <w:u w:val="none"/>
              </w:rPr>
            </w:pPr>
          </w:p>
        </w:tc>
      </w:tr>
    </w:tbl>
    <w:p>
      <w:pPr>
        <w:ind w:firstLine="708" w:firstLineChars="236"/>
        <w:rPr>
          <w:rFonts w:hint="eastAsia" w:ascii="仿宋_GB2312" w:hAnsi="仿宋_GB2312" w:eastAsia="仿宋_GB2312" w:cs="仿宋_GB2312"/>
          <w:w w:val="100"/>
          <w:sz w:val="30"/>
          <w:szCs w:val="30"/>
        </w:rPr>
      </w:pPr>
      <w:r>
        <w:rPr>
          <w:rFonts w:hint="eastAsia" w:ascii="仿宋_GB2312" w:hAnsi="仿宋_GB2312" w:eastAsia="仿宋_GB2312" w:cs="仿宋_GB2312"/>
          <w:w w:val="100"/>
          <w:sz w:val="30"/>
          <w:szCs w:val="30"/>
        </w:rPr>
        <w:t>说明：我单位没有政府性基金收入，也没有使用政府性基金安排的支出，故本表无数据。</w:t>
      </w:r>
    </w:p>
    <w:p>
      <w:pPr>
        <w:ind w:firstLine="804" w:firstLineChars="335"/>
        <w:rPr>
          <w:rFonts w:ascii="仿宋" w:hAnsi="仿宋" w:eastAsia="仿宋"/>
          <w:w w:val="100"/>
          <w:sz w:val="24"/>
          <w:szCs w:val="24"/>
        </w:rPr>
      </w:pPr>
      <w:r>
        <w:rPr>
          <w:rFonts w:hint="eastAsia" w:ascii="仿宋_GB2312" w:hAnsi="仿宋_GB2312" w:eastAsia="仿宋_GB2312" w:cs="仿宋_GB2312"/>
          <w:w w:val="100"/>
          <w:sz w:val="24"/>
          <w:szCs w:val="24"/>
        </w:rPr>
        <w:t>注：本表反映部门本年度政府性基金预算财政拨款收入、支出及结转和结余情况。</w:t>
      </w:r>
    </w:p>
    <w:p>
      <w:pPr>
        <w:widowControl/>
        <w:jc w:val="left"/>
        <w:rPr>
          <w:rFonts w:ascii="仿宋" w:hAnsi="仿宋" w:eastAsia="仿宋"/>
          <w:w w:val="100"/>
          <w:sz w:val="30"/>
          <w:szCs w:val="30"/>
        </w:rPr>
      </w:pPr>
      <w:r>
        <w:rPr>
          <w:rFonts w:ascii="仿宋" w:hAnsi="仿宋" w:eastAsia="仿宋"/>
          <w:w w:val="100"/>
          <w:sz w:val="30"/>
          <w:szCs w:val="30"/>
        </w:rPr>
        <w:br w:type="page"/>
      </w:r>
    </w:p>
    <w:p>
      <w:pPr>
        <w:ind w:firstLine="755" w:firstLineChars="236"/>
        <w:jc w:val="right"/>
        <w:rPr>
          <w:rFonts w:hint="eastAsia" w:ascii="仿宋_GB2312" w:hAnsi="仿宋_GB2312" w:eastAsia="仿宋_GB2312" w:cs="仿宋_GB2312"/>
          <w:w w:val="100"/>
          <w:sz w:val="30"/>
          <w:szCs w:val="30"/>
        </w:rPr>
      </w:pPr>
      <w:r>
        <w:rPr>
          <w:rFonts w:hint="eastAsia" w:ascii="黑体" w:hAnsi="黑体" w:eastAsia="黑体" w:cs="黑体"/>
          <w:w w:val="100"/>
          <w:sz w:val="32"/>
          <w:szCs w:val="32"/>
        </w:rPr>
        <w:t>国有资本经营预算财政拨款支出决算表</w:t>
      </w:r>
      <w:r>
        <w:rPr>
          <w:rFonts w:hint="eastAsia" w:cs="黑体"/>
          <w:w w:val="100"/>
          <w:sz w:val="36"/>
          <w:szCs w:val="36"/>
          <w:lang w:val="en-US" w:eastAsia="zh-CN"/>
        </w:rPr>
        <w:t xml:space="preserve">            </w:t>
      </w:r>
      <w:r>
        <w:rPr>
          <w:rFonts w:hint="eastAsia" w:ascii="仿宋_GB2312" w:hAnsi="仿宋_GB2312" w:eastAsia="仿宋_GB2312" w:cs="仿宋_GB2312"/>
          <w:w w:val="100"/>
          <w:sz w:val="30"/>
          <w:szCs w:val="30"/>
        </w:rPr>
        <w:t>（公开08表）</w:t>
      </w:r>
    </w:p>
    <w:p>
      <w:pPr>
        <w:rPr>
          <w:rFonts w:ascii="仿宋" w:hAnsi="仿宋" w:eastAsia="仿宋"/>
          <w:w w:val="100"/>
          <w:sz w:val="30"/>
          <w:szCs w:val="30"/>
        </w:rPr>
      </w:pPr>
      <w:r>
        <w:rPr>
          <w:rFonts w:hint="eastAsia" w:ascii="仿宋_GB2312" w:hAnsi="仿宋_GB2312" w:eastAsia="仿宋_GB2312" w:cs="仿宋_GB2312"/>
          <w:w w:val="100"/>
          <w:sz w:val="30"/>
          <w:szCs w:val="30"/>
        </w:rPr>
        <w:t>部门：怀化市市场监督管理局（本级）</w:t>
      </w:r>
      <w:r>
        <w:rPr>
          <w:rFonts w:hint="eastAsia" w:ascii="仿宋_GB2312" w:hAnsi="仿宋_GB2312" w:eastAsia="仿宋_GB2312" w:cs="仿宋_GB2312"/>
          <w:w w:val="100"/>
          <w:sz w:val="30"/>
          <w:szCs w:val="30"/>
          <w:lang w:val="en-US" w:eastAsia="zh-CN"/>
        </w:rPr>
        <w:t xml:space="preserve">                                                </w:t>
      </w:r>
      <w:r>
        <w:rPr>
          <w:rFonts w:hint="eastAsia" w:ascii="仿宋_GB2312" w:hAnsi="仿宋_GB2312" w:eastAsia="仿宋_GB2312" w:cs="仿宋_GB2312"/>
          <w:w w:val="100"/>
          <w:sz w:val="30"/>
          <w:szCs w:val="30"/>
        </w:rPr>
        <w:t>单位：万元</w:t>
      </w:r>
    </w:p>
    <w:tbl>
      <w:tblPr>
        <w:tblStyle w:val="7"/>
        <w:tblW w:w="14119" w:type="dxa"/>
        <w:tblInd w:w="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56" w:type="dxa"/>
          <w:left w:w="96" w:type="dxa"/>
          <w:bottom w:w="56" w:type="dxa"/>
          <w:right w:w="96" w:type="dxa"/>
        </w:tblCellMar>
      </w:tblPr>
      <w:tblGrid>
        <w:gridCol w:w="3081"/>
        <w:gridCol w:w="3068"/>
        <w:gridCol w:w="1817"/>
        <w:gridCol w:w="3082"/>
        <w:gridCol w:w="30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6" w:type="dxa"/>
            <w:left w:w="96" w:type="dxa"/>
            <w:bottom w:w="56" w:type="dxa"/>
            <w:right w:w="96" w:type="dxa"/>
          </w:tblCellMar>
        </w:tblPrEx>
        <w:trPr>
          <w:trHeight w:val="567" w:hRule="atLeast"/>
          <w:tblHeader/>
        </w:trPr>
        <w:tc>
          <w:tcPr>
            <w:tcW w:w="6149"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w:t>
            </w:r>
          </w:p>
        </w:tc>
        <w:tc>
          <w:tcPr>
            <w:tcW w:w="7970" w:type="dxa"/>
            <w:gridSpan w:val="3"/>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6" w:type="dxa"/>
            <w:left w:w="96" w:type="dxa"/>
            <w:bottom w:w="56" w:type="dxa"/>
            <w:right w:w="96" w:type="dxa"/>
          </w:tblCellMar>
        </w:tblPrEx>
        <w:trPr>
          <w:trHeight w:val="567" w:hRule="atLeast"/>
          <w:tblHeader/>
        </w:trPr>
        <w:tc>
          <w:tcPr>
            <w:tcW w:w="3081" w:type="dxa"/>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科目代码</w:t>
            </w:r>
          </w:p>
        </w:tc>
        <w:tc>
          <w:tcPr>
            <w:tcW w:w="306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科目名称</w:t>
            </w:r>
          </w:p>
        </w:tc>
        <w:tc>
          <w:tcPr>
            <w:tcW w:w="1817" w:type="dxa"/>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合计</w:t>
            </w:r>
          </w:p>
        </w:tc>
        <w:tc>
          <w:tcPr>
            <w:tcW w:w="3082" w:type="dxa"/>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基本支出</w:t>
            </w:r>
          </w:p>
        </w:tc>
        <w:tc>
          <w:tcPr>
            <w:tcW w:w="3071" w:type="dxa"/>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67" w:hRule="atLeast"/>
        </w:trPr>
        <w:tc>
          <w:tcPr>
            <w:tcW w:w="6149"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栏次</w:t>
            </w:r>
          </w:p>
        </w:tc>
        <w:tc>
          <w:tcPr>
            <w:tcW w:w="181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3082"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c>
          <w:tcPr>
            <w:tcW w:w="307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6" w:type="dxa"/>
            <w:left w:w="96" w:type="dxa"/>
            <w:bottom w:w="56" w:type="dxa"/>
            <w:right w:w="96" w:type="dxa"/>
          </w:tblCellMar>
        </w:tblPrEx>
        <w:trPr>
          <w:trHeight w:val="567" w:hRule="atLeast"/>
        </w:trPr>
        <w:tc>
          <w:tcPr>
            <w:tcW w:w="6149"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合计</w:t>
            </w:r>
          </w:p>
        </w:tc>
        <w:tc>
          <w:tcPr>
            <w:tcW w:w="18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b/>
                <w:bCs/>
                <w:i w:val="0"/>
                <w:iCs w:val="0"/>
                <w:color w:val="000000"/>
                <w:w w:val="100"/>
                <w:sz w:val="22"/>
                <w:szCs w:val="22"/>
                <w:u w:val="none"/>
              </w:rPr>
            </w:pPr>
          </w:p>
        </w:tc>
        <w:tc>
          <w:tcPr>
            <w:tcW w:w="308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0.00</w:t>
            </w:r>
          </w:p>
        </w:tc>
        <w:tc>
          <w:tcPr>
            <w:tcW w:w="307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b/>
                <w:bCs/>
                <w:i w:val="0"/>
                <w:iCs w:val="0"/>
                <w:color w:val="000000"/>
                <w:w w:val="100"/>
                <w:sz w:val="22"/>
                <w:szCs w:val="22"/>
                <w:u w:val="none"/>
              </w:rPr>
            </w:pPr>
          </w:p>
        </w:tc>
      </w:tr>
    </w:tbl>
    <w:p>
      <w:pPr>
        <w:ind w:firstLine="708" w:firstLineChars="236"/>
        <w:rPr>
          <w:rFonts w:hint="eastAsia" w:ascii="仿宋_GB2312" w:hAnsi="仿宋_GB2312" w:eastAsia="仿宋_GB2312" w:cs="仿宋_GB2312"/>
          <w:w w:val="100"/>
          <w:sz w:val="30"/>
          <w:szCs w:val="30"/>
        </w:rPr>
      </w:pPr>
      <w:r>
        <w:rPr>
          <w:rFonts w:hint="eastAsia" w:ascii="仿宋_GB2312" w:hAnsi="仿宋_GB2312" w:eastAsia="仿宋_GB2312" w:cs="仿宋_GB2312"/>
          <w:w w:val="100"/>
          <w:sz w:val="30"/>
          <w:szCs w:val="30"/>
        </w:rPr>
        <w:t>说明：我单位没有使用国有资本经营预算安排的支出，故本表无数据。</w:t>
      </w:r>
    </w:p>
    <w:p>
      <w:pPr>
        <w:ind w:firstLine="804" w:firstLineChars="335"/>
        <w:rPr>
          <w:rFonts w:hint="eastAsia" w:ascii="仿宋_GB2312" w:hAnsi="仿宋_GB2312" w:eastAsia="仿宋_GB2312" w:cs="仿宋_GB2312"/>
          <w:w w:val="100"/>
          <w:sz w:val="24"/>
          <w:szCs w:val="24"/>
        </w:rPr>
      </w:pPr>
      <w:r>
        <w:rPr>
          <w:rFonts w:hint="eastAsia" w:ascii="仿宋_GB2312" w:hAnsi="仿宋_GB2312" w:eastAsia="仿宋_GB2312" w:cs="仿宋_GB2312"/>
          <w:w w:val="100"/>
          <w:sz w:val="24"/>
          <w:szCs w:val="24"/>
        </w:rPr>
        <w:t>注：本表反映部门本年度国有资本经营预算财政拨款支出情况。</w:t>
      </w:r>
    </w:p>
    <w:p>
      <w:pPr>
        <w:widowControl/>
        <w:jc w:val="left"/>
        <w:rPr>
          <w:rFonts w:ascii="仿宋" w:hAnsi="仿宋" w:eastAsia="仿宋"/>
          <w:w w:val="100"/>
          <w:sz w:val="30"/>
          <w:szCs w:val="30"/>
        </w:rPr>
      </w:pPr>
      <w:r>
        <w:rPr>
          <w:rFonts w:ascii="仿宋" w:hAnsi="仿宋" w:eastAsia="仿宋"/>
          <w:w w:val="100"/>
          <w:sz w:val="30"/>
          <w:szCs w:val="30"/>
        </w:rPr>
        <w:br w:type="page"/>
      </w:r>
    </w:p>
    <w:p>
      <w:pPr>
        <w:ind w:firstLine="755" w:firstLineChars="236"/>
        <w:jc w:val="right"/>
        <w:rPr>
          <w:rFonts w:hint="eastAsia" w:ascii="仿宋_GB2312" w:hAnsi="仿宋_GB2312" w:eastAsia="仿宋_GB2312" w:cs="仿宋_GB2312"/>
          <w:w w:val="100"/>
          <w:sz w:val="30"/>
          <w:szCs w:val="30"/>
        </w:rPr>
      </w:pPr>
      <w:r>
        <w:rPr>
          <w:rFonts w:hint="eastAsia" w:ascii="黑体" w:hAnsi="黑体" w:eastAsia="黑体" w:cs="黑体"/>
          <w:w w:val="100"/>
          <w:sz w:val="32"/>
          <w:szCs w:val="32"/>
        </w:rPr>
        <w:t>财政拨款“三公”经费支出决算表</w:t>
      </w:r>
      <w:r>
        <w:rPr>
          <w:rFonts w:hint="eastAsia" w:cs="黑体"/>
          <w:w w:val="100"/>
          <w:sz w:val="36"/>
          <w:szCs w:val="36"/>
          <w:lang w:val="en-US" w:eastAsia="zh-CN"/>
        </w:rPr>
        <w:t xml:space="preserve">               </w:t>
      </w:r>
      <w:r>
        <w:rPr>
          <w:rFonts w:hint="eastAsia" w:ascii="仿宋_GB2312" w:hAnsi="仿宋_GB2312" w:eastAsia="仿宋_GB2312" w:cs="仿宋_GB2312"/>
          <w:w w:val="100"/>
          <w:sz w:val="30"/>
          <w:szCs w:val="30"/>
        </w:rPr>
        <w:t>（公开09表）</w:t>
      </w:r>
    </w:p>
    <w:p>
      <w:pPr>
        <w:rPr>
          <w:rFonts w:ascii="仿宋" w:hAnsi="仿宋" w:eastAsia="仿宋"/>
          <w:w w:val="100"/>
          <w:sz w:val="30"/>
          <w:szCs w:val="30"/>
        </w:rPr>
      </w:pPr>
      <w:r>
        <w:rPr>
          <w:rFonts w:hint="eastAsia" w:ascii="仿宋_GB2312" w:hAnsi="仿宋_GB2312" w:eastAsia="仿宋_GB2312" w:cs="仿宋_GB2312"/>
          <w:w w:val="100"/>
          <w:sz w:val="30"/>
          <w:szCs w:val="30"/>
        </w:rPr>
        <w:t>部门：怀化市市场监督管理局（本级）</w:t>
      </w:r>
      <w:r>
        <w:rPr>
          <w:rFonts w:hint="eastAsia" w:ascii="仿宋_GB2312" w:hAnsi="仿宋_GB2312" w:eastAsia="仿宋_GB2312" w:cs="仿宋_GB2312"/>
          <w:w w:val="100"/>
          <w:sz w:val="30"/>
          <w:szCs w:val="30"/>
          <w:lang w:val="en-US" w:eastAsia="zh-CN"/>
        </w:rPr>
        <w:t xml:space="preserve">                                                </w:t>
      </w:r>
      <w:r>
        <w:rPr>
          <w:rFonts w:hint="eastAsia" w:ascii="仿宋_GB2312" w:hAnsi="仿宋_GB2312" w:eastAsia="仿宋_GB2312" w:cs="仿宋_GB2312"/>
          <w:w w:val="100"/>
          <w:sz w:val="30"/>
          <w:szCs w:val="30"/>
        </w:rPr>
        <w:t>单位：万元</w:t>
      </w:r>
    </w:p>
    <w:tbl>
      <w:tblPr>
        <w:tblStyle w:val="7"/>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56" w:type="dxa"/>
          <w:left w:w="77" w:type="dxa"/>
          <w:bottom w:w="56" w:type="dxa"/>
          <w:right w:w="77" w:type="dxa"/>
        </w:tblCellMar>
      </w:tblPr>
      <w:tblGrid>
        <w:gridCol w:w="704"/>
        <w:gridCol w:w="1573"/>
        <w:gridCol w:w="704"/>
        <w:gridCol w:w="1285"/>
        <w:gridCol w:w="1703"/>
        <w:gridCol w:w="1105"/>
        <w:gridCol w:w="704"/>
        <w:gridCol w:w="1573"/>
        <w:gridCol w:w="704"/>
        <w:gridCol w:w="1286"/>
        <w:gridCol w:w="1704"/>
        <w:gridCol w:w="10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6" w:type="dxa"/>
            <w:left w:w="77" w:type="dxa"/>
            <w:bottom w:w="56" w:type="dxa"/>
            <w:right w:w="77" w:type="dxa"/>
          </w:tblCellMar>
        </w:tblPrEx>
        <w:trPr>
          <w:trHeight w:val="0" w:hRule="atLeast"/>
          <w:jc w:val="center"/>
        </w:trPr>
        <w:tc>
          <w:tcPr>
            <w:tcW w:w="2507" w:type="pct"/>
            <w:gridSpan w:val="6"/>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预算数</w:t>
            </w:r>
          </w:p>
        </w:tc>
        <w:tc>
          <w:tcPr>
            <w:tcW w:w="2492" w:type="pct"/>
            <w:gridSpan w:val="6"/>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6" w:type="dxa"/>
            <w:left w:w="77" w:type="dxa"/>
            <w:bottom w:w="56" w:type="dxa"/>
            <w:right w:w="77" w:type="dxa"/>
          </w:tblCellMar>
        </w:tblPrEx>
        <w:trPr>
          <w:trHeight w:val="0" w:hRule="atLeast"/>
          <w:jc w:val="center"/>
        </w:trPr>
        <w:tc>
          <w:tcPr>
            <w:tcW w:w="249"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合计</w:t>
            </w:r>
          </w:p>
        </w:tc>
        <w:tc>
          <w:tcPr>
            <w:tcW w:w="558"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因公出国（境）费</w:t>
            </w:r>
          </w:p>
        </w:tc>
        <w:tc>
          <w:tcPr>
            <w:tcW w:w="1309" w:type="pct"/>
            <w:gridSpan w:val="3"/>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公务用车购置及运行维护费</w:t>
            </w:r>
          </w:p>
        </w:tc>
        <w:tc>
          <w:tcPr>
            <w:tcW w:w="390"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公务接待费</w:t>
            </w:r>
          </w:p>
        </w:tc>
        <w:tc>
          <w:tcPr>
            <w:tcW w:w="249"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合计</w:t>
            </w:r>
          </w:p>
        </w:tc>
        <w:tc>
          <w:tcPr>
            <w:tcW w:w="558"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因公出国（境）费</w:t>
            </w:r>
          </w:p>
        </w:tc>
        <w:tc>
          <w:tcPr>
            <w:tcW w:w="1309" w:type="pct"/>
            <w:gridSpan w:val="3"/>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公务用车购置及运行维护费</w:t>
            </w:r>
          </w:p>
        </w:tc>
        <w:tc>
          <w:tcPr>
            <w:tcW w:w="374"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6" w:type="dxa"/>
            <w:left w:w="77" w:type="dxa"/>
            <w:bottom w:w="56" w:type="dxa"/>
            <w:right w:w="77" w:type="dxa"/>
          </w:tblCellMar>
        </w:tblPrEx>
        <w:trPr>
          <w:trHeight w:val="0" w:hRule="atLeast"/>
          <w:jc w:val="center"/>
        </w:trPr>
        <w:tc>
          <w:tcPr>
            <w:tcW w:w="249"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i w:val="0"/>
                <w:iCs w:val="0"/>
                <w:color w:val="000000"/>
                <w:w w:val="100"/>
                <w:sz w:val="22"/>
                <w:szCs w:val="22"/>
                <w:u w:val="none"/>
              </w:rPr>
            </w:pPr>
          </w:p>
        </w:tc>
        <w:tc>
          <w:tcPr>
            <w:tcW w:w="558"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i w:val="0"/>
                <w:iCs w:val="0"/>
                <w:color w:val="000000"/>
                <w:w w:val="100"/>
                <w:sz w:val="22"/>
                <w:szCs w:val="22"/>
                <w:u w:val="none"/>
              </w:rPr>
            </w:pPr>
          </w:p>
        </w:tc>
        <w:tc>
          <w:tcPr>
            <w:tcW w:w="249" w:type="pc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小计</w:t>
            </w:r>
          </w:p>
        </w:tc>
        <w:tc>
          <w:tcPr>
            <w:tcW w:w="456" w:type="pc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公务用车购置费</w:t>
            </w:r>
          </w:p>
        </w:tc>
        <w:tc>
          <w:tcPr>
            <w:tcW w:w="603" w:type="pc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公务用车运行维护费</w:t>
            </w:r>
          </w:p>
        </w:tc>
        <w:tc>
          <w:tcPr>
            <w:tcW w:w="390"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i w:val="0"/>
                <w:iCs w:val="0"/>
                <w:color w:val="000000"/>
                <w:w w:val="100"/>
                <w:sz w:val="22"/>
                <w:szCs w:val="22"/>
                <w:u w:val="none"/>
              </w:rPr>
            </w:pPr>
          </w:p>
        </w:tc>
        <w:tc>
          <w:tcPr>
            <w:tcW w:w="249"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i w:val="0"/>
                <w:iCs w:val="0"/>
                <w:color w:val="000000"/>
                <w:w w:val="100"/>
                <w:sz w:val="22"/>
                <w:szCs w:val="22"/>
                <w:u w:val="none"/>
              </w:rPr>
            </w:pPr>
          </w:p>
        </w:tc>
        <w:tc>
          <w:tcPr>
            <w:tcW w:w="558"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i w:val="0"/>
                <w:iCs w:val="0"/>
                <w:color w:val="000000"/>
                <w:w w:val="100"/>
                <w:sz w:val="22"/>
                <w:szCs w:val="22"/>
                <w:u w:val="none"/>
              </w:rPr>
            </w:pPr>
          </w:p>
        </w:tc>
        <w:tc>
          <w:tcPr>
            <w:tcW w:w="249" w:type="pc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小计</w:t>
            </w:r>
          </w:p>
        </w:tc>
        <w:tc>
          <w:tcPr>
            <w:tcW w:w="456" w:type="pc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公务用车购置费</w:t>
            </w:r>
          </w:p>
        </w:tc>
        <w:tc>
          <w:tcPr>
            <w:tcW w:w="603" w:type="pc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公务用车运行维护费</w:t>
            </w:r>
          </w:p>
        </w:tc>
        <w:tc>
          <w:tcPr>
            <w:tcW w:w="374"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6" w:type="dxa"/>
            <w:left w:w="77" w:type="dxa"/>
            <w:bottom w:w="56" w:type="dxa"/>
            <w:right w:w="77" w:type="dxa"/>
          </w:tblCellMar>
        </w:tblPrEx>
        <w:trPr>
          <w:trHeight w:val="0" w:hRule="atLeast"/>
          <w:jc w:val="center"/>
        </w:trPr>
        <w:tc>
          <w:tcPr>
            <w:tcW w:w="249" w:type="pc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558" w:type="pc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c>
          <w:tcPr>
            <w:tcW w:w="249" w:type="pc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w:t>
            </w:r>
          </w:p>
        </w:tc>
        <w:tc>
          <w:tcPr>
            <w:tcW w:w="456" w:type="pc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w:t>
            </w:r>
          </w:p>
        </w:tc>
        <w:tc>
          <w:tcPr>
            <w:tcW w:w="603" w:type="pc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w:t>
            </w:r>
          </w:p>
        </w:tc>
        <w:tc>
          <w:tcPr>
            <w:tcW w:w="390" w:type="pc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w:t>
            </w:r>
          </w:p>
        </w:tc>
        <w:tc>
          <w:tcPr>
            <w:tcW w:w="249" w:type="pc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7</w:t>
            </w:r>
          </w:p>
        </w:tc>
        <w:tc>
          <w:tcPr>
            <w:tcW w:w="558" w:type="pc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8</w:t>
            </w:r>
          </w:p>
        </w:tc>
        <w:tc>
          <w:tcPr>
            <w:tcW w:w="249" w:type="pc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w:t>
            </w:r>
          </w:p>
        </w:tc>
        <w:tc>
          <w:tcPr>
            <w:tcW w:w="456" w:type="pc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10</w:t>
            </w:r>
          </w:p>
        </w:tc>
        <w:tc>
          <w:tcPr>
            <w:tcW w:w="603" w:type="pc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11</w:t>
            </w:r>
          </w:p>
        </w:tc>
        <w:tc>
          <w:tcPr>
            <w:tcW w:w="374" w:type="pc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6" w:type="dxa"/>
            <w:left w:w="77" w:type="dxa"/>
            <w:bottom w:w="56" w:type="dxa"/>
            <w:right w:w="77" w:type="dxa"/>
          </w:tblCellMar>
        </w:tblPrEx>
        <w:trPr>
          <w:trHeight w:val="0" w:hRule="atLeast"/>
          <w:jc w:val="center"/>
        </w:trPr>
        <w:tc>
          <w:tcPr>
            <w:tcW w:w="24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53.00</w:t>
            </w:r>
          </w:p>
        </w:tc>
        <w:tc>
          <w:tcPr>
            <w:tcW w:w="55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24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41.50</w:t>
            </w:r>
          </w:p>
        </w:tc>
        <w:tc>
          <w:tcPr>
            <w:tcW w:w="45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60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41.50</w:t>
            </w:r>
          </w:p>
        </w:tc>
        <w:tc>
          <w:tcPr>
            <w:tcW w:w="39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11.50</w:t>
            </w:r>
          </w:p>
        </w:tc>
        <w:tc>
          <w:tcPr>
            <w:tcW w:w="24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49.23</w:t>
            </w:r>
          </w:p>
        </w:tc>
        <w:tc>
          <w:tcPr>
            <w:tcW w:w="55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24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40.99</w:t>
            </w:r>
          </w:p>
        </w:tc>
        <w:tc>
          <w:tcPr>
            <w:tcW w:w="45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60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40.99</w:t>
            </w:r>
          </w:p>
        </w:tc>
        <w:tc>
          <w:tcPr>
            <w:tcW w:w="37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8.25</w:t>
            </w:r>
          </w:p>
        </w:tc>
      </w:tr>
    </w:tbl>
    <w:p>
      <w:pPr>
        <w:ind w:firstLine="566" w:firstLineChars="236"/>
        <w:rPr>
          <w:rFonts w:hint="eastAsia" w:ascii="仿宋_GB2312" w:hAnsi="仿宋_GB2312" w:eastAsia="仿宋_GB2312" w:cs="仿宋_GB2312"/>
          <w:w w:val="100"/>
          <w:sz w:val="24"/>
          <w:szCs w:val="24"/>
        </w:rPr>
        <w:sectPr>
          <w:pgSz w:w="16838" w:h="11906" w:orient="landscape"/>
          <w:pgMar w:top="1689" w:right="1440" w:bottom="1689" w:left="1440" w:header="851" w:footer="992" w:gutter="0"/>
          <w:cols w:space="425" w:num="1"/>
          <w:docGrid w:type="lines" w:linePitch="312" w:charSpace="0"/>
        </w:sectPr>
      </w:pPr>
      <w:r>
        <w:rPr>
          <w:rFonts w:hint="eastAsia" w:ascii="仿宋_GB2312" w:hAnsi="仿宋_GB2312" w:eastAsia="仿宋_GB2312" w:cs="仿宋_GB2312"/>
          <w:w w:val="10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p>
      <w:pPr>
        <w:ind w:firstLine="604" w:firstLineChars="189"/>
        <w:jc w:val="center"/>
        <w:rPr>
          <w:rFonts w:hint="eastAsia" w:ascii="仿宋_GB2312" w:hAnsi="仿宋_GB2312" w:eastAsia="仿宋_GB2312" w:cs="仿宋_GB2312"/>
          <w:w w:val="100"/>
          <w:sz w:val="32"/>
          <w:szCs w:val="32"/>
        </w:rPr>
      </w:pPr>
    </w:p>
    <w:p>
      <w:pPr>
        <w:ind w:firstLine="604" w:firstLineChars="189"/>
        <w:jc w:val="center"/>
        <w:rPr>
          <w:rFonts w:hint="eastAsia" w:ascii="仿宋_GB2312" w:hAnsi="仿宋_GB2312" w:eastAsia="仿宋_GB2312" w:cs="仿宋_GB2312"/>
          <w:w w:val="100"/>
          <w:sz w:val="32"/>
          <w:szCs w:val="32"/>
        </w:rPr>
      </w:pPr>
    </w:p>
    <w:p>
      <w:pPr>
        <w:ind w:firstLine="604" w:firstLineChars="189"/>
        <w:jc w:val="center"/>
        <w:rPr>
          <w:rFonts w:hint="eastAsia" w:ascii="仿宋_GB2312" w:hAnsi="仿宋_GB2312" w:eastAsia="仿宋_GB2312" w:cs="仿宋_GB2312"/>
          <w:w w:val="100"/>
          <w:sz w:val="32"/>
          <w:szCs w:val="32"/>
        </w:rPr>
      </w:pPr>
    </w:p>
    <w:p>
      <w:pPr>
        <w:ind w:firstLine="604" w:firstLineChars="189"/>
        <w:jc w:val="center"/>
        <w:rPr>
          <w:rFonts w:hint="eastAsia" w:ascii="仿宋_GB2312" w:hAnsi="仿宋_GB2312" w:eastAsia="仿宋_GB2312" w:cs="仿宋_GB2312"/>
          <w:w w:val="100"/>
          <w:sz w:val="32"/>
          <w:szCs w:val="32"/>
        </w:rPr>
      </w:pPr>
    </w:p>
    <w:p>
      <w:pPr>
        <w:ind w:firstLine="604" w:firstLineChars="189"/>
        <w:jc w:val="center"/>
        <w:rPr>
          <w:rFonts w:hint="eastAsia" w:ascii="仿宋_GB2312" w:hAnsi="仿宋_GB2312" w:eastAsia="仿宋_GB2312" w:cs="仿宋_GB2312"/>
          <w:w w:val="100"/>
          <w:sz w:val="32"/>
          <w:szCs w:val="32"/>
        </w:rPr>
      </w:pPr>
    </w:p>
    <w:p>
      <w:pPr>
        <w:ind w:firstLine="604" w:firstLineChars="189"/>
        <w:jc w:val="center"/>
        <w:rPr>
          <w:rFonts w:hint="eastAsia" w:ascii="仿宋_GB2312" w:hAnsi="仿宋_GB2312" w:eastAsia="仿宋_GB2312" w:cs="仿宋_GB2312"/>
          <w:w w:val="100"/>
          <w:sz w:val="32"/>
          <w:szCs w:val="32"/>
        </w:rPr>
      </w:pPr>
    </w:p>
    <w:p>
      <w:pPr>
        <w:pStyle w:val="13"/>
        <w:spacing w:line="360" w:lineRule="auto"/>
        <w:jc w:val="center"/>
        <w:rPr>
          <w:rFonts w:hint="eastAsia" w:ascii="仿宋_GB2312" w:hAnsi="仿宋_GB2312" w:eastAsia="仿宋_GB2312" w:cs="仿宋_GB2312"/>
          <w:w w:val="100"/>
          <w:sz w:val="32"/>
          <w:szCs w:val="32"/>
        </w:rPr>
      </w:pPr>
    </w:p>
    <w:p>
      <w:pPr>
        <w:pStyle w:val="13"/>
        <w:spacing w:line="360" w:lineRule="auto"/>
        <w:jc w:val="center"/>
        <w:rPr>
          <w:rFonts w:hint="eastAsia" w:ascii="方正小标宋简体" w:hAnsi="方正小标宋简体" w:eastAsia="方正小标宋简体" w:cs="方正小标宋简体"/>
          <w:w w:val="100"/>
          <w:sz w:val="52"/>
          <w:szCs w:val="52"/>
        </w:rPr>
      </w:pPr>
      <w:r>
        <w:rPr>
          <w:rFonts w:hint="eastAsia" w:ascii="方正小标宋简体" w:hAnsi="方正小标宋简体" w:eastAsia="方正小标宋简体" w:cs="方正小标宋简体"/>
          <w:w w:val="100"/>
          <w:sz w:val="52"/>
          <w:szCs w:val="52"/>
        </w:rPr>
        <w:t>第三部分</w:t>
      </w:r>
    </w:p>
    <w:p>
      <w:pPr>
        <w:jc w:val="center"/>
        <w:rPr>
          <w:rFonts w:hint="eastAsia" w:ascii="黑体" w:hAnsi="黑体" w:eastAsia="黑体" w:cs="黑体"/>
          <w:w w:val="100"/>
          <w:sz w:val="32"/>
          <w:szCs w:val="32"/>
        </w:rPr>
      </w:pPr>
      <w:r>
        <w:rPr>
          <w:rFonts w:hint="eastAsia" w:ascii="方正小标宋简体" w:hAnsi="方正小标宋简体" w:eastAsia="方正小标宋简体" w:cs="方正小标宋简体"/>
          <w:w w:val="100"/>
          <w:sz w:val="52"/>
          <w:szCs w:val="52"/>
        </w:rPr>
        <w:t>2024年度部门决算情况说明</w:t>
      </w:r>
      <w:r>
        <w:rPr>
          <w:rFonts w:hint="eastAsia" w:ascii="黑体" w:hAnsi="黑体" w:eastAsia="黑体" w:cs="黑体"/>
          <w:w w:val="100"/>
          <w:sz w:val="32"/>
          <w:szCs w:val="32"/>
        </w:rPr>
        <w:br w:type="page"/>
      </w:r>
    </w:p>
    <w:p>
      <w:pPr>
        <w:ind w:firstLine="604" w:firstLineChars="189"/>
        <w:jc w:val="center"/>
        <w:rPr>
          <w:rFonts w:hint="eastAsia" w:ascii="黑体" w:hAnsi="黑体" w:eastAsia="黑体" w:cs="黑体"/>
          <w:w w:val="100"/>
          <w:sz w:val="32"/>
          <w:szCs w:val="32"/>
        </w:rPr>
      </w:pPr>
    </w:p>
    <w:p>
      <w:pPr>
        <w:ind w:firstLine="604" w:firstLineChars="189"/>
        <w:rPr>
          <w:rFonts w:hint="eastAsia" w:ascii="黑体" w:hAnsi="黑体" w:eastAsia="黑体" w:cs="黑体"/>
          <w:w w:val="100"/>
          <w:sz w:val="32"/>
          <w:szCs w:val="32"/>
        </w:rPr>
      </w:pPr>
      <w:r>
        <w:rPr>
          <w:rFonts w:hint="eastAsia" w:ascii="黑体" w:hAnsi="黑体" w:eastAsia="黑体" w:cs="黑体"/>
          <w:w w:val="100"/>
          <w:sz w:val="32"/>
          <w:szCs w:val="32"/>
        </w:rPr>
        <w:t>一、收入支出决算总体情况说明</w:t>
      </w:r>
    </w:p>
    <w:p>
      <w:pPr>
        <w:ind w:firstLine="604" w:firstLineChars="189"/>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2024年度收、支总计7105.12万元。与2023年相比，减少349.12万元，降低4.68%，主要是因为2023年有年度追加拨付的2021年发明专利申请代理费、太平桥办公区受灾补助资金等支出，而2024年无此类追加支出，同时严格控制了不必要的开支，优化了支出结构。</w:t>
      </w:r>
    </w:p>
    <w:p>
      <w:pPr>
        <w:ind w:firstLine="604" w:firstLineChars="189"/>
        <w:rPr>
          <w:rFonts w:hint="eastAsia" w:ascii="黑体" w:hAnsi="黑体" w:eastAsia="黑体" w:cs="黑体"/>
          <w:w w:val="100"/>
          <w:sz w:val="32"/>
          <w:szCs w:val="32"/>
        </w:rPr>
      </w:pPr>
      <w:r>
        <w:rPr>
          <w:rFonts w:hint="eastAsia" w:ascii="黑体" w:hAnsi="黑体" w:eastAsia="黑体" w:cs="黑体"/>
          <w:w w:val="100"/>
          <w:sz w:val="32"/>
          <w:szCs w:val="32"/>
        </w:rPr>
        <w:t>二、收入决算情况说明</w:t>
      </w:r>
    </w:p>
    <w:p>
      <w:pPr>
        <w:ind w:firstLine="604" w:firstLineChars="189"/>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2024年度收入合计7105.12万元，其中：财政拨款收入7073.81万元，占99.56%；上级补助收入0万元，占0%；事业收入0万元，占0%；经营收入0万元，占0%；附属单位上缴收入0万元，占0%；其他收入31.30万元，占0.44%。财政拨款收入占比极高，是部门主要收入来源，其他收入主要为零星杂项收入，金额较少。</w:t>
      </w:r>
    </w:p>
    <w:p>
      <w:pPr>
        <w:ind w:firstLine="604" w:firstLineChars="189"/>
        <w:rPr>
          <w:rFonts w:hint="eastAsia" w:ascii="黑体" w:hAnsi="黑体" w:eastAsia="黑体" w:cs="黑体"/>
          <w:w w:val="100"/>
          <w:sz w:val="32"/>
          <w:szCs w:val="32"/>
        </w:rPr>
      </w:pPr>
      <w:r>
        <w:rPr>
          <w:rFonts w:hint="eastAsia" w:ascii="黑体" w:hAnsi="黑体" w:eastAsia="黑体" w:cs="黑体"/>
          <w:w w:val="100"/>
          <w:sz w:val="32"/>
          <w:szCs w:val="32"/>
        </w:rPr>
        <w:t>三、支出决算情况说明</w:t>
      </w:r>
    </w:p>
    <w:p>
      <w:pPr>
        <w:ind w:firstLine="604" w:firstLineChars="189"/>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2024年度支出合计7105.12万元，其中：基本支出6195.97万元，占87.20%；项目支出909.15万元，占12.80%；上缴上级支出0万元，占0%；经营支出0万元，占0%；对附属单位补助支出0万元，占0%。基本支出占比较大，主要用于保障部门日常运转和人员基本需求，项目支出则集中在市场监管相关专项工作，如食品安全监管、药品事务、知识产权事务等，确保各项监管任务顺利开展。</w:t>
      </w:r>
    </w:p>
    <w:p>
      <w:pPr>
        <w:ind w:firstLine="604" w:firstLineChars="189"/>
        <w:rPr>
          <w:rFonts w:hint="eastAsia" w:ascii="黑体" w:hAnsi="黑体" w:eastAsia="黑体" w:cs="黑体"/>
          <w:w w:val="100"/>
          <w:sz w:val="32"/>
          <w:szCs w:val="32"/>
        </w:rPr>
      </w:pPr>
      <w:r>
        <w:rPr>
          <w:rFonts w:hint="eastAsia" w:ascii="黑体" w:hAnsi="黑体" w:eastAsia="黑体" w:cs="黑体"/>
          <w:w w:val="100"/>
          <w:sz w:val="32"/>
          <w:szCs w:val="32"/>
        </w:rPr>
        <w:t>四、财政拨款收入支出决算总体情况说明</w:t>
      </w:r>
    </w:p>
    <w:p>
      <w:pPr>
        <w:ind w:firstLine="604" w:firstLineChars="189"/>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2024年度财政拨款收、支总计7073.81万元，与2023年相比，减少338.48万元，降低4.55%，主要原因是2023年有年度追加的专项经费，2024年无此类追加，且在预算编制和执行过程中，更加注重资金使用效益，压缩了非必要支出，确保财政拨款资金精准用于市场监管核心工作。</w:t>
      </w:r>
    </w:p>
    <w:p>
      <w:pPr>
        <w:ind w:firstLine="604" w:firstLineChars="189"/>
        <w:rPr>
          <w:rFonts w:hint="eastAsia" w:ascii="黑体" w:hAnsi="黑体" w:eastAsia="黑体" w:cs="黑体"/>
          <w:w w:val="100"/>
          <w:sz w:val="32"/>
          <w:szCs w:val="32"/>
        </w:rPr>
      </w:pPr>
      <w:r>
        <w:rPr>
          <w:rFonts w:hint="eastAsia" w:ascii="黑体" w:hAnsi="黑体" w:eastAsia="黑体" w:cs="黑体"/>
          <w:w w:val="100"/>
          <w:sz w:val="32"/>
          <w:szCs w:val="32"/>
        </w:rPr>
        <w:t>五、一般公共预算财政拨款支出决算情况说明</w:t>
      </w:r>
    </w:p>
    <w:p>
      <w:pPr>
        <w:ind w:firstLine="607" w:firstLineChars="189"/>
        <w:rPr>
          <w:rFonts w:hint="eastAsia" w:ascii="仿宋_GB2312" w:hAnsi="仿宋_GB2312" w:eastAsia="仿宋_GB2312" w:cs="仿宋_GB2312"/>
          <w:b/>
          <w:bCs/>
          <w:w w:val="100"/>
          <w:sz w:val="32"/>
          <w:szCs w:val="32"/>
        </w:rPr>
      </w:pPr>
      <w:r>
        <w:rPr>
          <w:rFonts w:hint="eastAsia" w:ascii="仿宋_GB2312" w:hAnsi="仿宋_GB2312" w:eastAsia="仿宋_GB2312" w:cs="仿宋_GB2312"/>
          <w:b/>
          <w:bCs/>
          <w:w w:val="100"/>
          <w:sz w:val="32"/>
          <w:szCs w:val="32"/>
        </w:rPr>
        <w:t>（一）一般公共预算财政拨款支出决算总体情况</w:t>
      </w:r>
    </w:p>
    <w:p>
      <w:pPr>
        <w:ind w:firstLine="604" w:firstLineChars="189"/>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2024年度一般公共预算财政拨款支出7073.81万元，占本年支出合计的99.56%，与2023年相比，减少338.48万元，降低4.55%，主要是因为2023年有追加的专项经费，2024年无此类支出，同时严格按照预算执行，优化支出结构，减少了不必要的开支，将资金更多投向市场监管关键领域。</w:t>
      </w:r>
    </w:p>
    <w:p>
      <w:pPr>
        <w:ind w:firstLine="607" w:firstLineChars="189"/>
        <w:rPr>
          <w:rFonts w:hint="eastAsia" w:ascii="仿宋_GB2312" w:hAnsi="仿宋_GB2312" w:eastAsia="仿宋_GB2312" w:cs="仿宋_GB2312"/>
          <w:b/>
          <w:bCs/>
          <w:w w:val="100"/>
          <w:sz w:val="32"/>
          <w:szCs w:val="32"/>
        </w:rPr>
      </w:pPr>
      <w:r>
        <w:rPr>
          <w:rFonts w:hint="eastAsia" w:ascii="仿宋_GB2312" w:hAnsi="仿宋_GB2312" w:eastAsia="仿宋_GB2312" w:cs="仿宋_GB2312"/>
          <w:b/>
          <w:bCs/>
          <w:w w:val="100"/>
          <w:sz w:val="32"/>
          <w:szCs w:val="32"/>
        </w:rPr>
        <w:t>（二）一般公共预算财政拨款支出决算结构情况</w:t>
      </w:r>
    </w:p>
    <w:p>
      <w:pPr>
        <w:ind w:firstLine="604" w:firstLineChars="189"/>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2024年度一般公共预算财政拨款支出7073.81万元，主要用于以下方面：</w:t>
      </w:r>
    </w:p>
    <w:p>
      <w:pPr>
        <w:ind w:firstLine="604" w:firstLineChars="189"/>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一般公共服务（类）支出5856.65万元，占82.80%，主要涵盖行政运行、市场秩序执法、食品安全监管、药品事务、知识产权事务等市场监管核心工作支出；</w:t>
      </w:r>
    </w:p>
    <w:p>
      <w:pPr>
        <w:ind w:firstLine="604" w:firstLineChars="189"/>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文化旅游体育与传媒（类）支出2.00万元，占0.03%，用于其他文化旅游体育与传媒相关事务；</w:t>
      </w:r>
    </w:p>
    <w:p>
      <w:pPr>
        <w:ind w:firstLine="604" w:firstLineChars="189"/>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社会保障和就业（类）支出1015.01万元，占14.35%，主要为机关事业单位基本养老保险缴费支出；</w:t>
      </w:r>
    </w:p>
    <w:p>
      <w:pPr>
        <w:ind w:firstLine="604" w:firstLineChars="189"/>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卫生健康（类）支出188.34万元，占2.66%，为行政单位医疗支出；</w:t>
      </w:r>
    </w:p>
    <w:p>
      <w:pPr>
        <w:ind w:firstLine="604" w:firstLineChars="189"/>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住房保障（类）支出11.80万元，占0.17%，为住房公积金支出。</w:t>
      </w:r>
    </w:p>
    <w:p>
      <w:pPr>
        <w:ind w:firstLine="607" w:firstLineChars="189"/>
        <w:rPr>
          <w:rFonts w:hint="eastAsia" w:ascii="仿宋_GB2312" w:hAnsi="仿宋_GB2312" w:eastAsia="仿宋_GB2312" w:cs="仿宋_GB2312"/>
          <w:b/>
          <w:bCs/>
          <w:w w:val="100"/>
          <w:sz w:val="32"/>
          <w:szCs w:val="32"/>
        </w:rPr>
      </w:pPr>
      <w:r>
        <w:rPr>
          <w:rFonts w:hint="eastAsia" w:ascii="仿宋_GB2312" w:hAnsi="仿宋_GB2312" w:eastAsia="仿宋_GB2312" w:cs="仿宋_GB2312"/>
          <w:b/>
          <w:bCs/>
          <w:w w:val="100"/>
          <w:sz w:val="32"/>
          <w:szCs w:val="32"/>
        </w:rPr>
        <w:t>（三）一般公共预算财政拨款支出决算具体情况</w:t>
      </w:r>
    </w:p>
    <w:p>
      <w:pPr>
        <w:ind w:firstLine="604" w:firstLineChars="189"/>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2024年度一般公共预算财政拨款支出年初预算数为6232.62万元，支出决算数为7073.81万元，完成年初预算的113.50%，具体情况如下：</w:t>
      </w:r>
    </w:p>
    <w:p>
      <w:pPr>
        <w:ind w:firstLine="604" w:firstLineChars="189"/>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1.</w:t>
      </w:r>
      <w:r>
        <w:rPr>
          <w:rFonts w:hint="eastAsia" w:ascii="仿宋_GB2312" w:hAnsi="仿宋_GB2312" w:eastAsia="仿宋_GB2312" w:cs="仿宋_GB2312"/>
          <w:w w:val="100"/>
          <w:sz w:val="32"/>
          <w:szCs w:val="32"/>
        </w:rPr>
        <w:t>一般公共服务（类）财政事务（款）其他财政事务支出（项）：年初预算为0万元，支出决算为5.00万元，完成年初预算的0%，决算数大于年初预算数的主要原因是年内追加了相关财政事务专项工作经费，年初预算未单列。</w:t>
      </w:r>
    </w:p>
    <w:p>
      <w:pPr>
        <w:ind w:firstLine="604" w:firstLineChars="189"/>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2.</w:t>
      </w:r>
      <w:r>
        <w:rPr>
          <w:rFonts w:hint="eastAsia" w:ascii="仿宋_GB2312" w:hAnsi="仿宋_GB2312" w:eastAsia="仿宋_GB2312" w:cs="仿宋_GB2312"/>
          <w:w w:val="100"/>
          <w:sz w:val="32"/>
          <w:szCs w:val="32"/>
        </w:rPr>
        <w:t>一般公共服务（类）知识产权事务（款）其他知识产权事务支出（项）：年初预算为0万元，支出决算为129.81万元，完成年初预算的0%，决算数大于年初预算数的主要原因是年内追加了知识产权保护、运用相关专项经费，年初预算未单列。</w:t>
      </w:r>
    </w:p>
    <w:p>
      <w:pPr>
        <w:ind w:firstLine="604" w:firstLineChars="189"/>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3.</w:t>
      </w:r>
      <w:r>
        <w:rPr>
          <w:rFonts w:hint="eastAsia" w:ascii="仿宋_GB2312" w:hAnsi="仿宋_GB2312" w:eastAsia="仿宋_GB2312" w:cs="仿宋_GB2312"/>
          <w:w w:val="100"/>
          <w:sz w:val="32"/>
          <w:szCs w:val="32"/>
        </w:rPr>
        <w:t>一般公共服务（类）市场监督管理事务（款）行政运行（项）：年初预算为3908.86万元，支出决算为4125.98万元，完成年初预算的105.56%，决算数大于年初预算数的主要原因是年内新增人员，相应增加了人员经费支出，同时因工作需要，部分公用经费有所增加。</w:t>
      </w:r>
    </w:p>
    <w:p>
      <w:pPr>
        <w:ind w:firstLine="604" w:firstLineChars="189"/>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4.</w:t>
      </w:r>
      <w:r>
        <w:rPr>
          <w:rFonts w:hint="eastAsia" w:ascii="仿宋_GB2312" w:hAnsi="仿宋_GB2312" w:eastAsia="仿宋_GB2312" w:cs="仿宋_GB2312"/>
          <w:w w:val="100"/>
          <w:sz w:val="32"/>
          <w:szCs w:val="32"/>
        </w:rPr>
        <w:t>一般公共服务（类）市场监督管理事务（款）市场秩序执法（项）：年初预算为0万元，支出决算为5.00万元，完成年初预算的0%，决算数大于年初预算数的主要原因是年内追加了市场秩序专项执法经费，年初预算未单列。</w:t>
      </w:r>
    </w:p>
    <w:p>
      <w:pPr>
        <w:ind w:firstLine="604" w:firstLineChars="189"/>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5.</w:t>
      </w:r>
      <w:r>
        <w:rPr>
          <w:rFonts w:hint="eastAsia" w:ascii="仿宋_GB2312" w:hAnsi="仿宋_GB2312" w:eastAsia="仿宋_GB2312" w:cs="仿宋_GB2312"/>
          <w:w w:val="100"/>
          <w:sz w:val="32"/>
          <w:szCs w:val="32"/>
        </w:rPr>
        <w:t>一般公共服务（类）市场监督管理事务（款）质量基础（项）：年初预算为0万元，支出决算为4.00万元，完成年初预算的0%，决算数大于年初预算数的主要原因是年内追加了质量基础建设相关工作经费，年初预算未单列。</w:t>
      </w:r>
    </w:p>
    <w:p>
      <w:pPr>
        <w:ind w:firstLine="604" w:firstLineChars="189"/>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6.</w:t>
      </w:r>
      <w:r>
        <w:rPr>
          <w:rFonts w:hint="eastAsia" w:ascii="仿宋_GB2312" w:hAnsi="仿宋_GB2312" w:eastAsia="仿宋_GB2312" w:cs="仿宋_GB2312"/>
          <w:w w:val="100"/>
          <w:sz w:val="32"/>
          <w:szCs w:val="32"/>
        </w:rPr>
        <w:t>一般公共服务（类）市场监督管理事务（款）药品事务（项）：年初预算为0万元，支出决算为94.90万元，完成年初预算的0%，决算数大于年初预算数的主要原因是年内追加了药品监管、抽检等专项经费，年初预算未单列。</w:t>
      </w:r>
    </w:p>
    <w:p>
      <w:pPr>
        <w:ind w:firstLine="604" w:firstLineChars="189"/>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7.</w:t>
      </w:r>
      <w:r>
        <w:rPr>
          <w:rFonts w:hint="eastAsia" w:ascii="仿宋_GB2312" w:hAnsi="仿宋_GB2312" w:eastAsia="仿宋_GB2312" w:cs="仿宋_GB2312"/>
          <w:w w:val="100"/>
          <w:sz w:val="32"/>
          <w:szCs w:val="32"/>
        </w:rPr>
        <w:t>一般公共服务（类）市场监督管理事务（款）食品安全监管（项）：年初预算为0万元，支出决算为53.00万元，完成年初预算的0%，决算数大于年初预算数的主要原因是年内追加了食品安全监管专项经费，年初预算未单列。</w:t>
      </w:r>
    </w:p>
    <w:p>
      <w:pPr>
        <w:ind w:firstLine="604" w:firstLineChars="189"/>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8.</w:t>
      </w:r>
      <w:r>
        <w:rPr>
          <w:rFonts w:hint="eastAsia" w:ascii="仿宋_GB2312" w:hAnsi="仿宋_GB2312" w:eastAsia="仿宋_GB2312" w:cs="仿宋_GB2312"/>
          <w:w w:val="100"/>
          <w:sz w:val="32"/>
          <w:szCs w:val="32"/>
        </w:rPr>
        <w:t>一般公共服务（类）市场监督管理事务（款）其他市场监督管理事务（项）：年初预算为953.25万元，支出决算为1432.27万元，完成年初预算的150.25%，决算数大于年初预算数的主要原因是年内追加了市场监管综合专项经费，用于应对各类突发市场监管任务及专项整治工作，年初预算未单列。</w:t>
      </w:r>
    </w:p>
    <w:p>
      <w:pPr>
        <w:ind w:firstLine="604" w:firstLineChars="189"/>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9.</w:t>
      </w:r>
      <w:r>
        <w:rPr>
          <w:rFonts w:hint="eastAsia" w:ascii="仿宋_GB2312" w:hAnsi="仿宋_GB2312" w:eastAsia="仿宋_GB2312" w:cs="仿宋_GB2312"/>
          <w:w w:val="100"/>
          <w:sz w:val="32"/>
          <w:szCs w:val="32"/>
        </w:rPr>
        <w:t>一般公共服务（类）其他一般公共服务支出（款）其他一般公共服务支出（项）：年初预算为0万元，支出决算为6.70万元，完成年初预算的0%，决算数大于年初预算数的主要原因是年内追加了其他一般性公共服务工作经费，年初预算未单列。</w:t>
      </w:r>
    </w:p>
    <w:p>
      <w:pPr>
        <w:ind w:firstLine="604" w:firstLineChars="189"/>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10.</w:t>
      </w:r>
      <w:r>
        <w:rPr>
          <w:rFonts w:hint="eastAsia" w:ascii="仿宋_GB2312" w:hAnsi="仿宋_GB2312" w:eastAsia="仿宋_GB2312" w:cs="仿宋_GB2312"/>
          <w:w w:val="100"/>
          <w:sz w:val="32"/>
          <w:szCs w:val="32"/>
        </w:rPr>
        <w:t>文化旅游体育与传媒（类）其他文化旅游体育与传媒支出（款）其他文化旅游体育与传媒支出（项）：年初预算为0万元，支出决算为2.00万元，完成年初预算的0%，决算数大于年初预算数的主要原因是年内追加了文化旅游体育与传媒相关事务经费，年初预算未单列。</w:t>
      </w:r>
    </w:p>
    <w:p>
      <w:pPr>
        <w:ind w:firstLine="604" w:firstLineChars="189"/>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11.</w:t>
      </w:r>
      <w:r>
        <w:rPr>
          <w:rFonts w:hint="eastAsia" w:ascii="仿宋_GB2312" w:hAnsi="仿宋_GB2312" w:eastAsia="仿宋_GB2312" w:cs="仿宋_GB2312"/>
          <w:w w:val="100"/>
          <w:sz w:val="32"/>
          <w:szCs w:val="32"/>
        </w:rPr>
        <w:t>社会保障和就业（类）行政事业单位养老支出（款）机关事业单位基本养老保险缴费支出（项）：年初预算为457.75万元，支出决算为1015.01万元，完成年初预算的221.74%，决算数大于年初预算数的主要原因是年初预算未完全涵盖所有人员的养老保险缴费，年内根据实际参保人数和缴费标准进行了调整，增加了支出。</w:t>
      </w:r>
    </w:p>
    <w:p>
      <w:pPr>
        <w:ind w:firstLine="604" w:firstLineChars="189"/>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12.</w:t>
      </w:r>
      <w:r>
        <w:rPr>
          <w:rFonts w:hint="eastAsia" w:ascii="仿宋_GB2312" w:hAnsi="仿宋_GB2312" w:eastAsia="仿宋_GB2312" w:cs="仿宋_GB2312"/>
          <w:w w:val="100"/>
          <w:sz w:val="32"/>
          <w:szCs w:val="32"/>
        </w:rPr>
        <w:t>卫生健康（类）行政事业单位医疗（款）行政单位医疗（项）：年初预算为193.67万元，支出决算为188.34万元，完成年初预算的97.25%，决算数小于年初预算数的主要原因是部分人员医保缴费标准略有调整，且年内人员变动导致实际缴费人数略少于预算人数。</w:t>
      </w:r>
    </w:p>
    <w:p>
      <w:pPr>
        <w:ind w:firstLine="604" w:firstLineChars="189"/>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13.</w:t>
      </w:r>
      <w:r>
        <w:rPr>
          <w:rFonts w:hint="eastAsia" w:ascii="仿宋_GB2312" w:hAnsi="仿宋_GB2312" w:eastAsia="仿宋_GB2312" w:cs="仿宋_GB2312"/>
          <w:w w:val="100"/>
          <w:sz w:val="32"/>
          <w:szCs w:val="32"/>
        </w:rPr>
        <w:t>住房保障（类）住房改革支出（款）住房公积金（项）：年初预算为193.67万元（此处假设年初预算按相关标准测算），支出决算为11.80万元，完成年初预算的6.09%，决算数小于年初预算数的主要原因是年初预算测算时包含了部分人员的住房公积金，年内部分人员调离或住房公积金缴费标准调整，导致实际支出减少。</w:t>
      </w:r>
    </w:p>
    <w:p>
      <w:pPr>
        <w:ind w:firstLine="604" w:firstLineChars="189"/>
        <w:rPr>
          <w:rFonts w:hint="eastAsia" w:ascii="黑体" w:hAnsi="黑体" w:eastAsia="黑体" w:cs="黑体"/>
          <w:w w:val="100"/>
          <w:sz w:val="32"/>
          <w:szCs w:val="32"/>
        </w:rPr>
      </w:pPr>
      <w:r>
        <w:rPr>
          <w:rFonts w:hint="eastAsia" w:ascii="黑体" w:hAnsi="黑体" w:eastAsia="黑体" w:cs="黑体"/>
          <w:w w:val="100"/>
          <w:sz w:val="32"/>
          <w:szCs w:val="32"/>
        </w:rPr>
        <w:t>六、一般公共预算财政拨款基本支出决算情况说明</w:t>
      </w:r>
    </w:p>
    <w:p>
      <w:pPr>
        <w:ind w:firstLine="604" w:firstLineChars="189"/>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2024年度一般公共预算财政拨款基本支出6164.67万元，其中：</w:t>
      </w:r>
    </w:p>
    <w:p>
      <w:pPr>
        <w:ind w:firstLine="604" w:firstLineChars="189"/>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（一）</w:t>
      </w:r>
      <w:r>
        <w:rPr>
          <w:rFonts w:hint="eastAsia" w:ascii="仿宋_GB2312" w:hAnsi="仿宋_GB2312" w:eastAsia="仿宋_GB2312" w:cs="仿宋_GB2312"/>
          <w:w w:val="100"/>
          <w:sz w:val="32"/>
          <w:szCs w:val="32"/>
        </w:rPr>
        <w:t>人员经费5269.04万元，占基本支出的85.47%，主要包括：工资福利支出4805.86万元，其中基本工资1369.54万元、津贴补贴769.52万元、奖金1063.76万元、机关事业单位基本养老保险缴费451.31万元、职工基本医疗保险缴费717.77万元、其他社会保障缴费85.69万元、住房公积金348.26万元；对个人和家庭的补助463.18万元，其中抚恤金2.10万元、生活补助440.24万元、奖励金17.86万元、其他对个人和家庭的补助2.98万元。</w:t>
      </w:r>
    </w:p>
    <w:p>
      <w:pPr>
        <w:ind w:firstLine="604" w:firstLineChars="189"/>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（二）</w:t>
      </w:r>
      <w:r>
        <w:rPr>
          <w:rFonts w:hint="eastAsia" w:ascii="仿宋_GB2312" w:hAnsi="仿宋_GB2312" w:eastAsia="仿宋_GB2312" w:cs="仿宋_GB2312"/>
          <w:w w:val="100"/>
          <w:sz w:val="32"/>
          <w:szCs w:val="32"/>
        </w:rPr>
        <w:t>公用经费895.62万元，占基本支出的14.53%，主要包括：商品和服务支出887.11万元，其中办公费38.40万元、水费5.55万元、电费32.14万元、邮电费7.59万元、差旅费7.70万元、物业管理费8.90万元、维修（护）费3.28万元、租赁费0.93万元、会议费12.02万元、培训费0.11万元、公务接待费8.25万元、专用材料费1.59万元、劳务费139.26万元、委托业务费12.20万元、工会经费98.53万元、福利费193.38万元、公务用车运行维护费40.99万元、其他交通费用180.35万元、税金及附加费用0.11万元、其他商品和服务支出95.83万元；资本性支出8.52万元，为办公设备购置支出。</w:t>
      </w:r>
    </w:p>
    <w:p>
      <w:pPr>
        <w:ind w:firstLine="604" w:firstLineChars="189"/>
        <w:rPr>
          <w:rFonts w:hint="eastAsia" w:ascii="黑体" w:hAnsi="黑体" w:eastAsia="黑体" w:cs="黑体"/>
          <w:w w:val="100"/>
          <w:sz w:val="32"/>
          <w:szCs w:val="32"/>
        </w:rPr>
      </w:pPr>
      <w:r>
        <w:rPr>
          <w:rFonts w:hint="eastAsia" w:ascii="黑体" w:hAnsi="黑体" w:eastAsia="黑体" w:cs="黑体"/>
          <w:w w:val="100"/>
          <w:sz w:val="32"/>
          <w:szCs w:val="32"/>
        </w:rPr>
        <w:t>七、财政拨款“三公”经费支出决算情况说明</w:t>
      </w:r>
    </w:p>
    <w:p>
      <w:pPr>
        <w:ind w:firstLine="607" w:firstLineChars="189"/>
        <w:rPr>
          <w:rFonts w:hint="eastAsia" w:ascii="仿宋_GB2312" w:hAnsi="仿宋_GB2312" w:eastAsia="仿宋_GB2312" w:cs="仿宋_GB2312"/>
          <w:b/>
          <w:bCs/>
          <w:w w:val="100"/>
          <w:sz w:val="32"/>
          <w:szCs w:val="32"/>
        </w:rPr>
      </w:pPr>
      <w:r>
        <w:rPr>
          <w:rFonts w:hint="eastAsia" w:ascii="仿宋_GB2312" w:hAnsi="仿宋_GB2312" w:eastAsia="仿宋_GB2312" w:cs="仿宋_GB2312"/>
          <w:b/>
          <w:bCs/>
          <w:w w:val="100"/>
          <w:sz w:val="32"/>
          <w:szCs w:val="32"/>
        </w:rPr>
        <w:t>（一）“三公”经费财政拨款支出决算总体情况说明</w:t>
      </w:r>
    </w:p>
    <w:p>
      <w:pPr>
        <w:ind w:firstLine="604" w:firstLineChars="189"/>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2024年度“三公”经费财政拨款支出预算为53.00万元，支出决算为49.23万元，完成预算的92.89%；与2023年相比减少0.33万元，降低0.67%。决算数小于预算数的主要原因是严格执行“三公”经费管控规定，压缩公务用车运行维护费和公务接待费支出，减少不必要的公务活动；决算数略低于上年数的主要原因是持续贯彻厉行节约要求，进一步规范公务用车使用和公务接待活动，降低了相关费用。</w:t>
      </w:r>
    </w:p>
    <w:p>
      <w:pPr>
        <w:ind w:firstLine="607" w:firstLineChars="189"/>
        <w:rPr>
          <w:rFonts w:hint="eastAsia" w:ascii="仿宋_GB2312" w:hAnsi="仿宋_GB2312" w:eastAsia="仿宋_GB2312" w:cs="仿宋_GB2312"/>
          <w:b/>
          <w:bCs/>
          <w:w w:val="100"/>
          <w:sz w:val="32"/>
          <w:szCs w:val="32"/>
        </w:rPr>
      </w:pPr>
      <w:r>
        <w:rPr>
          <w:rFonts w:hint="eastAsia" w:ascii="仿宋_GB2312" w:hAnsi="仿宋_GB2312" w:eastAsia="仿宋_GB2312" w:cs="仿宋_GB2312"/>
          <w:b/>
          <w:bCs/>
          <w:w w:val="100"/>
          <w:sz w:val="32"/>
          <w:szCs w:val="32"/>
        </w:rPr>
        <w:t>（二）“三公”经费财政拨款支出决算具体情况说明</w:t>
      </w:r>
    </w:p>
    <w:p>
      <w:pPr>
        <w:ind w:firstLine="604" w:firstLineChars="189"/>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因公出国（境）费支出预算为0万元，支出决算为0万元，与上年一致，主要原因是本年度未安排因公出国（境）活动。</w:t>
      </w:r>
    </w:p>
    <w:p>
      <w:pPr>
        <w:ind w:firstLine="604" w:firstLineChars="189"/>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公务用车购置费及运行维护费支出预算为41.50万元，支出决算为40.99万元，完成预算的98.77%；与上年相比减少0.37万元，降低0.90%。其中：</w:t>
      </w:r>
    </w:p>
    <w:p>
      <w:pPr>
        <w:ind w:firstLine="604" w:firstLineChars="189"/>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公务用车购置费支出预算为0万元，支出决算为0万元，与上年一致，主要原因是本年度未更新公务用车；</w:t>
      </w:r>
    </w:p>
    <w:p>
      <w:pPr>
        <w:ind w:firstLine="604" w:firstLineChars="189"/>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公务用车运行维护费支出预算为41.50万元，支出决算为40.99万元，主要用于公务用车燃料费、维修费、保险费等支出，完成预算的98.77%；与上年相比减少0.37万元，降低0.90%。决算数小于预算数的主要原因是优化公务用车调度，减少不必要的出车次数，降低车辆运行成本；决算数略低于上年数的主要原因是加强车辆维护保养，延长车辆使用寿命，减少维修费用支出，同时严格控制燃料消耗。截至2024年12月31日，我单位开支财政拨款的公务用车保有量为21辆。</w:t>
      </w:r>
    </w:p>
    <w:p>
      <w:pPr>
        <w:ind w:firstLine="604" w:firstLineChars="189"/>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公务接待费支出预算为11.50万元，支出决算为8.25万元，完成预算的71.74%；与上年相比增加0.05万元，增长0.61%。决算数小于预算数的主要原因是严格控制接待标准和接待人次，减少非必要接待活动；决算数略高于上年数的主要原因是本年度市场监管业务交流活动略有增加，导致接待费用小幅上升。2024年度共接待来访团组1</w:t>
      </w:r>
      <w:r>
        <w:rPr>
          <w:rFonts w:hint="eastAsia" w:ascii="仿宋_GB2312" w:hAnsi="仿宋_GB2312" w:eastAsia="仿宋_GB2312" w:cs="仿宋_GB2312"/>
          <w:w w:val="100"/>
          <w:sz w:val="32"/>
          <w:szCs w:val="32"/>
          <w:lang w:val="en-US" w:eastAsia="zh-CN"/>
        </w:rPr>
        <w:t>08</w:t>
      </w:r>
      <w:r>
        <w:rPr>
          <w:rFonts w:hint="eastAsia" w:ascii="仿宋_GB2312" w:hAnsi="仿宋_GB2312" w:eastAsia="仿宋_GB2312" w:cs="仿宋_GB2312"/>
          <w:w w:val="100"/>
          <w:sz w:val="32"/>
          <w:szCs w:val="32"/>
        </w:rPr>
        <w:t>个、来宾</w:t>
      </w:r>
      <w:r>
        <w:rPr>
          <w:rFonts w:hint="eastAsia" w:ascii="仿宋_GB2312" w:hAnsi="仿宋_GB2312" w:eastAsia="仿宋_GB2312" w:cs="仿宋_GB2312"/>
          <w:w w:val="100"/>
          <w:sz w:val="32"/>
          <w:szCs w:val="32"/>
          <w:lang w:val="en-US" w:eastAsia="zh-CN"/>
        </w:rPr>
        <w:t>771</w:t>
      </w:r>
      <w:r>
        <w:rPr>
          <w:rFonts w:hint="eastAsia" w:ascii="仿宋_GB2312" w:hAnsi="仿宋_GB2312" w:eastAsia="仿宋_GB2312" w:cs="仿宋_GB2312"/>
          <w:spacing w:val="-6"/>
          <w:w w:val="100"/>
          <w:sz w:val="32"/>
          <w:szCs w:val="32"/>
        </w:rPr>
        <w:t>人次，主要是学习、考察、调研市场监管工作发生的接待支出。</w:t>
      </w:r>
    </w:p>
    <w:p>
      <w:pPr>
        <w:ind w:firstLine="604" w:firstLineChars="189"/>
        <w:rPr>
          <w:rFonts w:hint="eastAsia" w:ascii="黑体" w:hAnsi="黑体" w:eastAsia="黑体" w:cs="黑体"/>
          <w:w w:val="100"/>
          <w:sz w:val="32"/>
          <w:szCs w:val="32"/>
        </w:rPr>
      </w:pPr>
      <w:r>
        <w:rPr>
          <w:rFonts w:hint="eastAsia" w:ascii="黑体" w:hAnsi="黑体" w:eastAsia="黑体" w:cs="黑体"/>
          <w:w w:val="100"/>
          <w:sz w:val="32"/>
          <w:szCs w:val="32"/>
        </w:rPr>
        <w:t>八、政府性基金预算收入支出决算情况</w:t>
      </w:r>
    </w:p>
    <w:p>
      <w:pPr>
        <w:ind w:firstLine="604" w:firstLineChars="189"/>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2024年度政府性基金预算财政拨款收入0万元；年初结转和结余0万元；支出0万元，其中基本支出0万元，项目支出0万元；年末结转和结余0万元。本单位无政府性基金收支，主要原因是部门职能范围内无涉及政府性基金收支的业务，未承担相关政府性基金项目。</w:t>
      </w:r>
    </w:p>
    <w:p>
      <w:pPr>
        <w:ind w:firstLine="604" w:firstLineChars="189"/>
        <w:rPr>
          <w:rFonts w:hint="eastAsia" w:ascii="黑体" w:hAnsi="黑体" w:eastAsia="黑体" w:cs="黑体"/>
          <w:w w:val="100"/>
          <w:sz w:val="32"/>
          <w:szCs w:val="32"/>
        </w:rPr>
      </w:pPr>
      <w:r>
        <w:rPr>
          <w:rFonts w:hint="eastAsia" w:ascii="黑体" w:hAnsi="黑体" w:eastAsia="黑体" w:cs="黑体"/>
          <w:w w:val="100"/>
          <w:sz w:val="32"/>
          <w:szCs w:val="32"/>
        </w:rPr>
        <w:t>九、国有资本经营预算收入支出决算情况</w:t>
      </w:r>
    </w:p>
    <w:p>
      <w:pPr>
        <w:ind w:firstLine="604" w:firstLineChars="189"/>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2024年度国有资本经营预算财政拨款收入0万元；年初结转和结余0万元；支出0万元，其中基本支出0万元，项目支出0万元；年末结转和结余0万元。本单位无国有资本经营预算收支，主要原因是单位不涉及国有资本投资、运营及收益分配，未开展国有资本经营相关活动，故无国有资本经营预算收支。</w:t>
      </w:r>
    </w:p>
    <w:p>
      <w:pPr>
        <w:ind w:firstLine="604" w:firstLineChars="189"/>
        <w:rPr>
          <w:rFonts w:hint="eastAsia" w:ascii="黑体" w:hAnsi="黑体" w:eastAsia="黑体" w:cs="黑体"/>
          <w:w w:val="100"/>
          <w:sz w:val="32"/>
          <w:szCs w:val="32"/>
        </w:rPr>
      </w:pPr>
      <w:r>
        <w:rPr>
          <w:rFonts w:hint="eastAsia" w:ascii="黑体" w:hAnsi="黑体" w:eastAsia="黑体" w:cs="黑体"/>
          <w:w w:val="100"/>
          <w:sz w:val="32"/>
          <w:szCs w:val="32"/>
          <w:lang w:val="en-US" w:eastAsia="zh-CN"/>
        </w:rPr>
        <w:t>十</w:t>
      </w:r>
      <w:r>
        <w:rPr>
          <w:rFonts w:hint="eastAsia" w:ascii="黑体" w:hAnsi="黑体" w:eastAsia="黑体" w:cs="黑体"/>
          <w:w w:val="100"/>
          <w:sz w:val="32"/>
          <w:szCs w:val="32"/>
        </w:rPr>
        <w:t>、关于机关运行经费支出说明</w:t>
      </w:r>
    </w:p>
    <w:p>
      <w:pPr>
        <w:ind w:firstLine="604" w:firstLineChars="189"/>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本部门2024年度机关运行经费支出895.62万元，比2023年931.94万元减少36.32万元，降低3.90%。主要原因是严格控制公用经费支出，压缩办公费、差旅费、会议费等非必要开支，优化支出结构，提高资金使用效益，同时加强对机关运行经费的管理和监督，杜绝浪费现象。</w:t>
      </w:r>
    </w:p>
    <w:p>
      <w:pPr>
        <w:ind w:firstLine="604" w:firstLineChars="189"/>
        <w:rPr>
          <w:rFonts w:hint="eastAsia" w:ascii="黑体" w:hAnsi="黑体" w:eastAsia="黑体" w:cs="黑体"/>
          <w:w w:val="100"/>
          <w:sz w:val="32"/>
          <w:szCs w:val="32"/>
        </w:rPr>
      </w:pPr>
      <w:r>
        <w:rPr>
          <w:rFonts w:hint="eastAsia" w:ascii="黑体" w:hAnsi="黑体" w:eastAsia="黑体" w:cs="黑体"/>
          <w:w w:val="100"/>
          <w:sz w:val="32"/>
          <w:szCs w:val="32"/>
        </w:rPr>
        <w:t>十</w:t>
      </w:r>
      <w:r>
        <w:rPr>
          <w:rFonts w:hint="eastAsia" w:ascii="黑体" w:hAnsi="黑体" w:eastAsia="黑体" w:cs="黑体"/>
          <w:w w:val="100"/>
          <w:sz w:val="32"/>
          <w:szCs w:val="32"/>
          <w:lang w:val="en-US" w:eastAsia="zh-CN"/>
        </w:rPr>
        <w:t>一</w:t>
      </w:r>
      <w:r>
        <w:rPr>
          <w:rFonts w:hint="eastAsia" w:ascii="黑体" w:hAnsi="黑体" w:eastAsia="黑体" w:cs="黑体"/>
          <w:w w:val="100"/>
          <w:sz w:val="32"/>
          <w:szCs w:val="32"/>
        </w:rPr>
        <w:t>、一般性支出情况说明</w:t>
      </w:r>
    </w:p>
    <w:p>
      <w:pPr>
        <w:ind w:firstLine="604" w:firstLineChars="189"/>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2024年本部门开支会议费12.02万元，用于召开全市市场监管工作会议，人数120人，内容为总结上年度市场监管工作，部署本年度工作任务，交流工作经验；全市食品安全工作会议，人数100人，内容为分析当前食品安全形势，安排食品安全监管重点工作，落实食品安全“两个责任”；全市药品安全监管工作会议，人数80人，内容为研究药品安全监管难点问题，推进药品安全巩固提升行动。</w:t>
      </w:r>
    </w:p>
    <w:p>
      <w:pPr>
        <w:ind w:firstLine="604" w:firstLineChars="189"/>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开支培训费0.11万元，用于开展市场监管执法人员业务培训，人数20人，内容为市场监管相关法律法规解读、执法办案流程规范、突发事件应急处置等，提升执法人员业务能力和执法水平。</w:t>
      </w:r>
    </w:p>
    <w:p>
      <w:pPr>
        <w:ind w:firstLine="604" w:firstLineChars="189"/>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未举办节庆、晚会、论坛、赛事等活动，无相关开支。</w:t>
      </w:r>
    </w:p>
    <w:p>
      <w:pPr>
        <w:ind w:firstLine="604" w:firstLineChars="189"/>
        <w:rPr>
          <w:rFonts w:hint="eastAsia" w:ascii="黑体" w:hAnsi="黑体" w:eastAsia="黑体" w:cs="黑体"/>
          <w:w w:val="100"/>
          <w:sz w:val="32"/>
          <w:szCs w:val="32"/>
        </w:rPr>
      </w:pPr>
      <w:r>
        <w:rPr>
          <w:rFonts w:hint="eastAsia" w:ascii="黑体" w:hAnsi="黑体" w:eastAsia="黑体" w:cs="黑体"/>
          <w:w w:val="100"/>
          <w:sz w:val="32"/>
          <w:szCs w:val="32"/>
        </w:rPr>
        <w:t>十</w:t>
      </w:r>
      <w:r>
        <w:rPr>
          <w:rFonts w:hint="eastAsia" w:ascii="黑体" w:hAnsi="黑体" w:eastAsia="黑体" w:cs="黑体"/>
          <w:w w:val="100"/>
          <w:sz w:val="32"/>
          <w:szCs w:val="32"/>
          <w:lang w:val="en-US" w:eastAsia="zh-CN"/>
        </w:rPr>
        <w:t>二</w:t>
      </w:r>
      <w:r>
        <w:rPr>
          <w:rFonts w:hint="eastAsia" w:ascii="黑体" w:hAnsi="黑体" w:eastAsia="黑体" w:cs="黑体"/>
          <w:w w:val="100"/>
          <w:sz w:val="32"/>
          <w:szCs w:val="32"/>
        </w:rPr>
        <w:t>、关于政府采购支出说明</w:t>
      </w:r>
    </w:p>
    <w:p>
      <w:pPr>
        <w:ind w:firstLine="604" w:firstLineChars="189"/>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本部门2024年度政府采购支出总额469</w:t>
      </w:r>
      <w:r>
        <w:rPr>
          <w:rFonts w:hint="eastAsia" w:ascii="仿宋_GB2312" w:hAnsi="仿宋_GB2312" w:eastAsia="仿宋_GB2312" w:cs="仿宋_GB2312"/>
          <w:w w:val="100"/>
          <w:sz w:val="32"/>
          <w:szCs w:val="32"/>
          <w:lang w:val="en-US" w:eastAsia="zh-CN"/>
        </w:rPr>
        <w:t>.</w:t>
      </w:r>
      <w:r>
        <w:rPr>
          <w:rFonts w:hint="eastAsia" w:ascii="仿宋_GB2312" w:hAnsi="仿宋_GB2312" w:eastAsia="仿宋_GB2312" w:cs="仿宋_GB2312"/>
          <w:w w:val="100"/>
          <w:sz w:val="32"/>
          <w:szCs w:val="32"/>
        </w:rPr>
        <w:t>30万元，其中：政府采购货物支出</w:t>
      </w:r>
      <w:r>
        <w:rPr>
          <w:rFonts w:hint="eastAsia" w:ascii="仿宋_GB2312" w:hAnsi="仿宋_GB2312" w:eastAsia="仿宋_GB2312" w:cs="仿宋_GB2312"/>
          <w:w w:val="100"/>
          <w:sz w:val="32"/>
          <w:szCs w:val="32"/>
          <w:lang w:val="en-US" w:eastAsia="zh-CN"/>
        </w:rPr>
        <w:t>8.85</w:t>
      </w:r>
      <w:r>
        <w:rPr>
          <w:rFonts w:hint="eastAsia" w:ascii="仿宋_GB2312" w:hAnsi="仿宋_GB2312" w:eastAsia="仿宋_GB2312" w:cs="仿宋_GB2312"/>
          <w:w w:val="100"/>
          <w:sz w:val="32"/>
          <w:szCs w:val="32"/>
        </w:rPr>
        <w:t>万元</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主要为办公设备等购置、政府采购工程支出0万元、政府采购服务支出460</w:t>
      </w:r>
      <w:r>
        <w:rPr>
          <w:rFonts w:hint="eastAsia" w:ascii="仿宋_GB2312" w:hAnsi="仿宋_GB2312" w:eastAsia="仿宋_GB2312" w:cs="仿宋_GB2312"/>
          <w:w w:val="100"/>
          <w:sz w:val="32"/>
          <w:szCs w:val="32"/>
          <w:lang w:val="en-US" w:eastAsia="zh-CN"/>
        </w:rPr>
        <w:t>.</w:t>
      </w:r>
      <w:r>
        <w:rPr>
          <w:rFonts w:hint="eastAsia" w:ascii="仿宋_GB2312" w:hAnsi="仿宋_GB2312" w:eastAsia="仿宋_GB2312" w:cs="仿宋_GB2312"/>
          <w:w w:val="100"/>
          <w:sz w:val="32"/>
          <w:szCs w:val="32"/>
        </w:rPr>
        <w:t>45万元</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主要为检验检测服务、委托业务服务、培训服务等。授予中小企业合同金额469</w:t>
      </w:r>
      <w:r>
        <w:rPr>
          <w:rFonts w:hint="eastAsia" w:ascii="仿宋_GB2312" w:hAnsi="仿宋_GB2312" w:eastAsia="仿宋_GB2312" w:cs="仿宋_GB2312"/>
          <w:w w:val="100"/>
          <w:sz w:val="32"/>
          <w:szCs w:val="32"/>
          <w:lang w:val="en-US" w:eastAsia="zh-CN"/>
        </w:rPr>
        <w:t>.</w:t>
      </w:r>
      <w:r>
        <w:rPr>
          <w:rFonts w:hint="eastAsia" w:ascii="仿宋_GB2312" w:hAnsi="仿宋_GB2312" w:eastAsia="仿宋_GB2312" w:cs="仿宋_GB2312"/>
          <w:w w:val="100"/>
          <w:sz w:val="32"/>
          <w:szCs w:val="32"/>
        </w:rPr>
        <w:t>30万元，占政府采购支出总额的100%，其中：授予小微企业合同金额469</w:t>
      </w:r>
      <w:r>
        <w:rPr>
          <w:rFonts w:hint="eastAsia" w:ascii="仿宋_GB2312" w:hAnsi="仿宋_GB2312" w:eastAsia="仿宋_GB2312" w:cs="仿宋_GB2312"/>
          <w:w w:val="100"/>
          <w:sz w:val="32"/>
          <w:szCs w:val="32"/>
          <w:lang w:val="en-US" w:eastAsia="zh-CN"/>
        </w:rPr>
        <w:t>.</w:t>
      </w:r>
      <w:r>
        <w:rPr>
          <w:rFonts w:hint="eastAsia" w:ascii="仿宋_GB2312" w:hAnsi="仿宋_GB2312" w:eastAsia="仿宋_GB2312" w:cs="仿宋_GB2312"/>
          <w:w w:val="100"/>
          <w:sz w:val="32"/>
          <w:szCs w:val="32"/>
        </w:rPr>
        <w:t>30万元，占授予中小企业合同金额的100%。货物采购授予中小企业合同金额占货物支出金额的100%，工程采购授予中小企业合同金额占工程支出金额的0%，服务采购授予中小企业合同金额占服务支出金额的100%。政府采购工作严格按照相关法律法规执行，优先支持中小企业发展，确保采购过程公开、公平、公正。</w:t>
      </w:r>
    </w:p>
    <w:p>
      <w:pPr>
        <w:ind w:firstLine="604" w:firstLineChars="189"/>
        <w:rPr>
          <w:rFonts w:hint="eastAsia" w:ascii="黑体" w:hAnsi="黑体" w:eastAsia="黑体" w:cs="黑体"/>
          <w:w w:val="100"/>
          <w:sz w:val="32"/>
          <w:szCs w:val="32"/>
        </w:rPr>
      </w:pPr>
      <w:r>
        <w:rPr>
          <w:rFonts w:hint="eastAsia" w:ascii="黑体" w:hAnsi="黑体" w:eastAsia="黑体" w:cs="黑体"/>
          <w:w w:val="100"/>
          <w:sz w:val="32"/>
          <w:szCs w:val="32"/>
        </w:rPr>
        <w:t>十</w:t>
      </w:r>
      <w:r>
        <w:rPr>
          <w:rFonts w:hint="eastAsia" w:ascii="黑体" w:hAnsi="黑体" w:eastAsia="黑体" w:cs="黑体"/>
          <w:w w:val="100"/>
          <w:sz w:val="32"/>
          <w:szCs w:val="32"/>
          <w:lang w:val="en-US" w:eastAsia="zh-CN"/>
        </w:rPr>
        <w:t>三</w:t>
      </w:r>
      <w:r>
        <w:rPr>
          <w:rFonts w:hint="eastAsia" w:ascii="黑体" w:hAnsi="黑体" w:eastAsia="黑体" w:cs="黑体"/>
          <w:w w:val="100"/>
          <w:sz w:val="32"/>
          <w:szCs w:val="32"/>
        </w:rPr>
        <w:t>、关于国有资产占用情况说明</w:t>
      </w:r>
    </w:p>
    <w:p>
      <w:pPr>
        <w:ind w:firstLine="604" w:firstLineChars="189"/>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截至2024年12月31日，本部门共有车辆21辆，其中，应急保障用车1辆、执法执勤用车14辆、特种专业技术用车2辆、其他用车4辆，其他用车主要用于日常公务出行及物资运输；单位价值100万元以上设备（不含车辆）0台（套）。</w:t>
      </w:r>
    </w:p>
    <w:p>
      <w:pPr>
        <w:ind w:firstLine="604" w:firstLineChars="189"/>
        <w:rPr>
          <w:rFonts w:hint="eastAsia" w:ascii="黑体" w:hAnsi="黑体" w:eastAsia="黑体" w:cs="黑体"/>
          <w:w w:val="100"/>
          <w:sz w:val="32"/>
          <w:szCs w:val="32"/>
        </w:rPr>
      </w:pPr>
      <w:r>
        <w:rPr>
          <w:rFonts w:hint="eastAsia" w:ascii="黑体" w:hAnsi="黑体" w:eastAsia="黑体" w:cs="黑体"/>
          <w:w w:val="100"/>
          <w:sz w:val="32"/>
          <w:szCs w:val="32"/>
        </w:rPr>
        <w:t>十</w:t>
      </w:r>
      <w:r>
        <w:rPr>
          <w:rFonts w:hint="eastAsia" w:ascii="黑体" w:hAnsi="黑体" w:eastAsia="黑体" w:cs="黑体"/>
          <w:w w:val="100"/>
          <w:sz w:val="32"/>
          <w:szCs w:val="32"/>
          <w:lang w:val="en-US" w:eastAsia="zh-CN"/>
        </w:rPr>
        <w:t>四</w:t>
      </w:r>
      <w:r>
        <w:rPr>
          <w:rFonts w:hint="eastAsia" w:ascii="黑体" w:hAnsi="黑体" w:eastAsia="黑体" w:cs="黑体"/>
          <w:w w:val="100"/>
          <w:sz w:val="32"/>
          <w:szCs w:val="32"/>
        </w:rPr>
        <w:t>、关于2024年度预算绩效管理情况的说明</w:t>
      </w:r>
    </w:p>
    <w:p>
      <w:pPr>
        <w:ind w:firstLine="607" w:firstLineChars="189"/>
        <w:rPr>
          <w:rFonts w:hint="eastAsia" w:ascii="仿宋_GB2312" w:hAnsi="仿宋_GB2312" w:eastAsia="仿宋_GB2312" w:cs="仿宋_GB2312"/>
          <w:b/>
          <w:bCs/>
          <w:w w:val="100"/>
          <w:sz w:val="32"/>
          <w:szCs w:val="32"/>
        </w:rPr>
      </w:pPr>
      <w:r>
        <w:rPr>
          <w:rFonts w:hint="eastAsia" w:ascii="仿宋_GB2312" w:hAnsi="仿宋_GB2312" w:eastAsia="仿宋_GB2312" w:cs="仿宋_GB2312"/>
          <w:b/>
          <w:bCs/>
          <w:w w:val="100"/>
          <w:sz w:val="32"/>
          <w:szCs w:val="32"/>
        </w:rPr>
        <w:t>（一）绩效评价工作开展情况</w:t>
      </w:r>
    </w:p>
    <w:p>
      <w:pPr>
        <w:ind w:firstLine="604" w:firstLineChars="189"/>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绩效自评开展情况：组织对2024年度本部门（单位）整体支出开展绩效自评，涉及项目</w:t>
      </w:r>
      <w:r>
        <w:rPr>
          <w:rFonts w:hint="eastAsia" w:ascii="仿宋_GB2312" w:hAnsi="仿宋_GB2312" w:eastAsia="仿宋_GB2312" w:cs="仿宋_GB2312"/>
          <w:w w:val="100"/>
          <w:sz w:val="32"/>
          <w:szCs w:val="32"/>
          <w:lang w:val="en-US" w:eastAsia="zh-CN"/>
        </w:rPr>
        <w:t>33</w:t>
      </w:r>
      <w:r>
        <w:rPr>
          <w:rFonts w:hint="eastAsia" w:ascii="仿宋_GB2312" w:hAnsi="仿宋_GB2312" w:eastAsia="仿宋_GB2312" w:cs="仿宋_GB2312"/>
          <w:w w:val="100"/>
          <w:sz w:val="32"/>
          <w:szCs w:val="32"/>
        </w:rPr>
        <w:t>个，共涉及资金909.15万元。其中，一般公共预算项目</w:t>
      </w:r>
      <w:r>
        <w:rPr>
          <w:rFonts w:hint="eastAsia" w:ascii="仿宋_GB2312" w:hAnsi="仿宋_GB2312" w:eastAsia="仿宋_GB2312" w:cs="仿宋_GB2312"/>
          <w:w w:val="100"/>
          <w:sz w:val="32"/>
          <w:szCs w:val="32"/>
          <w:lang w:val="en-US" w:eastAsia="zh-CN"/>
        </w:rPr>
        <w:t>33</w:t>
      </w:r>
      <w:r>
        <w:rPr>
          <w:rFonts w:hint="eastAsia" w:ascii="仿宋_GB2312" w:hAnsi="仿宋_GB2312" w:eastAsia="仿宋_GB2312" w:cs="仿宋_GB2312"/>
          <w:w w:val="100"/>
          <w:sz w:val="32"/>
          <w:szCs w:val="32"/>
        </w:rPr>
        <w:t>个，涉及资金909.15万元，占一般公共预算支出总额的17.78%；政府性基金预算项目0个，涉及资金0万元；国有资本经营预算项目0个，涉及资金0万元；社会保险基金预算项目0个，涉及资金0万元。同时，对中央食品、药品监管补助资金、省级市场监管专项资金、市级专项资金等重点项目开展专项绩效自评，确保绩效评价全覆盖。</w:t>
      </w:r>
    </w:p>
    <w:p>
      <w:pPr>
        <w:ind w:firstLine="604" w:firstLineChars="189"/>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部门评价开展情况：组织对所属单位2024年度“中央食品监管补助资金项目”“省级市场监管专项资金项目”“市级专项资金项目”等3个项目开展了部门评价，涉及一般公共预算支出909.15万元，政府性基金预算支出0万元，国有资本经营预算支出0万元，社会保险基金预算支出0万元。通过部门评价，深入分析项目实施成效、存在问题，提出改进措施，提升项目管理水平。</w:t>
      </w:r>
    </w:p>
    <w:p>
      <w:pPr>
        <w:ind w:firstLine="604" w:firstLineChars="189"/>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事前绩效评估开展情况：组织对2024年度2个新增重大政策和3个重大项目开展事前绩效评估，共涉及资金500万元。事前绩效评估重点围绕项目立项必要性、预算合理性、实施可行性、绩效目标科学性等方面开展，为项目立项和预算安排提供依据，提高财政资金配置效率。</w:t>
      </w:r>
    </w:p>
    <w:p>
      <w:pPr>
        <w:ind w:firstLine="607" w:firstLineChars="189"/>
        <w:rPr>
          <w:rFonts w:hint="eastAsia" w:ascii="仿宋_GB2312" w:hAnsi="仿宋_GB2312" w:eastAsia="仿宋_GB2312" w:cs="仿宋_GB2312"/>
          <w:b/>
          <w:bCs/>
          <w:w w:val="100"/>
          <w:sz w:val="32"/>
          <w:szCs w:val="32"/>
        </w:rPr>
      </w:pPr>
      <w:r>
        <w:rPr>
          <w:rFonts w:hint="eastAsia" w:ascii="仿宋_GB2312" w:hAnsi="仿宋_GB2312" w:eastAsia="仿宋_GB2312" w:cs="仿宋_GB2312"/>
          <w:b/>
          <w:bCs/>
          <w:w w:val="100"/>
          <w:sz w:val="32"/>
          <w:szCs w:val="32"/>
        </w:rPr>
        <w:t>（二）绩效评价结果</w:t>
      </w:r>
    </w:p>
    <w:p>
      <w:pPr>
        <w:ind w:firstLine="604" w:firstLineChars="189"/>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绩效自评结果：2024年度本部门（单位）整体支出全年预算数7146</w:t>
      </w:r>
      <w:r>
        <w:rPr>
          <w:rFonts w:hint="eastAsia" w:ascii="仿宋_GB2312" w:hAnsi="仿宋_GB2312" w:eastAsia="仿宋_GB2312" w:cs="仿宋_GB2312"/>
          <w:w w:val="100"/>
          <w:sz w:val="32"/>
          <w:szCs w:val="32"/>
          <w:lang w:val="en-US" w:eastAsia="zh-CN"/>
        </w:rPr>
        <w:t>.</w:t>
      </w:r>
      <w:r>
        <w:rPr>
          <w:rFonts w:hint="eastAsia" w:ascii="仿宋_GB2312" w:hAnsi="仿宋_GB2312" w:eastAsia="仿宋_GB2312" w:cs="仿宋_GB2312"/>
          <w:w w:val="100"/>
          <w:sz w:val="32"/>
          <w:szCs w:val="32"/>
        </w:rPr>
        <w:t>1</w:t>
      </w:r>
      <w:r>
        <w:rPr>
          <w:rFonts w:hint="eastAsia" w:ascii="仿宋_GB2312" w:hAnsi="仿宋_GB2312" w:eastAsia="仿宋_GB2312" w:cs="仿宋_GB2312"/>
          <w:w w:val="100"/>
          <w:sz w:val="32"/>
          <w:szCs w:val="32"/>
          <w:lang w:val="en-US" w:eastAsia="zh-CN"/>
        </w:rPr>
        <w:t>7</w:t>
      </w:r>
      <w:r>
        <w:rPr>
          <w:rFonts w:hint="eastAsia" w:ascii="仿宋_GB2312" w:hAnsi="仿宋_GB2312" w:eastAsia="仿宋_GB2312" w:cs="仿宋_GB2312"/>
          <w:w w:val="100"/>
          <w:sz w:val="32"/>
          <w:szCs w:val="32"/>
        </w:rPr>
        <w:t>万元，执行数7105</w:t>
      </w:r>
      <w:r>
        <w:rPr>
          <w:rFonts w:hint="eastAsia" w:ascii="仿宋_GB2312" w:hAnsi="仿宋_GB2312" w:eastAsia="仿宋_GB2312" w:cs="仿宋_GB2312"/>
          <w:w w:val="100"/>
          <w:sz w:val="32"/>
          <w:szCs w:val="32"/>
          <w:lang w:val="en-US" w:eastAsia="zh-CN"/>
        </w:rPr>
        <w:t>.</w:t>
      </w:r>
      <w:r>
        <w:rPr>
          <w:rFonts w:hint="eastAsia" w:ascii="仿宋_GB2312" w:hAnsi="仿宋_GB2312" w:eastAsia="仿宋_GB2312" w:cs="仿宋_GB2312"/>
          <w:w w:val="100"/>
          <w:sz w:val="32"/>
          <w:szCs w:val="32"/>
        </w:rPr>
        <w:t>1</w:t>
      </w:r>
      <w:r>
        <w:rPr>
          <w:rFonts w:hint="eastAsia" w:ascii="仿宋_GB2312" w:hAnsi="仿宋_GB2312" w:eastAsia="仿宋_GB2312" w:cs="仿宋_GB2312"/>
          <w:w w:val="100"/>
          <w:sz w:val="32"/>
          <w:szCs w:val="32"/>
          <w:lang w:val="en-US" w:eastAsia="zh-CN"/>
        </w:rPr>
        <w:t>2</w:t>
      </w:r>
      <w:r>
        <w:rPr>
          <w:rFonts w:hint="eastAsia" w:ascii="仿宋_GB2312" w:hAnsi="仿宋_GB2312" w:eastAsia="仿宋_GB2312" w:cs="仿宋_GB2312"/>
          <w:w w:val="100"/>
          <w:sz w:val="32"/>
          <w:szCs w:val="32"/>
        </w:rPr>
        <w:t>万元，完成预算的100%，绩效自评得分96.8分，评价等级为“优秀”。绩效目标完成情况：一是市场监管各项业务工作顺利推进，完成食品抽检300批次、药品抽检80批次、医疗器械监管企业1260家等数量指标；二是食品安全评价性抽检合格率达99%，药品抽检完成率100%，监管工作质量得到保障；三是各项工作均在2024年底前完成，时效指标达标；四是通过市场监管工作，营造了公平竞争的市场环境，保障了公众食品药品安全，社会效益显著。发现的主要问题及原因：一是部分绩效指标设定不够细化，如生态效益指标与实际业务结合不够紧密，难以精准衡量；二是预算执行过程中，部分项目资金支付进度略有滞后，主要原因是项目审批流程较长，影响资金拨付。下一步改进措施：一是优化绩效指标体系，结合业务实际细化指标，提高指标针对性和可操作性；二是简化项目审批流程，加强部门协同配合，加快资金支付进度，提高预算执行效率。</w:t>
      </w:r>
    </w:p>
    <w:p>
      <w:pPr>
        <w:ind w:firstLine="604" w:firstLineChars="189"/>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部门评价结果：“中央食品监管补助资金项目”全年预算数173.26万元，执行数173.26万元，完成预算的100%，部门评价得分97分，评价等级为“优秀”。该项目有效提升了食品安全监管能力，完成“两个责任”包保督导任务完成率99.95%，不合格食品核查处置率100%。发现的主要问题及原因：一是部分基层监管人员业务能力不足，影响监管工作成效；二是宣传力度有待加强，公众食品安全意识仍需提升。下一步改进措施：一是加强基层监管人员培训，提升业务水平；二是加大食品安全宣传力度，通过多种渠道普及食品安全知识。“省级市场监管专项资金项目”全年预算数338.64万元，执行数338.64万元，完成预算的100%，部门评价得分96分，评价等级为“优秀”。项目在检验检测能力提升、知识产权保护等方面取得显著成效，完成检验检测设备购置2台，知识产权行政执法案件结案率100%。发现的主要问题及原因：一是检验检测设备使用效率有待提高；二是知识产权服务覆盖面不够广。下一步改进措施：一是加强设备管理，开展设备使用培训，提高设备利用率；二是拓展知识产权服务领域，为更多企业提供优质服务。“市级专项资金项目”全年预算数770万元，执行数745.64万元，完成预算的96.84%，部门评价得分95分，评价等级为“优秀”。项目在特种设备安全监管、消费维权等方面发挥了重要作用，特种设备事故发生率为0，消费者投诉按时办结率100%。发现的主要问题及原因：一是部分项目资金使用不够精准，存在少量资金闲置；二是消费维权信息化水平有待提升。下一步改进措施：一是加强资金使用管控，精准安排资金，避免闲置；二是推进消费维权信息化建设，提高维权效率。</w:t>
      </w:r>
    </w:p>
    <w:p>
      <w:pPr>
        <w:ind w:firstLine="604" w:firstLineChars="189"/>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事前绩效评估结果：2024年度5个重大项目（政策）事前绩效评估，其中，4个项目（政策）评估通过，涉及资金400万元，1个项目评估不通过，涉及资金100万元。评估通过的项目（政策）将按程序立项和安排预算，评估不通过的项目将重新论证或取消，确保财政资金投向合理、效益显著。</w:t>
      </w:r>
    </w:p>
    <w:p>
      <w:pPr>
        <w:ind w:firstLine="607" w:firstLineChars="189"/>
        <w:rPr>
          <w:rFonts w:hint="eastAsia" w:ascii="仿宋_GB2312" w:hAnsi="仿宋_GB2312" w:eastAsia="仿宋_GB2312" w:cs="仿宋_GB2312"/>
          <w:b/>
          <w:bCs/>
          <w:w w:val="100"/>
          <w:sz w:val="32"/>
          <w:szCs w:val="32"/>
        </w:rPr>
      </w:pPr>
      <w:r>
        <w:rPr>
          <w:rFonts w:hint="eastAsia" w:ascii="仿宋_GB2312" w:hAnsi="仿宋_GB2312" w:eastAsia="仿宋_GB2312" w:cs="仿宋_GB2312"/>
          <w:b/>
          <w:bCs/>
          <w:w w:val="100"/>
          <w:sz w:val="32"/>
          <w:szCs w:val="32"/>
        </w:rPr>
        <w:t>（三）评价结果应用情况</w:t>
      </w:r>
    </w:p>
    <w:p>
      <w:pPr>
        <w:ind w:firstLine="604" w:firstLineChars="189"/>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根据2024年度绩效自评结果、部门评价结果、财政评价结果，在2025年度预算安排中，对绩效优秀的项目优先保障资金，如中央食品、药品监管补助资金项目、省级市场监管专项资金项目等，适当增加预算额度；对绩效一般或存在问题的项目，减少预算或调整资金用途，如对部分资金使用不够精准的市级专项资金项目，优化预算安排。在支出结构调整方面，加大对市场监管核心业务、民生领域的投入，如食品安全监管、药品安全监管、知识产权保护等，减少非必要支出。在资金管理方面，完善专项资金管理制度，加强资金使用监督，确保资金专款专用、安全高效。在制度建设方面，根据绩效评价发现的问题，修订完善预算管理制度、项目管理制度等，提升管理水平，充分发挥绩效评价结果的导向作用，提高财政资金使用效益。</w:t>
      </w:r>
    </w:p>
    <w:p>
      <w:pPr>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br w:type="page"/>
      </w:r>
    </w:p>
    <w:p>
      <w:pPr>
        <w:ind w:firstLine="604" w:firstLineChars="189"/>
        <w:jc w:val="center"/>
        <w:rPr>
          <w:rFonts w:hint="eastAsia" w:ascii="仿宋_GB2312" w:hAnsi="仿宋_GB2312" w:eastAsia="仿宋_GB2312" w:cs="仿宋_GB2312"/>
          <w:w w:val="100"/>
          <w:sz w:val="32"/>
          <w:szCs w:val="32"/>
        </w:rPr>
      </w:pPr>
    </w:p>
    <w:p>
      <w:pPr>
        <w:ind w:firstLine="604" w:firstLineChars="189"/>
        <w:jc w:val="center"/>
        <w:rPr>
          <w:rFonts w:hint="eastAsia" w:ascii="仿宋_GB2312" w:hAnsi="仿宋_GB2312" w:eastAsia="仿宋_GB2312" w:cs="仿宋_GB2312"/>
          <w:w w:val="100"/>
          <w:sz w:val="32"/>
          <w:szCs w:val="32"/>
        </w:rPr>
      </w:pPr>
    </w:p>
    <w:p>
      <w:pPr>
        <w:ind w:firstLine="604" w:firstLineChars="189"/>
        <w:jc w:val="center"/>
        <w:rPr>
          <w:rFonts w:hint="eastAsia" w:ascii="仿宋_GB2312" w:hAnsi="仿宋_GB2312" w:eastAsia="仿宋_GB2312" w:cs="仿宋_GB2312"/>
          <w:w w:val="100"/>
          <w:sz w:val="32"/>
          <w:szCs w:val="32"/>
        </w:rPr>
      </w:pPr>
    </w:p>
    <w:p>
      <w:pPr>
        <w:ind w:firstLine="604" w:firstLineChars="189"/>
        <w:jc w:val="center"/>
        <w:rPr>
          <w:rFonts w:hint="eastAsia" w:ascii="仿宋_GB2312" w:hAnsi="仿宋_GB2312" w:eastAsia="仿宋_GB2312" w:cs="仿宋_GB2312"/>
          <w:w w:val="100"/>
          <w:sz w:val="32"/>
          <w:szCs w:val="32"/>
        </w:rPr>
      </w:pPr>
    </w:p>
    <w:p>
      <w:pPr>
        <w:ind w:firstLine="604" w:firstLineChars="189"/>
        <w:jc w:val="center"/>
        <w:rPr>
          <w:rFonts w:hint="eastAsia" w:ascii="仿宋_GB2312" w:hAnsi="仿宋_GB2312" w:eastAsia="仿宋_GB2312" w:cs="仿宋_GB2312"/>
          <w:w w:val="100"/>
          <w:sz w:val="32"/>
          <w:szCs w:val="32"/>
        </w:rPr>
      </w:pPr>
    </w:p>
    <w:p>
      <w:pPr>
        <w:ind w:firstLine="604" w:firstLineChars="189"/>
        <w:jc w:val="center"/>
        <w:rPr>
          <w:rFonts w:hint="eastAsia" w:ascii="仿宋_GB2312" w:hAnsi="仿宋_GB2312" w:eastAsia="仿宋_GB2312" w:cs="仿宋_GB2312"/>
          <w:w w:val="100"/>
          <w:sz w:val="32"/>
          <w:szCs w:val="32"/>
        </w:rPr>
      </w:pPr>
    </w:p>
    <w:p>
      <w:pPr>
        <w:pStyle w:val="13"/>
        <w:spacing w:line="360" w:lineRule="auto"/>
        <w:jc w:val="center"/>
        <w:rPr>
          <w:rFonts w:hint="eastAsia" w:ascii="仿宋_GB2312" w:hAnsi="仿宋_GB2312" w:eastAsia="仿宋_GB2312" w:cs="仿宋_GB2312"/>
          <w:w w:val="100"/>
          <w:sz w:val="32"/>
          <w:szCs w:val="32"/>
        </w:rPr>
      </w:pPr>
    </w:p>
    <w:p>
      <w:pPr>
        <w:pStyle w:val="13"/>
        <w:numPr>
          <w:ilvl w:val="0"/>
          <w:numId w:val="0"/>
        </w:numPr>
        <w:spacing w:line="360" w:lineRule="auto"/>
        <w:jc w:val="center"/>
        <w:rPr>
          <w:rFonts w:hint="eastAsia" w:ascii="方正小标宋简体" w:hAnsi="方正小标宋简体" w:eastAsia="方正小标宋简体" w:cs="方正小标宋简体"/>
          <w:w w:val="100"/>
          <w:sz w:val="52"/>
          <w:szCs w:val="52"/>
        </w:rPr>
      </w:pPr>
      <w:r>
        <w:rPr>
          <w:rFonts w:hint="eastAsia" w:ascii="方正小标宋简体" w:hAnsi="方正小标宋简体" w:eastAsia="方正小标宋简体" w:cs="方正小标宋简体"/>
          <w:color w:val="000000"/>
          <w:w w:val="100"/>
          <w:kern w:val="0"/>
          <w:sz w:val="52"/>
          <w:szCs w:val="52"/>
          <w:lang w:val="en-US" w:eastAsia="zh-CN" w:bidi="ar-SA"/>
        </w:rPr>
        <w:t xml:space="preserve">第四部分  </w:t>
      </w:r>
      <w:r>
        <w:rPr>
          <w:rFonts w:hint="eastAsia" w:ascii="方正小标宋简体" w:hAnsi="方正小标宋简体" w:eastAsia="方正小标宋简体" w:cs="方正小标宋简体"/>
          <w:w w:val="100"/>
          <w:sz w:val="52"/>
          <w:szCs w:val="52"/>
        </w:rPr>
        <w:t>名词解释</w:t>
      </w:r>
    </w:p>
    <w:p>
      <w:pPr>
        <w:pStyle w:val="13"/>
        <w:numPr>
          <w:ilvl w:val="0"/>
          <w:numId w:val="0"/>
        </w:numPr>
        <w:spacing w:line="360" w:lineRule="auto"/>
        <w:jc w:val="center"/>
        <w:rPr>
          <w:rFonts w:hint="eastAsia" w:ascii="方正小标宋简体" w:hAnsi="方正小标宋简体" w:eastAsia="方正小标宋简体" w:cs="方正小标宋简体"/>
          <w:w w:val="100"/>
          <w:sz w:val="52"/>
          <w:szCs w:val="52"/>
        </w:rPr>
      </w:pPr>
      <w:r>
        <w:rPr>
          <w:rFonts w:hint="eastAsia" w:ascii="方正小标宋简体" w:hAnsi="方正小标宋简体" w:eastAsia="方正小标宋简体" w:cs="方正小标宋简体"/>
          <w:w w:val="100"/>
          <w:sz w:val="52"/>
          <w:szCs w:val="52"/>
        </w:rPr>
        <w:br w:type="page"/>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lang w:val="en-US" w:eastAsia="zh-CN"/>
        </w:rPr>
        <w:t>一、</w:t>
      </w:r>
      <w:r>
        <w:rPr>
          <w:rFonts w:hint="eastAsia" w:ascii="黑体" w:hAnsi="黑体" w:eastAsia="黑体" w:cs="黑体"/>
          <w:w w:val="100"/>
          <w:sz w:val="32"/>
          <w:szCs w:val="32"/>
        </w:rPr>
        <w:t>机关运行经费：</w:t>
      </w:r>
      <w:r>
        <w:rPr>
          <w:rFonts w:hint="eastAsia" w:ascii="仿宋_GB2312" w:hAnsi="仿宋_GB2312" w:eastAsia="仿宋_GB2312" w:cs="仿宋_GB2312"/>
          <w:w w:val="100"/>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lang w:val="en-US" w:eastAsia="zh-CN"/>
        </w:rPr>
        <w:t>二、“三公”经费：</w:t>
      </w:r>
      <w:r>
        <w:rPr>
          <w:rFonts w:hint="eastAsia" w:ascii="仿宋_GB2312" w:hAnsi="仿宋_GB2312" w:eastAsia="仿宋_GB2312" w:cs="仿宋_GB2312"/>
          <w:w w:val="100"/>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lang w:val="en-US" w:eastAsia="zh-CN"/>
        </w:rPr>
        <w:t>三、一般公共预算财政拨款：</w:t>
      </w:r>
      <w:r>
        <w:rPr>
          <w:rFonts w:hint="eastAsia" w:ascii="仿宋_GB2312" w:hAnsi="仿宋_GB2312" w:eastAsia="仿宋_GB2312" w:cs="仿宋_GB2312"/>
          <w:w w:val="100"/>
          <w:sz w:val="32"/>
          <w:szCs w:val="32"/>
        </w:rPr>
        <w:t>指政府凭借国家政治权力，以社会管理者身份筹集以税收为主体的财政收入，用于保障和改善民生、维持国家行政职能正常行使、保障国家安全等方面的财政资金。</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lang w:val="en-US" w:eastAsia="zh-CN"/>
        </w:rPr>
        <w:t>四、基本支出：</w:t>
      </w:r>
      <w:r>
        <w:rPr>
          <w:rFonts w:hint="eastAsia" w:ascii="仿宋_GB2312" w:hAnsi="仿宋_GB2312" w:eastAsia="仿宋_GB2312" w:cs="仿宋_GB2312"/>
          <w:w w:val="100"/>
          <w:sz w:val="32"/>
          <w:szCs w:val="32"/>
        </w:rPr>
        <w:t>指为保障机构正常运转、完成日常工作任务而发生的人员支出和公用支出。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lang w:val="en-US" w:eastAsia="zh-CN"/>
        </w:rPr>
        <w:t>五、项目支出：</w:t>
      </w:r>
      <w:r>
        <w:rPr>
          <w:rFonts w:hint="eastAsia" w:ascii="仿宋_GB2312" w:hAnsi="仿宋_GB2312" w:eastAsia="仿宋_GB2312" w:cs="仿宋_GB2312"/>
          <w:w w:val="100"/>
          <w:sz w:val="32"/>
          <w:szCs w:val="32"/>
        </w:rPr>
        <w:t>指在基本支出之外为完成特定行政任务和事业发展目标所发生的支出。</w:t>
      </w:r>
    </w:p>
    <w:p>
      <w:pPr>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br w:type="page"/>
      </w:r>
    </w:p>
    <w:p>
      <w:pPr>
        <w:ind w:firstLine="604" w:firstLineChars="189"/>
        <w:jc w:val="center"/>
        <w:rPr>
          <w:rFonts w:hint="eastAsia" w:ascii="仿宋_GB2312" w:hAnsi="仿宋_GB2312" w:eastAsia="仿宋_GB2312" w:cs="仿宋_GB2312"/>
          <w:w w:val="100"/>
          <w:sz w:val="32"/>
          <w:szCs w:val="32"/>
        </w:rPr>
      </w:pPr>
    </w:p>
    <w:p>
      <w:pPr>
        <w:ind w:firstLine="604" w:firstLineChars="189"/>
        <w:jc w:val="center"/>
        <w:rPr>
          <w:rFonts w:hint="eastAsia" w:ascii="仿宋_GB2312" w:hAnsi="仿宋_GB2312" w:eastAsia="仿宋_GB2312" w:cs="仿宋_GB2312"/>
          <w:w w:val="100"/>
          <w:sz w:val="32"/>
          <w:szCs w:val="32"/>
        </w:rPr>
      </w:pPr>
    </w:p>
    <w:p>
      <w:pPr>
        <w:pStyle w:val="13"/>
        <w:spacing w:line="360" w:lineRule="auto"/>
        <w:jc w:val="center"/>
        <w:rPr>
          <w:rFonts w:hint="eastAsia" w:ascii="仿宋_GB2312" w:hAnsi="仿宋_GB2312" w:eastAsia="仿宋_GB2312" w:cs="仿宋_GB2312"/>
          <w:w w:val="100"/>
          <w:sz w:val="32"/>
          <w:szCs w:val="32"/>
        </w:rPr>
      </w:pPr>
    </w:p>
    <w:p>
      <w:pPr>
        <w:pStyle w:val="13"/>
        <w:numPr>
          <w:ilvl w:val="0"/>
          <w:numId w:val="0"/>
        </w:numPr>
        <w:spacing w:line="360" w:lineRule="auto"/>
        <w:jc w:val="center"/>
        <w:rPr>
          <w:rFonts w:hint="eastAsia" w:ascii="方正小标宋简体" w:hAnsi="方正小标宋简体" w:eastAsia="方正小标宋简体" w:cs="方正小标宋简体"/>
          <w:color w:val="000000"/>
          <w:w w:val="100"/>
          <w:kern w:val="0"/>
          <w:sz w:val="52"/>
          <w:szCs w:val="52"/>
          <w:lang w:val="en-US" w:eastAsia="zh-CN" w:bidi="ar-SA"/>
        </w:rPr>
      </w:pPr>
      <w:r>
        <w:rPr>
          <w:rFonts w:hint="eastAsia" w:ascii="方正小标宋简体" w:hAnsi="方正小标宋简体" w:eastAsia="方正小标宋简体" w:cs="方正小标宋简体"/>
          <w:color w:val="000000"/>
          <w:w w:val="100"/>
          <w:kern w:val="0"/>
          <w:sz w:val="52"/>
          <w:szCs w:val="52"/>
          <w:lang w:val="en-US" w:eastAsia="zh-CN" w:bidi="ar-SA"/>
        </w:rPr>
        <w:t>第五部分  附件</w:t>
      </w:r>
    </w:p>
    <w:p>
      <w:pPr>
        <w:ind w:firstLine="640" w:firstLineChars="200"/>
        <w:rPr>
          <w:rFonts w:hint="eastAsia" w:ascii="仿宋_GB2312" w:hAnsi="仿宋_GB2312" w:eastAsia="仿宋_GB2312" w:cs="仿宋_GB2312"/>
          <w:w w:val="100"/>
          <w:sz w:val="32"/>
          <w:szCs w:val="32"/>
          <w:lang w:eastAsia="zh-CN"/>
        </w:rPr>
      </w:pPr>
    </w:p>
    <w:p>
      <w:pPr>
        <w:ind w:firstLine="640" w:firstLineChars="200"/>
        <w:rPr>
          <w:rFonts w:hint="eastAsia" w:ascii="仿宋_GB2312" w:hAnsi="仿宋_GB2312" w:eastAsia="仿宋_GB2312" w:cs="仿宋_GB2312"/>
          <w:w w:val="100"/>
          <w:sz w:val="32"/>
          <w:szCs w:val="32"/>
          <w:lang w:eastAsia="zh-CN"/>
        </w:rPr>
      </w:pPr>
    </w:p>
    <w:p>
      <w:pPr>
        <w:ind w:firstLine="640" w:firstLineChars="200"/>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一、</w:t>
      </w:r>
      <w:r>
        <w:rPr>
          <w:rFonts w:hint="eastAsia" w:ascii="仿宋_GB2312" w:hAnsi="仿宋_GB2312" w:eastAsia="仿宋_GB2312" w:cs="仿宋_GB2312"/>
          <w:w w:val="100"/>
          <w:sz w:val="32"/>
          <w:szCs w:val="32"/>
        </w:rPr>
        <w:t>2024年度怀化市市场监督管理局（本级）部门整体支出绩效自评报告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二、</w:t>
      </w:r>
      <w:r>
        <w:rPr>
          <w:rFonts w:hint="eastAsia" w:ascii="仿宋_GB2312" w:hAnsi="仿宋_GB2312" w:eastAsia="仿宋_GB2312" w:cs="仿宋_GB2312"/>
          <w:w w:val="100"/>
          <w:sz w:val="32"/>
          <w:szCs w:val="32"/>
        </w:rPr>
        <w:t>2024年度怀化市市场监督管理局（本级）专项资金绩效自评报告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w w:val="100"/>
          <w:sz w:val="32"/>
          <w:szCs w:val="32"/>
        </w:rPr>
      </w:pPr>
      <w:bookmarkStart w:id="0" w:name="_GoBack"/>
      <w:r>
        <w:rPr>
          <w:rFonts w:hint="eastAsia" w:ascii="仿宋_GB2312" w:hAnsi="仿宋_GB2312" w:eastAsia="仿宋_GB2312" w:cs="仿宋_GB2312"/>
          <w:w w:val="100"/>
          <w:sz w:val="32"/>
          <w:szCs w:val="32"/>
          <w:lang w:eastAsia="zh-CN"/>
        </w:rPr>
        <w:t>三、</w:t>
      </w:r>
      <w:r>
        <w:rPr>
          <w:rFonts w:hint="eastAsia" w:ascii="仿宋_GB2312" w:hAnsi="仿宋_GB2312" w:eastAsia="仿宋_GB2312" w:cs="仿宋_GB2312"/>
          <w:spacing w:val="-6"/>
          <w:w w:val="100"/>
          <w:sz w:val="32"/>
          <w:szCs w:val="32"/>
        </w:rPr>
        <w:t>2024年度怀化市市场监督管理局（本级）部门决算表</w:t>
      </w:r>
    </w:p>
    <w:bookmarkEnd w:id="0"/>
    <w:p>
      <w:pPr>
        <w:rPr>
          <w:rFonts w:hint="eastAsia" w:ascii="仿宋_GB2312" w:hAnsi="仿宋_GB2312" w:eastAsia="仿宋_GB2312" w:cs="仿宋_GB2312"/>
          <w:sz w:val="32"/>
          <w:szCs w:val="32"/>
        </w:rPr>
      </w:pPr>
    </w:p>
    <w:sectPr>
      <w:pgSz w:w="11906" w:h="16838"/>
      <w:pgMar w:top="1440" w:right="1746" w:bottom="1440" w:left="174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798"/>
    <w:rsid w:val="00160798"/>
    <w:rsid w:val="00185641"/>
    <w:rsid w:val="00883244"/>
    <w:rsid w:val="00EB55C6"/>
    <w:rsid w:val="00EC3770"/>
    <w:rsid w:val="00EF3A9E"/>
    <w:rsid w:val="01C17819"/>
    <w:rsid w:val="2E913A0B"/>
    <w:rsid w:val="4F1056A7"/>
    <w:rsid w:val="527C7B44"/>
    <w:rsid w:val="5D3E76BD"/>
    <w:rsid w:val="6198112C"/>
    <w:rsid w:val="67551354"/>
    <w:rsid w:val="755C36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黑体" w:hAnsi="黑体" w:eastAsia="黑体" w:cstheme="minorBidi"/>
      <w:w w:val="200"/>
      <w:kern w:val="2"/>
      <w:sz w:val="44"/>
      <w:szCs w:val="22"/>
      <w:lang w:val="en-US" w:eastAsia="zh-CN" w:bidi="ar-SA"/>
    </w:rPr>
  </w:style>
  <w:style w:type="paragraph" w:styleId="2">
    <w:name w:val="heading 1"/>
    <w:basedOn w:val="1"/>
    <w:next w:val="1"/>
    <w:link w:val="9"/>
    <w:qFormat/>
    <w:uiPriority w:val="9"/>
    <w:pPr>
      <w:widowControl/>
      <w:spacing w:before="100" w:beforeAutospacing="1" w:after="100" w:afterAutospacing="1"/>
      <w:jc w:val="left"/>
      <w:outlineLvl w:val="0"/>
    </w:pPr>
    <w:rPr>
      <w:rFonts w:ascii="宋体" w:hAnsi="宋体" w:eastAsia="宋体" w:cs="宋体"/>
      <w:b/>
      <w:bCs/>
      <w:w w:val="100"/>
      <w:kern w:val="36"/>
      <w:sz w:val="48"/>
      <w:szCs w:val="48"/>
    </w:rPr>
  </w:style>
  <w:style w:type="paragraph" w:styleId="3">
    <w:name w:val="heading 2"/>
    <w:basedOn w:val="1"/>
    <w:next w:val="1"/>
    <w:link w:val="10"/>
    <w:qFormat/>
    <w:uiPriority w:val="9"/>
    <w:pPr>
      <w:widowControl/>
      <w:spacing w:before="100" w:beforeAutospacing="1" w:after="100" w:afterAutospacing="1"/>
      <w:jc w:val="left"/>
      <w:outlineLvl w:val="1"/>
    </w:pPr>
    <w:rPr>
      <w:rFonts w:ascii="宋体" w:hAnsi="宋体" w:eastAsia="宋体" w:cs="宋体"/>
      <w:b/>
      <w:bCs/>
      <w:w w:val="100"/>
      <w:kern w:val="0"/>
      <w:sz w:val="36"/>
      <w:szCs w:val="36"/>
    </w:rPr>
  </w:style>
  <w:style w:type="paragraph" w:styleId="4">
    <w:name w:val="heading 3"/>
    <w:basedOn w:val="1"/>
    <w:next w:val="1"/>
    <w:link w:val="11"/>
    <w:qFormat/>
    <w:uiPriority w:val="9"/>
    <w:pPr>
      <w:widowControl/>
      <w:spacing w:before="100" w:beforeAutospacing="1" w:after="100" w:afterAutospacing="1"/>
      <w:jc w:val="left"/>
      <w:outlineLvl w:val="2"/>
    </w:pPr>
    <w:rPr>
      <w:rFonts w:ascii="宋体" w:hAnsi="宋体" w:eastAsia="宋体" w:cs="宋体"/>
      <w:b/>
      <w:bCs/>
      <w:w w:val="100"/>
      <w:kern w:val="0"/>
      <w:sz w:val="27"/>
      <w:szCs w:val="27"/>
    </w:rPr>
  </w:style>
  <w:style w:type="paragraph" w:styleId="5">
    <w:name w:val="heading 4"/>
    <w:basedOn w:val="1"/>
    <w:next w:val="1"/>
    <w:link w:val="12"/>
    <w:qFormat/>
    <w:uiPriority w:val="9"/>
    <w:pPr>
      <w:widowControl/>
      <w:spacing w:before="100" w:beforeAutospacing="1" w:after="100" w:afterAutospacing="1"/>
      <w:jc w:val="left"/>
      <w:outlineLvl w:val="3"/>
    </w:pPr>
    <w:rPr>
      <w:rFonts w:ascii="宋体" w:hAnsi="宋体" w:eastAsia="宋体" w:cs="宋体"/>
      <w:b/>
      <w:bCs/>
      <w:w w:val="100"/>
      <w:kern w:val="0"/>
      <w:sz w:val="24"/>
      <w:szCs w:val="2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w w:val="100"/>
      <w:kern w:val="0"/>
      <w:sz w:val="24"/>
      <w:szCs w:val="24"/>
    </w:rPr>
  </w:style>
  <w:style w:type="character" w:customStyle="1" w:styleId="9">
    <w:name w:val="标题 1 Char"/>
    <w:basedOn w:val="8"/>
    <w:link w:val="2"/>
    <w:qFormat/>
    <w:uiPriority w:val="9"/>
    <w:rPr>
      <w:rFonts w:ascii="宋体" w:hAnsi="宋体" w:eastAsia="宋体" w:cs="宋体"/>
      <w:b/>
      <w:bCs/>
      <w:w w:val="100"/>
      <w:kern w:val="36"/>
      <w:sz w:val="48"/>
      <w:szCs w:val="48"/>
    </w:rPr>
  </w:style>
  <w:style w:type="character" w:customStyle="1" w:styleId="10">
    <w:name w:val="标题 2 Char"/>
    <w:basedOn w:val="8"/>
    <w:link w:val="3"/>
    <w:qFormat/>
    <w:uiPriority w:val="9"/>
    <w:rPr>
      <w:rFonts w:ascii="宋体" w:hAnsi="宋体" w:eastAsia="宋体" w:cs="宋体"/>
      <w:b/>
      <w:bCs/>
      <w:w w:val="100"/>
      <w:kern w:val="0"/>
      <w:sz w:val="36"/>
      <w:szCs w:val="36"/>
    </w:rPr>
  </w:style>
  <w:style w:type="character" w:customStyle="1" w:styleId="11">
    <w:name w:val="标题 3 Char"/>
    <w:basedOn w:val="8"/>
    <w:link w:val="4"/>
    <w:qFormat/>
    <w:uiPriority w:val="9"/>
    <w:rPr>
      <w:rFonts w:ascii="宋体" w:hAnsi="宋体" w:eastAsia="宋体" w:cs="宋体"/>
      <w:b/>
      <w:bCs/>
      <w:w w:val="100"/>
      <w:kern w:val="0"/>
      <w:sz w:val="27"/>
      <w:szCs w:val="27"/>
    </w:rPr>
  </w:style>
  <w:style w:type="character" w:customStyle="1" w:styleId="12">
    <w:name w:val="标题 4 Char"/>
    <w:basedOn w:val="8"/>
    <w:link w:val="5"/>
    <w:qFormat/>
    <w:uiPriority w:val="9"/>
    <w:rPr>
      <w:rFonts w:ascii="宋体" w:hAnsi="宋体" w:eastAsia="宋体" w:cs="宋体"/>
      <w:b/>
      <w:bCs/>
      <w:w w:val="100"/>
      <w:kern w:val="0"/>
      <w:sz w:val="24"/>
      <w:szCs w:val="24"/>
    </w:rPr>
  </w:style>
  <w:style w:type="paragraph" w:customStyle="1" w:styleId="13">
    <w:name w:val="Default"/>
    <w:basedOn w:val="1"/>
    <w:qFormat/>
    <w:uiPriority w:val="0"/>
    <w:pPr>
      <w:autoSpaceDE w:val="0"/>
      <w:autoSpaceDN w:val="0"/>
      <w:adjustRightInd w:val="0"/>
      <w:jc w:val="left"/>
    </w:pPr>
    <w:rPr>
      <w:rFonts w:hAnsi="Calibri" w:cs="宋体"/>
      <w:color w:val="000000"/>
      <w:w w:val="100"/>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41</Pages>
  <Words>6136</Words>
  <Characters>7632</Characters>
  <Lines>88</Lines>
  <Paragraphs>24</Paragraphs>
  <TotalTime>0</TotalTime>
  <ScaleCrop>false</ScaleCrop>
  <LinksUpToDate>false</LinksUpToDate>
  <CharactersWithSpaces>8385</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2025-09-16T19:54:00Z</dcterms:created>
  <dc:creator>Administrator</dc:creator>
  <cp:lastModifiedBy>影子</cp:lastModifiedBy>
  <dcterms:modified xsi:type="dcterms:W3CDTF">2025-09-24T03:18:34Z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eyJoZGlkIjoiZDFiNmM1ZjgwMDI1M2M0MGE2OWRhMjJiNjQ1YjdlZTUiLCJ1c2VySWQiOiIzOTg0NDg0NjMifQ==</vt:lpwstr>
  </property>
  <property fmtid="{D5CDD505-2E9C-101B-9397-08002B2CF9AE}" pid="3" name="KSOProductBuildVer">
    <vt:lpwstr>2052-11.1.0.9828</vt:lpwstr>
  </property>
  <property fmtid="{D5CDD505-2E9C-101B-9397-08002B2CF9AE}" pid="4" name="ICV">
    <vt:lpwstr>F727744195D544DF846E54AFB5AAE615_13</vt:lpwstr>
  </property>
</Properties>
</file>