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0CD50">
      <w:pPr>
        <w:pStyle w:val="12"/>
        <w:jc w:val="both"/>
        <w:rPr>
          <w:rFonts w:hAnsi="黑体"/>
          <w:sz w:val="36"/>
          <w:szCs w:val="36"/>
        </w:rPr>
      </w:pPr>
      <w:r>
        <w:rPr>
          <w:rFonts w:hint="eastAsia" w:hAnsi="黑体"/>
          <w:sz w:val="36"/>
          <w:szCs w:val="36"/>
        </w:rPr>
        <w:t>附件1</w:t>
      </w:r>
    </w:p>
    <w:p w14:paraId="107B71A6">
      <w:pPr>
        <w:pStyle w:val="12"/>
        <w:jc w:val="center"/>
        <w:rPr>
          <w:rFonts w:ascii="Times New Roman" w:hAnsi="Times New Roman" w:cs="Times New Roman"/>
          <w:sz w:val="56"/>
          <w:szCs w:val="56"/>
        </w:rPr>
      </w:pPr>
    </w:p>
    <w:p w14:paraId="7DC49962">
      <w:pPr>
        <w:pStyle w:val="12"/>
        <w:jc w:val="center"/>
        <w:rPr>
          <w:rFonts w:ascii="Times New Roman" w:hAnsi="Times New Roman" w:cs="Times New Roman"/>
          <w:sz w:val="84"/>
          <w:szCs w:val="84"/>
        </w:rPr>
      </w:pPr>
    </w:p>
    <w:p w14:paraId="5808D737">
      <w:pPr>
        <w:pStyle w:val="12"/>
        <w:jc w:val="center"/>
        <w:rPr>
          <w:rFonts w:ascii="Times New Roman" w:hAnsi="Times New Roman" w:cs="Times New Roman"/>
          <w:sz w:val="84"/>
          <w:szCs w:val="84"/>
        </w:rPr>
      </w:pPr>
    </w:p>
    <w:p w14:paraId="369B40FC">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8B73DB7">
      <w:pPr>
        <w:pStyle w:val="12"/>
        <w:jc w:val="center"/>
        <w:rPr>
          <w:rFonts w:hint="eastAsia" w:ascii="Times New Roman" w:hAnsi="Times New Roman" w:eastAsia="方正小标宋简体" w:cs="Times New Roman"/>
          <w:spacing w:val="0"/>
          <w:sz w:val="72"/>
          <w:szCs w:val="72"/>
          <w:lang w:eastAsia="zh-CN"/>
        </w:rPr>
      </w:pPr>
      <w:r>
        <w:rPr>
          <w:rFonts w:hint="eastAsia" w:ascii="Times New Roman" w:hAnsi="Times New Roman" w:eastAsia="方正小标宋简体" w:cs="Times New Roman"/>
          <w:spacing w:val="0"/>
          <w:sz w:val="72"/>
          <w:szCs w:val="72"/>
          <w:lang w:eastAsia="zh-CN"/>
        </w:rPr>
        <w:t>怀化市市场监督管理局</w:t>
      </w:r>
    </w:p>
    <w:p w14:paraId="2BFE7A5F">
      <w:pPr>
        <w:pStyle w:val="12"/>
        <w:jc w:val="cente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r>
        <w:rPr>
          <w:rFonts w:hint="eastAsia" w:ascii="Times New Roman" w:hAnsi="Times New Roman" w:eastAsia="方正小标宋简体" w:cs="Times New Roman"/>
          <w:spacing w:val="0"/>
          <w:sz w:val="72"/>
          <w:szCs w:val="72"/>
          <w:lang w:eastAsia="zh-CN"/>
        </w:rPr>
        <w:t>直属二局</w:t>
      </w:r>
      <w:r>
        <w:rPr>
          <w:rFonts w:ascii="Times New Roman" w:hAnsi="Times New Roman" w:eastAsia="方正小标宋简体" w:cs="Times New Roman"/>
          <w:sz w:val="72"/>
          <w:szCs w:val="72"/>
        </w:rPr>
        <w:t>部门决算</w:t>
      </w:r>
    </w:p>
    <w:p w14:paraId="354F2BA6">
      <w:pPr>
        <w:pStyle w:val="12"/>
        <w:spacing w:line="600" w:lineRule="exact"/>
        <w:jc w:val="both"/>
        <w:rPr>
          <w:rFonts w:ascii="Times New Roman" w:hAnsi="Times New Roman" w:cs="Times New Roman"/>
          <w:b/>
          <w:sz w:val="36"/>
          <w:szCs w:val="28"/>
        </w:rPr>
      </w:pPr>
    </w:p>
    <w:p w14:paraId="2EE1D83B">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5A2F197">
      <w:pPr>
        <w:pStyle w:val="12"/>
        <w:spacing w:line="600" w:lineRule="exact"/>
        <w:jc w:val="center"/>
        <w:rPr>
          <w:rFonts w:ascii="Times New Roman" w:hAnsi="Times New Roman" w:cs="Times New Roman"/>
          <w:b/>
          <w:sz w:val="36"/>
          <w:szCs w:val="28"/>
        </w:rPr>
      </w:pPr>
    </w:p>
    <w:p w14:paraId="0F4F0C1A">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怀化市市场监督管理局直属二局</w:t>
      </w:r>
      <w:r>
        <w:rPr>
          <w:rFonts w:ascii="Times New Roman" w:hAnsi="Times New Roman" w:cs="Times New Roman"/>
          <w:bCs/>
          <w:sz w:val="32"/>
          <w:szCs w:val="32"/>
        </w:rPr>
        <w:t>概况</w:t>
      </w:r>
    </w:p>
    <w:p w14:paraId="03101F4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AF438B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7EA9BF2">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0104686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435130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217069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BC1DF3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8698D8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2C464F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952C91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2AD5D5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ECD8E4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4DA412C">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46F0FE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88B7DE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51367F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488E1D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5814F9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8B8A062">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4FD0785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5A7E86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55B250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5A9646A">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lang w:eastAsia="zh-CN"/>
        </w:rPr>
        <w:t>九、国有资本经营预算收入支出决算情况说明</w:t>
      </w:r>
    </w:p>
    <w:p w14:paraId="1D78567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14:paraId="20645B4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519049F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09CBFBA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388F4AC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182F2C80">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3B15FC80">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34F4A7F">
      <w:pPr>
        <w:pStyle w:val="12"/>
        <w:spacing w:line="600" w:lineRule="exact"/>
        <w:rPr>
          <w:rFonts w:ascii="Times New Roman" w:hAnsi="Times New Roman" w:cs="Times New Roman"/>
          <w:bCs/>
          <w:sz w:val="28"/>
          <w:szCs w:val="28"/>
        </w:rPr>
      </w:pPr>
    </w:p>
    <w:p w14:paraId="791C0C8F">
      <w:pPr>
        <w:jc w:val="center"/>
        <w:rPr>
          <w:rFonts w:ascii="Times New Roman" w:hAnsi="Times New Roman" w:cs="Times New Roman"/>
          <w:sz w:val="72"/>
          <w:szCs w:val="72"/>
        </w:rPr>
      </w:pPr>
    </w:p>
    <w:p w14:paraId="18341DB7">
      <w:pPr>
        <w:jc w:val="center"/>
        <w:rPr>
          <w:rFonts w:ascii="Times New Roman" w:hAnsi="Times New Roman" w:cs="Times New Roman"/>
          <w:sz w:val="72"/>
          <w:szCs w:val="72"/>
        </w:rPr>
      </w:pPr>
    </w:p>
    <w:p w14:paraId="31CFD19E">
      <w:pPr>
        <w:jc w:val="center"/>
        <w:rPr>
          <w:rFonts w:ascii="Times New Roman" w:hAnsi="Times New Roman" w:cs="Times New Roman"/>
          <w:sz w:val="72"/>
          <w:szCs w:val="72"/>
        </w:rPr>
      </w:pPr>
    </w:p>
    <w:p w14:paraId="0E335D08">
      <w:pPr>
        <w:pStyle w:val="2"/>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268DA506">
      <w:pPr>
        <w:rPr>
          <w:rFonts w:ascii="Times New Roman" w:hAnsi="Times New Roman" w:eastAsia="方正小标宋_GBK" w:cs="Times New Roman"/>
          <w:sz w:val="72"/>
          <w:szCs w:val="72"/>
        </w:rPr>
      </w:pPr>
    </w:p>
    <w:p w14:paraId="4A23D491">
      <w:pPr>
        <w:pStyle w:val="12"/>
        <w:spacing w:line="360" w:lineRule="auto"/>
        <w:jc w:val="center"/>
        <w:rPr>
          <w:rFonts w:ascii="Times New Roman" w:hAnsi="Times New Roman" w:eastAsia="方正小标宋_GBK" w:cs="Times New Roman"/>
          <w:sz w:val="52"/>
          <w:szCs w:val="52"/>
        </w:rPr>
      </w:pPr>
    </w:p>
    <w:p w14:paraId="1046FFF3">
      <w:pPr>
        <w:pStyle w:val="12"/>
        <w:spacing w:line="360" w:lineRule="auto"/>
        <w:jc w:val="center"/>
        <w:rPr>
          <w:rFonts w:ascii="Times New Roman" w:hAnsi="Times New Roman" w:eastAsia="方正小标宋_GBK" w:cs="Times New Roman"/>
          <w:sz w:val="52"/>
          <w:szCs w:val="52"/>
        </w:rPr>
      </w:pPr>
    </w:p>
    <w:p w14:paraId="7A69E33B">
      <w:pPr>
        <w:pStyle w:val="12"/>
        <w:spacing w:line="360" w:lineRule="auto"/>
        <w:jc w:val="center"/>
        <w:rPr>
          <w:rFonts w:ascii="Times New Roman" w:hAnsi="Times New Roman" w:eastAsia="方正小标宋_GBK" w:cs="Times New Roman"/>
          <w:sz w:val="52"/>
          <w:szCs w:val="52"/>
        </w:rPr>
      </w:pPr>
    </w:p>
    <w:p w14:paraId="6ECA2498">
      <w:pPr>
        <w:pStyle w:val="12"/>
        <w:spacing w:line="360" w:lineRule="auto"/>
        <w:jc w:val="center"/>
        <w:rPr>
          <w:rFonts w:ascii="Times New Roman" w:hAnsi="Times New Roman" w:eastAsia="方正小标宋_GBK" w:cs="Times New Roman"/>
          <w:sz w:val="52"/>
          <w:szCs w:val="52"/>
        </w:rPr>
      </w:pPr>
    </w:p>
    <w:p w14:paraId="782C2632">
      <w:pPr>
        <w:pStyle w:val="12"/>
        <w:spacing w:line="360" w:lineRule="auto"/>
        <w:jc w:val="center"/>
        <w:rPr>
          <w:rFonts w:ascii="Times New Roman" w:hAnsi="Times New Roman" w:eastAsia="方正小标宋_GBK" w:cs="Times New Roman"/>
          <w:sz w:val="52"/>
          <w:szCs w:val="52"/>
        </w:rPr>
      </w:pPr>
    </w:p>
    <w:p w14:paraId="53805CDC">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6382BD1">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怀化市市场监督管理局直属二局</w:t>
      </w:r>
      <w:r>
        <w:rPr>
          <w:rFonts w:ascii="Times New Roman" w:hAnsi="Times New Roman" w:eastAsia="方正小标宋_GBK" w:cs="Times New Roman"/>
          <w:sz w:val="52"/>
          <w:szCs w:val="52"/>
        </w:rPr>
        <w:t>概况</w:t>
      </w:r>
    </w:p>
    <w:p w14:paraId="33583E10">
      <w:pPr>
        <w:pStyle w:val="3"/>
        <w:ind w:left="0" w:leftChars="0" w:firstLine="0" w:firstLineChars="0"/>
        <w:rPr>
          <w:rFonts w:ascii="Times New Roman" w:hAnsi="Times New Roman" w:cs="Times New Roman"/>
        </w:rPr>
      </w:pPr>
    </w:p>
    <w:p w14:paraId="1BAB2116">
      <w:pPr>
        <w:pStyle w:val="13"/>
        <w:spacing w:line="600" w:lineRule="exact"/>
        <w:ind w:firstLine="0" w:firstLineChars="0"/>
        <w:jc w:val="left"/>
        <w:rPr>
          <w:rFonts w:hint="eastAsia" w:ascii="Times New Roman" w:hAnsi="Times New Roman" w:eastAsia="黑体" w:cs="Times New Roman"/>
          <w:sz w:val="32"/>
          <w:szCs w:val="32"/>
        </w:rPr>
      </w:pPr>
    </w:p>
    <w:p w14:paraId="1E35A345">
      <w:pPr>
        <w:pStyle w:val="13"/>
        <w:spacing w:line="600" w:lineRule="exact"/>
        <w:ind w:firstLine="0" w:firstLineChars="0"/>
        <w:jc w:val="left"/>
        <w:rPr>
          <w:rFonts w:hint="eastAsia" w:ascii="Times New Roman" w:hAnsi="Times New Roman" w:eastAsia="黑体" w:cs="Times New Roman"/>
          <w:sz w:val="32"/>
          <w:szCs w:val="32"/>
        </w:rPr>
      </w:pPr>
    </w:p>
    <w:p w14:paraId="1DB7A488">
      <w:pPr>
        <w:pStyle w:val="13"/>
        <w:spacing w:line="600" w:lineRule="exact"/>
        <w:ind w:firstLine="0" w:firstLineChars="0"/>
        <w:jc w:val="left"/>
        <w:rPr>
          <w:rFonts w:hint="eastAsia" w:ascii="Times New Roman" w:hAnsi="Times New Roman" w:eastAsia="黑体" w:cs="Times New Roman"/>
          <w:sz w:val="32"/>
          <w:szCs w:val="32"/>
        </w:rPr>
      </w:pPr>
    </w:p>
    <w:p w14:paraId="43B1807C">
      <w:pPr>
        <w:pStyle w:val="13"/>
        <w:spacing w:line="600" w:lineRule="exact"/>
        <w:ind w:firstLine="0" w:firstLineChars="0"/>
        <w:jc w:val="left"/>
        <w:rPr>
          <w:rFonts w:hint="eastAsia" w:ascii="Times New Roman" w:hAnsi="Times New Roman" w:eastAsia="黑体" w:cs="Times New Roman"/>
          <w:sz w:val="32"/>
          <w:szCs w:val="32"/>
        </w:rPr>
      </w:pPr>
    </w:p>
    <w:p w14:paraId="50A9A914">
      <w:pPr>
        <w:pStyle w:val="13"/>
        <w:spacing w:line="600" w:lineRule="exact"/>
        <w:ind w:firstLine="0" w:firstLineChars="0"/>
        <w:jc w:val="left"/>
        <w:rPr>
          <w:rFonts w:hint="eastAsia" w:ascii="Times New Roman" w:hAnsi="Times New Roman" w:eastAsia="黑体" w:cs="Times New Roman"/>
          <w:sz w:val="32"/>
          <w:szCs w:val="32"/>
        </w:rPr>
      </w:pPr>
    </w:p>
    <w:p w14:paraId="3363BD9A">
      <w:pPr>
        <w:pStyle w:val="13"/>
        <w:spacing w:line="600" w:lineRule="exact"/>
        <w:ind w:firstLine="0" w:firstLineChars="0"/>
        <w:jc w:val="left"/>
        <w:rPr>
          <w:rFonts w:hint="eastAsia" w:ascii="Times New Roman" w:hAnsi="Times New Roman" w:eastAsia="黑体" w:cs="Times New Roman"/>
          <w:sz w:val="32"/>
          <w:szCs w:val="32"/>
        </w:rPr>
      </w:pPr>
    </w:p>
    <w:p w14:paraId="1BC31CB7">
      <w:pPr>
        <w:pStyle w:val="13"/>
        <w:spacing w:line="600" w:lineRule="exact"/>
        <w:ind w:firstLine="0" w:firstLineChars="0"/>
        <w:jc w:val="left"/>
        <w:rPr>
          <w:rFonts w:hint="eastAsia" w:ascii="Times New Roman" w:hAnsi="Times New Roman" w:eastAsia="黑体" w:cs="Times New Roman"/>
          <w:sz w:val="32"/>
          <w:szCs w:val="32"/>
        </w:rPr>
      </w:pPr>
    </w:p>
    <w:p w14:paraId="45DB62E4">
      <w:pPr>
        <w:pStyle w:val="13"/>
        <w:spacing w:line="600" w:lineRule="exact"/>
        <w:ind w:firstLine="0" w:firstLineChars="0"/>
        <w:jc w:val="left"/>
        <w:rPr>
          <w:rFonts w:hint="eastAsia" w:ascii="Times New Roman" w:hAnsi="Times New Roman" w:eastAsia="黑体" w:cs="Times New Roman"/>
          <w:sz w:val="32"/>
          <w:szCs w:val="32"/>
        </w:rPr>
      </w:pPr>
    </w:p>
    <w:p w14:paraId="70224BFB">
      <w:pPr>
        <w:pStyle w:val="13"/>
        <w:spacing w:line="600" w:lineRule="exact"/>
        <w:ind w:firstLine="0" w:firstLineChars="0"/>
        <w:jc w:val="left"/>
        <w:rPr>
          <w:rFonts w:hint="eastAsia" w:ascii="Times New Roman" w:hAnsi="Times New Roman" w:eastAsia="黑体" w:cs="Times New Roman"/>
          <w:sz w:val="32"/>
          <w:szCs w:val="32"/>
        </w:rPr>
      </w:pPr>
    </w:p>
    <w:p w14:paraId="40E4D43E">
      <w:pPr>
        <w:pStyle w:val="13"/>
        <w:spacing w:line="600" w:lineRule="exact"/>
        <w:ind w:firstLine="0" w:firstLineChars="0"/>
        <w:jc w:val="left"/>
        <w:rPr>
          <w:rFonts w:hint="eastAsia" w:ascii="Times New Roman" w:hAnsi="Times New Roman" w:eastAsia="黑体" w:cs="Times New Roman"/>
          <w:sz w:val="32"/>
          <w:szCs w:val="32"/>
        </w:rPr>
      </w:pPr>
    </w:p>
    <w:p w14:paraId="2B5B5D73">
      <w:pPr>
        <w:pStyle w:val="13"/>
        <w:spacing w:line="600" w:lineRule="exact"/>
        <w:ind w:firstLine="0" w:firstLineChars="0"/>
        <w:jc w:val="left"/>
        <w:rPr>
          <w:rFonts w:hint="eastAsia" w:ascii="Times New Roman" w:hAnsi="Times New Roman" w:eastAsia="黑体" w:cs="Times New Roman"/>
          <w:sz w:val="32"/>
          <w:szCs w:val="32"/>
        </w:rPr>
      </w:pPr>
    </w:p>
    <w:p w14:paraId="354FD996">
      <w:pPr>
        <w:pStyle w:val="13"/>
        <w:spacing w:line="600" w:lineRule="exact"/>
        <w:ind w:firstLine="0" w:firstLineChars="0"/>
        <w:jc w:val="left"/>
        <w:rPr>
          <w:rFonts w:hint="eastAsia" w:ascii="Times New Roman" w:hAnsi="Times New Roman" w:eastAsia="黑体" w:cs="Times New Roman"/>
          <w:sz w:val="32"/>
          <w:szCs w:val="32"/>
        </w:rPr>
      </w:pPr>
    </w:p>
    <w:p w14:paraId="755C185C">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5E02F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1.负责分局辖区市场监督管理和行政执法的有关工作。</w:t>
      </w:r>
    </w:p>
    <w:p w14:paraId="1A297BF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2.负责分局辖区各类企业、农民专业合作社和从事经营活动的单位、个人等市场主体的登记注册并监督管理，承担依法查处取缔无照经营的责任。</w:t>
      </w:r>
    </w:p>
    <w:p w14:paraId="563849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3.承担依法规范和维护各类市场经营秩序的责任，负责监督管理市场交易行为和网络商品交易及有关服务的行为。</w:t>
      </w:r>
    </w:p>
    <w:p w14:paraId="599076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4.承担监督管理流通领域商品质量的责任，组织开展有关服务领域消费维权工作，按分工查处假冒伪劣等违法行为，指导消费者咨询、申诉、举报受理处理和网络体系建设等工作，保护经营者、消费者合法权益。</w:t>
      </w:r>
    </w:p>
    <w:p w14:paraId="718C71D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5.承担查处违法直销和传销案件的责任，依法监督管理直销企业和直销员及其直销活动。</w:t>
      </w:r>
    </w:p>
    <w:p w14:paraId="59E44C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6.依法查处不正当竞争、商业贿赂、走私贩私等经济违法行为。</w:t>
      </w:r>
    </w:p>
    <w:p w14:paraId="0DBF0B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7.负责依法监督管理经纪人、经纪机构及经纪活动。</w:t>
      </w:r>
    </w:p>
    <w:p w14:paraId="2061AB9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8.依法实施合同行政监督管理，负责管理股权出质登记、动产抵押物登记，组织监督管理拍卖行为，负责依法查处合同欺诈等违法行为。     </w:t>
      </w:r>
    </w:p>
    <w:p w14:paraId="3530F1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9.指导分局辖区广告业发展，负责广告活动的监督管理工作。</w:t>
      </w:r>
    </w:p>
    <w:p w14:paraId="39ECA0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10.负责商标监督管理工作，依法保护商标专用权和查处商标侵权行为，协调处理商标争议事宜，加强中国驰名商标、省著名商标的保护工作。负责特殊标志、官方标志的保护。</w:t>
      </w:r>
    </w:p>
    <w:p w14:paraId="089DE1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11.组织指导企业、个体工商户、商品交易市场信用分类管理，研究分析并依法发布市场主体登记注册基础信息，为政府决策和社会公众提供相关信息服务。</w:t>
      </w:r>
    </w:p>
    <w:p w14:paraId="4651F0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12.负责个体工商户、私营企业经营行为的服务和监督管理。</w:t>
      </w:r>
    </w:p>
    <w:p w14:paraId="39EAB5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13.承办市局及经开区管委会交办的其他事项。</w:t>
      </w:r>
    </w:p>
    <w:p w14:paraId="52CDC617">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F0B3C89">
      <w:pPr>
        <w:widowControl/>
        <w:spacing w:line="600" w:lineRule="exact"/>
        <w:ind w:firstLine="640" w:firstLineChars="200"/>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市场监督管理局直属二局作为二级部门预算单位，内设股室为：办公室、信用监管股、登记注册股、特种设备安全监管股、价格监督检查和反不正当竞争股、药械化监管股、食品安全监督管理股、河西市场监管所（消费者权益保护股）。</w:t>
      </w:r>
    </w:p>
    <w:p w14:paraId="49E74F30">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怀化市市场监督管理局直属二局</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怀化市市场监督管理局直属二局</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6A6A4FED">
      <w:pPr>
        <w:jc w:val="center"/>
        <w:rPr>
          <w:rFonts w:ascii="Times New Roman" w:hAnsi="Times New Roman" w:eastAsia="黑体" w:cs="Times New Roman"/>
          <w:sz w:val="28"/>
          <w:szCs w:val="28"/>
        </w:rPr>
      </w:pPr>
    </w:p>
    <w:p w14:paraId="63336AC7">
      <w:pPr>
        <w:jc w:val="center"/>
        <w:rPr>
          <w:rFonts w:ascii="Times New Roman" w:hAnsi="Times New Roman" w:eastAsia="黑体" w:cs="Times New Roman"/>
          <w:sz w:val="28"/>
          <w:szCs w:val="28"/>
        </w:rPr>
      </w:pPr>
    </w:p>
    <w:p w14:paraId="7F3E0757">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070747FC">
      <w:pPr>
        <w:pStyle w:val="12"/>
        <w:jc w:val="center"/>
        <w:rPr>
          <w:rFonts w:ascii="Times New Roman" w:hAnsi="Times New Roman" w:eastAsia="方正小标宋_GBK" w:cs="Times New Roman"/>
          <w:sz w:val="52"/>
          <w:szCs w:val="52"/>
        </w:rPr>
      </w:pPr>
    </w:p>
    <w:p w14:paraId="47F8D2F7">
      <w:pPr>
        <w:pStyle w:val="12"/>
        <w:jc w:val="center"/>
        <w:rPr>
          <w:rFonts w:ascii="Times New Roman" w:hAnsi="Times New Roman" w:eastAsia="方正小标宋_GBK" w:cs="Times New Roman"/>
          <w:sz w:val="52"/>
          <w:szCs w:val="52"/>
        </w:rPr>
      </w:pPr>
    </w:p>
    <w:p w14:paraId="4DA6BA84">
      <w:pPr>
        <w:pStyle w:val="12"/>
        <w:jc w:val="center"/>
        <w:rPr>
          <w:rFonts w:ascii="Times New Roman" w:hAnsi="Times New Roman" w:eastAsia="方正小标宋_GBK" w:cs="Times New Roman"/>
          <w:sz w:val="52"/>
          <w:szCs w:val="52"/>
        </w:rPr>
      </w:pPr>
    </w:p>
    <w:p w14:paraId="1DF87573">
      <w:pPr>
        <w:pStyle w:val="12"/>
        <w:jc w:val="center"/>
        <w:rPr>
          <w:rFonts w:ascii="Times New Roman" w:hAnsi="Times New Roman" w:eastAsia="方正小标宋_GBK" w:cs="Times New Roman"/>
          <w:sz w:val="52"/>
          <w:szCs w:val="52"/>
        </w:rPr>
      </w:pPr>
    </w:p>
    <w:p w14:paraId="15542CF7">
      <w:pPr>
        <w:pStyle w:val="12"/>
        <w:jc w:val="center"/>
        <w:rPr>
          <w:rFonts w:ascii="Times New Roman" w:hAnsi="Times New Roman" w:eastAsia="方正小标宋_GBK" w:cs="Times New Roman"/>
          <w:sz w:val="52"/>
          <w:szCs w:val="52"/>
        </w:rPr>
      </w:pPr>
    </w:p>
    <w:p w14:paraId="3E9395F3">
      <w:pPr>
        <w:pStyle w:val="12"/>
        <w:numPr>
          <w:ilvl w:val="0"/>
          <w:numId w:val="1"/>
        </w:num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2384E1A7">
      <w:pPr>
        <w:pStyle w:val="12"/>
        <w:numPr>
          <w:ilvl w:val="0"/>
          <w:numId w:val="0"/>
        </w:num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部门决算表</w:t>
      </w:r>
    </w:p>
    <w:p w14:paraId="4224D199">
      <w:pPr>
        <w:pStyle w:val="12"/>
        <w:numPr>
          <w:ilvl w:val="0"/>
          <w:numId w:val="0"/>
        </w:numPr>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（见附件</w:t>
      </w:r>
      <w:r>
        <w:rPr>
          <w:rFonts w:hint="eastAsia" w:ascii="Times New Roman" w:hAnsi="Times New Roman" w:eastAsia="方正小标宋_GBK" w:cs="Times New Roman"/>
          <w:sz w:val="52"/>
          <w:szCs w:val="52"/>
          <w:lang w:val="en-US" w:eastAsia="zh-CN"/>
        </w:rPr>
        <w:t>1</w:t>
      </w:r>
      <w:r>
        <w:rPr>
          <w:rFonts w:hint="eastAsia" w:ascii="Times New Roman" w:hAnsi="Times New Roman" w:eastAsia="方正小标宋_GBK" w:cs="Times New Roman"/>
          <w:sz w:val="52"/>
          <w:szCs w:val="52"/>
          <w:lang w:eastAsia="zh-CN"/>
        </w:rPr>
        <w:t>）</w:t>
      </w:r>
    </w:p>
    <w:p w14:paraId="7E168EF3">
      <w:pPr>
        <w:pStyle w:val="12"/>
        <w:rPr>
          <w:rFonts w:ascii="Times New Roman" w:hAnsi="Times New Roman" w:cs="Times New Roman"/>
          <w:sz w:val="72"/>
          <w:szCs w:val="72"/>
        </w:rPr>
      </w:pPr>
    </w:p>
    <w:p w14:paraId="2E4A3C4B">
      <w:pPr>
        <w:pStyle w:val="12"/>
        <w:rPr>
          <w:rFonts w:ascii="Times New Roman" w:hAnsi="Times New Roman" w:cs="Times New Roman"/>
          <w:sz w:val="72"/>
          <w:szCs w:val="72"/>
        </w:rPr>
      </w:pPr>
    </w:p>
    <w:p w14:paraId="7C212CF7">
      <w:pPr>
        <w:pStyle w:val="12"/>
        <w:rPr>
          <w:rFonts w:ascii="Times New Roman" w:hAnsi="Times New Roman" w:cs="Times New Roman"/>
          <w:sz w:val="72"/>
          <w:szCs w:val="72"/>
        </w:rPr>
      </w:pPr>
    </w:p>
    <w:p w14:paraId="29EBEE77">
      <w:pPr>
        <w:pStyle w:val="12"/>
        <w:rPr>
          <w:rFonts w:ascii="Times New Roman" w:hAnsi="Times New Roman" w:cs="Times New Roman"/>
          <w:sz w:val="72"/>
          <w:szCs w:val="72"/>
        </w:rPr>
      </w:pPr>
    </w:p>
    <w:p w14:paraId="50E7CD29">
      <w:pPr>
        <w:pStyle w:val="12"/>
        <w:rPr>
          <w:rFonts w:ascii="Times New Roman" w:hAnsi="Times New Roman" w:cs="Times New Roman"/>
          <w:sz w:val="72"/>
          <w:szCs w:val="72"/>
        </w:rPr>
      </w:pPr>
    </w:p>
    <w:p w14:paraId="4F4BDD74">
      <w:pPr>
        <w:pStyle w:val="12"/>
        <w:rPr>
          <w:rFonts w:ascii="Times New Roman" w:hAnsi="Times New Roman" w:cs="Times New Roman"/>
          <w:sz w:val="72"/>
          <w:szCs w:val="72"/>
        </w:rPr>
      </w:pPr>
    </w:p>
    <w:p w14:paraId="5766878B">
      <w:pPr>
        <w:pStyle w:val="12"/>
        <w:rPr>
          <w:rFonts w:ascii="Times New Roman" w:hAnsi="Times New Roman" w:cs="Times New Roman"/>
          <w:sz w:val="72"/>
          <w:szCs w:val="72"/>
        </w:rPr>
      </w:pPr>
    </w:p>
    <w:p w14:paraId="2331AA99">
      <w:pPr>
        <w:pStyle w:val="12"/>
        <w:rPr>
          <w:rFonts w:ascii="Times New Roman" w:hAnsi="Times New Roman" w:cs="Times New Roman"/>
          <w:sz w:val="72"/>
          <w:szCs w:val="72"/>
        </w:rPr>
      </w:pPr>
    </w:p>
    <w:p w14:paraId="0AE2B742">
      <w:pPr>
        <w:pStyle w:val="12"/>
        <w:rPr>
          <w:rFonts w:ascii="Times New Roman" w:hAnsi="Times New Roman" w:cs="Times New Roman"/>
          <w:sz w:val="72"/>
          <w:szCs w:val="72"/>
        </w:rPr>
      </w:pPr>
    </w:p>
    <w:p w14:paraId="53A3E712">
      <w:pPr>
        <w:pStyle w:val="12"/>
        <w:rPr>
          <w:rFonts w:ascii="Times New Roman" w:hAnsi="Times New Roman" w:cs="Times New Roman"/>
          <w:sz w:val="72"/>
          <w:szCs w:val="72"/>
        </w:rPr>
      </w:pPr>
    </w:p>
    <w:p w14:paraId="0F24C87D">
      <w:pPr>
        <w:pStyle w:val="12"/>
        <w:rPr>
          <w:rFonts w:ascii="Times New Roman" w:hAnsi="Times New Roman" w:cs="Times New Roman"/>
          <w:sz w:val="72"/>
          <w:szCs w:val="72"/>
        </w:rPr>
      </w:pPr>
    </w:p>
    <w:p w14:paraId="0A7047CC">
      <w:pPr>
        <w:pStyle w:val="12"/>
        <w:rPr>
          <w:rFonts w:ascii="Times New Roman" w:hAnsi="Times New Roman" w:cs="Times New Roman"/>
          <w:sz w:val="72"/>
          <w:szCs w:val="72"/>
        </w:rPr>
      </w:pPr>
    </w:p>
    <w:p w14:paraId="1F098462">
      <w:pPr>
        <w:pStyle w:val="12"/>
        <w:rPr>
          <w:rFonts w:ascii="Times New Roman" w:hAnsi="Times New Roman" w:cs="Times New Roman"/>
          <w:sz w:val="72"/>
          <w:szCs w:val="72"/>
        </w:rPr>
      </w:pPr>
    </w:p>
    <w:p w14:paraId="0FE978DD">
      <w:pPr>
        <w:pStyle w:val="12"/>
        <w:rPr>
          <w:rFonts w:ascii="Times New Roman" w:hAnsi="Times New Roman" w:cs="Times New Roman"/>
          <w:sz w:val="72"/>
          <w:szCs w:val="72"/>
        </w:rPr>
      </w:pPr>
    </w:p>
    <w:p w14:paraId="10FF455E">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7C5458C">
      <w:pPr>
        <w:pStyle w:val="12"/>
        <w:spacing w:line="360" w:lineRule="auto"/>
        <w:jc w:val="center"/>
        <w:rPr>
          <w:rFonts w:ascii="Times New Roman" w:hAnsi="Times New Roman" w:cs="Times New Roman"/>
          <w:sz w:val="32"/>
          <w:szCs w:val="32"/>
        </w:rPr>
      </w:pPr>
      <w:r>
        <w:rPr>
          <w:rFonts w:ascii="Times New Roman" w:hAnsi="Times New Roman" w:eastAsia="方正小标宋_GBK" w:cs="Times New Roman"/>
          <w:sz w:val="52"/>
          <w:szCs w:val="52"/>
        </w:rPr>
        <w:t>2024年度部门决算情况说明</w:t>
      </w:r>
      <w:r>
        <w:rPr>
          <w:rFonts w:ascii="Times New Roman" w:hAnsi="Times New Roman" w:eastAsia="方正小标宋_GBK" w:cs="Times New Roman"/>
          <w:sz w:val="70"/>
          <w:szCs w:val="70"/>
        </w:rPr>
        <w:br w:type="page"/>
      </w:r>
    </w:p>
    <w:p w14:paraId="75878D9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95515F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61.02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12.15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工资调整，整体人员工资福利费增加。</w:t>
      </w:r>
    </w:p>
    <w:p w14:paraId="6036D89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7EF87E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92639D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3407A6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555.11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98.53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7A0FE2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6E41BE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61.02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12.15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工资调整，整体人员工资福利费增加。</w:t>
      </w:r>
    </w:p>
    <w:p w14:paraId="7B32AE5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3364CF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DCAD22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61.02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12.15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工资调整，整体人员工资福利费增加。</w:t>
      </w:r>
    </w:p>
    <w:p w14:paraId="599B8A2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55D4CD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446.18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79.20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51.29</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9.10</w:t>
      </w:r>
      <w:r>
        <w:rPr>
          <w:rFonts w:hint="eastAsia" w:ascii="Times New Roman" w:hAnsi="Times New Roman" w:eastAsia="仿宋_GB2312" w:cs="Times New Roman"/>
          <w:sz w:val="32"/>
          <w:szCs w:val="32"/>
        </w:rPr>
        <w:t>%；卫生健康（类）支出</w:t>
      </w:r>
      <w:r>
        <w:rPr>
          <w:rFonts w:hint="eastAsia" w:ascii="Times New Roman" w:hAnsi="Times New Roman" w:eastAsia="仿宋_GB2312" w:cs="Times New Roman"/>
          <w:sz w:val="32"/>
          <w:szCs w:val="32"/>
          <w:lang w:val="en-US" w:eastAsia="zh-CN"/>
        </w:rPr>
        <w:t>22.18</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3.94</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；住房保障（类）支出</w:t>
      </w:r>
      <w:r>
        <w:rPr>
          <w:rFonts w:hint="eastAsia" w:ascii="Times New Roman" w:hAnsi="Times New Roman" w:eastAsia="仿宋_GB2312" w:cs="Times New Roman"/>
          <w:sz w:val="32"/>
          <w:szCs w:val="32"/>
          <w:lang w:val="en-US" w:eastAsia="zh-CN"/>
        </w:rPr>
        <w:t>43.75万元，占7.77%</w:t>
      </w:r>
      <w:r>
        <w:rPr>
          <w:rFonts w:hint="eastAsia" w:ascii="Times New Roman" w:hAnsi="Times New Roman" w:eastAsia="仿宋_GB2312" w:cs="Times New Roman"/>
          <w:sz w:val="32"/>
          <w:szCs w:val="32"/>
          <w:lang w:eastAsia="zh-CN"/>
        </w:rPr>
        <w:t>。</w:t>
      </w:r>
    </w:p>
    <w:p w14:paraId="7B2039F0">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31D7F5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570.80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98.70</w:t>
      </w:r>
      <w:r>
        <w:rPr>
          <w:rFonts w:ascii="Times New Roman" w:hAnsi="Times New Roman" w:eastAsia="仿宋_GB2312" w:cs="Times New Roman"/>
          <w:sz w:val="32"/>
          <w:szCs w:val="32"/>
        </w:rPr>
        <w:t>%，其中：</w:t>
      </w:r>
    </w:p>
    <w:p w14:paraId="49E9954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一般公共服务（类）市场监督管理事务（款）行政运行（项）</w:t>
      </w:r>
      <w:r>
        <w:rPr>
          <w:rFonts w:ascii="Times New Roman" w:hAnsi="Times New Roman" w:eastAsia="仿宋_GB2312" w:cs="Times New Roman"/>
          <w:sz w:val="32"/>
          <w:szCs w:val="32"/>
        </w:rPr>
        <w:t>。</w:t>
      </w:r>
    </w:p>
    <w:p w14:paraId="32C2818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451.84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437.90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96.91</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人员退休，工资支出减少。</w:t>
      </w:r>
    </w:p>
    <w:p w14:paraId="227BD34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一般公共服务（类）市场监督管理事务（款）食品安全监管（项）</w:t>
      </w:r>
      <w:r>
        <w:rPr>
          <w:rFonts w:ascii="Times New Roman" w:hAnsi="Times New Roman" w:eastAsia="仿宋_GB2312" w:cs="Times New Roman"/>
          <w:sz w:val="32"/>
          <w:szCs w:val="32"/>
        </w:rPr>
        <w:t>。</w:t>
      </w:r>
    </w:p>
    <w:p w14:paraId="44D06C4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rPr>
        <w:t>年内追加中央食品监管补助资金，年初预算未单列。</w:t>
      </w:r>
    </w:p>
    <w:p w14:paraId="086BF14A">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3、一般公共服务（类）市场监督管理事务（款）其他市场监督管理事务（项）。</w:t>
      </w:r>
    </w:p>
    <w:p w14:paraId="12898B1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w:t>
      </w:r>
      <w:r>
        <w:rPr>
          <w:rFonts w:hint="eastAsia" w:ascii="Times New Roman" w:hAnsi="Times New Roman" w:eastAsia="仿宋_GB2312" w:cs="Times New Roman"/>
          <w:sz w:val="32"/>
          <w:szCs w:val="32"/>
          <w:lang w:val="en-US" w:eastAsia="zh-CN"/>
        </w:rPr>
        <w:t>3.28</w:t>
      </w:r>
      <w:r>
        <w:rPr>
          <w:rFonts w:hint="eastAsia" w:ascii="Times New Roman" w:hAnsi="Times New Roman" w:eastAsia="仿宋_GB2312" w:cs="Times New Roman"/>
          <w:sz w:val="32"/>
          <w:szCs w:val="32"/>
        </w:rPr>
        <w:t>万元，决算数大于年初预算数的主要原因是：年内追加</w:t>
      </w:r>
      <w:r>
        <w:rPr>
          <w:rFonts w:hint="eastAsia" w:ascii="Times New Roman" w:hAnsi="Times New Roman" w:eastAsia="仿宋_GB2312" w:cs="Times New Roman"/>
          <w:sz w:val="32"/>
          <w:szCs w:val="32"/>
          <w:lang w:eastAsia="zh-CN"/>
        </w:rPr>
        <w:t>省级制服采购</w:t>
      </w:r>
      <w:r>
        <w:rPr>
          <w:rFonts w:hint="eastAsia" w:ascii="Times New Roman" w:hAnsi="Times New Roman" w:eastAsia="仿宋_GB2312" w:cs="Times New Roman"/>
          <w:sz w:val="32"/>
          <w:szCs w:val="32"/>
        </w:rPr>
        <w:t>补助资金，年初预算未单列。</w:t>
      </w:r>
    </w:p>
    <w:p w14:paraId="2DB956C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4、社会保障和就业支出（类）行政事业单位养老支出（款）机关事业单位基本养老保险缴费支出（项）。</w:t>
      </w:r>
    </w:p>
    <w:p w14:paraId="1978E54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52.70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51.29</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97.32</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hint="eastAsia"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人员退休，基本养老保险缴费支出减少</w:t>
      </w:r>
      <w:r>
        <w:rPr>
          <w:rFonts w:hint="eastAsia" w:ascii="Times New Roman" w:hAnsi="Times New Roman" w:eastAsia="仿宋_GB2312" w:cs="Times New Roman"/>
          <w:sz w:val="32"/>
          <w:szCs w:val="32"/>
        </w:rPr>
        <w:t>。</w:t>
      </w:r>
    </w:p>
    <w:p w14:paraId="4904C75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、卫生健康支出（类）行政事业单位医疗（款）行政单位医疗（项）。</w:t>
      </w:r>
    </w:p>
    <w:p w14:paraId="69E8E25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22.18</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22.18</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100.00</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hint="eastAsia"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持平</w:t>
      </w:r>
      <w:r>
        <w:rPr>
          <w:rFonts w:hint="eastAsia" w:ascii="Times New Roman" w:hAnsi="Times New Roman" w:eastAsia="仿宋_GB2312" w:cs="Times New Roman"/>
          <w:sz w:val="32"/>
          <w:szCs w:val="32"/>
        </w:rPr>
        <w:t>。</w:t>
      </w:r>
    </w:p>
    <w:p w14:paraId="4D4D8DC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6、住房保障支出（类）住房改革支出（款）住房公积金（项）。</w:t>
      </w:r>
    </w:p>
    <w:p w14:paraId="2858B44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44.09</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43.75</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99.23</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hint="eastAsia"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人员退休，住房公积金支出减少。</w:t>
      </w:r>
    </w:p>
    <w:p w14:paraId="03FAE59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314F01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555.11</w:t>
      </w:r>
      <w:r>
        <w:rPr>
          <w:rFonts w:ascii="Times New Roman" w:hAnsi="Times New Roman" w:eastAsia="仿宋_GB2312" w:cs="Times New Roman"/>
          <w:sz w:val="32"/>
          <w:szCs w:val="32"/>
        </w:rPr>
        <w:t>万元，其中：</w:t>
      </w:r>
    </w:p>
    <w:p w14:paraId="50394AF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514.36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92.66</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160.05万元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89.60万元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114.50万元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机关</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val="en-US" w:eastAsia="zh-CN"/>
        </w:rPr>
        <w:t>51.29</w:t>
      </w:r>
      <w:r>
        <w:rPr>
          <w:rFonts w:hint="eastAsia" w:ascii="Times New Roman" w:hAnsi="Times New Roman" w:eastAsia="仿宋_GB2312" w:cs="Times New Roman"/>
          <w:sz w:val="32"/>
          <w:szCs w:val="32"/>
        </w:rPr>
        <w:t>万元、职工基本医疗保险缴费</w:t>
      </w:r>
      <w:r>
        <w:rPr>
          <w:rFonts w:hint="eastAsia" w:ascii="Times New Roman" w:hAnsi="Times New Roman" w:eastAsia="仿宋_GB2312" w:cs="Times New Roman"/>
          <w:sz w:val="32"/>
          <w:szCs w:val="32"/>
          <w:lang w:val="en-US" w:eastAsia="zh-CN"/>
        </w:rPr>
        <w:t>22.18</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其他社会保障缴费</w:t>
      </w:r>
      <w:r>
        <w:rPr>
          <w:rFonts w:hint="eastAsia" w:ascii="Times New Roman" w:hAnsi="Times New Roman" w:eastAsia="仿宋_GB2312" w:cs="Times New Roman"/>
          <w:sz w:val="32"/>
          <w:szCs w:val="32"/>
          <w:lang w:val="en-US" w:eastAsia="zh-CN"/>
        </w:rPr>
        <w:t>2.33万元、住房公积金43.75万元、</w:t>
      </w:r>
      <w:r>
        <w:rPr>
          <w:rFonts w:hint="eastAsia"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val="en-US" w:eastAsia="zh-CN"/>
        </w:rPr>
        <w:t>1.10</w:t>
      </w:r>
      <w:r>
        <w:rPr>
          <w:rFonts w:hint="eastAsia" w:ascii="Times New Roman" w:hAnsi="Times New Roman" w:eastAsia="仿宋_GB2312" w:cs="Times New Roman"/>
          <w:sz w:val="32"/>
          <w:szCs w:val="32"/>
        </w:rPr>
        <w:t>万元、其他对个人和家庭的补助</w:t>
      </w:r>
      <w:r>
        <w:rPr>
          <w:rFonts w:hint="eastAsia" w:ascii="Times New Roman" w:hAnsi="Times New Roman" w:eastAsia="仿宋_GB2312" w:cs="Times New Roman"/>
          <w:sz w:val="32"/>
          <w:szCs w:val="32"/>
          <w:lang w:val="en-US" w:eastAsia="zh-CN"/>
        </w:rPr>
        <w:t>29.57</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468E2049">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40.75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7.34</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0.09万元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差旅费</w:t>
      </w:r>
      <w:r>
        <w:rPr>
          <w:rFonts w:hint="eastAsia" w:ascii="Times New Roman" w:hAnsi="Times New Roman" w:eastAsia="仿宋_GB2312" w:cs="Times New Roman"/>
          <w:sz w:val="32"/>
          <w:szCs w:val="32"/>
          <w:lang w:val="en-US" w:eastAsia="zh-CN"/>
        </w:rPr>
        <w:t>0.19万元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委托业务</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0.10万元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工会经</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4.95万元、福利费3.73万元、其他交通费用27.28万元、其他商品和服务支出4.40万元</w:t>
      </w:r>
      <w:r>
        <w:rPr>
          <w:rFonts w:ascii="Times New Roman" w:hAnsi="Times New Roman" w:eastAsia="仿宋_GB2312" w:cs="Times New Roman"/>
          <w:sz w:val="32"/>
          <w:szCs w:val="32"/>
        </w:rPr>
        <w:t>。</w:t>
      </w:r>
      <w:r>
        <w:rPr>
          <w:rFonts w:ascii="Times New Roman" w:hAnsi="Times New Roman" w:eastAsia="仿宋_GB2312" w:cs="Times New Roman"/>
          <w:sz w:val="32"/>
          <w:szCs w:val="32"/>
        </w:rPr>
        <w:br w:type="textWrapping"/>
      </w:r>
      <w:r>
        <w:rPr>
          <w:rFonts w:hint="eastAsia" w:ascii="Times New Roman" w:hAnsi="Times New Roman" w:eastAsia="仿宋_GB2312" w:cs="Times New Roman"/>
          <w:sz w:val="32"/>
          <w:szCs w:val="32"/>
          <w:lang w:val="en-US" w:eastAsia="zh-CN"/>
        </w:rPr>
        <w:t xml:space="preserve">    </w:t>
      </w: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6F0291E5">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4F4DA53">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，支出数</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w:t>
      </w:r>
    </w:p>
    <w:p w14:paraId="0A5B8944">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6D5C735">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支出数</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55CC3DF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支出数</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。其中：公务用车购置费支出预算为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支出数</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支出数</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辆。</w:t>
      </w:r>
    </w:p>
    <w:p w14:paraId="3061D9E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支出数</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5A58750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C33666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本单位无政府性基金收支。</w:t>
      </w:r>
    </w:p>
    <w:p w14:paraId="722A434F">
      <w:pPr>
        <w:pStyle w:val="12"/>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lang w:eastAsia="zh-CN"/>
        </w:rPr>
        <w:t>九、</w:t>
      </w:r>
      <w:r>
        <w:rPr>
          <w:rFonts w:hint="eastAsia" w:ascii="Times New Roman" w:hAnsi="Times New Roman" w:cs="Times New Roman"/>
          <w:bCs/>
          <w:sz w:val="32"/>
          <w:szCs w:val="32"/>
        </w:rPr>
        <w:t>国有资本经营预算收入支出决算情况</w:t>
      </w:r>
    </w:p>
    <w:p w14:paraId="614EEF2F">
      <w:pPr>
        <w:pStyle w:val="12"/>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eastAsia="仿宋_GB2312"/>
          <w:sz w:val="32"/>
          <w:szCs w:val="32"/>
        </w:rPr>
        <w:t>本单位无</w:t>
      </w:r>
      <w:r>
        <w:rPr>
          <w:rFonts w:hint="eastAsia" w:ascii="Times New Roman" w:hAnsi="Times New Roman" w:eastAsia="仿宋_GB2312"/>
          <w:sz w:val="32"/>
          <w:szCs w:val="32"/>
          <w:lang w:eastAsia="zh-CN"/>
        </w:rPr>
        <w:t>国有资本经营</w:t>
      </w:r>
      <w:r>
        <w:rPr>
          <w:rFonts w:hint="eastAsia" w:ascii="Times New Roman" w:hAnsi="Times New Roman" w:eastAsia="仿宋_GB2312"/>
          <w:sz w:val="32"/>
          <w:szCs w:val="32"/>
        </w:rPr>
        <w:t>收支</w:t>
      </w:r>
      <w:r>
        <w:rPr>
          <w:rFonts w:hint="eastAsia" w:ascii="Times New Roman" w:hAnsi="Times New Roman" w:eastAsia="仿宋_GB2312"/>
          <w:sz w:val="32"/>
          <w:szCs w:val="32"/>
          <w:lang w:eastAsia="zh-CN"/>
        </w:rPr>
        <w:t>。</w:t>
      </w:r>
    </w:p>
    <w:p w14:paraId="4F103FA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2162188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40.75</w:t>
      </w:r>
      <w:r>
        <w:rPr>
          <w:rFonts w:ascii="Times New Roman" w:hAnsi="Times New Roman" w:eastAsia="仿宋_GB2312" w:cs="Times New Roman"/>
          <w:sz w:val="32"/>
          <w:szCs w:val="32"/>
        </w:rPr>
        <w:t>万元</w:t>
      </w:r>
      <w:r>
        <w:rPr>
          <w:rFonts w:ascii="Times New Roman" w:hAnsi="Times New Roman" w:eastAsia="楷体_GB2312" w:cs="Times New Roman"/>
          <w:b/>
          <w:bCs/>
          <w:i/>
          <w:color w:val="auto"/>
          <w:sz w:val="32"/>
          <w:szCs w:val="32"/>
        </w:rPr>
        <w:t>（与部门决算中行政单位和参照公务员法管理事业单位财政拨款基本支出中公用经费之和一致）</w:t>
      </w:r>
      <w:r>
        <w:rPr>
          <w:rFonts w:ascii="Times New Roman" w:hAnsi="Times New Roman" w:eastAsia="仿宋_GB2312" w:cs="Times New Roman"/>
          <w:sz w:val="32"/>
          <w:szCs w:val="32"/>
        </w:rPr>
        <w:t>，比年初预算数减少</w:t>
      </w:r>
      <w:r>
        <w:rPr>
          <w:rFonts w:hint="eastAsia" w:ascii="Times New Roman" w:hAnsi="Times New Roman" w:eastAsia="仿宋_GB2312" w:cs="Times New Roman"/>
          <w:sz w:val="32"/>
          <w:szCs w:val="32"/>
          <w:lang w:val="en-US" w:eastAsia="zh-CN"/>
        </w:rPr>
        <w:t>3.17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7.22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人员减少，其他交通费用减少</w:t>
      </w:r>
      <w:r>
        <w:rPr>
          <w:rFonts w:ascii="Times New Roman" w:hAnsi="Times New Roman" w:eastAsia="仿宋_GB2312" w:cs="Times New Roman"/>
          <w:sz w:val="32"/>
          <w:szCs w:val="32"/>
        </w:rPr>
        <w:t>。</w:t>
      </w:r>
    </w:p>
    <w:p w14:paraId="0746772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7CAB0D6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举办节庆、晚会、论坛、赛事活动</w:t>
      </w:r>
      <w:r>
        <w:rPr>
          <w:rFonts w:hint="eastAsia" w:ascii="Times New Roman" w:hAnsi="Times New Roman" w:eastAsia="仿宋_GB2312" w:cs="Times New Roman"/>
          <w:sz w:val="32"/>
          <w:szCs w:val="32"/>
          <w:lang w:eastAsia="zh-CN"/>
        </w:rPr>
        <w:t>。</w:t>
      </w:r>
    </w:p>
    <w:p w14:paraId="5E2F9DC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48BDFC21">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68F74284">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4250A333">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5C596DF2">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C2FDA2E">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563.39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563.39</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07EB1AAF">
      <w:pPr>
        <w:overflowPunct w:val="0"/>
        <w:spacing w:line="600" w:lineRule="exact"/>
        <w:ind w:firstLine="640" w:firstLineChars="200"/>
        <w:rPr>
          <w:rFonts w:hint="eastAsia"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570.80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563.39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98.70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本单位2024年年度总体目标为：1.持续强化食品、药品、医疗器械、化妆品、特种设备和产品质量安全监管，加强市场监管安全风险防控和隐患排查整治，坚决把事故风险隐患消除在萌芽状态；2.进一步强化消费维权工作，坚决杜绝市场监管安全事故和重大舆情事件；3.持续深化商事制度改革，依法维护公平有序的市场环境，深化“互联网+监管”改革，认真落实“双随机、一公开”监管；4.进一步加强知识产权、商标广告、反不正当竞争、价格计量等监管力度，健全公平竞争审查制度，加大反垄断和反不正当竞争执法力度，维护市场公平正义。</w:t>
      </w:r>
    </w:p>
    <w:p w14:paraId="6438D995">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从三级绩效指标设置和完成情况来看，基本上完成了设定的总体目标，不存在未完成现象。生态效益指标有所偏离，主要是因为于业务本身对生态系统无实质性干预或改善作用，导致所设生态效益指标在实际业务执行中难以体现，出现偏离现象。后续将结合业务特性，优化绩效指标设定，确保目标与实际业务紧密贴合。</w:t>
      </w: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rPr>
        <w:t>为防止后续出现绩效指标偏离，将进一步优化目标设定流程、建立弹性调整机制、强化实施过程监控、完善绩效评级体系。</w:t>
      </w:r>
    </w:p>
    <w:p w14:paraId="67010B5B">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按规定上报和公开绩效自评结果，根据结果，进一步完善财政资金使用，加强市场监督管理。</w:t>
      </w:r>
    </w:p>
    <w:p w14:paraId="12815161">
      <w:pPr>
        <w:pStyle w:val="12"/>
        <w:jc w:val="center"/>
        <w:rPr>
          <w:rFonts w:ascii="Times New Roman" w:hAnsi="Times New Roman" w:cs="Times New Roman"/>
          <w:sz w:val="72"/>
          <w:szCs w:val="72"/>
        </w:rPr>
      </w:pPr>
    </w:p>
    <w:p w14:paraId="0DFCC865">
      <w:pPr>
        <w:pStyle w:val="12"/>
        <w:jc w:val="center"/>
        <w:rPr>
          <w:rFonts w:ascii="Times New Roman" w:hAnsi="Times New Roman" w:cs="Times New Roman"/>
          <w:sz w:val="72"/>
          <w:szCs w:val="72"/>
        </w:rPr>
      </w:pPr>
    </w:p>
    <w:p w14:paraId="0C749940">
      <w:pPr>
        <w:pStyle w:val="12"/>
        <w:jc w:val="center"/>
        <w:rPr>
          <w:rFonts w:ascii="Times New Roman" w:hAnsi="Times New Roman" w:cs="Times New Roman"/>
          <w:sz w:val="72"/>
          <w:szCs w:val="72"/>
        </w:rPr>
      </w:pPr>
    </w:p>
    <w:p w14:paraId="1088B157">
      <w:pPr>
        <w:pStyle w:val="12"/>
        <w:jc w:val="center"/>
        <w:rPr>
          <w:rFonts w:ascii="Times New Roman" w:hAnsi="Times New Roman" w:cs="Times New Roman"/>
          <w:sz w:val="72"/>
          <w:szCs w:val="72"/>
        </w:rPr>
      </w:pPr>
    </w:p>
    <w:p w14:paraId="7298BA54">
      <w:pPr>
        <w:pStyle w:val="12"/>
        <w:jc w:val="center"/>
        <w:rPr>
          <w:rFonts w:ascii="Times New Roman" w:hAnsi="Times New Roman" w:cs="Times New Roman"/>
          <w:sz w:val="72"/>
          <w:szCs w:val="72"/>
        </w:rPr>
      </w:pPr>
    </w:p>
    <w:p w14:paraId="2AFED28D">
      <w:pPr>
        <w:pStyle w:val="12"/>
        <w:jc w:val="center"/>
        <w:rPr>
          <w:rFonts w:ascii="Times New Roman" w:hAnsi="Times New Roman" w:cs="Times New Roman"/>
          <w:sz w:val="72"/>
          <w:szCs w:val="72"/>
        </w:rPr>
      </w:pPr>
    </w:p>
    <w:p w14:paraId="57A14FF7">
      <w:pPr>
        <w:pStyle w:val="12"/>
        <w:jc w:val="center"/>
        <w:rPr>
          <w:rFonts w:ascii="Times New Roman" w:hAnsi="Times New Roman" w:cs="Times New Roman"/>
          <w:sz w:val="72"/>
          <w:szCs w:val="72"/>
        </w:rPr>
      </w:pPr>
    </w:p>
    <w:p w14:paraId="7253A3E5">
      <w:pPr>
        <w:pStyle w:val="12"/>
        <w:jc w:val="center"/>
        <w:rPr>
          <w:rFonts w:ascii="Times New Roman" w:hAnsi="Times New Roman" w:cs="Times New Roman"/>
          <w:sz w:val="72"/>
          <w:szCs w:val="72"/>
        </w:rPr>
      </w:pPr>
    </w:p>
    <w:p w14:paraId="7B12ED98">
      <w:pPr>
        <w:pStyle w:val="12"/>
        <w:jc w:val="center"/>
        <w:rPr>
          <w:rFonts w:ascii="Times New Roman" w:hAnsi="Times New Roman" w:cs="Times New Roman"/>
          <w:sz w:val="72"/>
          <w:szCs w:val="72"/>
        </w:rPr>
      </w:pPr>
    </w:p>
    <w:p w14:paraId="525D60CC">
      <w:pPr>
        <w:pStyle w:val="12"/>
        <w:jc w:val="center"/>
        <w:rPr>
          <w:rFonts w:ascii="Times New Roman" w:hAnsi="Times New Roman" w:cs="Times New Roman"/>
          <w:sz w:val="72"/>
          <w:szCs w:val="72"/>
        </w:rPr>
      </w:pPr>
    </w:p>
    <w:p w14:paraId="35E236D2">
      <w:pPr>
        <w:pStyle w:val="12"/>
        <w:jc w:val="center"/>
        <w:rPr>
          <w:rFonts w:ascii="Times New Roman" w:hAnsi="Times New Roman" w:cs="Times New Roman"/>
          <w:sz w:val="72"/>
          <w:szCs w:val="72"/>
        </w:rPr>
      </w:pPr>
    </w:p>
    <w:p w14:paraId="504EB814">
      <w:pPr>
        <w:pStyle w:val="12"/>
        <w:jc w:val="center"/>
        <w:rPr>
          <w:rFonts w:ascii="Times New Roman" w:hAnsi="Times New Roman" w:cs="Times New Roman"/>
          <w:sz w:val="72"/>
          <w:szCs w:val="72"/>
        </w:rPr>
      </w:pPr>
    </w:p>
    <w:p w14:paraId="08FC36DE">
      <w:pPr>
        <w:pStyle w:val="12"/>
        <w:jc w:val="center"/>
        <w:rPr>
          <w:rFonts w:ascii="Times New Roman" w:hAnsi="Times New Roman" w:cs="Times New Roman"/>
          <w:sz w:val="72"/>
          <w:szCs w:val="72"/>
        </w:rPr>
      </w:pPr>
    </w:p>
    <w:p w14:paraId="19B0B45C">
      <w:pPr>
        <w:pStyle w:val="12"/>
        <w:jc w:val="both"/>
        <w:rPr>
          <w:rFonts w:ascii="Times New Roman" w:hAnsi="Times New Roman" w:cs="Times New Roman"/>
          <w:sz w:val="72"/>
          <w:szCs w:val="72"/>
        </w:rPr>
      </w:pPr>
    </w:p>
    <w:p w14:paraId="25D7AD00">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第四部分    </w:t>
      </w:r>
    </w:p>
    <w:p w14:paraId="4556E715">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名词解释</w:t>
      </w:r>
    </w:p>
    <w:p w14:paraId="36A6F552">
      <w:pPr>
        <w:widowControl/>
        <w:jc w:val="left"/>
        <w:rPr>
          <w:rFonts w:ascii="Times New Roman" w:hAnsi="Times New Roman" w:cs="Times New Roman"/>
          <w:color w:val="000000"/>
          <w:kern w:val="0"/>
          <w:sz w:val="32"/>
          <w:szCs w:val="32"/>
        </w:rPr>
      </w:pPr>
    </w:p>
    <w:p w14:paraId="0DA9BE03">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3A9592E7">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7B99F8AB">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77611F7D">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1063689E">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7862A8B4">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70536EB4">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285A841D">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5EF49290">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556FF628">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p>
    <w:p w14:paraId="059DB3B3">
      <w:pPr>
        <w:pStyle w:val="12"/>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Times New Roman" w:hAnsi="Times New Roman" w:eastAsia="仿宋_GB2312" w:cs="Times New Roman"/>
          <w:color w:val="000000"/>
          <w:kern w:val="0"/>
          <w:sz w:val="32"/>
          <w:szCs w:val="32"/>
        </w:rPr>
      </w:pPr>
    </w:p>
    <w:p w14:paraId="5E8ACEBB">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是指各部门的公用经费，包括办公及印刷费、邮电费、差旅费、会议费、福利费、日常维修费、专用材料及一般设备购置费、办公用房水电费、办公用房取暖费、办公用房物 业管理费、公务用车运行维护费以及其他费用。</w:t>
      </w:r>
    </w:p>
    <w:p w14:paraId="50DCF6E7">
      <w:pPr>
        <w:pStyle w:val="12"/>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二、“三公”经费：指通过财政拨款资金安排的因公出国（境）费、 公务用车购置及运行费和公务接待费支出。</w:t>
      </w:r>
    </w:p>
    <w:p w14:paraId="014162A5">
      <w:pPr>
        <w:pStyle w:val="12"/>
        <w:jc w:val="center"/>
        <w:rPr>
          <w:rFonts w:ascii="Times New Roman" w:hAnsi="Times New Roman" w:cs="Times New Roman"/>
          <w:sz w:val="72"/>
          <w:szCs w:val="72"/>
        </w:rPr>
      </w:pPr>
    </w:p>
    <w:p w14:paraId="0BEDCB8B">
      <w:pPr>
        <w:pStyle w:val="12"/>
        <w:jc w:val="center"/>
        <w:rPr>
          <w:rFonts w:ascii="Times New Roman" w:hAnsi="Times New Roman" w:cs="Times New Roman"/>
          <w:sz w:val="72"/>
          <w:szCs w:val="72"/>
        </w:rPr>
      </w:pPr>
    </w:p>
    <w:p w14:paraId="1D507875">
      <w:pPr>
        <w:pStyle w:val="12"/>
        <w:jc w:val="center"/>
        <w:rPr>
          <w:rFonts w:ascii="Times New Roman" w:hAnsi="Times New Roman" w:cs="Times New Roman"/>
          <w:sz w:val="72"/>
          <w:szCs w:val="72"/>
        </w:rPr>
      </w:pPr>
    </w:p>
    <w:p w14:paraId="7AC577EF">
      <w:pPr>
        <w:pStyle w:val="12"/>
        <w:jc w:val="center"/>
        <w:rPr>
          <w:rFonts w:ascii="Times New Roman" w:hAnsi="Times New Roman" w:cs="Times New Roman"/>
          <w:sz w:val="72"/>
          <w:szCs w:val="72"/>
        </w:rPr>
      </w:pPr>
    </w:p>
    <w:p w14:paraId="7C79FB18">
      <w:pPr>
        <w:pStyle w:val="12"/>
        <w:jc w:val="center"/>
        <w:rPr>
          <w:rFonts w:ascii="Times New Roman" w:hAnsi="Times New Roman" w:cs="Times New Roman"/>
          <w:sz w:val="72"/>
          <w:szCs w:val="72"/>
        </w:rPr>
      </w:pPr>
    </w:p>
    <w:p w14:paraId="34379F9F">
      <w:pPr>
        <w:pStyle w:val="12"/>
        <w:jc w:val="center"/>
        <w:rPr>
          <w:rFonts w:ascii="Times New Roman" w:hAnsi="Times New Roman" w:cs="Times New Roman"/>
          <w:sz w:val="72"/>
          <w:szCs w:val="72"/>
        </w:rPr>
      </w:pPr>
    </w:p>
    <w:p w14:paraId="442E2585">
      <w:pPr>
        <w:pStyle w:val="12"/>
        <w:jc w:val="center"/>
        <w:rPr>
          <w:rFonts w:ascii="Times New Roman" w:hAnsi="Times New Roman" w:cs="Times New Roman"/>
          <w:sz w:val="72"/>
          <w:szCs w:val="72"/>
        </w:rPr>
      </w:pPr>
    </w:p>
    <w:p w14:paraId="314251B2">
      <w:pPr>
        <w:pStyle w:val="12"/>
        <w:jc w:val="center"/>
        <w:rPr>
          <w:rFonts w:ascii="Times New Roman" w:hAnsi="Times New Roman" w:cs="Times New Roman"/>
          <w:sz w:val="72"/>
          <w:szCs w:val="72"/>
        </w:rPr>
      </w:pPr>
    </w:p>
    <w:p w14:paraId="12C18E8F">
      <w:pPr>
        <w:pStyle w:val="12"/>
        <w:jc w:val="center"/>
        <w:rPr>
          <w:rFonts w:ascii="Times New Roman" w:hAnsi="Times New Roman" w:cs="Times New Roman"/>
          <w:sz w:val="72"/>
          <w:szCs w:val="72"/>
        </w:rPr>
      </w:pPr>
    </w:p>
    <w:p w14:paraId="3D466520">
      <w:pPr>
        <w:pStyle w:val="12"/>
        <w:jc w:val="center"/>
        <w:rPr>
          <w:rFonts w:ascii="Times New Roman" w:hAnsi="Times New Roman" w:cs="Times New Roman"/>
          <w:sz w:val="72"/>
          <w:szCs w:val="72"/>
        </w:rPr>
      </w:pPr>
    </w:p>
    <w:p w14:paraId="31AAA42C">
      <w:pPr>
        <w:pStyle w:val="12"/>
        <w:jc w:val="both"/>
        <w:rPr>
          <w:rFonts w:ascii="Times New Roman" w:hAnsi="Times New Roman" w:cs="Times New Roman"/>
          <w:sz w:val="72"/>
          <w:szCs w:val="72"/>
        </w:rPr>
      </w:pPr>
    </w:p>
    <w:p w14:paraId="480C99FC">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2703F5D">
      <w:pPr>
        <w:rPr>
          <w:rFonts w:ascii="Times New Roman" w:hAnsi="Times New Roman" w:cs="Times New Roman"/>
          <w:sz w:val="72"/>
          <w:szCs w:val="72"/>
        </w:rPr>
      </w:pPr>
    </w:p>
    <w:p w14:paraId="65891D3A">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bookmarkStart w:id="0" w:name="_GoBack"/>
      <w:bookmarkEnd w:id="0"/>
    </w:p>
    <w:p w14:paraId="00E74C36">
      <w:pPr>
        <w:pStyle w:val="12"/>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val="en-US" w:eastAsia="zh-CN"/>
        </w:rPr>
        <w:t>2024年度部门决算公开表</w:t>
      </w:r>
    </w:p>
    <w:p w14:paraId="366175F1">
      <w:pPr>
        <w:pStyle w:val="12"/>
        <w:jc w:val="center"/>
        <w:rPr>
          <w:rFonts w:ascii="Times New Roman" w:hAnsi="Times New Roman" w:cs="Times New Roman"/>
          <w:sz w:val="72"/>
          <w:szCs w:val="72"/>
        </w:rPr>
      </w:pPr>
    </w:p>
    <w:p w14:paraId="5C39DB58">
      <w:pPr>
        <w:pStyle w:val="12"/>
        <w:jc w:val="center"/>
        <w:rPr>
          <w:rFonts w:ascii="Times New Roman" w:hAnsi="Times New Roman" w:cs="Times New Roman"/>
          <w:sz w:val="72"/>
          <w:szCs w:val="72"/>
        </w:rPr>
      </w:pPr>
    </w:p>
    <w:p w14:paraId="53E1C4DD">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1E2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78C37">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489DF">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0086C">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1E0086C">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C107F1"/>
    <w:multiLevelType w:val="singleLevel"/>
    <w:tmpl w:val="7AC107F1"/>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4F62"/>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43E6AC1"/>
    <w:rsid w:val="1D97DEFF"/>
    <w:rsid w:val="1DFF72E5"/>
    <w:rsid w:val="1EFC6F07"/>
    <w:rsid w:val="2FDF85B8"/>
    <w:rsid w:val="2FFFEE04"/>
    <w:rsid w:val="34DF85B0"/>
    <w:rsid w:val="35902659"/>
    <w:rsid w:val="3B8F36BC"/>
    <w:rsid w:val="491FF225"/>
    <w:rsid w:val="4D4971D6"/>
    <w:rsid w:val="4FFD214C"/>
    <w:rsid w:val="5777D4F5"/>
    <w:rsid w:val="59DD8326"/>
    <w:rsid w:val="5DEF592A"/>
    <w:rsid w:val="5F2931A3"/>
    <w:rsid w:val="5FC6BB1E"/>
    <w:rsid w:val="5FF720F1"/>
    <w:rsid w:val="601A3928"/>
    <w:rsid w:val="67FF5C0B"/>
    <w:rsid w:val="6EFC0924"/>
    <w:rsid w:val="6FB74722"/>
    <w:rsid w:val="6FEF8B7E"/>
    <w:rsid w:val="71A6591B"/>
    <w:rsid w:val="737D59BA"/>
    <w:rsid w:val="77C37683"/>
    <w:rsid w:val="796F7BC9"/>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4670</Words>
  <Characters>5103</Characters>
  <Lines>69</Lines>
  <Paragraphs>19</Paragraphs>
  <TotalTime>23</TotalTime>
  <ScaleCrop>false</ScaleCrop>
  <LinksUpToDate>false</LinksUpToDate>
  <CharactersWithSpaces>5130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唐茂林</cp:lastModifiedBy>
  <cp:lastPrinted>2024-08-08T18:20:00Z</cp:lastPrinted>
  <dcterms:modified xsi:type="dcterms:W3CDTF">2025-09-22T08:06:38Z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EC41525529374C50B1FD21862460619E_13</vt:lpwstr>
  </property>
  <property fmtid="{D5CDD505-2E9C-101B-9397-08002B2CF9AE}" pid="4" name="KSOTemplateDocerSaveRecord">
    <vt:lpwstr>eyJoZGlkIjoiYjBmMTkwMDg0Y2M4Yjk4NGMyNDYyZTMyMDEzMjc5ZWUiLCJ1c2VySWQiOiIzMjExNTEwMjgifQ==</vt:lpwstr>
  </property>
</Properties>
</file>