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int="eastAsia" w:hAnsi="黑体"/>
          <w:sz w:val="36"/>
          <w:szCs w:val="36"/>
        </w:rPr>
      </w:pPr>
      <w:r>
        <w:rPr>
          <w:rFonts w:hint="eastAsia" w:hAnsi="黑体"/>
          <w:sz w:val="36"/>
          <w:szCs w:val="36"/>
        </w:rPr>
        <w:t>附件1</w:t>
      </w:r>
    </w:p>
    <w:p>
      <w:pPr>
        <w:jc w:val="center"/>
        <w:rPr>
          <w:rFonts w:hint="eastAsia"/>
          <w:w w:val="100"/>
          <w:sz w:val="36"/>
          <w:szCs w:val="36"/>
        </w:rPr>
      </w:pPr>
    </w:p>
    <w:p>
      <w:pPr>
        <w:jc w:val="center"/>
        <w:rPr>
          <w:rFonts w:hint="eastAsia"/>
          <w:w w:val="100"/>
          <w:sz w:val="36"/>
          <w:szCs w:val="36"/>
        </w:rPr>
      </w:pPr>
    </w:p>
    <w:p>
      <w:pPr>
        <w:jc w:val="center"/>
        <w:rPr>
          <w:rFonts w:hint="eastAsia"/>
          <w:w w:val="100"/>
          <w:sz w:val="36"/>
          <w:szCs w:val="36"/>
        </w:rPr>
      </w:pPr>
    </w:p>
    <w:p>
      <w:pPr>
        <w:jc w:val="center"/>
        <w:rPr>
          <w:rFonts w:hint="eastAsia"/>
          <w:w w:val="100"/>
          <w:sz w:val="36"/>
          <w:szCs w:val="36"/>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60"/>
          <w:szCs w:val="60"/>
        </w:rPr>
      </w:pPr>
      <w:r>
        <w:rPr>
          <w:rFonts w:hint="eastAsia" w:ascii="方正小标宋简体" w:hAnsi="方正小标宋简体" w:eastAsia="方正小标宋简体" w:cs="方正小标宋简体"/>
          <w:w w:val="100"/>
          <w:sz w:val="60"/>
          <w:szCs w:val="60"/>
        </w:rPr>
        <w:t>2024年度</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60"/>
          <w:szCs w:val="60"/>
          <w:lang w:eastAsia="zh-CN"/>
        </w:rPr>
      </w:pPr>
      <w:r>
        <w:rPr>
          <w:rFonts w:hint="eastAsia" w:ascii="方正小标宋简体" w:hAnsi="方正小标宋简体" w:eastAsia="方正小标宋简体" w:cs="方正小标宋简体"/>
          <w:w w:val="100"/>
          <w:sz w:val="60"/>
          <w:szCs w:val="60"/>
          <w:lang w:eastAsia="zh-CN"/>
        </w:rPr>
        <w:t>怀化市市场监督管理局</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w w:val="100"/>
          <w:sz w:val="60"/>
          <w:szCs w:val="60"/>
        </w:rPr>
      </w:pPr>
      <w:r>
        <w:rPr>
          <w:rFonts w:hint="eastAsia" w:ascii="方正小标宋简体" w:hAnsi="方正小标宋简体" w:eastAsia="方正小标宋简体" w:cs="方正小标宋简体"/>
          <w:w w:val="100"/>
          <w:sz w:val="60"/>
          <w:szCs w:val="60"/>
        </w:rPr>
        <w:t>决算公开说明</w:t>
      </w:r>
    </w:p>
    <w:p>
      <w:pPr>
        <w:widowControl/>
        <w:jc w:val="left"/>
        <w:rPr>
          <w:rFonts w:ascii="仿宋" w:hAnsi="仿宋" w:eastAsia="仿宋"/>
          <w:w w:val="100"/>
          <w:sz w:val="30"/>
          <w:szCs w:val="30"/>
        </w:rPr>
      </w:pPr>
      <w:r>
        <w:rPr>
          <w:rFonts w:ascii="仿宋" w:hAnsi="仿宋" w:eastAsia="仿宋"/>
          <w:w w:val="100"/>
          <w:sz w:val="30"/>
          <w:szCs w:val="30"/>
        </w:rPr>
        <w:br w:type="page"/>
      </w:r>
    </w:p>
    <w:p>
      <w:pPr>
        <w:rPr>
          <w:w w:val="100"/>
          <w:sz w:val="30"/>
          <w:szCs w:val="30"/>
        </w:rPr>
      </w:pPr>
    </w:p>
    <w:p>
      <w:pPr>
        <w:jc w:val="center"/>
        <w:rPr>
          <w:rFonts w:hint="eastAsia" w:ascii="方正小标宋简体" w:hAnsi="方正小标宋简体" w:eastAsia="方正小标宋简体" w:cs="方正小标宋简体"/>
          <w:w w:val="100"/>
          <w:sz w:val="44"/>
          <w:szCs w:val="44"/>
        </w:rPr>
      </w:pPr>
      <w:r>
        <w:rPr>
          <w:rFonts w:hint="eastAsia" w:ascii="方正小标宋简体" w:hAnsi="方正小标宋简体" w:eastAsia="方正小标宋简体" w:cs="方正小标宋简体"/>
          <w:w w:val="100"/>
          <w:sz w:val="44"/>
          <w:szCs w:val="44"/>
        </w:rPr>
        <w:t>目</w:t>
      </w:r>
      <w:r>
        <w:rPr>
          <w:rFonts w:hint="eastAsia" w:ascii="方正小标宋简体" w:hAnsi="方正小标宋简体" w:eastAsia="方正小标宋简体" w:cs="方正小标宋简体"/>
          <w:w w:val="100"/>
          <w:sz w:val="44"/>
          <w:szCs w:val="44"/>
          <w:lang w:val="en-US" w:eastAsia="zh-CN"/>
        </w:rPr>
        <w:t xml:space="preserve">    </w:t>
      </w:r>
      <w:r>
        <w:rPr>
          <w:rFonts w:hint="eastAsia" w:ascii="方正小标宋简体" w:hAnsi="方正小标宋简体" w:eastAsia="方正小标宋简体" w:cs="方正小标宋简体"/>
          <w:w w:val="100"/>
          <w:sz w:val="44"/>
          <w:szCs w:val="44"/>
        </w:rPr>
        <w:t>录</w:t>
      </w:r>
    </w:p>
    <w:p>
      <w:pPr>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w w:val="100"/>
          <w:sz w:val="32"/>
          <w:szCs w:val="32"/>
        </w:rPr>
      </w:pPr>
      <w:r>
        <w:rPr>
          <w:rFonts w:hint="eastAsia" w:ascii="黑体" w:hAnsi="黑体" w:eastAsia="黑体" w:cs="黑体"/>
          <w:w w:val="100"/>
          <w:sz w:val="32"/>
          <w:szCs w:val="32"/>
        </w:rPr>
        <w:t>第一部分</w:t>
      </w:r>
      <w:r>
        <w:rPr>
          <w:rFonts w:hint="eastAsia" w:cs="黑体"/>
          <w:w w:val="100"/>
          <w:sz w:val="32"/>
          <w:szCs w:val="32"/>
          <w:lang w:val="en-US" w:eastAsia="zh-CN"/>
        </w:rPr>
        <w:t xml:space="preserve">  </w:t>
      </w:r>
      <w:r>
        <w:rPr>
          <w:rFonts w:hint="eastAsia" w:ascii="黑体" w:hAnsi="黑体" w:eastAsia="黑体" w:cs="黑体"/>
          <w:w w:val="100"/>
          <w:sz w:val="32"/>
          <w:szCs w:val="32"/>
          <w:lang w:eastAsia="zh-CN"/>
        </w:rPr>
        <w:t>怀化市市场监督管理局</w:t>
      </w:r>
      <w:r>
        <w:rPr>
          <w:rFonts w:hint="eastAsia" w:ascii="黑体" w:hAnsi="黑体" w:eastAsia="黑体" w:cs="黑体"/>
          <w:w w:val="100"/>
          <w:sz w:val="32"/>
          <w:szCs w:val="32"/>
        </w:rPr>
        <w:t>概况</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一、部门职责</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二、机构设置及决算单位构成</w:t>
      </w:r>
    </w:p>
    <w:p>
      <w:pPr>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w w:val="100"/>
          <w:sz w:val="32"/>
          <w:szCs w:val="32"/>
        </w:rPr>
      </w:pPr>
      <w:r>
        <w:rPr>
          <w:rFonts w:hint="eastAsia" w:ascii="黑体" w:hAnsi="黑体" w:eastAsia="黑体" w:cs="黑体"/>
          <w:w w:val="100"/>
          <w:sz w:val="32"/>
          <w:szCs w:val="32"/>
        </w:rPr>
        <w:t>第二部分</w:t>
      </w:r>
      <w:r>
        <w:rPr>
          <w:rFonts w:hint="eastAsia" w:cs="黑体"/>
          <w:w w:val="100"/>
          <w:sz w:val="32"/>
          <w:szCs w:val="32"/>
          <w:lang w:val="en-US" w:eastAsia="zh-CN"/>
        </w:rPr>
        <w:t xml:space="preserve">  </w:t>
      </w:r>
      <w:r>
        <w:rPr>
          <w:rFonts w:hint="eastAsia" w:ascii="黑体" w:hAnsi="黑体" w:eastAsia="黑体" w:cs="黑体"/>
          <w:w w:val="100"/>
          <w:sz w:val="32"/>
          <w:szCs w:val="32"/>
        </w:rPr>
        <w:t>部门决算表</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一、收入支出决算总表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二、收入决算表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三、支出决算表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四、财政拨款收入支出决算总表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五、一般公共预算财政拨款支出决算表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六、一般公共预算财政拨款基本支出决算明细表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七、政府性基金预算财政拨款收入支出决算表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八、国有资本经营预算财政拨款支出决算表</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九、财政拨款“三公”经费支出决算表</w:t>
      </w:r>
    </w:p>
    <w:p>
      <w:pPr>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w w:val="100"/>
          <w:sz w:val="32"/>
          <w:szCs w:val="32"/>
        </w:rPr>
      </w:pPr>
      <w:r>
        <w:rPr>
          <w:rFonts w:hint="eastAsia" w:ascii="黑体" w:hAnsi="黑体" w:eastAsia="黑体" w:cs="黑体"/>
          <w:w w:val="100"/>
          <w:sz w:val="32"/>
          <w:szCs w:val="32"/>
        </w:rPr>
        <w:t>第三部分</w:t>
      </w:r>
      <w:r>
        <w:rPr>
          <w:rFonts w:hint="eastAsia" w:cs="黑体"/>
          <w:w w:val="100"/>
          <w:sz w:val="32"/>
          <w:szCs w:val="32"/>
          <w:lang w:val="en-US" w:eastAsia="zh-CN"/>
        </w:rPr>
        <w:t xml:space="preserve">  </w:t>
      </w:r>
      <w:r>
        <w:rPr>
          <w:rFonts w:hint="eastAsia" w:ascii="黑体" w:hAnsi="黑体" w:eastAsia="黑体" w:cs="黑体"/>
          <w:w w:val="100"/>
          <w:sz w:val="32"/>
          <w:szCs w:val="32"/>
        </w:rPr>
        <w:t>部门决算情况说明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一、收入支出决算总体情况说明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二、收入决算情况说明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三、支出决算情况说明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四、财政拨款收入支出决算总体情况说明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五、一般公共预算财政拨款支出决算情况说明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六、一般公共预算财政拨款基本支出决算情况说明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七、财政拨款“三公”经费支出决算情况说明</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八、政府性基金预算收入支出决算情况</w:t>
      </w:r>
      <w:r>
        <w:rPr>
          <w:rFonts w:hint="eastAsia" w:ascii="仿宋_GB2312" w:hAnsi="仿宋_GB2312" w:eastAsia="仿宋_GB2312" w:cs="仿宋_GB2312"/>
          <w:w w:val="100"/>
          <w:sz w:val="32"/>
          <w:szCs w:val="32"/>
        </w:rPr>
        <w:br w:type="textWrapping"/>
      </w:r>
      <w:r>
        <w:rPr>
          <w:rFonts w:hint="eastAsia" w:ascii="仿宋_GB2312" w:hAnsi="仿宋_GB2312" w:eastAsia="仿宋_GB2312" w:cs="仿宋_GB2312"/>
          <w:w w:val="100"/>
          <w:sz w:val="32"/>
          <w:szCs w:val="32"/>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十二、关于政府采购支出说明</w:t>
      </w:r>
    </w:p>
    <w:p>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十三、关于国有资产占用情况说明</w:t>
      </w:r>
    </w:p>
    <w:p>
      <w:pPr>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十四、关于2024年度预算绩效管理情况的说明</w:t>
      </w:r>
    </w:p>
    <w:p>
      <w:pPr>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w w:val="100"/>
          <w:sz w:val="32"/>
          <w:szCs w:val="32"/>
        </w:rPr>
      </w:pPr>
      <w:r>
        <w:rPr>
          <w:rFonts w:hint="eastAsia" w:ascii="黑体" w:hAnsi="黑体" w:eastAsia="黑体" w:cs="黑体"/>
          <w:w w:val="100"/>
          <w:sz w:val="32"/>
          <w:szCs w:val="32"/>
        </w:rPr>
        <w:t>第四部分</w:t>
      </w:r>
      <w:r>
        <w:rPr>
          <w:rFonts w:hint="eastAsia" w:cs="黑体"/>
          <w:w w:val="100"/>
          <w:sz w:val="32"/>
          <w:szCs w:val="32"/>
          <w:lang w:val="en-US" w:eastAsia="zh-CN"/>
        </w:rPr>
        <w:t xml:space="preserve">  </w:t>
      </w:r>
      <w:r>
        <w:rPr>
          <w:rFonts w:hint="eastAsia" w:ascii="黑体" w:hAnsi="黑体" w:eastAsia="黑体" w:cs="黑体"/>
          <w:w w:val="100"/>
          <w:sz w:val="32"/>
          <w:szCs w:val="32"/>
        </w:rPr>
        <w:t>名词解释</w:t>
      </w:r>
    </w:p>
    <w:p>
      <w:pPr>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w w:val="100"/>
          <w:sz w:val="32"/>
          <w:szCs w:val="32"/>
        </w:rPr>
      </w:pPr>
      <w:r>
        <w:rPr>
          <w:rFonts w:hint="eastAsia" w:ascii="黑体" w:hAnsi="黑体" w:eastAsia="黑体" w:cs="黑体"/>
          <w:w w:val="100"/>
          <w:sz w:val="32"/>
          <w:szCs w:val="32"/>
        </w:rPr>
        <w:t>第五部分</w:t>
      </w:r>
      <w:r>
        <w:rPr>
          <w:rFonts w:hint="eastAsia" w:cs="黑体"/>
          <w:w w:val="100"/>
          <w:sz w:val="32"/>
          <w:szCs w:val="32"/>
          <w:lang w:val="en-US" w:eastAsia="zh-CN"/>
        </w:rPr>
        <w:t xml:space="preserve">  </w:t>
      </w:r>
      <w:r>
        <w:rPr>
          <w:rFonts w:hint="eastAsia" w:ascii="黑体" w:hAnsi="黑体" w:eastAsia="黑体" w:cs="黑体"/>
          <w:w w:val="100"/>
          <w:sz w:val="32"/>
          <w:szCs w:val="32"/>
        </w:rPr>
        <w:t>附件</w:t>
      </w:r>
    </w:p>
    <w:p>
      <w:pPr>
        <w:widowControl/>
        <w:jc w:val="left"/>
        <w:rPr>
          <w:w w:val="100"/>
          <w:sz w:val="30"/>
          <w:szCs w:val="30"/>
        </w:rPr>
      </w:pPr>
      <w:r>
        <w:rPr>
          <w:w w:val="100"/>
          <w:sz w:val="30"/>
          <w:szCs w:val="30"/>
        </w:rPr>
        <w:br w:type="page"/>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4"/>
        <w:spacing w:line="360" w:lineRule="auto"/>
        <w:jc w:val="center"/>
        <w:rPr>
          <w:rFonts w:hint="eastAsia" w:ascii="仿宋_GB2312" w:hAnsi="仿宋_GB2312" w:eastAsia="仿宋_GB2312" w:cs="仿宋_GB2312"/>
          <w:w w:val="100"/>
          <w:sz w:val="32"/>
          <w:szCs w:val="32"/>
        </w:rPr>
      </w:pPr>
    </w:p>
    <w:p>
      <w:pPr>
        <w:pStyle w:val="14"/>
        <w:numPr>
          <w:ilvl w:val="0"/>
          <w:numId w:val="0"/>
        </w:numPr>
        <w:spacing w:line="360" w:lineRule="auto"/>
        <w:jc w:val="center"/>
        <w:rPr>
          <w:rFonts w:hint="eastAsia" w:ascii="方正小标宋简体" w:hAnsi="方正小标宋简体" w:eastAsia="方正小标宋简体" w:cs="方正小标宋简体"/>
          <w:color w:val="000000"/>
          <w:w w:val="100"/>
          <w:kern w:val="0"/>
          <w:sz w:val="52"/>
          <w:szCs w:val="52"/>
          <w:lang w:val="en-US" w:eastAsia="zh-CN" w:bidi="ar-SA"/>
        </w:rPr>
      </w:pPr>
      <w:r>
        <w:rPr>
          <w:rFonts w:hint="eastAsia" w:ascii="方正小标宋简体" w:hAnsi="方正小标宋简体" w:eastAsia="方正小标宋简体" w:cs="方正小标宋简体"/>
          <w:color w:val="000000"/>
          <w:w w:val="100"/>
          <w:kern w:val="0"/>
          <w:sz w:val="52"/>
          <w:szCs w:val="52"/>
          <w:lang w:val="en-US" w:eastAsia="zh-CN" w:bidi="ar-SA"/>
        </w:rPr>
        <w:t>第一部分</w:t>
      </w:r>
    </w:p>
    <w:p>
      <w:pPr>
        <w:pStyle w:val="14"/>
        <w:numPr>
          <w:ilvl w:val="0"/>
          <w:numId w:val="0"/>
        </w:numPr>
        <w:spacing w:line="360" w:lineRule="auto"/>
        <w:jc w:val="center"/>
        <w:rPr>
          <w:w w:val="100"/>
          <w:sz w:val="32"/>
          <w:szCs w:val="30"/>
        </w:rPr>
      </w:pPr>
      <w:r>
        <w:rPr>
          <w:rFonts w:hint="eastAsia" w:ascii="方正小标宋简体" w:hAnsi="方正小标宋简体" w:eastAsia="方正小标宋简体" w:cs="方正小标宋简体"/>
          <w:color w:val="000000"/>
          <w:w w:val="100"/>
          <w:kern w:val="0"/>
          <w:sz w:val="52"/>
          <w:szCs w:val="52"/>
          <w:lang w:val="en-US" w:eastAsia="zh-CN" w:bidi="ar-SA"/>
        </w:rPr>
        <w:t>怀化市市场监督管理局概况</w:t>
      </w:r>
    </w:p>
    <w:p>
      <w:pPr>
        <w:rPr>
          <w:rFonts w:hint="eastAsia" w:ascii="仿宋" w:hAnsi="仿宋" w:eastAsia="仿宋" w:cs="仿宋"/>
          <w:w w:val="100"/>
          <w:sz w:val="30"/>
          <w:szCs w:val="30"/>
        </w:rPr>
      </w:pPr>
      <w:r>
        <w:rPr>
          <w:rFonts w:hint="eastAsia" w:ascii="仿宋" w:hAnsi="仿宋" w:eastAsia="仿宋" w:cs="仿宋"/>
          <w:w w:val="100"/>
          <w:sz w:val="30"/>
          <w:szCs w:val="30"/>
        </w:rPr>
        <w:br w:type="page"/>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一、部门职责</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怀化市市场监督管理局（以下简称市市场监管局）是市政府工作部门，为正处级，对外加挂怀化市知识产权局牌子。</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市市场监管局贯彻落实党中央关于市场监督管理工作的方针政策和决策部署，全面落实省委、市委关于市场监督管理工作的部署要求，在履行职责过程中坚持和加强党对市场监督管理工作的集中统一领导。</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主要职责是：</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一）负责市场综合监督管理。拟订市场监督管理有关制度措施，组织实施质量强市战略、食品安全战略、标准化战略和知识产权战略，拟订并组织实施有关规划，规范和维护市场秩序，营造诚实守信、公平竞争的市场环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（三）负责组织和指导市场监管综合执法工作。指导县市区市场监管综合执法队伍整合和建设，推动实行统一的市场监管。组织查处违法案件。规范市场监管行政执法行为。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（四）负责反垄断工作。统筹推进竞争政策实施，组织实施公平竞争审查制度。依法对经营者集中行为进行反垄断审查，根据授权负责垄断协议、滥用市场支配地位和滥用行政权力排除、限制竞争等反垄断工作。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五）负责监督管理市场秩序。依法监督管理市场交易、网络商品交易及有关服务的行为。组织指导查处价格收费违法违规、不正当竞争、违法直、传销、侵犯商标专利知识产权和制售假冒伪劣行为。指导广告业的发展，监督管理广告活动。承担依法查处无照生产经营和相关无证生产经营行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（六）负责宏观质量管理。拟订推进质量强市战略的政策措施并组织实施，会同有关部门组织实施重大工程设各质量监理制度，组织质量事故调查，贯彻实施缺陷产品召回制度，监督管理产品防伪工作。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（七）负责产品质量安全监督管理。负责产品质量安全风险监控、全市监督抽查工作。落实质量分级制度、质量安全追溯制度。负责工业产品生产许可监督管理。负责纤维质量监督工作。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（八）负责特种设备安全监督管理。综合管理特种设备安全监察、监督工作。监督检查高耗能特种设备节能标准和锅炉环境保护标准的执行情况。按规定权限组织调查处理特种设备事故并进行统计分析。</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九）负责食品安全监督管理综合协调。组织制定食品安全重大政策并组织实施。负责食品安全应急体系建设，组织指导重大食品安全事件应急处置和调查处理工作。落实食品安全重要信息直报制度。承担市食品安全委员会日常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（十一）负责统一管理计量工作。推行法定计量单位和国家计量制度，依职责管理计量器具及量值传递和比对工作。规范、监督商品量和市场计量行为。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（十二）负责统一管理标准化工作。依法承担地方标准立项、编号和发布工作，指导开展标准化试点示范工作。依据法定职责，对标准的制定进行指导监督，对标准的实施进行监督检查。推行采用国际标准。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（十三）负责统一管理检验检测工作。推进检验检测机构改革，规范检验检测市场，完善检验检测体系，指导协调检验检测行业发展。</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（十四）负责统一管理、监督和综合协调全市认证认可工作。依法监督管理全市认证认可和合格评定有关活动。</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（十五）负责市场监督管理、知识产权领域科技和信息化建设、新闻宣传、对外交流与合作。按规定承担技术性贸易措施有关工作。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六）负责实施知识产权战略，配合推进知识产权强省建设。制定实施知识产权创造、保护、运用的政策和措施。负责知识产权公共服务体系建设，推动知识产权信息传播利用，统筹协调涉外知识产权有关事宜。指导县市区知识产权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（十七）负责保护知识产权。落实严格保护商标、专利、原产地地理标志等相关工作，负责知识产权保护体系建设，组织指导商标、专利执法工作。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（十八）负责知识产权创造运用。按权限负责商标、专利和原产地地理标志的管理，开展知识产权运营体系建设，指导重大经济活动知识产权评议，规范知识产权交易和无形资产评估，促进知识产权转移转化。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（十九）负责组织开展有关服务领域消费维权工作，查处制隹假冒伪劣等违法行为，指导消费者咨询、申诉举报受理、处理和网络体系建设等工作，保护经营者、消费者合法权益。</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（二十一）监督实施药品、医疗器械、化妆品分类管理制度，配合有关部门实施国家基本药物制度。</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（二十二）负责药品、医疗器械和化妆品质量管理。监督实施药品、医疗器械经营质量管理规范，监督实施化妆品经营、使用卫生标准和技术规范。负责药品零售许可和医疗器械经营许可、备案。</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（二十三）负责药品、医疗器械和化妆品上市后风险管理。组织开展药品不良反应、医疗器械不良事件和化妆品不良反应的监测、评价和处置工作。依法承担药品、医疗器械和化妆品安全应急管理工作。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（二十四）负责组织实施药品、医疗器械和化妆品监督检查。落实检查制度，依法查处药品零售、使用环节及医疗器械和化妆品经营、使用环节违法行为。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（二十五）负责职责范围内食品药品行业安全生产工作。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（二十六）完成市委、市政府交办的其他任务。</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二、机构设置及决算单位构成</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rPr>
      </w:pPr>
      <w:r>
        <w:rPr>
          <w:rFonts w:hint="eastAsia" w:ascii="楷体_GB2312" w:hAnsi="楷体_GB2312" w:eastAsia="楷体_GB2312" w:cs="楷体_GB2312"/>
          <w:b/>
          <w:bCs/>
          <w:w w:val="100"/>
          <w:sz w:val="32"/>
          <w:szCs w:val="32"/>
        </w:rPr>
        <w:t>（一）内设机构设置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作为一级部门预算单位，内设机构包括：办公室、政策法规科、信用监督管理科、价格监督检查和反不正当竞争科（规范直销与打击传销办公室）、网络交易监督管理科、广告监督管理科、质量发展科、产品质量安全监督管理科、食品安全协调科、食品生产安全监督管理科、食品流通安全监督管理科、餐饮食品安全监督管理科、特种设备安全监察科、计量科、认证认可监督管理科、标准化科、知识产权促进保护科、知识产权运用科、消费者权益保护科（投诉举报办公室）、药品监督管理科、医疗器械监督管理科、化妆品监督管理科、宣传与应急反应科、科技和财务科、人事科（退休人员管理服务科）、机关党委。</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怀化市检验检测中心为副处级全额拨款事业单位，隶属怀化市市场监督管理局，为怀化市市场监督管理局直属公益一类副处级事业单位，内设15个部室。</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怀化市市场监督管理局直属二局是怀化市市场监督管理局的派出机构，主管市场监督管理和行政执法工作。单位内设办公室、信用监管股、登记注册股、特种设备安全监管股、价格监督检查和反不正当竞争股、药械化监管股、食品安全监督</w:t>
      </w:r>
      <w:r>
        <w:rPr>
          <w:rFonts w:hint="eastAsia" w:ascii="仿宋_GB2312" w:hAnsi="仿宋_GB2312" w:eastAsia="仿宋_GB2312" w:cs="仿宋_GB2312"/>
          <w:spacing w:val="6"/>
          <w:w w:val="100"/>
          <w:sz w:val="32"/>
          <w:szCs w:val="32"/>
        </w:rPr>
        <w:t>管理股和河西市场监管所（消费者权益保护股）共8个股、室、所。</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楷体_GB2312" w:hAnsi="楷体_GB2312" w:eastAsia="楷体_GB2312" w:cs="楷体_GB2312"/>
          <w:b/>
          <w:bCs/>
          <w:w w:val="100"/>
          <w:sz w:val="32"/>
          <w:szCs w:val="32"/>
        </w:rPr>
      </w:pPr>
      <w:r>
        <w:rPr>
          <w:rFonts w:hint="eastAsia" w:ascii="楷体_GB2312" w:hAnsi="楷体_GB2312" w:eastAsia="楷体_GB2312" w:cs="楷体_GB2312"/>
          <w:b/>
          <w:bCs/>
          <w:w w:val="100"/>
          <w:sz w:val="32"/>
          <w:szCs w:val="32"/>
        </w:rPr>
        <w:t>（二）决算单位构成</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纳入202</w:t>
      </w:r>
      <w:r>
        <w:rPr>
          <w:rFonts w:hint="eastAsia" w:ascii="仿宋_GB2312" w:hAnsi="仿宋_GB2312" w:eastAsia="仿宋_GB2312" w:cs="仿宋_GB2312"/>
          <w:w w:val="100"/>
          <w:sz w:val="32"/>
          <w:szCs w:val="32"/>
          <w:lang w:val="en-US" w:eastAsia="zh-CN"/>
        </w:rPr>
        <w:t>4</w:t>
      </w:r>
      <w:r>
        <w:rPr>
          <w:rFonts w:hint="eastAsia" w:ascii="仿宋_GB2312" w:hAnsi="仿宋_GB2312" w:eastAsia="仿宋_GB2312" w:cs="仿宋_GB2312"/>
          <w:w w:val="100"/>
          <w:sz w:val="32"/>
          <w:szCs w:val="32"/>
        </w:rPr>
        <w:t>年部门决算编制范围的包括：怀化市市场监督管理局</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本级</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、怀化市检验检测中心、怀化市市场监督管理局直属二局。</w:t>
      </w:r>
    </w:p>
    <w:p>
      <w:pPr>
        <w:ind w:left="0" w:leftChars="0" w:firstLine="937" w:firstLineChars="293"/>
        <w:rPr>
          <w:rFonts w:hint="eastAsia" w:ascii="仿宋_GB2312" w:hAnsi="仿宋_GB2312" w:eastAsia="仿宋_GB2312" w:cs="仿宋_GB2312"/>
          <w:w w:val="100"/>
          <w:sz w:val="32"/>
          <w:szCs w:val="32"/>
        </w:rPr>
        <w:sectPr>
          <w:pgSz w:w="11906" w:h="16838"/>
          <w:pgMar w:top="1701" w:right="1701" w:bottom="1701" w:left="1701"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w w:val="100"/>
          <w:sz w:val="44"/>
          <w:szCs w:val="44"/>
        </w:rPr>
      </w:pPr>
      <w:r>
        <w:rPr>
          <w:rFonts w:hint="eastAsia" w:ascii="方正小标宋简体" w:hAnsi="方正小标宋简体" w:eastAsia="方正小标宋简体" w:cs="方正小标宋简体"/>
          <w:w w:val="100"/>
          <w:sz w:val="44"/>
          <w:szCs w:val="44"/>
        </w:rPr>
        <w:t>第二部分 部门决算表</w:t>
      </w:r>
    </w:p>
    <w:p>
      <w:pPr>
        <w:ind w:firstLine="831" w:firstLineChars="189"/>
        <w:jc w:val="right"/>
        <w:rPr>
          <w:rFonts w:hint="eastAsia" w:ascii="仿宋_GB2312" w:hAnsi="仿宋_GB2312" w:eastAsia="仿宋_GB2312" w:cs="仿宋_GB2312"/>
          <w:w w:val="100"/>
          <w:sz w:val="30"/>
          <w:szCs w:val="30"/>
        </w:rPr>
      </w:pPr>
      <w:r>
        <w:rPr>
          <w:rFonts w:hint="eastAsia" w:ascii="方正小标宋简体" w:hAnsi="方正小标宋简体" w:eastAsia="方正小标宋简体" w:cs="方正小标宋简体"/>
          <w:w w:val="100"/>
          <w:sz w:val="44"/>
          <w:szCs w:val="44"/>
        </w:rPr>
        <w:t>收入支出决算总表</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rPr>
        <w:t>（公开01表）</w:t>
      </w:r>
    </w:p>
    <w:p>
      <w:pPr>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023"/>
        <w:gridCol w:w="780"/>
        <w:gridCol w:w="1389"/>
        <w:gridCol w:w="4719"/>
        <w:gridCol w:w="780"/>
        <w:gridCol w:w="1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71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6891" w:type="dxa"/>
            <w:gridSpan w:val="3"/>
            <w:tcBorders>
              <w:top w:val="single" w:color="D4D4D4" w:sz="4" w:space="0"/>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8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9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38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p>
        </w:tc>
        <w:tc>
          <w:tcPr>
            <w:tcW w:w="139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7,795.75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24</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25</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26</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9,423.51</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57</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9,423.51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3"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30</w:t>
            </w:r>
          </w:p>
        </w:tc>
        <w:tc>
          <w:tcPr>
            <w:tcW w:w="138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9,423.51</w:t>
            </w:r>
          </w:p>
        </w:tc>
        <w:tc>
          <w:tcPr>
            <w:tcW w:w="471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60</w:t>
            </w:r>
          </w:p>
        </w:tc>
        <w:tc>
          <w:tcPr>
            <w:tcW w:w="1392"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9,423.51</w:t>
            </w:r>
          </w:p>
        </w:tc>
      </w:tr>
    </w:tbl>
    <w:p>
      <w:pPr>
        <w:ind w:firstLine="566" w:firstLineChars="236"/>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注：1.本表反映部门本年度的总收支和年末结转结余情况。</w:t>
      </w:r>
    </w:p>
    <w:p>
      <w:pPr>
        <w:ind w:firstLine="1041" w:firstLineChars="434"/>
        <w:rPr>
          <w:rFonts w:hint="eastAsia" w:ascii="仿宋_GB2312" w:hAnsi="仿宋_GB2312" w:eastAsia="仿宋_GB2312" w:cs="仿宋_GB2312"/>
          <w:w w:val="100"/>
          <w:sz w:val="24"/>
          <w:szCs w:val="24"/>
        </w:rPr>
        <w:sectPr>
          <w:pgSz w:w="16838" w:h="11906" w:orient="landscape"/>
          <w:pgMar w:top="1633" w:right="1440" w:bottom="1633" w:left="1440" w:header="851" w:footer="992" w:gutter="0"/>
          <w:cols w:space="425" w:num="1"/>
          <w:docGrid w:type="lines" w:linePitch="312" w:charSpace="0"/>
        </w:sectPr>
      </w:pPr>
      <w:r>
        <w:rPr>
          <w:rFonts w:hint="eastAsia" w:ascii="仿宋_GB2312" w:hAnsi="仿宋_GB2312" w:eastAsia="仿宋_GB2312" w:cs="仿宋_GB2312"/>
          <w:w w:val="100"/>
          <w:sz w:val="24"/>
          <w:szCs w:val="24"/>
        </w:rPr>
        <w:t>2.本套报表金额单位转换时可能存在尾数误差。</w:t>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收入决算表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rPr>
        <w:t>（公开02表）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020"/>
        <w:gridCol w:w="3694"/>
        <w:gridCol w:w="1465"/>
        <w:gridCol w:w="1465"/>
        <w:gridCol w:w="1465"/>
        <w:gridCol w:w="1020"/>
        <w:gridCol w:w="1020"/>
        <w:gridCol w:w="1910"/>
        <w:gridCol w:w="1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471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94"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1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465"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465"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465"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20"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20"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910"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21"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1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9,423.51</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9,391.20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2013850</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事业运行</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1,667.50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1,667.50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369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46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910"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2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注：本表反映部门本年度取得的各项收入情况。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（公开03表）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116"/>
        <w:gridCol w:w="4049"/>
        <w:gridCol w:w="1606"/>
        <w:gridCol w:w="1124"/>
        <w:gridCol w:w="1124"/>
        <w:gridCol w:w="1606"/>
        <w:gridCol w:w="1116"/>
        <w:gridCol w:w="23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5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1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33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049"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06"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24"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24"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6"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16"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339" w:type="dxa"/>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16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9,423.51</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8,053.26</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1,370.25</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2013850</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事业运行</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1,667.50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823.53</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843.97</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404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32.31</w:t>
            </w:r>
          </w:p>
        </w:tc>
        <w:tc>
          <w:tcPr>
            <w:tcW w:w="112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33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注：本表反映部门本年度各项支出情况。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财政拨款收入支出决算总表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（公开04表）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51"/>
        <w:gridCol w:w="1017"/>
        <w:gridCol w:w="3448"/>
        <w:gridCol w:w="451"/>
        <w:gridCol w:w="1011"/>
        <w:gridCol w:w="1626"/>
        <w:gridCol w:w="1603"/>
        <w:gridCol w:w="1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4696"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9664" w:type="dxa"/>
            <w:gridSpan w:val="6"/>
            <w:tcBorders>
              <w:top w:val="single" w:color="D4D4D4" w:sz="4" w:space="0"/>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7"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1" w:type="dxa"/>
            <w:vMerge w:val="restart"/>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26"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603"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525"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1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011" w:type="dxa"/>
            <w:vMerge w:val="continue"/>
            <w:tcBorders>
              <w:top w:val="nil"/>
              <w:left w:val="single" w:color="D4D4D4" w:sz="4" w:space="0"/>
              <w:bottom w:val="single" w:color="D4D4D4" w:sz="4" w:space="0"/>
              <w:right w:val="single" w:color="D4D4D4" w:sz="4" w:space="0"/>
            </w:tcBorders>
            <w:shd w:val="clear" w:color="000000" w:fill="F1F1F1"/>
            <w:noWrap/>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626"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right"/>
              <w:rPr>
                <w:rFonts w:hint="eastAsia" w:ascii="宋体" w:hAnsi="宋体" w:eastAsia="宋体" w:cs="宋体"/>
                <w:b/>
                <w:i w:val="0"/>
                <w:iCs w:val="0"/>
                <w:color w:val="000000"/>
                <w:w w:val="100"/>
                <w:sz w:val="22"/>
                <w:szCs w:val="22"/>
                <w:u w:val="none"/>
                <w:lang w:eastAsia="zh-CN"/>
              </w:rPr>
            </w:pPr>
          </w:p>
        </w:tc>
        <w:tc>
          <w:tcPr>
            <w:tcW w:w="1603"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525"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p>
        </w:tc>
        <w:tc>
          <w:tcPr>
            <w:tcW w:w="101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26"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3"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525"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7,795.75</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7,795.75</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0"/>
                <w:szCs w:val="20"/>
                <w:u w:val="none"/>
              </w:rPr>
            </w:pPr>
            <w:r>
              <w:rPr>
                <w:rFonts w:hint="eastAsia" w:ascii="宋体" w:hAnsi="宋体" w:eastAsia="宋体" w:cs="宋体"/>
                <w:b/>
                <w:i w:val="0"/>
                <w:iCs w:val="0"/>
                <w:color w:val="000000"/>
                <w:w w:val="100"/>
                <w:kern w:val="0"/>
                <w:sz w:val="20"/>
                <w:szCs w:val="20"/>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017"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344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101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1626"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9,391.20</w:t>
            </w:r>
          </w:p>
        </w:tc>
        <w:tc>
          <w:tcPr>
            <w:tcW w:w="160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25"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pPr>
        <w:ind w:firstLine="566" w:firstLineChars="236"/>
        <w:rPr>
          <w:rFonts w:hint="eastAsia" w:ascii="仿宋_GB2312" w:hAnsi="仿宋_GB2312" w:eastAsia="仿宋_GB2312" w:cs="仿宋_GB2312"/>
          <w:w w:val="100"/>
          <w:sz w:val="24"/>
          <w:szCs w:val="24"/>
        </w:rPr>
      </w:pPr>
      <w:r>
        <w:rPr>
          <w:rFonts w:hint="eastAsia" w:ascii="仿宋_GB2312" w:hAnsi="仿宋_GB2312" w:eastAsia="仿宋_GB2312" w:cs="仿宋_GB2312"/>
          <w:w w:val="100"/>
          <w:sz w:val="24"/>
          <w:szCs w:val="24"/>
        </w:rPr>
        <w:t>注：本表反映部门本年度一般公共预算财政拨款、政府性基金预算财政拨款和国有资本经营预算财政拨款的总收支和年末结转结余情况。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一般公共预算财政拨款支出决算表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hint="eastAsia" w:ascii="仿宋_GB2312" w:hAnsi="仿宋_GB2312" w:eastAsia="仿宋_GB2312" w:cs="仿宋_GB2312"/>
          <w:w w:val="100"/>
          <w:sz w:val="30"/>
          <w:szCs w:val="30"/>
        </w:rPr>
        <w:t>（公开05表）</w:t>
      </w:r>
    </w:p>
    <w:p>
      <w:pPr>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842"/>
        <w:gridCol w:w="6674"/>
        <w:gridCol w:w="1854"/>
        <w:gridCol w:w="1854"/>
        <w:gridCol w:w="18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851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5567" w:type="dxa"/>
            <w:gridSpan w:val="3"/>
            <w:tcBorders>
              <w:top w:val="single" w:color="D4D4D4" w:sz="4" w:space="0"/>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674"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54" w:type="dxa"/>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854" w:type="dxa"/>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859" w:type="dxa"/>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51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54"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854"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859"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516"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9,391.20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8,020.95</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1,370.25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2010699</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其他财政事务支出</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2011499</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其他知识产权事务支出</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2013801</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4,563.87</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2013805</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市场秩序执法</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2013810</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质量基础</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2013812</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药品事务</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2013816</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食品安全监管</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2013850</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事业运行</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1,040.10</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2013899</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其他市场监督管理事务</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1,667.50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823.53</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843.97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2079999</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其他文化旅游体育与传媒支出</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1,181.54</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256.87</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667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854"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155.04</w:t>
            </w:r>
          </w:p>
        </w:tc>
        <w:tc>
          <w:tcPr>
            <w:tcW w:w="1859"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一般公共预算财政拨款基本支出决算明细表</w:t>
      </w:r>
      <w:r>
        <w:rPr>
          <w:rFonts w:hint="eastAsia" w:cs="黑体"/>
          <w:w w:val="100"/>
          <w:sz w:val="32"/>
          <w:szCs w:val="32"/>
          <w:lang w:val="en-US" w:eastAsia="zh-CN"/>
        </w:rPr>
        <w:t xml:space="preserve">  </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（公开06表）</w:t>
      </w:r>
    </w:p>
    <w:p>
      <w:pPr>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67"/>
        <w:gridCol w:w="2600"/>
        <w:gridCol w:w="1361"/>
        <w:gridCol w:w="872"/>
        <w:gridCol w:w="1767"/>
        <w:gridCol w:w="948"/>
        <w:gridCol w:w="868"/>
        <w:gridCol w:w="3617"/>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828"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255" w:type="dxa"/>
            <w:gridSpan w:val="6"/>
            <w:tcBorders>
              <w:top w:val="single" w:color="D4D4D4" w:sz="4" w:space="0"/>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67"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2600"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361"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72"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1767"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48"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68"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3617"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183" w:type="dxa"/>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6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2600"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1361"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872"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176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94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868"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3617"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1183" w:type="dxa"/>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6,442.53</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997.24</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1,904.07</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38.67</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860.51</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1,418.46</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218.22</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5.55</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628.32</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32.14</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7.59</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786.30</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8.90</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135.16</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8.02</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491.50</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3.41</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0.93</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572.66</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12.02</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0.11</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9.51</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1.59</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11.86</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500.01</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141.68</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12.30</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127.28</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20.53</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228.04</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44.99</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208.88</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40.27</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0.11</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67" w:type="dxa"/>
            <w:tcBorders>
              <w:top w:val="nil"/>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600"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72"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76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948"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105.52</w:t>
            </w:r>
          </w:p>
        </w:tc>
        <w:tc>
          <w:tcPr>
            <w:tcW w:w="868"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617" w:type="dxa"/>
            <w:tcBorders>
              <w:top w:val="nil"/>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67"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361"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7,015.20</w:t>
            </w:r>
          </w:p>
        </w:tc>
        <w:tc>
          <w:tcPr>
            <w:tcW w:w="8072" w:type="dxa"/>
            <w:gridSpan w:val="5"/>
            <w:tcBorders>
              <w:top w:val="single" w:color="D4D4D4" w:sz="4" w:space="0"/>
              <w:left w:val="nil"/>
              <w:bottom w:val="single" w:color="D4D4D4" w:sz="4" w:space="0"/>
              <w:right w:val="single" w:color="D4D4D4" w:sz="4" w:space="0"/>
            </w:tcBorders>
            <w:shd w:val="clear" w:color="000000"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1183" w:type="dxa"/>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1,005.76</w:t>
            </w:r>
          </w:p>
        </w:tc>
      </w:tr>
    </w:tbl>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注：本表反映部门本年度一般公共预算财政拨款基本支出明细情况。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政府性基金预算财政拨款收入支出决算表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（公开07表）</w:t>
      </w:r>
    </w:p>
    <w:p>
      <w:pPr>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100"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15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c>
          <w:tcPr>
            <w:tcW w:w="943"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602"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605"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pPr>
              <w:snapToGrid w:val="0"/>
              <w:jc w:val="center"/>
              <w:rPr>
                <w:rFonts w:hint="eastAsia" w:ascii="宋体" w:hAnsi="宋体" w:eastAsia="宋体" w:cs="宋体"/>
                <w:b/>
                <w:i w:val="0"/>
                <w:iCs w:val="0"/>
                <w:color w:val="000000"/>
                <w:w w:val="1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567"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567"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r>
    </w:tbl>
    <w:p>
      <w:pPr>
        <w:ind w:firstLine="708" w:firstLineChars="236"/>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说明：我单位没有政府性基金收入，也没有使用政府性基金安排的支出，故本表无数据。</w:t>
      </w:r>
    </w:p>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注：本表反映部门本年度政府性基金预算财政拨款收入、支出及结转和结余情况。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国有资本经营预算财政拨款支出决算表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（公开08表）</w:t>
      </w:r>
    </w:p>
    <w:p>
      <w:pPr>
        <w:rPr>
          <w:rFonts w:ascii="仿宋" w:hAnsi="仿宋" w:eastAsia="仿宋"/>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14119"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3081"/>
        <w:gridCol w:w="3068"/>
        <w:gridCol w:w="1817"/>
        <w:gridCol w:w="3082"/>
        <w:gridCol w:w="3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567" w:hRule="atLeast"/>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567" w:hRule="atLeast"/>
          <w:tblHeader/>
        </w:trPr>
        <w:tc>
          <w:tcPr>
            <w:tcW w:w="308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06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17"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3082"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3071" w:type="dxa"/>
            <w:tcBorders>
              <w:top w:val="single" w:color="D4D4D4" w:sz="4" w:space="0"/>
              <w:left w:val="single" w:color="D4D4D4" w:sz="4" w:space="0"/>
              <w:bottom w:val="single" w:color="D4D4D4" w:sz="4" w:space="0"/>
              <w:right w:val="single" w:color="D4D4D4" w:sz="4" w:space="0"/>
            </w:tcBorders>
            <w:shd w:val="clear" w:color="auto" w:fill="F1F1F1"/>
            <w:vAlign w:val="center"/>
          </w:tcPr>
          <w:p>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567"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567"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pPr>
              <w:snapToGrid w:val="0"/>
              <w:jc w:val="center"/>
              <w:rPr>
                <w:rFonts w:hint="eastAsia" w:ascii="宋体" w:hAnsi="宋体" w:eastAsia="宋体" w:cs="宋体"/>
                <w:b/>
                <w:bCs/>
                <w:i w:val="0"/>
                <w:iCs w:val="0"/>
                <w:color w:val="000000"/>
                <w:w w:val="100"/>
                <w:sz w:val="22"/>
                <w:szCs w:val="22"/>
                <w:u w:val="none"/>
              </w:rPr>
            </w:pPr>
          </w:p>
        </w:tc>
      </w:tr>
    </w:tbl>
    <w:p>
      <w:pPr>
        <w:ind w:firstLine="708" w:firstLineChars="236"/>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说明：我单位没有使用国有资本经营预算安排的支出，故本表无数据。</w:t>
      </w:r>
    </w:p>
    <w:p>
      <w:pPr>
        <w:ind w:firstLine="566" w:firstLineChars="236"/>
        <w:rPr>
          <w:rFonts w:ascii="仿宋" w:hAnsi="仿宋" w:eastAsia="仿宋"/>
          <w:w w:val="100"/>
          <w:sz w:val="24"/>
          <w:szCs w:val="24"/>
        </w:rPr>
      </w:pPr>
      <w:r>
        <w:rPr>
          <w:rFonts w:hint="eastAsia" w:ascii="仿宋_GB2312" w:hAnsi="仿宋_GB2312" w:eastAsia="仿宋_GB2312" w:cs="仿宋_GB2312"/>
          <w:w w:val="100"/>
          <w:sz w:val="24"/>
          <w:szCs w:val="24"/>
        </w:rPr>
        <w:t>注：本表反映部门本年度国有资本经营预算财政拨款支出情况。</w:t>
      </w:r>
    </w:p>
    <w:p>
      <w:pPr>
        <w:widowControl/>
        <w:jc w:val="left"/>
        <w:rPr>
          <w:rFonts w:ascii="仿宋" w:hAnsi="仿宋" w:eastAsia="仿宋"/>
          <w:w w:val="100"/>
          <w:sz w:val="30"/>
          <w:szCs w:val="30"/>
        </w:rPr>
      </w:pPr>
      <w:r>
        <w:rPr>
          <w:rFonts w:ascii="仿宋" w:hAnsi="仿宋" w:eastAsia="仿宋"/>
          <w:w w:val="100"/>
          <w:sz w:val="30"/>
          <w:szCs w:val="30"/>
        </w:rPr>
        <w:br w:type="page"/>
      </w:r>
    </w:p>
    <w:p>
      <w:pPr>
        <w:ind w:firstLine="755" w:firstLineChars="236"/>
        <w:jc w:val="right"/>
        <w:rPr>
          <w:rFonts w:hint="eastAsia" w:ascii="仿宋_GB2312" w:hAnsi="仿宋_GB2312" w:eastAsia="仿宋_GB2312" w:cs="仿宋_GB2312"/>
          <w:w w:val="100"/>
          <w:sz w:val="30"/>
          <w:szCs w:val="30"/>
        </w:rPr>
      </w:pPr>
      <w:r>
        <w:rPr>
          <w:rFonts w:hint="eastAsia" w:ascii="黑体" w:hAnsi="黑体" w:eastAsia="黑体" w:cs="黑体"/>
          <w:w w:val="100"/>
          <w:sz w:val="32"/>
          <w:szCs w:val="32"/>
        </w:rPr>
        <w:t>财政拨款“三公”经费支出决算表</w:t>
      </w:r>
      <w:r>
        <w:rPr>
          <w:rFonts w:hint="eastAsia" w:cs="黑体"/>
          <w:w w:val="100"/>
          <w:sz w:val="36"/>
          <w:szCs w:val="36"/>
          <w:lang w:val="en-US" w:eastAsia="zh-CN"/>
        </w:rPr>
        <w:t xml:space="preserve">              </w:t>
      </w:r>
      <w:r>
        <w:rPr>
          <w:rFonts w:hint="eastAsia" w:ascii="仿宋_GB2312" w:hAnsi="仿宋_GB2312" w:eastAsia="仿宋_GB2312" w:cs="仿宋_GB2312"/>
          <w:w w:val="100"/>
          <w:sz w:val="30"/>
          <w:szCs w:val="30"/>
        </w:rPr>
        <w:t>（公开09表）</w:t>
      </w:r>
    </w:p>
    <w:p>
      <w:pPr>
        <w:rPr>
          <w:rFonts w:hint="eastAsia" w:ascii="仿宋_GB2312" w:hAnsi="仿宋_GB2312" w:eastAsia="仿宋_GB2312" w:cs="仿宋_GB2312"/>
          <w:w w:val="100"/>
          <w:sz w:val="30"/>
          <w:szCs w:val="30"/>
        </w:rPr>
      </w:pPr>
      <w:r>
        <w:rPr>
          <w:rFonts w:hint="eastAsia" w:ascii="仿宋_GB2312" w:hAnsi="仿宋_GB2312" w:eastAsia="仿宋_GB2312" w:cs="仿宋_GB2312"/>
          <w:w w:val="100"/>
          <w:sz w:val="30"/>
          <w:szCs w:val="30"/>
        </w:rPr>
        <w:t>部门：</w:t>
      </w:r>
      <w:r>
        <w:rPr>
          <w:rFonts w:hint="eastAsia" w:ascii="仿宋_GB2312" w:hAnsi="仿宋_GB2312" w:eastAsia="仿宋_GB2312" w:cs="仿宋_GB2312"/>
          <w:w w:val="100"/>
          <w:sz w:val="30"/>
          <w:szCs w:val="30"/>
          <w:lang w:eastAsia="zh-CN"/>
        </w:rPr>
        <w:t>怀化市市场监督管理局</w:t>
      </w:r>
      <w:r>
        <w:rPr>
          <w:rFonts w:hint="eastAsia" w:ascii="仿宋_GB2312" w:hAnsi="仿宋_GB2312" w:eastAsia="仿宋_GB2312" w:cs="仿宋_GB2312"/>
          <w:w w:val="100"/>
          <w:sz w:val="30"/>
          <w:szCs w:val="30"/>
          <w:lang w:val="en-US" w:eastAsia="zh-CN"/>
        </w:rPr>
        <w:t xml:space="preserve">                                                      </w:t>
      </w:r>
      <w:r>
        <w:rPr>
          <w:rFonts w:hint="eastAsia" w:ascii="仿宋_GB2312" w:hAnsi="仿宋_GB2312" w:eastAsia="仿宋_GB2312" w:cs="仿宋_GB2312"/>
          <w:w w:val="100"/>
          <w:sz w:val="30"/>
          <w:szCs w:val="30"/>
        </w:rPr>
        <w:t>单位：万元</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704"/>
        <w:gridCol w:w="1573"/>
        <w:gridCol w:w="704"/>
        <w:gridCol w:w="1285"/>
        <w:gridCol w:w="1703"/>
        <w:gridCol w:w="1105"/>
        <w:gridCol w:w="704"/>
        <w:gridCol w:w="1573"/>
        <w:gridCol w:w="704"/>
        <w:gridCol w:w="1286"/>
        <w:gridCol w:w="1704"/>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567" w:hRule="atLeast"/>
          <w:jc w:val="center"/>
        </w:trPr>
        <w:tc>
          <w:tcPr>
            <w:tcW w:w="2507"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492" w:type="pct"/>
            <w:gridSpan w:val="6"/>
            <w:tcBorders>
              <w:top w:val="single" w:color="D4D4D4" w:sz="4" w:space="0"/>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567" w:hRule="atLeast"/>
          <w:jc w:val="center"/>
        </w:trPr>
        <w:tc>
          <w:tcPr>
            <w:tcW w:w="249"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49"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8"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09" w:type="pct"/>
            <w:gridSpan w:val="3"/>
            <w:tcBorders>
              <w:top w:val="single" w:color="D4D4D4" w:sz="4" w:space="0"/>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74" w:type="pct"/>
            <w:vMerge w:val="restar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567" w:hRule="atLeast"/>
          <w:jc w:val="center"/>
        </w:trPr>
        <w:tc>
          <w:tcPr>
            <w:tcW w:w="249"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558"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c>
          <w:tcPr>
            <w:tcW w:w="249"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56"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03"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74" w:type="pct"/>
            <w:vMerge w:val="continue"/>
            <w:tcBorders>
              <w:top w:val="nil"/>
              <w:left w:val="single" w:color="D4D4D4" w:sz="4" w:space="0"/>
              <w:bottom w:val="single" w:color="D4D4D4" w:sz="4" w:space="0"/>
              <w:right w:val="single" w:color="D4D4D4" w:sz="4" w:space="0"/>
            </w:tcBorders>
            <w:shd w:val="clear" w:color="000000" w:fill="F1F1F1"/>
            <w:vAlign w:val="center"/>
          </w:tcPr>
          <w:p>
            <w:pPr>
              <w:snapToGrid w:val="0"/>
              <w:jc w:val="center"/>
              <w:rPr>
                <w:rFonts w:hint="eastAsia" w:ascii="宋体" w:hAnsi="宋体" w:eastAsia="宋体" w:cs="宋体"/>
                <w:i w:val="0"/>
                <w:iCs w:val="0"/>
                <w:color w:val="000000"/>
                <w:w w:val="1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567" w:hRule="atLeast"/>
          <w:jc w:val="center"/>
        </w:trPr>
        <w:tc>
          <w:tcPr>
            <w:tcW w:w="249" w:type="pct"/>
            <w:tcBorders>
              <w:top w:val="nil"/>
              <w:left w:val="single" w:color="D4D4D4" w:sz="4" w:space="0"/>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58"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49"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56"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03"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0"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49"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58"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49"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56"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03"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74" w:type="pct"/>
            <w:tcBorders>
              <w:top w:val="nil"/>
              <w:left w:val="nil"/>
              <w:bottom w:val="single" w:color="D4D4D4" w:sz="4" w:space="0"/>
              <w:right w:val="single" w:color="D4D4D4" w:sz="4" w:space="0"/>
            </w:tcBorders>
            <w:shd w:val="clear" w:color="000000" w:fill="F1F1F1"/>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567" w:hRule="atLeast"/>
          <w:jc w:val="center"/>
        </w:trPr>
        <w:tc>
          <w:tcPr>
            <w:tcW w:w="249" w:type="pct"/>
            <w:tcBorders>
              <w:top w:val="nil"/>
              <w:left w:val="single" w:color="D4D4D4" w:sz="4" w:space="0"/>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67.77</w:t>
            </w:r>
          </w:p>
        </w:tc>
        <w:tc>
          <w:tcPr>
            <w:tcW w:w="558"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9"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55.00</w:t>
            </w:r>
          </w:p>
        </w:tc>
        <w:tc>
          <w:tcPr>
            <w:tcW w:w="456"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603"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55.00</w:t>
            </w:r>
          </w:p>
        </w:tc>
        <w:tc>
          <w:tcPr>
            <w:tcW w:w="390"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12.77</w:t>
            </w:r>
          </w:p>
        </w:tc>
        <w:tc>
          <w:tcPr>
            <w:tcW w:w="249"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64.00</w:t>
            </w:r>
          </w:p>
        </w:tc>
        <w:tc>
          <w:tcPr>
            <w:tcW w:w="558"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9"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54.49</w:t>
            </w:r>
          </w:p>
        </w:tc>
        <w:tc>
          <w:tcPr>
            <w:tcW w:w="456"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603"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54.49</w:t>
            </w:r>
          </w:p>
        </w:tc>
        <w:tc>
          <w:tcPr>
            <w:tcW w:w="374" w:type="pct"/>
            <w:tcBorders>
              <w:top w:val="nil"/>
              <w:left w:val="nil"/>
              <w:bottom w:val="single" w:color="D4D4D4" w:sz="4" w:space="0"/>
              <w:right w:val="single" w:color="D4D4D4" w:sz="4" w:space="0"/>
            </w:tcBorders>
            <w:shd w:val="clear" w:color="000000" w:fill="FFFFFF"/>
            <w:noWrap/>
            <w:vAlign w:val="center"/>
          </w:tcPr>
          <w:p>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9.51</w:t>
            </w:r>
          </w:p>
        </w:tc>
      </w:tr>
    </w:tbl>
    <w:p>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hint="eastAsia" w:ascii="仿宋_GB2312" w:hAnsi="仿宋_GB2312" w:eastAsia="仿宋_GB2312" w:cs="仿宋_GB2312"/>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ind w:firstLine="604" w:firstLineChars="189"/>
        <w:jc w:val="center"/>
        <w:rPr>
          <w:rFonts w:hint="eastAsia" w:ascii="黑体" w:hAnsi="黑体" w:eastAsia="黑体" w:cs="黑体"/>
          <w:w w:val="100"/>
          <w:sz w:val="32"/>
          <w:szCs w:val="32"/>
        </w:rPr>
      </w:pPr>
    </w:p>
    <w:p>
      <w:pPr>
        <w:pStyle w:val="14"/>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w w:val="100"/>
          <w:sz w:val="52"/>
          <w:szCs w:val="52"/>
        </w:rPr>
        <w:t>第三部分</w:t>
      </w:r>
    </w:p>
    <w:p>
      <w:pPr>
        <w:pStyle w:val="14"/>
        <w:spacing w:line="360" w:lineRule="auto"/>
        <w:jc w:val="center"/>
        <w:rPr>
          <w:rFonts w:hint="eastAsia" w:ascii="黑体" w:hAnsi="黑体" w:eastAsia="黑体" w:cs="黑体"/>
          <w:w w:val="100"/>
          <w:sz w:val="32"/>
          <w:szCs w:val="32"/>
        </w:rPr>
      </w:pPr>
      <w:r>
        <w:rPr>
          <w:rFonts w:hint="eastAsia" w:ascii="方正小标宋简体" w:hAnsi="方正小标宋简体" w:eastAsia="方正小标宋简体" w:cs="方正小标宋简体"/>
          <w:w w:val="100"/>
          <w:sz w:val="52"/>
          <w:szCs w:val="52"/>
        </w:rPr>
        <w:t>2024年度部门决算情况说明</w:t>
      </w:r>
      <w:r>
        <w:rPr>
          <w:rFonts w:hint="eastAsia" w:ascii="黑体" w:hAnsi="黑体" w:eastAsia="黑体" w:cs="黑体"/>
          <w:w w:val="100"/>
          <w:sz w:val="32"/>
          <w:szCs w:val="32"/>
        </w:rPr>
        <w:br w:type="page"/>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一、收入支出决算总体情况说明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2024年度收、支总计9423.51万元，与2023年（9594.74万元）相比，减少171.23万元，下降1.78%，主要原因：</w:t>
      </w:r>
      <w:r>
        <w:rPr>
          <w:rFonts w:hint="eastAsia" w:ascii="仿宋_GB2312" w:hAnsi="仿宋_GB2312" w:eastAsia="仿宋_GB2312" w:cs="仿宋_GB2312"/>
          <w:w w:val="100"/>
          <w:sz w:val="32"/>
          <w:szCs w:val="32"/>
        </w:rPr>
        <w:t>2023年追加的发明专利申请代理费、办公区受灾补助等一次性资金（663.09万元）2024年无延续；2024年严格落实“过紧日子”要求，压减非刚性支出，如公用经费中其他商品和服务支出较2023年减少18.36万元；部分项目资金执行进度优化，无结转结余，收支实现完全平衡。</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二、收入决算情况说明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2024年度收入合计9423.51万元，具体构成及占比如下：</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仿宋_GB2312" w:hAnsi="仿宋_GB2312" w:eastAsia="仿宋_GB2312" w:cs="仿宋_GB2312"/>
          <w:w w:val="100"/>
          <w:sz w:val="32"/>
          <w:szCs w:val="32"/>
        </w:rPr>
      </w:pPr>
      <w:r>
        <w:rPr>
          <w:rFonts w:hint="eastAsia" w:ascii="楷体_GB2312" w:hAnsi="楷体_GB2312" w:eastAsia="楷体_GB2312" w:cs="楷体_GB2312"/>
          <w:b/>
          <w:bCs/>
          <w:w w:val="100"/>
          <w:sz w:val="32"/>
          <w:szCs w:val="32"/>
          <w:lang w:eastAsia="zh-CN"/>
        </w:rPr>
        <w:t>（一）</w:t>
      </w:r>
      <w:r>
        <w:rPr>
          <w:rFonts w:hint="eastAsia" w:ascii="楷体_GB2312" w:hAnsi="楷体_GB2312" w:eastAsia="楷体_GB2312" w:cs="楷体_GB2312"/>
          <w:b/>
          <w:bCs/>
          <w:w w:val="100"/>
          <w:sz w:val="32"/>
          <w:szCs w:val="32"/>
        </w:rPr>
        <w:t>财政拨款收入9391.20万元：</w:t>
      </w:r>
      <w:r>
        <w:rPr>
          <w:rFonts w:hint="eastAsia" w:ascii="仿宋_GB2312" w:hAnsi="仿宋_GB2312" w:eastAsia="仿宋_GB2312" w:cs="仿宋_GB2312"/>
          <w:w w:val="100"/>
          <w:sz w:val="32"/>
          <w:szCs w:val="32"/>
        </w:rPr>
        <w:t>占总收入的99.66%，全部为一般公共预算财政拨款，无政府性基金及国有资本经营预算收入，资金主要用于人员经费（7015.20万元）、公</w:t>
      </w:r>
      <w:r>
        <w:rPr>
          <w:rFonts w:hint="eastAsia" w:ascii="仿宋_GB2312" w:hAnsi="仿宋_GB2312" w:eastAsia="仿宋_GB2312" w:cs="仿宋_GB2312"/>
          <w:spacing w:val="-6"/>
          <w:w w:val="100"/>
          <w:sz w:val="32"/>
          <w:szCs w:val="32"/>
        </w:rPr>
        <w:t>用经费（1005.76万元）及市场监管项目支出（1370.25万元）；</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仿宋_GB2312" w:hAnsi="仿宋_GB2312" w:eastAsia="仿宋_GB2312" w:cs="仿宋_GB2312"/>
          <w:w w:val="100"/>
          <w:sz w:val="32"/>
          <w:szCs w:val="32"/>
        </w:rPr>
      </w:pPr>
      <w:r>
        <w:rPr>
          <w:rFonts w:hint="eastAsia" w:ascii="楷体_GB2312" w:hAnsi="楷体_GB2312" w:eastAsia="楷体_GB2312" w:cs="楷体_GB2312"/>
          <w:b/>
          <w:bCs/>
          <w:w w:val="100"/>
          <w:sz w:val="32"/>
          <w:szCs w:val="32"/>
          <w:lang w:eastAsia="zh-CN"/>
        </w:rPr>
        <w:t>（二）其他收入32.31万元：</w:t>
      </w:r>
      <w:r>
        <w:rPr>
          <w:rFonts w:hint="eastAsia" w:ascii="仿宋_GB2312" w:hAnsi="仿宋_GB2312" w:eastAsia="仿宋_GB2312" w:cs="仿宋_GB2312"/>
          <w:w w:val="100"/>
          <w:sz w:val="32"/>
          <w:szCs w:val="32"/>
        </w:rPr>
        <w:t>占总收入的0.34%，为零星杂项收入（如资产处置残值、利息收入），无上级补助收入、事业收入、经营收入及附属单位上缴收入。</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三、支出决算情况说明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2024年度支出合计9423.51万元，具体构成及占比如下：</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仿宋_GB2312" w:hAnsi="仿宋_GB2312" w:eastAsia="仿宋_GB2312" w:cs="仿宋_GB2312"/>
          <w:w w:val="100"/>
          <w:sz w:val="32"/>
          <w:szCs w:val="32"/>
        </w:rPr>
      </w:pPr>
      <w:r>
        <w:rPr>
          <w:rFonts w:hint="eastAsia" w:ascii="楷体_GB2312" w:hAnsi="楷体_GB2312" w:eastAsia="楷体_GB2312" w:cs="楷体_GB2312"/>
          <w:b/>
          <w:bCs/>
          <w:w w:val="100"/>
          <w:sz w:val="32"/>
          <w:szCs w:val="32"/>
          <w:lang w:eastAsia="zh-CN"/>
        </w:rPr>
        <w:t>（一）基本支出8053.26万元：</w:t>
      </w:r>
      <w:r>
        <w:rPr>
          <w:rFonts w:hint="eastAsia" w:ascii="仿宋_GB2312" w:hAnsi="仿宋_GB2312" w:eastAsia="仿宋_GB2312" w:cs="仿宋_GB2312"/>
          <w:w w:val="100"/>
          <w:sz w:val="32"/>
          <w:szCs w:val="32"/>
        </w:rPr>
        <w:t>占总支出的85.46%，用于保障机构正常运转，其中：</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人员经费7046.14万元（占基本支出87.50%）：包括工资福利支出6473.47万元（基本工资1904.07万元、津贴补贴860.51万元、奖金1418.46万元等）、对个人和家庭的补助572.67万元（生活补助500.01万元、抚恤金11.86万元等），保障369名在职人员（市本级257人、检验检测中心77人、直属二局35人）工资待遇及离退休人员补助；</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公用经费1007.12万元（占基本支出12.50%）：包括商品和服务支出998.60万元（办公费38.67万元、差旅费8.02万元、公务接待费9.51万元等）、资本性支出8.52万元（办公设备购置），用于日常办公、会议培训、公务用车运行等。</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仿宋_GB2312" w:hAnsi="仿宋_GB2312" w:eastAsia="仿宋_GB2312" w:cs="仿宋_GB2312"/>
          <w:w w:val="100"/>
          <w:sz w:val="32"/>
          <w:szCs w:val="32"/>
        </w:rPr>
      </w:pPr>
      <w:r>
        <w:rPr>
          <w:rFonts w:hint="eastAsia" w:ascii="楷体_GB2312" w:hAnsi="楷体_GB2312" w:eastAsia="楷体_GB2312" w:cs="楷体_GB2312"/>
          <w:b/>
          <w:bCs/>
          <w:w w:val="100"/>
          <w:sz w:val="32"/>
          <w:szCs w:val="32"/>
          <w:lang w:eastAsia="zh-CN"/>
        </w:rPr>
        <w:t>（二）项目支出1370.25万元：</w:t>
      </w:r>
      <w:r>
        <w:rPr>
          <w:rFonts w:hint="eastAsia" w:ascii="仿宋_GB2312" w:hAnsi="仿宋_GB2312" w:eastAsia="仿宋_GB2312" w:cs="仿宋_GB2312"/>
          <w:w w:val="100"/>
          <w:sz w:val="32"/>
          <w:szCs w:val="32"/>
        </w:rPr>
        <w:t>占总支出的14.54%，聚焦市场监管核心任务，按领域分为：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食品安全监管类376.77万元（27.50%）：含食品抽检293万元、食品安全协调10万元、食品药品稽查打假25万元等，完成食品及农产品抽检2754批次，不合格产品核查处置率100%；</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药品与医疗器械监管类326.33万元（23.81%）：含药品抽检25万元、药械化抽验41.76万元、药械化安全监管37.50万元等，完成药品抽检150批次、医疗器械抽检30批次，不良反应监测报告4825份；</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rPr>
        <w:t>知识产权与市场秩序类164.81万元（12.03%）：含知识产权专项17万元、反垄断经费5万元、其他知识产权事务129.81万元等，开展知识产权专项执法2次，查处侵权案件15起；</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4.</w:t>
      </w:r>
      <w:r>
        <w:rPr>
          <w:rFonts w:hint="eastAsia" w:ascii="仿宋_GB2312" w:hAnsi="仿宋_GB2312" w:eastAsia="仿宋_GB2312" w:cs="仿宋_GB2312"/>
          <w:w w:val="100"/>
          <w:sz w:val="32"/>
          <w:szCs w:val="32"/>
        </w:rPr>
        <w:t>质量与特种设备监管类43.50万元（3.17%）：含特种设备安全监管7.50万元、质量基础34万元、市场秩序执</w:t>
      </w:r>
      <w:r>
        <w:rPr>
          <w:rFonts w:hint="eastAsia" w:ascii="仿宋_GB2312" w:hAnsi="仿宋_GB2312" w:eastAsia="仿宋_GB2312" w:cs="仿宋_GB2312"/>
          <w:spacing w:val="-6"/>
          <w:w w:val="100"/>
          <w:sz w:val="32"/>
          <w:szCs w:val="32"/>
          <w:lang w:eastAsia="zh-CN"/>
        </w:rPr>
        <w:t>法5万元等，完成特种设备定期检验率100%，排查隐患230处；</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5.</w:t>
      </w:r>
      <w:r>
        <w:rPr>
          <w:rFonts w:hint="eastAsia" w:ascii="仿宋_GB2312" w:hAnsi="仿宋_GB2312" w:eastAsia="仿宋_GB2312" w:cs="仿宋_GB2312"/>
          <w:w w:val="100"/>
          <w:sz w:val="32"/>
          <w:szCs w:val="32"/>
        </w:rPr>
        <w:t>其他专项类658.84万元（48.08%）：含检验检测能力提升30万元、真抓实干激励100万元、新开办企业印章免费刻制20万元等，支持检验检测中心购置设备2台套，新增企业1500户。</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2024年度财政拨款收、支总计9391.20万元，全部为一般公共预算财政拨款，与2023年9550.15万元相比，减少158.95万元，下降1.66%，主要原因：</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2023年一次性追加的发明专利代理费663.09万元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2024年无相关支出；2024年优化项目资金分配，压减低效支出，如部分会议费、培训费较2023年减少24.25万元；严格控制公用经费，公务用车运行维护费较2023年35.86万元增加8.13万元，主要因特种设备监管频次增加，公务接待费较2023年9.20万元增加0.31万元，基本持平。</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（一）一般公共预算财政拨款支出决算总体情况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一般公共预算财政拨款支出9391.20万元，占本年支出合计的99.66%，与2023年9550.15万元相比，减少158.95万元，下降1.66%，主要因一次性项目资金减少及厉行节约压减支出，支出结构更聚焦市场监管核心职能，如食品安全、药品监管、知识产权保护等刚性任务。</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（二）一般公共预算财政拨款支出决算结构情况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2024年度一般公共预算财政拨款支出9391.20万元，按功能分类科目分布如下：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一般公共服务支出7795.75万元：占83.01%，为核心支出科目，包括行政运行4563.87万元、事业运行1040.10万元、其他市场监督管理事务1667.50万元等，覆盖市场监管日常运转与专项任务；</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社会保障和就业支出1181.54万元：占12.58%，全部为机关事业单位基本养老保险缴费支出，保障369名在职人员养老保险缴纳；</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rPr>
        <w:t>卫生健康支出256.87万元：占2.74%，为行政单位医疗支出，用于职工基本医疗保险缴费（单位承担部分）；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4.</w:t>
      </w:r>
      <w:r>
        <w:rPr>
          <w:rFonts w:hint="eastAsia" w:ascii="仿宋_GB2312" w:hAnsi="仿宋_GB2312" w:eastAsia="仿宋_GB2312" w:cs="仿宋_GB2312"/>
          <w:w w:val="100"/>
          <w:sz w:val="32"/>
          <w:szCs w:val="32"/>
        </w:rPr>
        <w:t>文化旅游体育与传媒支出2.00万元：占0.02%，为其他文化旅游体育与传媒支出，用于食品安全宣传周活动；</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5.</w:t>
      </w:r>
      <w:r>
        <w:rPr>
          <w:rFonts w:hint="eastAsia" w:ascii="仿宋_GB2312" w:hAnsi="仿宋_GB2312" w:eastAsia="仿宋_GB2312" w:cs="仿宋_GB2312"/>
          <w:w w:val="100"/>
          <w:sz w:val="32"/>
          <w:szCs w:val="32"/>
        </w:rPr>
        <w:t>住房保障支出155.04万元：占1.65%，为住房公积金支出，按缴费基数12%缴纳职工住房公积金。</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（三）一般公共预算财政拨款支出决算具体情况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一般公共预算财政拨款支出年初预算数为8118.95万元，支出决算数为9391.20万元，完成年初预算的115.67%，主要因年中追加中央食品药品监管补助、省级市场监管专项等资金，具体项目（按功能分类到项级科目）情况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1.一般公共服务（类）财政事务（款）其他财政事务支出（项）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5.00万元，完成年初预算的100%（年中追加）；决算数与年初预算差异原因：为推进财政与市场监管协同，年中追加经费用于财政政策与市场监管衔接调研，形成1篇专题报告，资金用于调研差旅费、资料印刷费，使用合规。</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2.一般公共服务（类）知识产权事务（款）其他知识产权事务支出（项）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129.81万元，完成年初预算的100%（年中追加）；决算数与年初预算差异原因：为加强知识产权保护，年中追加经费用于专利执法装备购置50万元、知识产权培训30万元、侵权案件查处49.81万元，查处商标侵权案件8起，专利侵权案件7起，经费使用与绩效目标一致。</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3.一般公共服务（类）市场监督管理事务（款）行政运行（项）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4243.91万元，支出决算4563.87万元，完成年初预算的107.54%；决算数大于年初预算的主要原因：年中新增3名事业人员，增加工资福利支出12.96万元；因物价上涨，调整公用经费标准，增加办公费、水电费等支出207万元；资金用于市本级257名在职人员工资发放及机关日常运转，无违规支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4.一般公共服务（类）市场监督管理事务（款）市场秩序执法（项）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5.00万元，完成年初预算的100%（年中追加）；决算数与年初预算差异原因：为开展反垄断专项检查，年中追加经费用于检查差旅费、资料费，检查企业12家，未发现垄断行为，形成检查报告1份，资金使用合规。</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5.一般公共服务（类）市场监督管理事务（款）质量基础（项）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34.00万元，完成年初预算的100%（年中追加）；决算数与年初预算差异原因：为强化质量基础支撑，年中追加经费用于计量标准维护14万元、标准化试点20万元，维护计量标准71个，推动2家企业参与标准化试点，经费使用高效。</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6.一般公共服务（类）市场监督管理事务（款）药品事务（项）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285.77万元，完成年初预算的100%（年中追加）；决算数与年初预算差异原因：为保障药品安全，年中追加中央药品监管补助资金，用于药械化抽检41.76万元、不良反应监测21万元、安全监管37.50万元、科普宣传10万元等，完成药品抽检150批次，不良反应监测报告2292份，有效防范用药风险。</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7.一般公共服务（类）市场监督管理事务（款）食品安全监管（项）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58.00万元，完成年初预算的100%（年中追加）；决算数与年初预算差异原因：为加强食品安全监管，年中追加中央食品监管补助资金，用于食品安全“两个责任”督导30万元、校园食品安全整治28万元，完成4次包保督导，排查校园食堂隐患45处，整改率100%。</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8.一般公共服务（类）市场监督管理事务（款）事业运行（项）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1089.13万元，支出决算1040.10万元，完成年初预算的95.50%；决算数小于年初预算的主要原因：检验检测中心部分人员经费由项目资金统筹如抽检人员劳务，减少基本支出49.03万元；资金用于77名事业人员工资发放及检验检测中心日常运转，无资金闲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9.一般公共服务（类）市场监督管理事务（款）其他市场监督管理事务（项）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1050.75万元，支出决算1667.50万元，完成年初预算的158.70%；决算数大于年初预算的主要原因：年中追加省级市场监管专项、真抓实干激励资金、检验检测能力提升资金，用于市场主体信用监管、特种设备隐患排查、检验设备购置，新增信用监管企业500家，排查特种设备隐患230处，购置检验设备2台套，资金使用与专项要求一致。</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10.一般公共服务（类）其他一般公共服务支出（款）其他一般公共服务支出（项）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年初预算0万元，支出决算6.70万元，完成年初预算的100%（年中追加）；决算数与年初预算差异原因：为加强党建与业务融合，年中追加经费用于党建活动</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如主题党日、党史学习，覆盖全部党员，资金用于活动场地租赁、资料印刷，使用合规。</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11.文化旅游体育与传媒（类）其他文化旅游体育与传媒（款）其他文化旅游体育与传媒支出（项）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0万元，支出决算2.00万元，完成年初预算的100%（年中追加）；决算数与年初预算差异原因：为开展食品安全宣传，年中追加经费用于制作宣传海报、手册，发放2万份，覆盖社区、学校，提升公众食品安全意识，资金使用高效。</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12.社会保障和就业（类）行政事业单位养老（款）机关事业单位基本养老保险缴费支出（项）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年初预算621.57万元，支出决算1181.54万元，完成年初预算的190.09%；决算数大于年初预算的主要原因：年初预算仅含市本级人员，年中将检验检测中心、直属二局</w:t>
      </w:r>
      <w:r>
        <w:rPr>
          <w:rFonts w:hint="eastAsia" w:ascii="仿宋_GB2312" w:hAnsi="仿宋_GB2312" w:eastAsia="仿宋_GB2312" w:cs="仿宋_GB2312"/>
          <w:w w:val="100"/>
          <w:sz w:val="32"/>
          <w:szCs w:val="32"/>
          <w:lang w:eastAsia="zh-CN"/>
        </w:rPr>
        <w:t>共</w:t>
      </w:r>
      <w:r>
        <w:rPr>
          <w:rFonts w:hint="eastAsia" w:ascii="仿宋_GB2312" w:hAnsi="仿宋_GB2312" w:eastAsia="仿宋_GB2312" w:cs="仿宋_GB2312"/>
          <w:w w:val="100"/>
          <w:sz w:val="32"/>
          <w:szCs w:val="32"/>
        </w:rPr>
        <w:t>112人养老保险纳入核算，增加缴费支出559.97万元；按缴费基数16%足额缴纳，保障职工社保权益，无欠缴情况。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14.卫生健康（类）行政事业单位医疗（款）行政单位医疗（项）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193.67万元，支出决算256.87万元，完成年初预算的132.63%；决算数大于年初预算的主要原因：新增人员按缴费基数8%补缴基本医疗保险20.20万元；因医疗费用上涨，调整缴费基数，增加支出43万元；资金用于369名在职人员基本医疗保险缴纳，确保医疗待遇正常享受。</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15.住房保障（类）住房改革（款）住房公积金（项）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年初预算131.61万元，支出决算155.04万元，完成年初预算的117.80%；决算数大于年初预算的主要原因：新增人员按缴费基数12%补缴住房公积金10.43万元；调整缴费基数，增加支出13万元；资金及时划入职工个人账户，保障住房消费需求，无延迟缴纳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2024年度一般公共预算财政拨款基本支出8020.95万元，按经济分类分为人员经费和公用经费：</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（一）人员经费7015.20万元（占基本支出87.46%）</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工资福利支出6442.53万元：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基本工资1904.07万元：按职级标准发放369名在职人员基本工资，人均5.16万元/年；津贴补贴860.51万元：包括岗位津贴、地区附加津贴，人均2.33万元/年，严格按政策标准执行；奖金1418.46万元：含年度考核奖金、绩效奖金，按考核结果发放，人均3.84万元/年；绩效工资218.22万元：仅检验检测中心事业人员发放，人均2.83万元/年，按绩效评价结果核定；机关事业单位基本养老保险缴费628.32万元：按缴费基数16%缴纳，覆盖369人，人均1.70万元/年；职工基本医疗保险缴费786.30万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人均2.13万元/年；其他社会保障缴费135.16万元：含失业保险、工伤保险，覆盖全部在职人员；住房公积金491.50万元：按缴费基数12%缴纳，人均1.33万元/年，及时划入个人账户。</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对个人和家庭的补助572.67万元：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抚恤金11.86万元：用于去世职工家属补助，按国家标准发放；生活补助500.01万元；奖励金20.53万元：用于优秀公务员、先进工作者奖励，按评选结果发放；其他对个人和家庭的补助40.27万元：包括独生子女费、离退休人员节日慰问等，按政策标准执行。</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（二）公用经费1005.76万元（占基本支出12.54%）</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商品和服务支出997.24万元：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办公费38.67万元：购置打印纸、笔、文件夹等办公耗材，人均1048元/年，通过政府采购；水费5.55万元：机关及检验检测中心用水，按实际用量结算；电费32.14万元：办公设备、检验设备用电，分季度结算；邮电费7.59万元，按合同支付；物业管理费8.90万元：机关办公楼物业管理，按服务合同支付；差旅费8.02万元：干部赴县市区调研、省级会议参会，人均217元/年，严格按差旅标准执行；维修（护）费3.41万元：办公设备、公务用车维修，按维修清单结算；租赁费0.93万元：临时办公场地租赁，用于档案存放，按租赁合同支付；会议费12.02万元：召开全市市场监管工作会议5万元、食品安全协调会议7.02万元，参会人数均控制在100人以内；培训费0.11万元：开展财务人员业务培训0.11万元，参会20人，内容为新政府会计制度解读；公务接待费9.51万元：接待央媒记者、省级工作组、兄弟市州考察，共65批次459人次，单次接待标准≤140元/人，优先安排机关食堂用餐；专用材料费1.59万元：检验检测中心少量试剂购置，按实际需求采购；劳务费141.68万元：临时聘用人员劳务（如协管员、保洁员），按劳务合同支付；委托业务费12.30万元：委托第三方开展财务审计、档案整理，按委托合同支付；工会经费127.28万元：按工资总额2%计提，用于工会活动（如节日慰问、文体活动），覆盖全部工会会员；福利费228.04万元：用于职工体检、食堂补助；公务用车运行维护费44.99万元：6辆公务用车燃油、保险、维修，单车年均7.50万元，建立《公务用车使用台账》，无公车私用；其他交通费用208.88万元：干部公务交通补贴，按职级标准发放；税金及附加费用0.11万元；其他商品和服务支出105.52万元：零星杂项支出（如办公用品维修、快递费），按实际需求支付。</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rPr>
        <w:t>资本性支出8.52万元：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办公设备购置8.52万元：购置办公电脑、打印机，通过政府采购，单价低于市场均价5%-10%，用于替换老旧设备，提升办公效率。</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七、财政拨款“三公”经费支出决算情况说明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2024年度财政拨款“三公”经费支出预算67.77万元，支出决算64.00万元，完成预算的94.44%；与2023年45.06万元相比，增加18.94万元，增长42.03%，具体情况如下：</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（一）因公出国（境）费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6"/>
          <w:w w:val="100"/>
          <w:sz w:val="32"/>
          <w:szCs w:val="32"/>
          <w:lang w:eastAsia="zh-CN"/>
        </w:rPr>
      </w:pPr>
      <w:r>
        <w:rPr>
          <w:rFonts w:hint="eastAsia" w:ascii="仿宋_GB2312" w:hAnsi="仿宋_GB2312" w:eastAsia="仿宋_GB2312" w:cs="仿宋_GB2312"/>
          <w:w w:val="100"/>
          <w:sz w:val="32"/>
          <w:szCs w:val="32"/>
        </w:rPr>
        <w:t>预</w:t>
      </w:r>
      <w:r>
        <w:rPr>
          <w:rFonts w:hint="eastAsia" w:ascii="仿宋_GB2312" w:hAnsi="仿宋_GB2312" w:eastAsia="仿宋_GB2312" w:cs="仿宋_GB2312"/>
          <w:spacing w:val="-6"/>
          <w:w w:val="100"/>
          <w:sz w:val="32"/>
          <w:szCs w:val="32"/>
          <w:lang w:eastAsia="zh-CN"/>
        </w:rPr>
        <w:t>算数0万元，支出决算0万元，与预算及上年均无差异；</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2024年度无因公出国（境）任务，未发生相关支出，严格落实“无审批不出国”要求，无违规安排出国事项。</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（二）公务用车购置及运行维护费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预算数55.00万元（均为运行维护费，无购置费），支出决算54.49万元，完成预算的99.07%；与2023年35.86万元相比，增加18.63万元，增长51.95%；</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增长原因：2024年特种设备监管频次增加、食品安全抽检范围扩大，公务用车行驶里程增</w:t>
      </w:r>
      <w:r>
        <w:rPr>
          <w:rFonts w:hint="eastAsia" w:ascii="仿宋_GB2312" w:hAnsi="仿宋_GB2312" w:eastAsia="仿宋_GB2312" w:cs="仿宋_GB2312"/>
          <w:w w:val="100"/>
          <w:sz w:val="32"/>
          <w:szCs w:val="32"/>
          <w:lang w:eastAsia="zh-CN"/>
        </w:rPr>
        <w:t>加</w:t>
      </w:r>
      <w:r>
        <w:rPr>
          <w:rFonts w:hint="eastAsia" w:ascii="仿宋_GB2312" w:hAnsi="仿宋_GB2312" w:eastAsia="仿宋_GB2312" w:cs="仿宋_GB2312"/>
          <w:w w:val="100"/>
          <w:sz w:val="32"/>
          <w:szCs w:val="32"/>
        </w:rPr>
        <w:t>；</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截至2024年12月31日，公务用车保有量6辆</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均为其他用车，无超编制、超标准车辆；实行“统一调度、定点加油、定点维修”，建立《公务用车使用登记台账》，记录每次出行事由、里程、费用，无公车私用或闲置情况。</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（三）公务接待费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预算数12.77万元，支出决算9.51万元，完成预算的74.47%；与2023年9.20万元相比，增加0.31万元，增长3.37%，基本持平；</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6"/>
          <w:w w:val="100"/>
          <w:sz w:val="32"/>
          <w:szCs w:val="32"/>
          <w:lang w:eastAsia="zh-CN"/>
        </w:rPr>
      </w:pPr>
      <w:r>
        <w:rPr>
          <w:rFonts w:hint="eastAsia" w:ascii="仿宋_GB2312" w:hAnsi="仿宋_GB2312" w:eastAsia="仿宋_GB2312" w:cs="仿宋_GB2312"/>
          <w:w w:val="100"/>
          <w:sz w:val="32"/>
          <w:szCs w:val="32"/>
        </w:rPr>
        <w:t>支</w:t>
      </w:r>
      <w:r>
        <w:rPr>
          <w:rFonts w:hint="eastAsia" w:ascii="仿宋_GB2312" w:hAnsi="仿宋_GB2312" w:eastAsia="仿宋_GB2312" w:cs="仿宋_GB2312"/>
          <w:spacing w:val="-6"/>
          <w:w w:val="100"/>
          <w:sz w:val="32"/>
          <w:szCs w:val="32"/>
          <w:lang w:eastAsia="zh-CN"/>
        </w:rPr>
        <w:t>出明细：国内公务接待9.51万元，无国（境）外接待；</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接待管理：严格执行“无公函不接待”“清单制”，接待清单记录接待对象、人数、事由、费用标准及经办人，存档备查；单次接待人数≤20人，陪餐人数≤3人，优先安排机关食堂用餐，杜绝高档菜肴与酒水，平均接待标准85元/人，低于规定标准（140元/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八、政府性基金预算收入支出决算情况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本部门无政府性基金预算收入，未安排政府性基金预算支出，符合部门职能定位（无政府性基金相关管理或使用职责，如城市基础设施配套费、国有土地使用权出让收入等管理职责），无相关收支数据，无需编制政府性基金预算相关报表。</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九、国有资本经营预算收入支出决算情况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本部门无国有资本经营预算收入，未安排国有资本经营预算支出，无国有资本投资、运营及收益分配相关业务（如国有企业利润收缴、国有资本再投资等），无相关收支数据，无需编制国有资本经营预算相关报表。</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十、关于机关运行经费支出说明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2024年度机关运行经费支出1005.76万元（与一般公共预算财政拨款基本支出中公用经费一致），与2023年959.53万元相比，增加46.23万元，增长4.82%，主要原因：</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新增人员办公耗材、公务交通补贴等支出增加28.53万元；2024年特种设备监管、食品安全抽检任务加重，公务用车运行维护费增加18.63万元；因物价上涨，水电费、物业管理费等刚性支出增加9.07万元；压减会议费、培训费等非刚性支出10万元，部分抵消刚性支出增长。</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机关运行经费严格遵循《怀化市市级机关运行经费管理办法》，优先保障办公、执法等刚性支出，2024年公用经费中，人员相关支出如劳务费、福利费占比36.89%，业务相关支出如办公费、差旅费、公务用车运行维护费占比63.11%，支出结构合理，践行“过紧日子”要求。</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十一、一般性支出情况说明</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（一）会议费支出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2024年度会议费支出12.02万元，用于召开重点会议，具体如下：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color w:val="000000"/>
          <w:w w:val="100"/>
          <w:sz w:val="32"/>
          <w:szCs w:val="32"/>
        </w:rPr>
        <w:t>全市市场监管系统半年工作会议，内容为总结上半年工作，调度下半年工作，参会人数60人、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1万元；全市市场监管系统工作会议，内容为总结全年工作，参会人数60人，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1万元；全市系统执法稽查工作部署会议，内容为安排全年执法稽查工作，参会人数60人，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1万元；全市系统执法稽查半年调度会议，内容为总结上半年工作，调度下半年工作，参会人数60人，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1万元；全市系统执法稽查工作总结会议，内容为总结表彰全年工作，参会人数60人，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1万元；全市“双打”工作会议，内容为总结全市双打工作，部署下一阶段任务，参会人数80人，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w:t>
      </w:r>
      <w:r>
        <w:rPr>
          <w:rFonts w:hint="eastAsia" w:ascii="仿宋_GB2312" w:hAnsi="仿宋_GB2312" w:eastAsia="仿宋_GB2312" w:cs="仿宋_GB2312"/>
          <w:color w:val="000000"/>
          <w:w w:val="100"/>
          <w:sz w:val="32"/>
          <w:szCs w:val="32"/>
          <w:lang w:val="en-US" w:eastAsia="zh-CN"/>
        </w:rPr>
        <w:t>全市商事登记业务工作会议，内容为商事登记业务工作，参会人数100人，支出1万元；全市商事制度改革工作推进会，内容为商事制度改革工作推进，参会人数100人，支出1万元</w:t>
      </w:r>
      <w:r>
        <w:rPr>
          <w:rFonts w:hint="eastAsia" w:ascii="仿宋_GB2312" w:hAnsi="仿宋_GB2312" w:eastAsia="仿宋_GB2312" w:cs="仿宋_GB2312"/>
          <w:color w:val="000000"/>
          <w:w w:val="100"/>
          <w:sz w:val="32"/>
          <w:szCs w:val="32"/>
        </w:rPr>
        <w:t>；全市餐饮食品安全监管工作会议，内容为总结上年餐饮食品安全监管现状，布置202</w:t>
      </w:r>
      <w:r>
        <w:rPr>
          <w:rFonts w:hint="eastAsia" w:ascii="仿宋_GB2312" w:hAnsi="仿宋_GB2312" w:eastAsia="仿宋_GB2312" w:cs="仿宋_GB2312"/>
          <w:color w:val="000000"/>
          <w:w w:val="100"/>
          <w:sz w:val="32"/>
          <w:szCs w:val="32"/>
          <w:lang w:val="en-US" w:eastAsia="zh-CN"/>
        </w:rPr>
        <w:t>4</w:t>
      </w:r>
      <w:r>
        <w:rPr>
          <w:rFonts w:hint="eastAsia" w:ascii="仿宋_GB2312" w:hAnsi="仿宋_GB2312" w:eastAsia="仿宋_GB2312" w:cs="仿宋_GB2312"/>
          <w:color w:val="000000"/>
          <w:w w:val="100"/>
          <w:sz w:val="32"/>
          <w:szCs w:val="32"/>
        </w:rPr>
        <w:t>年重点工作，参会人数140人，</w:t>
      </w:r>
      <w:r>
        <w:rPr>
          <w:rFonts w:hint="eastAsia" w:ascii="仿宋_GB2312" w:hAnsi="仿宋_GB2312" w:eastAsia="仿宋_GB2312" w:cs="仿宋_GB2312"/>
          <w:color w:val="000000"/>
          <w:w w:val="100"/>
          <w:sz w:val="32"/>
          <w:szCs w:val="32"/>
          <w:lang w:eastAsia="zh-CN"/>
        </w:rPr>
        <w:t>支出</w:t>
      </w:r>
      <w:r>
        <w:rPr>
          <w:rFonts w:hint="eastAsia" w:ascii="仿宋_GB2312" w:hAnsi="仿宋_GB2312" w:eastAsia="仿宋_GB2312" w:cs="仿宋_GB2312"/>
          <w:color w:val="000000"/>
          <w:w w:val="100"/>
          <w:sz w:val="32"/>
          <w:szCs w:val="32"/>
        </w:rPr>
        <w:t>1万元。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会议费严格按“一会一函”“定点办会”要求执行，无超标准、超范围支出，较2023年36.84万元减少24.82万元，下降67.37%，主要因减少非必要会议，推行“线上+线下”结合会议模式。</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（二）培训费支出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spacing w:val="-6"/>
          <w:w w:val="100"/>
          <w:sz w:val="32"/>
          <w:szCs w:val="32"/>
          <w:lang w:val="en-US" w:eastAsia="zh-CN"/>
        </w:rPr>
        <w:t>024年度培训费支出0.11万元，用于开展1次专项培训：</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全市系统两期执法培训：</w:t>
      </w:r>
      <w:r>
        <w:rPr>
          <w:rFonts w:hint="eastAsia" w:ascii="仿宋_GB2312" w:hAnsi="仿宋_GB2312" w:eastAsia="仿宋_GB2312" w:cs="仿宋_GB2312"/>
          <w:w w:val="100"/>
          <w:sz w:val="32"/>
          <w:szCs w:val="32"/>
        </w:rPr>
        <w:t>支出0.11万元，参会</w:t>
      </w:r>
      <w:r>
        <w:rPr>
          <w:rFonts w:hint="eastAsia" w:ascii="仿宋_GB2312" w:hAnsi="仿宋_GB2312" w:eastAsia="仿宋_GB2312" w:cs="仿宋_GB2312"/>
          <w:w w:val="100"/>
          <w:sz w:val="32"/>
          <w:szCs w:val="32"/>
          <w:lang w:val="en-US" w:eastAsia="zh-CN"/>
        </w:rPr>
        <w:t>10</w:t>
      </w:r>
      <w:r>
        <w:rPr>
          <w:rFonts w:hint="eastAsia" w:ascii="仿宋_GB2312" w:hAnsi="仿宋_GB2312" w:eastAsia="仿宋_GB2312" w:cs="仿宋_GB2312"/>
          <w:w w:val="100"/>
          <w:sz w:val="32"/>
          <w:szCs w:val="32"/>
        </w:rPr>
        <w:t>0人（市本级及二级机构人员），培训1天，无用餐支出，仅发生资料印刷费0.11万元。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培训费较2023年（12.59万元）减少12.48万元，下降99.12%，主要因2024年培训计划调整，将大部分培训（如执法培训、检验检测培训）纳入项目支出（如药品监管专项、检验检测能力提升专项），不再从机关运行经费列支，避免重复核算。</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（三）节庆、晚会、论坛、赛事活动支出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2024年度未举办节庆、晚会、论坛、赛事等活动，无相关支出。</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十二、关于政府采购支出说明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2024年度政府采购支出总额688.57万元，占年度支出总额的7.31%，具体情况如下：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政府采购货物支出63.23万元：占政府采购总支出的9.18%，包括：办公设备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检验检测设备</w:t>
      </w:r>
      <w:r>
        <w:rPr>
          <w:rFonts w:hint="eastAsia" w:ascii="仿宋_GB2312" w:hAnsi="仿宋_GB2312" w:eastAsia="仿宋_GB2312" w:cs="仿宋_GB2312"/>
          <w:w w:val="100"/>
          <w:sz w:val="32"/>
          <w:szCs w:val="32"/>
          <w:lang w:eastAsia="zh-CN"/>
        </w:rPr>
        <w:t>等，</w:t>
      </w:r>
      <w:r>
        <w:rPr>
          <w:rFonts w:hint="eastAsia" w:ascii="仿宋_GB2312" w:hAnsi="仿宋_GB2312" w:eastAsia="仿宋_GB2312" w:cs="仿宋_GB2312"/>
          <w:w w:val="100"/>
          <w:sz w:val="32"/>
          <w:szCs w:val="32"/>
        </w:rPr>
        <w:t>通过竞争性谈判采购，技术参数符合行业标准；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政府采购工程支出0万元：无工程类采购项目（如房屋修缮、基础设施建设）；</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政府采购服务支出625.34万元：占政府采购总支出的90.82%，包括：食品安全抽检服务</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特种设备检测服务</w:t>
      </w:r>
      <w:r>
        <w:rPr>
          <w:rFonts w:hint="eastAsia" w:ascii="仿宋_GB2312" w:hAnsi="仿宋_GB2312" w:eastAsia="仿宋_GB2312" w:cs="仿宋_GB2312"/>
          <w:w w:val="100"/>
          <w:sz w:val="32"/>
          <w:szCs w:val="32"/>
          <w:lang w:eastAsia="zh-CN"/>
        </w:rPr>
        <w:t>等，</w:t>
      </w:r>
      <w:r>
        <w:rPr>
          <w:rFonts w:hint="eastAsia" w:ascii="仿宋_GB2312" w:hAnsi="仿宋_GB2312" w:eastAsia="仿宋_GB2312" w:cs="仿宋_GB2312"/>
          <w:w w:val="100"/>
          <w:sz w:val="32"/>
          <w:szCs w:val="32"/>
        </w:rPr>
        <w:t>委托第三方机构开展，抽检结果合格率99%，检测报告及时率100%；网络系统运维保养</w:t>
      </w:r>
      <w:r>
        <w:rPr>
          <w:rFonts w:hint="eastAsia" w:ascii="仿宋_GB2312" w:hAnsi="仿宋_GB2312" w:eastAsia="仿宋_GB2312" w:cs="仿宋_GB2312"/>
          <w:w w:val="100"/>
          <w:sz w:val="32"/>
          <w:szCs w:val="32"/>
          <w:lang w:eastAsia="zh-CN"/>
        </w:rPr>
        <w:t>等</w:t>
      </w:r>
      <w:r>
        <w:rPr>
          <w:rFonts w:hint="eastAsia" w:ascii="仿宋_GB2312" w:hAnsi="仿宋_GB2312" w:eastAsia="仿宋_GB2312" w:cs="仿宋_GB2312"/>
          <w:w w:val="100"/>
          <w:sz w:val="32"/>
          <w:szCs w:val="32"/>
        </w:rPr>
        <w:t>，按年度服务合同采购，响应时间≤24小时；档案整理服务、宣传服务</w:t>
      </w:r>
      <w:r>
        <w:rPr>
          <w:rFonts w:hint="eastAsia" w:ascii="仿宋_GB2312" w:hAnsi="仿宋_GB2312" w:eastAsia="仿宋_GB2312" w:cs="仿宋_GB2312"/>
          <w:w w:val="100"/>
          <w:sz w:val="32"/>
          <w:szCs w:val="32"/>
          <w:lang w:eastAsia="zh-CN"/>
        </w:rPr>
        <w:t>等</w:t>
      </w:r>
      <w:r>
        <w:rPr>
          <w:rFonts w:hint="eastAsia" w:ascii="仿宋_GB2312" w:hAnsi="仿宋_GB2312" w:eastAsia="仿宋_GB2312" w:cs="仿宋_GB2312"/>
          <w:w w:val="100"/>
          <w:sz w:val="32"/>
          <w:szCs w:val="32"/>
        </w:rPr>
        <w:t>，用于档案数字化、食品安全宣传物料制作，服务质量达标。</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授予中小企业合同金额688.57万元，占政府采购支出总额的100%，其中授予小微企业合同金额688.57万元，占比100%，落实支持中小企业（尤其是小微企业）发展政策；货物采购中，中小企业中标金额63.23万元，占货物支出的100%；服务采购中，中小企业中标金额625.34万元，占服务支出的100%，无排斥中小企业情况；政府采购流程严格遵循《怀化市市级政府采购管理办法》，金额超10万元项目全部通过公共资源交易中心招标，小额项目采用询价或电子卖场采购，公开透明，无违规采购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十三、关于国有资产占用情况说明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截至2024年12月31日，本部门及二级机构国有资产总额2770.18万元，具体占用情况如下：</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（一）车辆资产</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共有车辆6辆（全部为其他用车，无领导用车、执法执勤用车），具体情况为</w:t>
      </w:r>
      <w:r>
        <w:rPr>
          <w:rFonts w:hint="eastAsia" w:ascii="仿宋_GB2312" w:hAnsi="仿宋_GB2312" w:eastAsia="仿宋_GB2312" w:cs="仿宋_GB2312"/>
          <w:w w:val="100"/>
          <w:sz w:val="32"/>
          <w:szCs w:val="32"/>
        </w:rPr>
        <w:t>国产轿车4辆（大众朗逸2辆、丰田卡罗拉2辆）、7座商务车2辆（别克GL8）；原值合计127.90万元，单价18-25万元，使用年限5-8年，累计行驶里程15-25万公里；主要用于食品安全抽检2辆、特种设备监管2辆、应急处置2辆，2024年平均每车行驶7500公里，用于县市区抽检、隐患排查等公务；实行“统一调度、专人管理、台账登记”，建立《公务用车使用登记薄》，记录每次出行事由、里程、费用；定点加油（中石化）、定点维修（怀化市某汽车服务有限公司），维修前需提交申请，经分管领导审</w:t>
      </w:r>
      <w:r>
        <w:rPr>
          <w:rFonts w:hint="eastAsia" w:ascii="仿宋_GB2312" w:hAnsi="仿宋_GB2312" w:eastAsia="仿宋_GB2312" w:cs="仿宋_GB2312"/>
          <w:spacing w:val="-6"/>
          <w:w w:val="100"/>
          <w:sz w:val="32"/>
          <w:szCs w:val="32"/>
          <w:lang w:eastAsia="zh-CN"/>
        </w:rPr>
        <w:t>批；年末资产清查，账实相符率100%，无闲置或违规使用情况。</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（二）设备资产</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单位价值100万元以上设备（不含车辆）0台（套） ，通用设备</w:t>
      </w:r>
      <w:r>
        <w:rPr>
          <w:rFonts w:hint="eastAsia" w:ascii="仿宋_GB2312" w:hAnsi="仿宋_GB2312" w:eastAsia="仿宋_GB2312" w:cs="仿宋_GB2312"/>
          <w:w w:val="100"/>
          <w:sz w:val="32"/>
          <w:szCs w:val="32"/>
        </w:rPr>
        <w:t>分布于市本级及二级机构办公室，设备完好率98%；检验检测设备</w:t>
      </w:r>
      <w:r>
        <w:rPr>
          <w:rFonts w:hint="eastAsia" w:ascii="仿宋_GB2312" w:hAnsi="仿宋_GB2312" w:eastAsia="仿宋_GB2312" w:cs="仿宋_GB2312"/>
          <w:w w:val="100"/>
          <w:sz w:val="32"/>
          <w:szCs w:val="32"/>
          <w:lang w:eastAsia="zh-CN"/>
        </w:rPr>
        <w:t>包括</w:t>
      </w:r>
      <w:r>
        <w:rPr>
          <w:rFonts w:hint="eastAsia" w:ascii="仿宋_GB2312" w:hAnsi="仿宋_GB2312" w:eastAsia="仿宋_GB2312" w:cs="仿宋_GB2312"/>
          <w:w w:val="100"/>
          <w:sz w:val="32"/>
          <w:szCs w:val="32"/>
        </w:rPr>
        <w:t>食品检测设备、计量器具</w:t>
      </w:r>
      <w:r>
        <w:rPr>
          <w:rFonts w:hint="eastAsia" w:ascii="仿宋_GB2312" w:hAnsi="仿宋_GB2312" w:eastAsia="仿宋_GB2312" w:cs="仿宋_GB2312"/>
          <w:w w:val="100"/>
          <w:sz w:val="32"/>
          <w:szCs w:val="32"/>
          <w:lang w:eastAsia="zh-CN"/>
        </w:rPr>
        <w:t>等</w:t>
      </w:r>
      <w:r>
        <w:rPr>
          <w:rFonts w:hint="eastAsia" w:ascii="仿宋_GB2312" w:hAnsi="仿宋_GB2312" w:eastAsia="仿宋_GB2312" w:cs="仿宋_GB2312"/>
          <w:w w:val="100"/>
          <w:sz w:val="32"/>
          <w:szCs w:val="32"/>
        </w:rPr>
        <w:t>，用于食品、药品、农产品检验及量值传递；其他设备</w:t>
      </w:r>
      <w:r>
        <w:rPr>
          <w:rFonts w:hint="eastAsia" w:ascii="仿宋_GB2312" w:hAnsi="仿宋_GB2312" w:eastAsia="仿宋_GB2312" w:cs="仿宋_GB2312"/>
          <w:w w:val="100"/>
          <w:sz w:val="32"/>
          <w:szCs w:val="32"/>
          <w:lang w:eastAsia="zh-CN"/>
        </w:rPr>
        <w:t>包括</w:t>
      </w:r>
      <w:r>
        <w:rPr>
          <w:rFonts w:hint="eastAsia" w:ascii="仿宋_GB2312" w:hAnsi="仿宋_GB2312" w:eastAsia="仿宋_GB2312" w:cs="仿宋_GB2312"/>
          <w:w w:val="100"/>
          <w:sz w:val="32"/>
          <w:szCs w:val="32"/>
        </w:rPr>
        <w:t>空调、复印机</w:t>
      </w:r>
      <w:r>
        <w:rPr>
          <w:rFonts w:hint="eastAsia" w:ascii="仿宋_GB2312" w:hAnsi="仿宋_GB2312" w:eastAsia="仿宋_GB2312" w:cs="仿宋_GB2312"/>
          <w:spacing w:val="-6"/>
          <w:w w:val="100"/>
          <w:sz w:val="32"/>
          <w:szCs w:val="32"/>
          <w:lang w:eastAsia="zh-CN"/>
        </w:rPr>
        <w:t>等</w:t>
      </w:r>
      <w:r>
        <w:rPr>
          <w:rFonts w:hint="eastAsia" w:ascii="仿宋_GB2312" w:hAnsi="仿宋_GB2312" w:eastAsia="仿宋_GB2312" w:cs="仿宋_GB2312"/>
          <w:spacing w:val="-6"/>
          <w:w w:val="100"/>
          <w:sz w:val="32"/>
          <w:szCs w:val="32"/>
        </w:rPr>
        <w:t>，用于办公及检验检测中心，设备完好率95%，无闲置设备。</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（三）房屋及构筑物资产</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房屋及构筑物原值639.59万元，具体情况：</w:t>
      </w:r>
      <w:r>
        <w:rPr>
          <w:rFonts w:hint="eastAsia" w:ascii="仿宋_GB2312" w:hAnsi="仿宋_GB2312" w:eastAsia="仿宋_GB2312" w:cs="仿宋_GB2312"/>
          <w:w w:val="100"/>
          <w:sz w:val="32"/>
          <w:szCs w:val="32"/>
        </w:rPr>
        <w:t>市本级办公楼：位于鹤城区锦溪北路172号，建筑面积3000㎡，原值288.63万元，使用年限20年，用于机关办公；</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检验检测中心实验室：位于鹤城区湖天北路5号，建筑面积2000㎡，原值165.26万元，使用年限15年，用于检验检测实验；</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直属二局办公楼：位于鹤城区河西经开区，建筑面积1000㎡，原值185.70万元，使用年限10年，用于辖区监管办公；</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管理情况：建立《房屋资产台账》，记录建筑面积、使用部门、维护情况</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无闲置房屋。</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（四）资产管理情况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资产管理方面，制定《怀化市市场监督管理局国有资产管理办法》，规范资产配置、使用与处置流程：资产配置严格按预算执行，使用过程中建立“一物一卡一码”电子台账，纳入“湖南省行政事业性国有资产管理系统”，每季度开展资产清查，确保账实相符；处置资产需经市财政局审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w w:val="100"/>
          <w:sz w:val="32"/>
          <w:szCs w:val="32"/>
        </w:rPr>
      </w:pPr>
      <w:r>
        <w:rPr>
          <w:rFonts w:hint="eastAsia" w:ascii="黑体" w:hAnsi="黑体" w:eastAsia="黑体" w:cs="黑体"/>
          <w:w w:val="100"/>
          <w:sz w:val="32"/>
          <w:szCs w:val="32"/>
        </w:rPr>
        <w:t>十四、关于2024年度预算绩效管理情况的说明</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（一）绩效评价工作开展情况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1.绩效自评开展情况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怀化市市场监督管理局统筹本级及二级机构（怀化市检验检测中心、怀化市市场监督管理局直属二局）开展2024年度预算绩效自评，实现项目与资金全覆盖：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市局本级：组织对整体支出及33个项目开展绩效自评，涉及资金909.15万元。其中，一般公共预算项目33个，涉及资金909.15万元，占本级一般公共预算支出总额的17.78%；政府性基金、国有资本经营、社会保险基金预算项目均为0个，涉及资金0万元。同时，重点针对中央食品药品监管补助资金、省级市场监管专项资金、市级专项资金等核心项目开展专项自评，确保评价深度。</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怀化市检验检测中心：组织对整体支出及11个项目开展绩效自评，涉及资金452.82万元。其中，一般公共预算项目11个，涉及资金452.82万元，占该中心一般公共预算支出总额的100%；其他类型预算项目均为0个，涉及资金0万元，评价范围覆盖检验检测、计量检定等核心业务。</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怀化市市场监督管理局直属二局：组织对整体支出及1个项目开展绩效自评，涉及资金563.39万元。其中，一般公共预算项目1个，涉及资金563.39万元，占该局一般公共预算支出总额的100%；其他类型预算项目均为0个，涉及资金0万元，聚焦辖区市场监管核心任务。</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2.部门评价开展情况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市局作为一级预算部门，组织对本级3个重点项目开展部门评价，涉及一般公共预算支出909.15万元，无政府性基金、国有资本经营及社会保险基金预算支出，具体如下：</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中央食品监管补助资金项目：覆盖食品生产经营监管、“两个责任”落实等任务，通过核查包保督导台账、不合格食品处置记录，评估食品安全风险防控成效；</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2</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省级市场监管专项资金项目：聚焦检验检测能力提升、知识产权保护等领域，访谈企业30家、查看设备使用记录，评价资金使用效率与业务支撑作用；</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3</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市级专项资金项目：围绕特种设备监管、消费维权等工作，抽查20所学校食堂、50家特种设备使用单位，验证项目实施对民生保障的实际效果。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4</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二级机构未单独开展部门评价，相关业务纳入市局整体评价体系统筹考量。</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3.事前绩效评估开展情况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市局组织对2024年度2个新增重大政策和3个重大项目开展事前绩效评估，共涉及资金500万元，均为一般公共预算资金。评估重点围绕项目立项必要性、预算合理性、实施可行性、绩效目标科学性展开，邀请省市场监管局专家参与评审，为项目立项与预算安排提供科学依据，二级机构无新增重大政策或项目事前评估任务。</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（二）绩效评价结果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1.绩效自评结果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（1）市局本级</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2024年度整体支出全年预算数7146.17万元，执行数7105.12万元，完成预算的100%，绩效自评得分96.8分，评价等级为“优秀”。</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绩效目标完成情况</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是数量指标超额达标，完成食品抽检300批次、药品抽检80批次、医疗器械监管企业1260家，“两个责任”包保督导任务完成率99.95%；二是质量指标稳步提升，食品安全评价性抽检合格率99%，药品抽检完成率100%，知识产权行政执法案件结案率100%；三是时效指标全部达标，所有业务任务均在2024年底前完成；四是社会效益显著，市场公平竞争环境持续优化，公众食品药品安全满意度达90.05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存在问题及原因：一是部分绩效指标设定不细化，如生态效益指标与市场监管业务结合松散，难以量化衡量；二是部分项目资金支付滞后，因跨部门审批流程较长，影响资金拨付效率。</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改进措施：一是优化绩效指标体系，结合业务特性细化可量化指标；二是简化审批流程，建立部门协同机制，压缩资金拨付周期至15个工作日内。</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（2）怀化市检验检测中心</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2024年度整体支出全年预算数1755万元，执行数1755万元，完成预算的100%，绩效自评得分96.5分，评价等级为“优”。</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绩效目标完成情况：全面完成检验检测任务，包括食品药品抽检780批次、计量器具检定30058件，建立社会公用计量标准71个，检验检测报告准确率100%。</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存在问题及原因：一是基层检验机构能力薄弱，房屋配套不足、大型设备短缺，影响县域检测覆盖；二是科研联动不足，未形成针对本地特色产业的技术攻关成果；三是抽检计划下达滞后且不均衡，导致第四季度检测压力集中；四是检验经费保障不到位，部分设备维护资金不足。</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改进措施：一是建议省级统筹规划基层能力建设，市级财政加大设备与房屋投入；二是加强省市级科研联动，聚焦怀化中药材、特色农产品开展技术攻关；三是推动抽检计划年初下达并按月均衡分配；四是申请专项经费保障设备维护与更新。</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（3）怀化市市场监督管理局直属二局</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2024年度整体支出全年预算数570.80万元，执行数563.39万元，完成预算的98.70%，绩效自评得分98分，评价等级为“优秀”。</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绩效目标完成情况：实现辖区市场监管全覆盖，特种设备事故发生率0，消费者投诉按时办结率100%，新登记企业150户，“双随机、一公开”监管覆盖率100%。</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存在问题及原因：生态效益指标偏离，因市场监管业务对生态系统无实质性干预，指标设定与实际脱节。</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改进措施：一是结合辖区监管实际优化指标，取消不适用的生态效益指标，新增“重点行业环保标准执行率”等贴合业务的指标；二是建立指标动态调整机制，每季度核查指标适配性，及时修正偏差。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2.部门评价结果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（1）中央食品监管补助资金项目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全年预算数173.26万元，执行数173.26万元，完成预算的100%，部门评价得分97分，等级“优秀”。主要</w:t>
      </w:r>
      <w:r>
        <w:rPr>
          <w:rFonts w:hint="eastAsia" w:ascii="仿宋_GB2312" w:hAnsi="仿宋_GB2312" w:eastAsia="仿宋_GB2312" w:cs="仿宋_GB2312"/>
          <w:w w:val="100"/>
          <w:sz w:val="32"/>
          <w:szCs w:val="32"/>
        </w:rPr>
        <w:t>成效</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推动食品安全“两个责任”全覆盖，不合格食品核查处置率100%，校园食品安全隐患整改率100%。问题及原因</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基层监管人员业务能力不足（如风险排查不精准），公众食品安全意识薄弱（宣传覆盖率仅75%）。改进措施</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2025年开展基层人员专项培训4次，制作宣传物料2万份，通过“两微一端”扩大宣传覆盖。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（2）省级市场监管专项资金项目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全年预算数338.64万元，执行数338.64万元，完成预算的100%，部门评价得分96分，等级“优秀”。主要</w:t>
      </w:r>
      <w:r>
        <w:rPr>
          <w:rFonts w:hint="eastAsia" w:ascii="仿宋_GB2312" w:hAnsi="仿宋_GB2312" w:eastAsia="仿宋_GB2312" w:cs="仿宋_GB2312"/>
          <w:w w:val="100"/>
          <w:sz w:val="32"/>
          <w:szCs w:val="32"/>
        </w:rPr>
        <w:t>成效</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购置检验检测设备2台，检验参数增加30项；知识产权专利转化金额增长20%，侵权案件查处15起。问题及原因</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部分检验设备使用效率低（闲置率15%），知识产权服务仅覆盖50%中小企业。改进措施</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开展设备使用培训2次，建立设备共享机制；2025年新增100家中小企业知识产权服务名额。</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（3）市级专项资金项目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全年预算数770万元，执行数745.64万元，完成预算的96.84%，部门评价得分95分，等级“优秀”。主要</w:t>
      </w:r>
      <w:r>
        <w:rPr>
          <w:rFonts w:hint="eastAsia" w:ascii="仿宋_GB2312" w:hAnsi="仿宋_GB2312" w:eastAsia="仿宋_GB2312" w:cs="仿宋_GB2312"/>
          <w:w w:val="100"/>
          <w:sz w:val="32"/>
          <w:szCs w:val="32"/>
        </w:rPr>
        <w:t>成效</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特种设备隐患排查230处，整改率100%；消费维权调解60件，满意度95%。问题及原因</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部分资金闲置24.36万元，消费维权信息化平台响应慢。改进措施</w:t>
      </w:r>
      <w:r>
        <w:rPr>
          <w:rFonts w:hint="eastAsia" w:ascii="仿宋_GB2312" w:hAnsi="仿宋_GB2312" w:eastAsia="仿宋_GB2312" w:cs="仿宋_GB2312"/>
          <w:w w:val="100"/>
          <w:sz w:val="32"/>
          <w:szCs w:val="32"/>
          <w:lang w:eastAsia="zh-CN"/>
        </w:rPr>
        <w:t>是</w:t>
      </w:r>
      <w:r>
        <w:rPr>
          <w:rFonts w:hint="eastAsia" w:ascii="仿宋_GB2312" w:hAnsi="仿宋_GB2312" w:eastAsia="仿宋_GB2312" w:cs="仿宋_GB2312"/>
          <w:w w:val="100"/>
          <w:sz w:val="32"/>
          <w:szCs w:val="32"/>
        </w:rPr>
        <w:t>建立资金使用月度监控机制，2025年升级维权平台，实现投诉响应时间缩短至24小时内。</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3.事前绩效评估结果</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2024年度市局组织的5个新增重大项目（政策）事前绩效评估中，4个项目评估通过，涉及资金400万元，已按程序立项并安排预算；1个项目评估不通过，涉及资金100万元，已要求重新论证核心目标与实施路径，二级机构无相关评估结果。</w:t>
      </w:r>
    </w:p>
    <w:p>
      <w:pPr>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eastAsia" w:ascii="楷体_GB2312" w:hAnsi="楷体_GB2312" w:eastAsia="楷体_GB2312" w:cs="楷体_GB2312"/>
          <w:b/>
          <w:bCs/>
          <w:w w:val="100"/>
          <w:sz w:val="32"/>
          <w:szCs w:val="32"/>
          <w:lang w:eastAsia="zh-CN"/>
        </w:rPr>
      </w:pPr>
      <w:r>
        <w:rPr>
          <w:rFonts w:hint="eastAsia" w:ascii="楷体_GB2312" w:hAnsi="楷体_GB2312" w:eastAsia="楷体_GB2312" w:cs="楷体_GB2312"/>
          <w:b/>
          <w:bCs/>
          <w:w w:val="100"/>
          <w:sz w:val="32"/>
          <w:szCs w:val="32"/>
          <w:lang w:eastAsia="zh-CN"/>
        </w:rPr>
        <w:t>（三）评价结果应用情况</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1.预算安排优化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重点支持偏远地区抽检、检验设备升级；对检验检测中心能力建设项目，申请省级统筹资金150万元用于基层设备更新。对市级专项资金中闲置资金涉及的子项目，2025年预算从770万元优化至750万元，节省资金用于消费维权信息化建设；对直属二局生态效益指标相关预算，取消不适用科目，将5万元调整至“市场秩序执法”项目。</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2.支出结构调整</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加大食品安全、药品监管、知识产权保护等民生领域投入，2025年计划将此类支出占比从65%提升至70%；减少一般性会议、印刷支出，会议费预算从12.02万元压减至</w:t>
      </w:r>
      <w:r>
        <w:rPr>
          <w:rFonts w:hint="eastAsia" w:ascii="仿宋_GB2312" w:hAnsi="仿宋_GB2312" w:eastAsia="仿宋_GB2312" w:cs="仿宋_GB2312"/>
          <w:w w:val="100"/>
          <w:sz w:val="32"/>
          <w:szCs w:val="32"/>
          <w:lang w:val="en-US" w:eastAsia="zh-CN"/>
        </w:rPr>
        <w:t>10</w:t>
      </w:r>
      <w:r>
        <w:rPr>
          <w:rFonts w:hint="eastAsia" w:ascii="仿宋_GB2312" w:hAnsi="仿宋_GB2312" w:eastAsia="仿宋_GB2312" w:cs="仿宋_GB2312"/>
          <w:w w:val="100"/>
          <w:sz w:val="32"/>
          <w:szCs w:val="32"/>
        </w:rPr>
        <w:t>万元，印刷费从5.65万元压减至4万元。将市局本级“食品安全宣传”“药品安全宣传”经费整合，从50万元整合至80万元；检验检测中心“计量检定”“食品抽检”经费统筹管理，避免重复采购，提升资金使用效率。</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3.资金管理强化</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修订《怀化市市场监督管理局专项资金管理办法》，明确“项目进度未达50%暂停拨款”“设备闲置超3个月收回资金”等条款；检验检测中心制定《设备使用考核细则》，将设备利用率纳入科室考核。利用“湖南省预算绩效管理系统”，每月监控预算执行率，对执行率低于60%的项目发送预警；直属二局建立“资金使用台账”，每季度公示支出明细，接受内部监督。</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4.业务与制度改进</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w w:val="100"/>
          <w:sz w:val="30"/>
          <w:szCs w:val="30"/>
        </w:rPr>
      </w:pPr>
      <w:r>
        <w:rPr>
          <w:rFonts w:hint="eastAsia" w:ascii="仿宋_GB2312" w:hAnsi="仿宋_GB2312" w:eastAsia="仿宋_GB2312" w:cs="仿宋_GB2312"/>
          <w:w w:val="100"/>
          <w:sz w:val="32"/>
          <w:szCs w:val="32"/>
        </w:rPr>
        <w:t>2025年计划开展基层监管人员培训8次、检验检测技术培训6次，覆盖人员500人次；推动市局与高校合作，设立“怀化特色产业检测技术攻关”课题，提升科研能力。建立“绩效指标库”，按“食品安全”“特种设备”等领域分类设置核心指标；简化项目审批流程，跨部门事项实行“并联审批”，压缩办理时限50%；直属二局每季度开展指标适配性核查，及时修正偏离指标。</w:t>
      </w: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br w:type="page"/>
      </w: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ind w:firstLine="604" w:firstLineChars="189"/>
        <w:jc w:val="center"/>
        <w:rPr>
          <w:rFonts w:hint="eastAsia" w:ascii="仿宋_GB2312" w:hAnsi="仿宋_GB2312" w:eastAsia="仿宋_GB2312" w:cs="仿宋_GB2312"/>
          <w:w w:val="100"/>
          <w:sz w:val="32"/>
          <w:szCs w:val="32"/>
        </w:rPr>
      </w:pPr>
    </w:p>
    <w:p>
      <w:pPr>
        <w:pStyle w:val="14"/>
        <w:spacing w:line="360" w:lineRule="auto"/>
        <w:jc w:val="center"/>
        <w:rPr>
          <w:rFonts w:hint="eastAsia" w:ascii="仿宋_GB2312" w:hAnsi="仿宋_GB2312" w:eastAsia="仿宋_GB2312" w:cs="仿宋_GB2312"/>
          <w:w w:val="100"/>
          <w:sz w:val="32"/>
          <w:szCs w:val="32"/>
        </w:rPr>
      </w:pPr>
    </w:p>
    <w:p>
      <w:pPr>
        <w:pStyle w:val="14"/>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w w:val="100"/>
          <w:sz w:val="52"/>
          <w:szCs w:val="52"/>
        </w:rPr>
        <w:t>第四部分</w:t>
      </w:r>
      <w:r>
        <w:rPr>
          <w:rFonts w:hint="eastAsia" w:ascii="方正小标宋简体" w:hAnsi="方正小标宋简体" w:eastAsia="方正小标宋简体" w:cs="方正小标宋简体"/>
          <w:w w:val="100"/>
          <w:sz w:val="52"/>
          <w:szCs w:val="52"/>
          <w:lang w:val="en-US" w:eastAsia="zh-CN"/>
        </w:rPr>
        <w:t xml:space="preserve">  </w:t>
      </w:r>
      <w:r>
        <w:rPr>
          <w:rFonts w:hint="eastAsia" w:ascii="方正小标宋简体" w:hAnsi="方正小标宋简体" w:eastAsia="方正小标宋简体" w:cs="方正小标宋简体"/>
          <w:w w:val="100"/>
          <w:sz w:val="52"/>
          <w:szCs w:val="52"/>
        </w:rPr>
        <w:t>名词解释</w:t>
      </w:r>
    </w:p>
    <w:p>
      <w:pPr>
        <w:rPr>
          <w:rFonts w:hint="eastAsia" w:ascii="仿宋" w:hAnsi="仿宋" w:eastAsia="仿宋" w:cs="仿宋"/>
          <w:w w:val="100"/>
          <w:sz w:val="30"/>
          <w:szCs w:val="30"/>
        </w:rPr>
      </w:pPr>
      <w:r>
        <w:rPr>
          <w:rFonts w:hint="eastAsia" w:ascii="仿宋" w:hAnsi="仿宋" w:eastAsia="仿宋" w:cs="仿宋"/>
          <w:w w:val="100"/>
          <w:sz w:val="30"/>
          <w:szCs w:val="30"/>
        </w:rPr>
        <w:br w:type="page"/>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机关运行经费：为保障事业单位运行，用一般公共预算拨款安排，用于购买货物和服务的各项资金，包括办公及印刷费、邮电费、差旅费、会议费、福利费、日常维修费、公务用车运行维护费以及其他费用，即为事业单位一般公共预算财政拨款基本支出中的公用经费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基本支出：指单位为保障机构正常运转、完成日常工作任务而发生的支出，包括人员经费（工资福利、对个人和家庭补助）和公用经费（商品和服务支出、资本性支出）。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项目支出：指单位为完成特定行政工作任务或事业发展目标而发生的支出，本单位 2024 年项目支出 用于食品安全抽检、药品监管、知识产权保护、特种设备隐患排查等市场监管核心任务。</w:t>
      </w:r>
    </w:p>
    <w:p>
      <w:pPr>
        <w:ind w:left="0" w:leftChars="0" w:firstLine="879" w:firstLineChars="293"/>
        <w:rPr>
          <w:rFonts w:hint="eastAsia" w:ascii="仿宋" w:hAnsi="仿宋" w:eastAsia="仿宋" w:cs="仿宋"/>
          <w:w w:val="100"/>
          <w:sz w:val="30"/>
          <w:szCs w:val="30"/>
        </w:rPr>
      </w:pPr>
    </w:p>
    <w:p>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br w:type="page"/>
      </w:r>
    </w:p>
    <w:p>
      <w:pPr>
        <w:ind w:firstLine="604" w:firstLineChars="189"/>
        <w:jc w:val="center"/>
        <w:rPr>
          <w:rFonts w:hint="eastAsia" w:ascii="仿宋_GB2312" w:hAnsi="仿宋_GB2312" w:eastAsia="仿宋_GB2312" w:cs="仿宋_GB2312"/>
          <w:w w:val="100"/>
          <w:sz w:val="32"/>
          <w:szCs w:val="32"/>
        </w:rPr>
      </w:pPr>
    </w:p>
    <w:p>
      <w:pPr>
        <w:pStyle w:val="14"/>
        <w:spacing w:line="360" w:lineRule="auto"/>
        <w:jc w:val="center"/>
        <w:rPr>
          <w:rFonts w:hint="eastAsia" w:ascii="仿宋_GB2312" w:hAnsi="仿宋_GB2312" w:eastAsia="仿宋_GB2312" w:cs="仿宋_GB2312"/>
          <w:w w:val="100"/>
          <w:sz w:val="32"/>
          <w:szCs w:val="32"/>
        </w:rPr>
      </w:pPr>
    </w:p>
    <w:p>
      <w:pPr>
        <w:pStyle w:val="14"/>
        <w:spacing w:line="360" w:lineRule="auto"/>
        <w:jc w:val="center"/>
        <w:rPr>
          <w:rFonts w:hint="eastAsia" w:ascii="方正小标宋简体" w:hAnsi="方正小标宋简体" w:eastAsia="方正小标宋简体" w:cs="方正小标宋简体"/>
          <w:w w:val="100"/>
          <w:sz w:val="52"/>
          <w:szCs w:val="52"/>
        </w:rPr>
      </w:pPr>
      <w:r>
        <w:rPr>
          <w:rFonts w:hint="eastAsia" w:ascii="方正小标宋简体" w:hAnsi="方正小标宋简体" w:eastAsia="方正小标宋简体" w:cs="方正小标宋简体"/>
          <w:w w:val="100"/>
          <w:sz w:val="52"/>
          <w:szCs w:val="52"/>
        </w:rPr>
        <w:t>第五部分</w:t>
      </w:r>
      <w:r>
        <w:rPr>
          <w:rFonts w:hint="eastAsia" w:ascii="方正小标宋简体" w:hAnsi="方正小标宋简体" w:eastAsia="方正小标宋简体" w:cs="方正小标宋简体"/>
          <w:w w:val="100"/>
          <w:sz w:val="52"/>
          <w:szCs w:val="52"/>
          <w:lang w:val="en-US" w:eastAsia="zh-CN"/>
        </w:rPr>
        <w:t xml:space="preserve">  </w:t>
      </w:r>
      <w:r>
        <w:rPr>
          <w:rFonts w:hint="eastAsia" w:ascii="方正小标宋简体" w:hAnsi="方正小标宋简体" w:eastAsia="方正小标宋简体" w:cs="方正小标宋简体"/>
          <w:w w:val="100"/>
          <w:sz w:val="52"/>
          <w:szCs w:val="52"/>
        </w:rPr>
        <w:t>附件</w:t>
      </w:r>
    </w:p>
    <w:p>
      <w:pPr>
        <w:rPr>
          <w:rFonts w:hint="eastAsia" w:ascii="仿宋_GB2312" w:hAnsi="仿宋_GB2312" w:eastAsia="仿宋_GB2312" w:cs="仿宋_GB2312"/>
          <w:w w:val="100"/>
          <w:sz w:val="32"/>
          <w:szCs w:val="32"/>
          <w:lang w:eastAsia="zh-CN"/>
        </w:rPr>
      </w:pPr>
    </w:p>
    <w:p>
      <w:pPr>
        <w:rPr>
          <w:rFonts w:hint="eastAsia" w:ascii="仿宋_GB2312" w:hAnsi="仿宋_GB2312" w:eastAsia="仿宋_GB2312" w:cs="仿宋_GB2312"/>
          <w:w w:val="100"/>
          <w:sz w:val="32"/>
          <w:szCs w:val="32"/>
          <w:lang w:eastAsia="zh-CN"/>
        </w:rPr>
      </w:pPr>
    </w:p>
    <w:p>
      <w:pPr>
        <w:ind w:firstLine="640" w:firstLineChars="200"/>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一、怀化市市场监督管理局</w:t>
      </w:r>
      <w:r>
        <w:rPr>
          <w:rFonts w:hint="eastAsia" w:ascii="仿宋_GB2312" w:hAnsi="仿宋_GB2312" w:eastAsia="仿宋_GB2312" w:cs="仿宋_GB2312"/>
          <w:w w:val="100"/>
          <w:sz w:val="32"/>
          <w:szCs w:val="32"/>
        </w:rPr>
        <w:t>2024年度部门整体支出绩效自评报告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二、怀化市市场监督管理局</w:t>
      </w:r>
      <w:r>
        <w:rPr>
          <w:rFonts w:hint="eastAsia" w:ascii="仿宋_GB2312" w:hAnsi="仿宋_GB2312" w:eastAsia="仿宋_GB2312" w:cs="仿宋_GB2312"/>
          <w:w w:val="100"/>
          <w:sz w:val="32"/>
          <w:szCs w:val="32"/>
        </w:rPr>
        <w:t>2024年度项目支出绩效自评报告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三</w:t>
      </w:r>
      <w:bookmarkStart w:id="0" w:name="_GoBack"/>
      <w:bookmarkEnd w:id="0"/>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2024年度</w:t>
      </w:r>
      <w:r>
        <w:rPr>
          <w:rFonts w:hint="eastAsia" w:ascii="仿宋_GB2312" w:hAnsi="仿宋_GB2312" w:eastAsia="仿宋_GB2312" w:cs="仿宋_GB2312"/>
          <w:w w:val="100"/>
          <w:sz w:val="32"/>
          <w:szCs w:val="32"/>
          <w:lang w:eastAsia="zh-CN"/>
        </w:rPr>
        <w:t>怀化市市场监督管理局</w:t>
      </w:r>
      <w:r>
        <w:rPr>
          <w:rFonts w:hint="eastAsia" w:ascii="仿宋_GB2312" w:hAnsi="仿宋_GB2312" w:eastAsia="仿宋_GB2312" w:cs="仿宋_GB2312"/>
          <w:w w:val="100"/>
          <w:sz w:val="32"/>
          <w:szCs w:val="32"/>
        </w:rPr>
        <w:t>部门决算表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798"/>
    <w:rsid w:val="00160798"/>
    <w:rsid w:val="00185641"/>
    <w:rsid w:val="00883244"/>
    <w:rsid w:val="00EB55C6"/>
    <w:rsid w:val="00EC3770"/>
    <w:rsid w:val="00EF3A9E"/>
    <w:rsid w:val="0ABD4AAE"/>
    <w:rsid w:val="0D5E0E47"/>
    <w:rsid w:val="0EF57A0F"/>
    <w:rsid w:val="1A2C72C1"/>
    <w:rsid w:val="1B583A3F"/>
    <w:rsid w:val="1B775EE1"/>
    <w:rsid w:val="1C227AA7"/>
    <w:rsid w:val="2C4B0106"/>
    <w:rsid w:val="2EC933B2"/>
    <w:rsid w:val="527C7B44"/>
    <w:rsid w:val="6C5B048B"/>
    <w:rsid w:val="6DD62208"/>
    <w:rsid w:val="7E420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next w:val="1"/>
    <w:link w:val="11"/>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3"/>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9">
    <w:name w:val="Strong"/>
    <w:basedOn w:val="8"/>
    <w:qFormat/>
    <w:uiPriority w:val="22"/>
    <w:rPr>
      <w:b/>
    </w:rPr>
  </w:style>
  <w:style w:type="character" w:customStyle="1" w:styleId="10">
    <w:name w:val="标题 1 Char"/>
    <w:basedOn w:val="8"/>
    <w:link w:val="2"/>
    <w:qFormat/>
    <w:uiPriority w:val="9"/>
    <w:rPr>
      <w:rFonts w:ascii="宋体" w:hAnsi="宋体" w:eastAsia="宋体" w:cs="宋体"/>
      <w:b/>
      <w:bCs/>
      <w:w w:val="100"/>
      <w:kern w:val="36"/>
      <w:sz w:val="48"/>
      <w:szCs w:val="48"/>
    </w:rPr>
  </w:style>
  <w:style w:type="character" w:customStyle="1" w:styleId="11">
    <w:name w:val="标题 2 Char"/>
    <w:basedOn w:val="8"/>
    <w:link w:val="3"/>
    <w:qFormat/>
    <w:uiPriority w:val="9"/>
    <w:rPr>
      <w:rFonts w:ascii="宋体" w:hAnsi="宋体" w:eastAsia="宋体" w:cs="宋体"/>
      <w:b/>
      <w:bCs/>
      <w:w w:val="100"/>
      <w:kern w:val="0"/>
      <w:sz w:val="36"/>
      <w:szCs w:val="36"/>
    </w:rPr>
  </w:style>
  <w:style w:type="character" w:customStyle="1" w:styleId="12">
    <w:name w:val="标题 3 Char"/>
    <w:basedOn w:val="8"/>
    <w:link w:val="4"/>
    <w:qFormat/>
    <w:uiPriority w:val="9"/>
    <w:rPr>
      <w:rFonts w:ascii="宋体" w:hAnsi="宋体" w:eastAsia="宋体" w:cs="宋体"/>
      <w:b/>
      <w:bCs/>
      <w:w w:val="100"/>
      <w:kern w:val="0"/>
      <w:sz w:val="27"/>
      <w:szCs w:val="27"/>
    </w:rPr>
  </w:style>
  <w:style w:type="character" w:customStyle="1" w:styleId="13">
    <w:name w:val="标题 4 Char"/>
    <w:basedOn w:val="8"/>
    <w:link w:val="5"/>
    <w:qFormat/>
    <w:uiPriority w:val="9"/>
    <w:rPr>
      <w:rFonts w:ascii="宋体" w:hAnsi="宋体" w:eastAsia="宋体" w:cs="宋体"/>
      <w:b/>
      <w:bCs/>
      <w:w w:val="100"/>
      <w:kern w:val="0"/>
      <w:sz w:val="24"/>
      <w:szCs w:val="24"/>
    </w:rPr>
  </w:style>
  <w:style w:type="paragraph" w:customStyle="1" w:styleId="14">
    <w:name w:val="Default"/>
    <w:basedOn w:val="1"/>
    <w:qFormat/>
    <w:uiPriority w:val="0"/>
    <w:pPr>
      <w:autoSpaceDE w:val="0"/>
      <w:autoSpaceDN w:val="0"/>
      <w:adjustRightInd w:val="0"/>
      <w:jc w:val="left"/>
    </w:pPr>
    <w:rPr>
      <w:rFonts w:hAnsi="Calibri" w:cs="宋体"/>
      <w:color w:val="000000"/>
      <w:w w:val="1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6411</Words>
  <Characters>7962</Characters>
  <Lines>88</Lines>
  <Paragraphs>24</Paragraphs>
  <TotalTime>12</TotalTime>
  <ScaleCrop>false</ScaleCrop>
  <LinksUpToDate>false</LinksUpToDate>
  <CharactersWithSpaces>9206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影子</cp:lastModifiedBy>
  <dcterms:modified xsi:type="dcterms:W3CDTF">2025-09-24T03:18:46Z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eyJoZGlkIjoiZDFiNmM1ZjgwMDI1M2M0MGE2OWRhMjJiNjQ1YjdlZTUiLCJ1c2VySWQiOiIzOTg0NDg0NjMifQ==</vt:lpwstr>
  </property>
  <property fmtid="{D5CDD505-2E9C-101B-9397-08002B2CF9AE}" pid="3" name="KSOProductBuildVer">
    <vt:lpwstr>2052-11.1.0.9828</vt:lpwstr>
  </property>
  <property fmtid="{D5CDD505-2E9C-101B-9397-08002B2CF9AE}" pid="4" name="ICV">
    <vt:lpwstr>6C9339D7216A4A81927F25DBF060613A_13</vt:lpwstr>
  </property>
</Properties>
</file>