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BC835">
      <w:pPr>
        <w:pStyle w:val="12"/>
        <w:jc w:val="both"/>
        <w:rPr>
          <w:rFonts w:hAnsi="黑体"/>
          <w:sz w:val="36"/>
          <w:szCs w:val="36"/>
        </w:rPr>
      </w:pPr>
      <w:r>
        <w:rPr>
          <w:rFonts w:hint="eastAsia" w:hAnsi="黑体"/>
          <w:sz w:val="36"/>
          <w:szCs w:val="36"/>
        </w:rPr>
        <w:t>附件1</w:t>
      </w:r>
    </w:p>
    <w:p w14:paraId="7B0E6E53">
      <w:pPr>
        <w:pStyle w:val="12"/>
        <w:jc w:val="center"/>
        <w:rPr>
          <w:rFonts w:ascii="Times New Roman" w:hAnsi="Times New Roman" w:cs="Times New Roman"/>
          <w:sz w:val="56"/>
          <w:szCs w:val="56"/>
        </w:rPr>
      </w:pPr>
    </w:p>
    <w:p w14:paraId="39166E03">
      <w:pPr>
        <w:pStyle w:val="12"/>
        <w:jc w:val="center"/>
        <w:rPr>
          <w:rFonts w:ascii="Times New Roman" w:hAnsi="Times New Roman" w:cs="Times New Roman"/>
          <w:sz w:val="84"/>
          <w:szCs w:val="84"/>
        </w:rPr>
      </w:pPr>
    </w:p>
    <w:p w14:paraId="17BCBD8C">
      <w:pPr>
        <w:pStyle w:val="12"/>
        <w:jc w:val="center"/>
        <w:rPr>
          <w:rFonts w:ascii="Times New Roman" w:hAnsi="Times New Roman" w:cs="Times New Roman"/>
          <w:sz w:val="84"/>
          <w:szCs w:val="84"/>
        </w:rPr>
      </w:pPr>
    </w:p>
    <w:p w14:paraId="678895DE">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0BFC1E5">
      <w:pPr>
        <w:pStyle w:val="12"/>
        <w:jc w:val="center"/>
        <w:rPr>
          <w:rFonts w:hint="eastAsia"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怀化市侗文化城管理处</w:t>
      </w:r>
    </w:p>
    <w:p w14:paraId="1E9E89F9">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44DC7FEE">
      <w:pPr>
        <w:pStyle w:val="12"/>
        <w:jc w:val="center"/>
        <w:rPr>
          <w:rFonts w:ascii="Times New Roman" w:hAnsi="Times New Roman" w:eastAsia="方正小标宋_GBK" w:cs="Times New Roman"/>
          <w:sz w:val="56"/>
          <w:szCs w:val="56"/>
        </w:rPr>
      </w:pPr>
    </w:p>
    <w:p w14:paraId="7285FD2B">
      <w:pPr>
        <w:pStyle w:val="12"/>
        <w:jc w:val="center"/>
        <w:rPr>
          <w:rFonts w:ascii="Times New Roman" w:hAnsi="Times New Roman" w:cs="Times New Roman"/>
          <w:sz w:val="56"/>
          <w:szCs w:val="56"/>
        </w:rPr>
      </w:pPr>
    </w:p>
    <w:p w14:paraId="2EC384BD">
      <w:pPr>
        <w:pStyle w:val="12"/>
        <w:rPr>
          <w:rFonts w:ascii="Times New Roman" w:hAnsi="Times New Roman" w:cs="Times New Roman"/>
          <w:sz w:val="56"/>
          <w:szCs w:val="56"/>
        </w:rPr>
      </w:pPr>
    </w:p>
    <w:p w14:paraId="023AA265">
      <w:pPr>
        <w:pStyle w:val="12"/>
        <w:jc w:val="center"/>
        <w:rPr>
          <w:rFonts w:ascii="Times New Roman" w:hAnsi="Times New Roman" w:cs="Times New Roman"/>
          <w:sz w:val="32"/>
          <w:szCs w:val="32"/>
        </w:rPr>
      </w:pPr>
    </w:p>
    <w:p w14:paraId="67A752C8">
      <w:pPr>
        <w:pStyle w:val="12"/>
        <w:jc w:val="center"/>
        <w:rPr>
          <w:rFonts w:ascii="Times New Roman" w:hAnsi="Times New Roman" w:cs="Times New Roman"/>
          <w:sz w:val="32"/>
          <w:szCs w:val="32"/>
        </w:rPr>
      </w:pPr>
    </w:p>
    <w:p w14:paraId="255230ED">
      <w:pPr>
        <w:pStyle w:val="12"/>
        <w:jc w:val="center"/>
        <w:rPr>
          <w:rFonts w:ascii="Times New Roman" w:hAnsi="Times New Roman" w:cs="Times New Roman"/>
          <w:sz w:val="32"/>
          <w:szCs w:val="32"/>
        </w:rPr>
      </w:pPr>
    </w:p>
    <w:p w14:paraId="08E6AFC3">
      <w:pPr>
        <w:pStyle w:val="12"/>
        <w:jc w:val="center"/>
        <w:rPr>
          <w:rFonts w:ascii="Times New Roman" w:hAnsi="Times New Roman" w:cs="Times New Roman"/>
          <w:sz w:val="32"/>
          <w:szCs w:val="32"/>
        </w:rPr>
      </w:pPr>
    </w:p>
    <w:p w14:paraId="3A521F16">
      <w:pPr>
        <w:pStyle w:val="12"/>
        <w:jc w:val="center"/>
        <w:rPr>
          <w:rFonts w:ascii="Times New Roman" w:hAnsi="Times New Roman" w:cs="Times New Roman"/>
          <w:sz w:val="32"/>
          <w:szCs w:val="32"/>
        </w:rPr>
      </w:pPr>
    </w:p>
    <w:p w14:paraId="420CEBC1">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532E0257">
      <w:pPr>
        <w:pStyle w:val="12"/>
        <w:spacing w:line="600" w:lineRule="exact"/>
        <w:jc w:val="both"/>
        <w:rPr>
          <w:rFonts w:ascii="Times New Roman" w:hAnsi="Times New Roman" w:cs="Times New Roman"/>
          <w:b/>
          <w:sz w:val="36"/>
          <w:szCs w:val="28"/>
        </w:rPr>
      </w:pPr>
    </w:p>
    <w:p w14:paraId="17F827C5">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BE8F5C3">
      <w:pPr>
        <w:pStyle w:val="12"/>
        <w:spacing w:line="600" w:lineRule="exact"/>
        <w:jc w:val="center"/>
        <w:rPr>
          <w:rFonts w:ascii="Times New Roman" w:hAnsi="Times New Roman" w:cs="Times New Roman"/>
          <w:b/>
          <w:sz w:val="36"/>
          <w:szCs w:val="28"/>
        </w:rPr>
      </w:pPr>
    </w:p>
    <w:p w14:paraId="6D60DE6D">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怀化市侗文化城管理处</w:t>
      </w:r>
      <w:r>
        <w:rPr>
          <w:rFonts w:ascii="Times New Roman" w:hAnsi="Times New Roman" w:cs="Times New Roman"/>
          <w:bCs/>
          <w:sz w:val="32"/>
          <w:szCs w:val="32"/>
        </w:rPr>
        <w:t>概况</w:t>
      </w:r>
    </w:p>
    <w:p w14:paraId="2DF85A8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60258B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8C3CD47">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E5E624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B699F8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849230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6C122D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2ADA41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036D0B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A7B028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5074B8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F79E72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5603B5B">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422177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50A16F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BEEDCC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89B8F9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197F91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63BB521">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37B416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B6D581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0E46F8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16ABC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214D21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172E8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FB99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4C2347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3F7066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47D504E2">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30A3C126">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D7D4580">
      <w:pPr>
        <w:pStyle w:val="12"/>
        <w:spacing w:line="600" w:lineRule="exact"/>
        <w:rPr>
          <w:rFonts w:ascii="Times New Roman" w:hAnsi="Times New Roman" w:cs="Times New Roman"/>
          <w:bCs/>
          <w:sz w:val="28"/>
          <w:szCs w:val="28"/>
        </w:rPr>
      </w:pPr>
    </w:p>
    <w:p w14:paraId="09E48FEF">
      <w:pPr>
        <w:jc w:val="center"/>
        <w:rPr>
          <w:rFonts w:ascii="Times New Roman" w:hAnsi="Times New Roman" w:cs="Times New Roman"/>
          <w:sz w:val="72"/>
          <w:szCs w:val="72"/>
        </w:rPr>
      </w:pPr>
    </w:p>
    <w:p w14:paraId="766324E1">
      <w:pPr>
        <w:jc w:val="center"/>
        <w:rPr>
          <w:rFonts w:ascii="Times New Roman" w:hAnsi="Times New Roman" w:cs="Times New Roman"/>
          <w:sz w:val="72"/>
          <w:szCs w:val="72"/>
        </w:rPr>
      </w:pPr>
    </w:p>
    <w:p w14:paraId="0BF9AC69">
      <w:pPr>
        <w:jc w:val="center"/>
        <w:rPr>
          <w:rFonts w:ascii="Times New Roman" w:hAnsi="Times New Roman" w:cs="Times New Roman"/>
          <w:sz w:val="72"/>
          <w:szCs w:val="72"/>
        </w:rPr>
      </w:pPr>
    </w:p>
    <w:p w14:paraId="40EA213C">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38AAE36">
      <w:pPr>
        <w:rPr>
          <w:rFonts w:ascii="Times New Roman" w:hAnsi="Times New Roman" w:eastAsia="方正小标宋_GBK" w:cs="Times New Roman"/>
          <w:sz w:val="72"/>
          <w:szCs w:val="72"/>
        </w:rPr>
      </w:pPr>
    </w:p>
    <w:p w14:paraId="03114388">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19E9494">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怀化市侗文化城管理处</w:t>
      </w:r>
      <w:r>
        <w:rPr>
          <w:rFonts w:ascii="Times New Roman" w:hAnsi="Times New Roman" w:eastAsia="方正小标宋_GBK" w:cs="Times New Roman"/>
          <w:sz w:val="52"/>
          <w:szCs w:val="52"/>
        </w:rPr>
        <w:t>概况</w:t>
      </w:r>
    </w:p>
    <w:p w14:paraId="5C0ED256">
      <w:pPr>
        <w:pStyle w:val="3"/>
        <w:ind w:left="0" w:leftChars="0" w:firstLine="0" w:firstLineChars="0"/>
        <w:rPr>
          <w:rFonts w:ascii="Times New Roman" w:hAnsi="Times New Roman" w:cs="Times New Roman"/>
        </w:rPr>
      </w:pPr>
    </w:p>
    <w:p w14:paraId="407892A8">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B2287DD">
      <w:pPr>
        <w:spacing w:line="600" w:lineRule="exact"/>
        <w:ind w:firstLine="640" w:firstLineChars="20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负责森林及其他风景资源的保护。做好森林及其他风景资源和生物多样性的监测、保护、培育和管理工作；做好植树造林、森林防火宣传、安全生产风险隐患排查、消防安全知识培训和演习、学习观看安全教育警示片等工作。</w:t>
      </w:r>
    </w:p>
    <w:p w14:paraId="19D21773">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对园内参与建设和经营的其他单位和个人进行管理和监督，并签订安全责任书。</w:t>
      </w:r>
    </w:p>
    <w:p w14:paraId="1A9D13E0">
      <w:pPr>
        <w:spacing w:line="60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负责园内旅游秩序、安全、环保及卫生的管理。做好旅游秩序、安全、环保及卫生维护的宣传、相关基础设施和标志的设置、维护管理等工作。</w:t>
      </w:r>
    </w:p>
    <w:p w14:paraId="15E0FC43">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5B23619">
      <w:pPr>
        <w:widowControl/>
        <w:spacing w:line="600" w:lineRule="exact"/>
        <w:ind w:firstLine="640" w:firstLineChars="200"/>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怀化市侗文化城管理处作为怀化市文化旅游广电体育局的二级部门预算单位，内设</w:t>
      </w:r>
      <w:r>
        <w:rPr>
          <w:rFonts w:hint="eastAsia" w:ascii="Times New Roman" w:hAnsi="Times New Roman" w:eastAsia="仿宋_GB2312" w:cs="Times New Roman"/>
          <w:bCs/>
          <w:kern w:val="0"/>
          <w:sz w:val="32"/>
          <w:szCs w:val="32"/>
          <w:lang w:val="en-US" w:eastAsia="zh-CN"/>
        </w:rPr>
        <w:t>部</w:t>
      </w:r>
      <w:r>
        <w:rPr>
          <w:rFonts w:hint="eastAsia" w:ascii="Times New Roman" w:hAnsi="Times New Roman" w:eastAsia="仿宋_GB2312" w:cs="Times New Roman"/>
          <w:bCs/>
          <w:kern w:val="0"/>
          <w:sz w:val="32"/>
          <w:szCs w:val="32"/>
        </w:rPr>
        <w:t>室为：综合办公室、物业部、护林部。</w:t>
      </w:r>
    </w:p>
    <w:p w14:paraId="33D45614">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怀化市侗文化城管理处</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怀化市侗文化城管理处</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24BA7394">
      <w:pPr>
        <w:jc w:val="left"/>
        <w:rPr>
          <w:rFonts w:ascii="Times New Roman" w:hAnsi="Times New Roman" w:eastAsia="仿宋_GB2312" w:cs="Times New Roman"/>
          <w:sz w:val="28"/>
          <w:szCs w:val="32"/>
        </w:rPr>
      </w:pPr>
    </w:p>
    <w:p w14:paraId="344CFC0C">
      <w:pPr>
        <w:jc w:val="center"/>
        <w:rPr>
          <w:rFonts w:ascii="Times New Roman" w:hAnsi="Times New Roman" w:eastAsia="黑体" w:cs="Times New Roman"/>
          <w:sz w:val="28"/>
          <w:szCs w:val="28"/>
        </w:rPr>
      </w:pPr>
    </w:p>
    <w:p w14:paraId="5C2DBB71">
      <w:pPr>
        <w:pStyle w:val="12"/>
        <w:jc w:val="center"/>
        <w:rPr>
          <w:rFonts w:ascii="Times New Roman" w:hAnsi="Times New Roman" w:eastAsia="方正小标宋_GBK" w:cs="Times New Roman"/>
          <w:sz w:val="52"/>
          <w:szCs w:val="52"/>
        </w:rPr>
      </w:pPr>
    </w:p>
    <w:p w14:paraId="0B464A2D">
      <w:pPr>
        <w:pStyle w:val="12"/>
        <w:jc w:val="center"/>
        <w:rPr>
          <w:rFonts w:ascii="Times New Roman" w:hAnsi="Times New Roman" w:eastAsia="方正小标宋_GBK" w:cs="Times New Roman"/>
          <w:sz w:val="52"/>
          <w:szCs w:val="52"/>
        </w:rPr>
      </w:pPr>
    </w:p>
    <w:p w14:paraId="6657964C">
      <w:pPr>
        <w:pStyle w:val="12"/>
        <w:jc w:val="center"/>
        <w:rPr>
          <w:rFonts w:ascii="Times New Roman" w:hAnsi="Times New Roman" w:eastAsia="方正小标宋_GBK" w:cs="Times New Roman"/>
          <w:sz w:val="52"/>
          <w:szCs w:val="52"/>
        </w:rPr>
      </w:pPr>
    </w:p>
    <w:p w14:paraId="7CDECFED">
      <w:pPr>
        <w:pStyle w:val="12"/>
        <w:jc w:val="center"/>
        <w:rPr>
          <w:rFonts w:ascii="Times New Roman" w:hAnsi="Times New Roman" w:eastAsia="方正小标宋_GBK" w:cs="Times New Roman"/>
          <w:sz w:val="52"/>
          <w:szCs w:val="52"/>
        </w:rPr>
      </w:pPr>
    </w:p>
    <w:p w14:paraId="1141324D">
      <w:pPr>
        <w:pStyle w:val="12"/>
        <w:jc w:val="center"/>
        <w:rPr>
          <w:rFonts w:ascii="Times New Roman" w:hAnsi="Times New Roman" w:eastAsia="方正小标宋_GBK" w:cs="Times New Roman"/>
          <w:sz w:val="52"/>
          <w:szCs w:val="52"/>
        </w:rPr>
      </w:pPr>
    </w:p>
    <w:p w14:paraId="23373FB1">
      <w:pPr>
        <w:pStyle w:val="12"/>
        <w:jc w:val="center"/>
        <w:rPr>
          <w:rFonts w:ascii="Times New Roman" w:hAnsi="Times New Roman" w:eastAsia="方正小标宋_GBK" w:cs="Times New Roman"/>
          <w:sz w:val="52"/>
          <w:szCs w:val="52"/>
        </w:rPr>
      </w:pPr>
    </w:p>
    <w:p w14:paraId="592F1206">
      <w:pPr>
        <w:pStyle w:val="12"/>
        <w:jc w:val="center"/>
        <w:rPr>
          <w:rFonts w:ascii="Times New Roman" w:hAnsi="Times New Roman" w:eastAsia="方正小标宋_GBK" w:cs="Times New Roman"/>
          <w:sz w:val="52"/>
          <w:szCs w:val="52"/>
        </w:rPr>
      </w:pPr>
    </w:p>
    <w:p w14:paraId="680F7ECA">
      <w:pPr>
        <w:pStyle w:val="12"/>
        <w:jc w:val="center"/>
        <w:rPr>
          <w:rFonts w:ascii="Times New Roman" w:hAnsi="Times New Roman" w:eastAsia="方正小标宋_GBK" w:cs="Times New Roman"/>
          <w:sz w:val="52"/>
          <w:szCs w:val="52"/>
        </w:rPr>
      </w:pPr>
    </w:p>
    <w:p w14:paraId="216A49CE">
      <w:pPr>
        <w:pStyle w:val="12"/>
        <w:jc w:val="center"/>
        <w:rPr>
          <w:rFonts w:ascii="Times New Roman" w:hAnsi="Times New Roman" w:eastAsia="方正小标宋_GBK" w:cs="Times New Roman"/>
          <w:sz w:val="52"/>
          <w:szCs w:val="52"/>
        </w:rPr>
      </w:pPr>
    </w:p>
    <w:p w14:paraId="55982FFF">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第二部分    </w:t>
      </w:r>
    </w:p>
    <w:p w14:paraId="3CD3E17B">
      <w:pPr>
        <w:pStyle w:val="12"/>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2024年度</w:t>
      </w:r>
      <w:r>
        <w:rPr>
          <w:rFonts w:ascii="Times New Roman" w:hAnsi="Times New Roman" w:eastAsia="方正小标宋_GBK" w:cs="Times New Roman"/>
          <w:sz w:val="52"/>
          <w:szCs w:val="52"/>
        </w:rPr>
        <w:t>部门决算表</w:t>
      </w:r>
    </w:p>
    <w:p w14:paraId="419D1325">
      <w:pPr>
        <w:pStyle w:val="12"/>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w:t>
      </w:r>
      <w:r>
        <w:rPr>
          <w:rFonts w:hint="eastAsia" w:ascii="Times New Roman" w:hAnsi="Times New Roman" w:eastAsia="方正小标宋_GBK" w:cs="Times New Roman"/>
          <w:sz w:val="52"/>
          <w:szCs w:val="52"/>
          <w:lang w:val="en-US" w:eastAsia="zh-CN"/>
        </w:rPr>
        <w:t>详见附表</w:t>
      </w:r>
      <w:r>
        <w:rPr>
          <w:rFonts w:hint="eastAsia" w:ascii="Times New Roman" w:hAnsi="Times New Roman" w:eastAsia="方正小标宋_GBK" w:cs="Times New Roman"/>
          <w:sz w:val="52"/>
          <w:szCs w:val="52"/>
          <w:lang w:eastAsia="zh-CN"/>
        </w:rPr>
        <w:t>）</w:t>
      </w:r>
    </w:p>
    <w:p w14:paraId="272C94A5">
      <w:pPr>
        <w:pStyle w:val="12"/>
        <w:rPr>
          <w:rFonts w:ascii="Times New Roman" w:hAnsi="Times New Roman" w:cs="Times New Roman"/>
          <w:sz w:val="72"/>
          <w:szCs w:val="72"/>
        </w:rPr>
      </w:pPr>
    </w:p>
    <w:p w14:paraId="087ED2DB">
      <w:pPr>
        <w:pStyle w:val="12"/>
        <w:rPr>
          <w:rFonts w:ascii="Times New Roman" w:hAnsi="Times New Roman" w:cs="Times New Roman"/>
          <w:sz w:val="72"/>
          <w:szCs w:val="72"/>
        </w:rPr>
      </w:pPr>
    </w:p>
    <w:p w14:paraId="3AC8CA35">
      <w:pPr>
        <w:pStyle w:val="12"/>
        <w:rPr>
          <w:rFonts w:ascii="Times New Roman" w:hAnsi="Times New Roman" w:cs="Times New Roman"/>
          <w:sz w:val="72"/>
          <w:szCs w:val="72"/>
        </w:rPr>
      </w:pPr>
    </w:p>
    <w:p w14:paraId="2351373D">
      <w:pPr>
        <w:pStyle w:val="12"/>
        <w:rPr>
          <w:rFonts w:ascii="Times New Roman" w:hAnsi="Times New Roman" w:cs="Times New Roman"/>
          <w:sz w:val="72"/>
          <w:szCs w:val="72"/>
        </w:rPr>
      </w:pPr>
    </w:p>
    <w:p w14:paraId="1F5D9109">
      <w:pPr>
        <w:pStyle w:val="12"/>
        <w:rPr>
          <w:rFonts w:ascii="Times New Roman" w:hAnsi="Times New Roman" w:cs="Times New Roman"/>
          <w:sz w:val="72"/>
          <w:szCs w:val="72"/>
        </w:rPr>
      </w:pPr>
    </w:p>
    <w:p w14:paraId="006D3ED9">
      <w:pPr>
        <w:pStyle w:val="12"/>
        <w:rPr>
          <w:rFonts w:ascii="Times New Roman" w:hAnsi="Times New Roman" w:cs="Times New Roman"/>
          <w:sz w:val="72"/>
          <w:szCs w:val="72"/>
        </w:rPr>
      </w:pPr>
    </w:p>
    <w:p w14:paraId="68D0D6DA">
      <w:pPr>
        <w:pStyle w:val="12"/>
        <w:rPr>
          <w:rFonts w:ascii="Times New Roman" w:hAnsi="Times New Roman" w:cs="Times New Roman"/>
          <w:sz w:val="72"/>
          <w:szCs w:val="72"/>
        </w:rPr>
      </w:pPr>
    </w:p>
    <w:p w14:paraId="754E3FFE">
      <w:pPr>
        <w:pStyle w:val="12"/>
        <w:rPr>
          <w:rFonts w:ascii="Times New Roman" w:hAnsi="Times New Roman" w:cs="Times New Roman"/>
          <w:sz w:val="72"/>
          <w:szCs w:val="72"/>
        </w:rPr>
      </w:pPr>
    </w:p>
    <w:p w14:paraId="3018C927">
      <w:pPr>
        <w:pStyle w:val="12"/>
        <w:rPr>
          <w:rFonts w:ascii="Times New Roman" w:hAnsi="Times New Roman" w:cs="Times New Roman"/>
          <w:sz w:val="72"/>
          <w:szCs w:val="72"/>
        </w:rPr>
      </w:pPr>
    </w:p>
    <w:p w14:paraId="29BE67F3">
      <w:pPr>
        <w:pStyle w:val="12"/>
        <w:rPr>
          <w:rFonts w:ascii="Times New Roman" w:hAnsi="Times New Roman" w:cs="Times New Roman"/>
          <w:sz w:val="72"/>
          <w:szCs w:val="72"/>
        </w:rPr>
      </w:pPr>
    </w:p>
    <w:p w14:paraId="11FA3A16">
      <w:pPr>
        <w:pStyle w:val="12"/>
        <w:jc w:val="center"/>
        <w:rPr>
          <w:rFonts w:ascii="Times New Roman" w:hAnsi="Times New Roman" w:cs="Times New Roman"/>
          <w:sz w:val="72"/>
          <w:szCs w:val="72"/>
        </w:rPr>
      </w:pPr>
    </w:p>
    <w:p w14:paraId="403FBD0B">
      <w:pPr>
        <w:pStyle w:val="12"/>
        <w:jc w:val="center"/>
        <w:rPr>
          <w:rFonts w:ascii="Times New Roman" w:hAnsi="Times New Roman" w:eastAsia="方正小标宋_GBK" w:cs="Times New Roman"/>
          <w:sz w:val="72"/>
          <w:szCs w:val="72"/>
        </w:rPr>
      </w:pPr>
    </w:p>
    <w:p w14:paraId="2AFFE29D">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C1DEDD0">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05F3B4C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AED4FB9">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0EA047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227.46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25.69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12.73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年中追加上级专项资金，项目经费支出增加。</w:t>
      </w:r>
    </w:p>
    <w:p w14:paraId="3E5DF40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9123A5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227.46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227.46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DE0FE3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BCA42E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227.46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193.47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85.06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33.99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14.94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60B7AA5">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E47850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227.46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25.69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增长</w:t>
      </w:r>
      <w:r>
        <w:rPr>
          <w:rFonts w:hint="eastAsia" w:ascii="Times New Roman" w:hAnsi="Times New Roman" w:eastAsia="仿宋_GB2312" w:cs="Times New Roman"/>
          <w:sz w:val="32"/>
          <w:szCs w:val="32"/>
          <w:lang w:val="en-US" w:eastAsia="zh-CN"/>
        </w:rPr>
        <w:t>12.73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年中追加上级专项资金，项目经费支出增加。</w:t>
      </w:r>
    </w:p>
    <w:p w14:paraId="5DAAB8A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C5216E9">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3C3409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210.47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92.53</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rPr>
        <w:t>8.</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4.31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年中追加上级专项资金，项目经费支出增加。</w:t>
      </w:r>
    </w:p>
    <w:p w14:paraId="5C1CED74">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06229DD">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210.47</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0.95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149.89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71.22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27.12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12.89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6.73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节能环保</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4.75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14.72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3FFE9BC">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30FB2D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198.85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210.47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105.84</w:t>
      </w:r>
      <w:r>
        <w:rPr>
          <w:rFonts w:ascii="Times New Roman" w:hAnsi="Times New Roman" w:eastAsia="仿宋_GB2312" w:cs="Times New Roman"/>
          <w:sz w:val="32"/>
          <w:szCs w:val="32"/>
        </w:rPr>
        <w:t>%，其中：</w:t>
      </w:r>
    </w:p>
    <w:p w14:paraId="6DDE5E5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一般公共服务</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其他一般公共服务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（项）。</w:t>
      </w:r>
    </w:p>
    <w:p w14:paraId="54CB62DE">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年中追加森林防火工作经费2万元。</w:t>
      </w:r>
    </w:p>
    <w:p w14:paraId="1745AFB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71D9A090">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146.</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144.89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99.10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2024年在职人员调出1人、退休1人，工资福利支出减少。</w:t>
      </w:r>
    </w:p>
    <w:p w14:paraId="6210ADB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04E98EA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年度预算精准，执行较好。</w:t>
      </w:r>
    </w:p>
    <w:p w14:paraId="1450974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其他文化和旅游支出</w:t>
      </w:r>
      <w:r>
        <w:rPr>
          <w:rFonts w:ascii="Times New Roman" w:hAnsi="Times New Roman" w:eastAsia="仿宋_GB2312" w:cs="Times New Roman"/>
          <w:sz w:val="32"/>
          <w:szCs w:val="32"/>
        </w:rPr>
        <w:t>（项）。</w:t>
      </w:r>
    </w:p>
    <w:p w14:paraId="2DD34801">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本年度无非税收入支出。</w:t>
      </w:r>
    </w:p>
    <w:p w14:paraId="0F231E5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其他文化旅游体育与传媒</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其他文化旅游体育与传媒支出</w:t>
      </w:r>
      <w:r>
        <w:rPr>
          <w:rFonts w:ascii="Times New Roman" w:hAnsi="Times New Roman" w:eastAsia="仿宋_GB2312" w:cs="Times New Roman"/>
          <w:sz w:val="32"/>
          <w:szCs w:val="32"/>
        </w:rPr>
        <w:t>（项）。</w:t>
      </w:r>
    </w:p>
    <w:p w14:paraId="118B5DD0">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年中追加景区高质量发展（年前大雪冰冻灾害天气树苗补栽）项目2万元。</w:t>
      </w:r>
    </w:p>
    <w:p w14:paraId="51E0F6F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事业单位离退休</w:t>
      </w:r>
      <w:r>
        <w:rPr>
          <w:rFonts w:ascii="Times New Roman" w:hAnsi="Times New Roman" w:eastAsia="仿宋_GB2312" w:cs="Times New Roman"/>
          <w:sz w:val="32"/>
          <w:szCs w:val="32"/>
        </w:rPr>
        <w:t>（项）。</w:t>
      </w:r>
    </w:p>
    <w:p w14:paraId="7654BBF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0.27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年度预算精准，执行较好。</w:t>
      </w:r>
    </w:p>
    <w:p w14:paraId="18506CF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37A387D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17.53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17.22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98.23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2024年在职人员调出1人、退休1人，</w:t>
      </w:r>
      <w:r>
        <w:rPr>
          <w:rFonts w:hint="eastAsia" w:ascii="Times New Roman" w:hAnsi="Times New Roman" w:eastAsia="仿宋_GB2312" w:cs="Times New Roman"/>
          <w:sz w:val="32"/>
          <w:szCs w:val="32"/>
        </w:rPr>
        <w:t>基本养老保险缴费支出</w:t>
      </w:r>
      <w:r>
        <w:rPr>
          <w:rFonts w:hint="eastAsia" w:ascii="Times New Roman" w:hAnsi="Times New Roman" w:eastAsia="仿宋_GB2312" w:cs="Times New Roman"/>
          <w:sz w:val="32"/>
          <w:szCs w:val="32"/>
          <w:lang w:val="en-US" w:eastAsia="zh-CN"/>
        </w:rPr>
        <w:t>减少。</w:t>
      </w:r>
    </w:p>
    <w:p w14:paraId="3E83A7D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14:paraId="3E1CE60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9.4</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9.63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102.34</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退休人员春节一次性生活补助实际支出较预算测算金额有差异。</w:t>
      </w:r>
    </w:p>
    <w:p w14:paraId="1F11DA9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事业单位医疗</w:t>
      </w:r>
      <w:r>
        <w:rPr>
          <w:rFonts w:ascii="Times New Roman" w:hAnsi="Times New Roman" w:eastAsia="仿宋_GB2312" w:cs="Times New Roman"/>
          <w:sz w:val="32"/>
          <w:szCs w:val="32"/>
        </w:rPr>
        <w:t>（项）。</w:t>
      </w:r>
    </w:p>
    <w:p w14:paraId="268E235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7.2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6.73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92.70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2024年在职人员调出1人、退休1人，</w:t>
      </w:r>
      <w:r>
        <w:rPr>
          <w:rFonts w:hint="eastAsia" w:ascii="Times New Roman" w:hAnsi="Times New Roman" w:eastAsia="仿宋_GB2312" w:cs="Times New Roman"/>
          <w:sz w:val="32"/>
          <w:szCs w:val="32"/>
        </w:rPr>
        <w:t>职工基本医疗保险缴费支出</w:t>
      </w:r>
      <w:r>
        <w:rPr>
          <w:rFonts w:hint="eastAsia" w:ascii="Times New Roman" w:hAnsi="Times New Roman" w:eastAsia="仿宋_GB2312" w:cs="Times New Roman"/>
          <w:sz w:val="32"/>
          <w:szCs w:val="32"/>
          <w:lang w:val="en-US" w:eastAsia="zh-CN"/>
        </w:rPr>
        <w:t>减少。</w:t>
      </w:r>
    </w:p>
    <w:p w14:paraId="70B4C60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节能环保</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森林保护修复</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停伐补助</w:t>
      </w:r>
      <w:r>
        <w:rPr>
          <w:rFonts w:ascii="Times New Roman" w:hAnsi="Times New Roman" w:eastAsia="仿宋_GB2312" w:cs="Times New Roman"/>
          <w:sz w:val="32"/>
          <w:szCs w:val="32"/>
        </w:rPr>
        <w:t>（项）。</w:t>
      </w:r>
    </w:p>
    <w:p w14:paraId="06337BE0">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年中追加湘财预〔2023〕402号2024年中央林业草原生态保护恢复资金（全面停止天然林商业性采伐补助）10万元。</w:t>
      </w:r>
    </w:p>
    <w:p w14:paraId="2FF3422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196DF57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14.9</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14.72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98.20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2024年在职人员调出1人、退休1人，</w:t>
      </w:r>
      <w:r>
        <w:rPr>
          <w:rFonts w:hint="eastAsia" w:ascii="Times New Roman" w:hAnsi="Times New Roman" w:eastAsia="仿宋_GB2312" w:cs="Times New Roman"/>
          <w:sz w:val="32"/>
          <w:szCs w:val="32"/>
        </w:rPr>
        <w:t>住房公积金支出</w:t>
      </w:r>
      <w:r>
        <w:rPr>
          <w:rFonts w:hint="eastAsia" w:ascii="Times New Roman" w:hAnsi="Times New Roman" w:eastAsia="仿宋_GB2312" w:cs="Times New Roman"/>
          <w:sz w:val="32"/>
          <w:szCs w:val="32"/>
          <w:lang w:val="en-US" w:eastAsia="zh-CN"/>
        </w:rPr>
        <w:t>减少。</w:t>
      </w:r>
    </w:p>
    <w:p w14:paraId="1A85F249">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6E333D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193.47</w:t>
      </w:r>
      <w:r>
        <w:rPr>
          <w:rFonts w:ascii="Times New Roman" w:hAnsi="Times New Roman" w:eastAsia="仿宋_GB2312" w:cs="Times New Roman"/>
          <w:sz w:val="32"/>
          <w:szCs w:val="32"/>
        </w:rPr>
        <w:t>万元，其中：</w:t>
      </w:r>
    </w:p>
    <w:p w14:paraId="2F1D7D7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175.67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90.80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 xml:space="preserve">  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其他社会保障缴费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生活补助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奖励金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其他对个人和家庭的补助</w:t>
      </w:r>
      <w:r>
        <w:rPr>
          <w:rFonts w:ascii="Times New Roman" w:hAnsi="Times New Roman" w:eastAsia="仿宋_GB2312" w:cs="Times New Roman"/>
          <w:sz w:val="32"/>
          <w:szCs w:val="32"/>
        </w:rPr>
        <w:t>。</w:t>
      </w:r>
    </w:p>
    <w:p w14:paraId="613A6A0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17.8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9.20</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 xml:space="preserve">  办公费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邮电费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维修（护）费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劳务费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福利费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公务用车运行维护费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lang w:eastAsia="zh-CN"/>
        </w:rPr>
        <w:t>、办公设备购置</w:t>
      </w:r>
      <w:r>
        <w:rPr>
          <w:rFonts w:ascii="Times New Roman" w:hAnsi="Times New Roman" w:eastAsia="仿宋_GB2312" w:cs="Times New Roman"/>
          <w:sz w:val="32"/>
          <w:szCs w:val="32"/>
        </w:rPr>
        <w:t>。</w:t>
      </w:r>
    </w:p>
    <w:p w14:paraId="6F623D7E">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40A17CA0">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DE3BA25">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经费财政拨款支出预算为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99.17</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0.85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。决算数大于上年数的主要原因</w:t>
      </w:r>
      <w:r>
        <w:rPr>
          <w:rFonts w:ascii="Times New Roman" w:hAnsi="Times New Roman" w:eastAsia="仿宋_GB2312" w:cs="Times New Roman"/>
          <w:sz w:val="32"/>
          <w:szCs w:val="32"/>
          <w:highlight w:val="none"/>
        </w:rPr>
        <w:t>是</w:t>
      </w:r>
      <w:r>
        <w:rPr>
          <w:rFonts w:hint="eastAsia" w:ascii="Times New Roman" w:hAnsi="Times New Roman" w:eastAsia="仿宋_GB2312" w:cs="Times New Roman"/>
          <w:sz w:val="32"/>
          <w:szCs w:val="32"/>
          <w:highlight w:val="none"/>
          <w:lang w:val="en-US" w:eastAsia="zh-CN"/>
        </w:rPr>
        <w:t>车辆使用年限较长，车辆燃油费增加</w:t>
      </w:r>
      <w:r>
        <w:rPr>
          <w:rFonts w:ascii="Times New Roman" w:hAnsi="Times New Roman" w:eastAsia="仿宋_GB2312" w:cs="Times New Roman"/>
          <w:sz w:val="32"/>
          <w:szCs w:val="32"/>
          <w:highlight w:val="none"/>
        </w:rPr>
        <w:t>。</w:t>
      </w:r>
    </w:p>
    <w:p w14:paraId="660201DC">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1C644363">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val="en-US" w:eastAsia="zh-CN"/>
        </w:rPr>
        <w:t>次。</w:t>
      </w:r>
    </w:p>
    <w:p w14:paraId="5904251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99.17</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0.85</w:t>
      </w:r>
      <w:r>
        <w:rPr>
          <w:rFonts w:ascii="Times New Roman" w:hAnsi="Times New Roman" w:eastAsia="仿宋_GB2312" w:cs="Times New Roman"/>
          <w:sz w:val="32"/>
          <w:szCs w:val="32"/>
        </w:rPr>
        <w:t>%。其中：</w:t>
      </w:r>
    </w:p>
    <w:p w14:paraId="3BFFE1B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val="en-US" w:eastAsia="zh-CN"/>
        </w:rPr>
        <w:t>怀化市侗文化城管理处</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4FEF3A4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1.18</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highlight w:val="none"/>
          <w:lang w:val="en-US" w:eastAsia="zh-CN"/>
        </w:rPr>
        <w:t>车辆燃油费</w:t>
      </w:r>
      <w:r>
        <w:rPr>
          <w:rFonts w:ascii="Times New Roman" w:hAnsi="Times New Roman" w:eastAsia="仿宋_GB2312" w:cs="Times New Roman"/>
          <w:sz w:val="32"/>
          <w:szCs w:val="32"/>
          <w:highlight w:val="none"/>
        </w:rPr>
        <w:t>支出</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99.17</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0.85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本单位厉行</w:t>
      </w:r>
      <w:r>
        <w:rPr>
          <w:rFonts w:hint="eastAsia" w:ascii="Times New Roman" w:hAnsi="Times New Roman" w:eastAsia="仿宋_GB2312" w:cs="Times New Roman"/>
          <w:sz w:val="32"/>
          <w:szCs w:val="32"/>
          <w:highlight w:val="none"/>
        </w:rPr>
        <w:t>节俭，严控“三公”经费支出</w:t>
      </w:r>
      <w:r>
        <w:rPr>
          <w:rFonts w:ascii="Times New Roman" w:hAnsi="Times New Roman" w:eastAsia="仿宋_GB2312" w:cs="Times New Roman"/>
          <w:sz w:val="32"/>
          <w:szCs w:val="32"/>
          <w:highlight w:val="none"/>
        </w:rPr>
        <w:t>。决算数大于上年数的主要原因是</w:t>
      </w:r>
      <w:r>
        <w:rPr>
          <w:rFonts w:hint="eastAsia" w:ascii="Times New Roman" w:hAnsi="Times New Roman" w:eastAsia="仿宋_GB2312" w:cs="Times New Roman"/>
          <w:sz w:val="32"/>
          <w:szCs w:val="32"/>
          <w:highlight w:val="none"/>
          <w:lang w:val="en-US" w:eastAsia="zh-CN"/>
        </w:rPr>
        <w:t>车辆使用年限较长，车辆燃油费增加</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28AE1EC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公务接待费支出。2024年度共接待来访团组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35B70D5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34D9DB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16.99</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16.99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16.99</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6C14A75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用于社会福利的彩票公益金支出</w:t>
      </w:r>
      <w:r>
        <w:rPr>
          <w:rFonts w:ascii="Times New Roman" w:hAnsi="Times New Roman" w:eastAsia="仿宋_GB2312" w:cs="Times New Roman"/>
          <w:sz w:val="32"/>
          <w:szCs w:val="32"/>
        </w:rPr>
        <w:t>（项）。</w:t>
      </w:r>
    </w:p>
    <w:p w14:paraId="70266E6C">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16.99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年中追加湘财综指〔2023〕22号公益设施建设6.99万元、湘财综指〔2024〕13号公益设施建设10万元。</w:t>
      </w:r>
    </w:p>
    <w:p w14:paraId="5462CEBF">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2790B6F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44D3D1A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39E5862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本单位属于事业单位,故没有机关运行经费支出。</w:t>
      </w:r>
    </w:p>
    <w:p w14:paraId="36C6E15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0C9FBD4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4E07D60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5E1BE190">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32.34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7.91</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19.59</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4.83</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32.34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32.34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05A203C4">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770E3350">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怀化市侗文化城管理处</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用于单位业务工作、森林防火</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718BD5A5">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A853392">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33.99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17</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8.08</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16.99</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23E1B39B">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228.58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227.46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99.51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val="en-US" w:eastAsia="zh-CN"/>
        </w:rPr>
        <w:t>一是</w:t>
      </w:r>
      <w:r>
        <w:rPr>
          <w:rFonts w:hint="eastAsia" w:ascii="Times New Roman" w:hAnsi="Times New Roman" w:eastAsia="仿宋_GB2312" w:cs="Times New Roman"/>
          <w:sz w:val="32"/>
          <w:szCs w:val="32"/>
        </w:rPr>
        <w:t>加强和规范3028.35亩公益林保护管理；</w:t>
      </w:r>
      <w:r>
        <w:rPr>
          <w:rFonts w:hint="eastAsia" w:ascii="Times New Roman" w:hAnsi="Times New Roman" w:eastAsia="仿宋_GB2312" w:cs="Times New Roman"/>
          <w:sz w:val="32"/>
          <w:szCs w:val="32"/>
          <w:lang w:val="en-US" w:eastAsia="zh-CN"/>
        </w:rPr>
        <w:t>二是</w:t>
      </w:r>
      <w:r>
        <w:rPr>
          <w:rFonts w:hint="eastAsia" w:ascii="Times New Roman" w:hAnsi="Times New Roman" w:eastAsia="仿宋_GB2312" w:cs="Times New Roman"/>
          <w:sz w:val="32"/>
          <w:szCs w:val="32"/>
        </w:rPr>
        <w:t>对园区范围内的林木和林地进行森林管护，提高公益林经营质量和生态服务功能；</w:t>
      </w:r>
      <w:r>
        <w:rPr>
          <w:rFonts w:hint="eastAsia" w:ascii="Times New Roman" w:hAnsi="Times New Roman" w:eastAsia="仿宋_GB2312" w:cs="Times New Roman"/>
          <w:sz w:val="32"/>
          <w:szCs w:val="32"/>
          <w:lang w:val="en-US" w:eastAsia="zh-CN"/>
        </w:rPr>
        <w:t>三是</w:t>
      </w:r>
      <w:r>
        <w:rPr>
          <w:rFonts w:hint="eastAsia" w:ascii="Times New Roman" w:hAnsi="Times New Roman" w:eastAsia="仿宋_GB2312" w:cs="Times New Roman"/>
          <w:sz w:val="32"/>
          <w:szCs w:val="32"/>
        </w:rPr>
        <w:t>开展马尾松毛虫药物防治，严防林业有害生物扩散蔓延；清理疫木，切实做好松材线虫病疫情防控和清理工作。开展植树造林，种植紫薇、桂花等阔叶树种共25亩，并加强林木采伐管理，严厉打击破坏森林资源违法犯罪活动；</w:t>
      </w:r>
      <w:r>
        <w:rPr>
          <w:rFonts w:hint="eastAsia" w:ascii="Times New Roman" w:hAnsi="Times New Roman" w:eastAsia="仿宋_GB2312" w:cs="Times New Roman"/>
          <w:sz w:val="32"/>
          <w:szCs w:val="32"/>
          <w:lang w:val="en-US" w:eastAsia="zh-CN"/>
        </w:rPr>
        <w:t>四是</w:t>
      </w:r>
      <w:r>
        <w:rPr>
          <w:rFonts w:hint="eastAsia" w:ascii="Times New Roman" w:hAnsi="Times New Roman" w:eastAsia="仿宋_GB2312" w:cs="Times New Roman"/>
          <w:sz w:val="32"/>
          <w:szCs w:val="32"/>
        </w:rPr>
        <w:t>积极应对发生的汛期灾害及冰雪灾害，实现次生灾害零伤亡，及时处理倒在高压线路上引起停电的树枝9处，以保障居民用电，并开展清障除患行动，清理倒伏在道路上的树木及落石26处，确保雨、雪天辖区道路交通安全、有序畅通。切实抓好日常保洁工作，对日常卫生进行清扫，重点整治和清理公路干线的环境卫生，每周对公路沿线可燃物、枯枝落叶及白色垃圾进行清扫，并将林区内垃圾清运至指定的垃圾处理厂。安装太阳能路灯21盏，进一步优化环境，消除辖区存在的安全隐患；重建公共厕所，优化公厕环境，提升游客满意度；建设完成怀化市象狮坡林场雀罗湾森林防火物资储备库，建立健全森林防火管理系统，提升森林草原防火水平；协助国家电网完成820m10千伏高压线路入地改造，减少安全隐患，提高供电稳定率。</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部门编制的绩效目标的合理性、绩效目标的明确性不够，还需进一步细化</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政府采购预算编制准确性有待于提升。年初政府采购预算未包含电子卖场采购金额，导致政府采购预算小于政府采购执行</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lang w:val="en-US" w:eastAsia="zh-CN"/>
        </w:rPr>
        <w:t>落</w:t>
      </w:r>
      <w:r>
        <w:rPr>
          <w:rFonts w:hint="eastAsia" w:ascii="Times New Roman" w:hAnsi="Times New Roman" w:eastAsia="仿宋_GB2312" w:cs="Times New Roman"/>
          <w:sz w:val="32"/>
          <w:szCs w:val="32"/>
        </w:rPr>
        <w:t>实责任主体，加强财务及业务人员绩效管理业务培训，按照“谁申请资金、谁设置目标”的原则，切实做好绩效目标设置，提高预算绩效目标管理的科学性、规范性和有效性</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按照《中华人民共和国预算法》《中华人民共和国政府采购法》及市财政局政府采购限额标准和政府采购集中采购目录，科学合理编制政府采购预算，切实把预算编实编细</w:t>
      </w:r>
      <w:r>
        <w:rPr>
          <w:rFonts w:ascii="Times New Roman" w:hAnsi="Times New Roman" w:eastAsia="仿宋_GB2312" w:cs="Times New Roman"/>
          <w:sz w:val="32"/>
          <w:szCs w:val="32"/>
        </w:rPr>
        <w:t>。</w:t>
      </w:r>
    </w:p>
    <w:p w14:paraId="4C0CF6DF">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通过绩效自评结果，对指标完成好的工作要在下一年度继续巩固和加强，对未完成的指标要深入剖析原因，找出症结，在以后工作中完善和改进；利用绩效自评结果，促进我管理处各部室增强责任和效益观念，提高财政资金支出决策水平和管理水平。</w:t>
      </w:r>
    </w:p>
    <w:p w14:paraId="35FB8B5E">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06C558F8">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7C15DF18">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0AD72D23">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49E45154">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6D8921D3">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3434D8AB">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604825EA">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63E6B718">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2FCC3252">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3BD2C3AD">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68A9C809">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35E19D2B">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2D4EE3AE">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5E7B69CC">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6FB4ED4F">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29497F9A">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5AB6BC0B">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5652EA81">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0826002B">
      <w:pPr>
        <w:pStyle w:val="12"/>
        <w:jc w:val="center"/>
        <w:rPr>
          <w:rFonts w:ascii="Times New Roman" w:hAnsi="Times New Roman" w:cs="Times New Roman"/>
          <w:sz w:val="72"/>
          <w:szCs w:val="72"/>
        </w:rPr>
      </w:pPr>
    </w:p>
    <w:p w14:paraId="081085EE">
      <w:pPr>
        <w:pStyle w:val="12"/>
        <w:jc w:val="both"/>
        <w:rPr>
          <w:rFonts w:ascii="Times New Roman" w:hAnsi="Times New Roman" w:cs="Times New Roman"/>
          <w:sz w:val="72"/>
          <w:szCs w:val="72"/>
        </w:rPr>
      </w:pPr>
    </w:p>
    <w:p w14:paraId="2C9F71F6">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6F169725">
      <w:pPr>
        <w:widowControl/>
        <w:jc w:val="left"/>
        <w:rPr>
          <w:rFonts w:ascii="Times New Roman" w:hAnsi="Times New Roman" w:cs="Times New Roman"/>
          <w:color w:val="000000"/>
          <w:kern w:val="0"/>
          <w:sz w:val="32"/>
          <w:szCs w:val="32"/>
        </w:rPr>
      </w:pPr>
    </w:p>
    <w:p w14:paraId="73DD4037">
      <w:pPr>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2D6D8954">
      <w:pPr>
        <w:ind w:firstLine="640" w:firstLineChars="200"/>
        <w:jc w:val="left"/>
        <w:rPr>
          <w:rFonts w:ascii="Times New Roman" w:hAnsi="Times New Roman" w:cs="Times New Roman"/>
          <w:color w:val="000000"/>
          <w:kern w:val="0"/>
          <w:sz w:val="32"/>
          <w:szCs w:val="3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2857915">
      <w:pPr>
        <w:pStyle w:val="12"/>
        <w:jc w:val="center"/>
        <w:rPr>
          <w:rFonts w:ascii="Times New Roman" w:hAnsi="Times New Roman" w:cs="Times New Roman"/>
          <w:sz w:val="72"/>
          <w:szCs w:val="72"/>
        </w:rPr>
      </w:pPr>
    </w:p>
    <w:p w14:paraId="2D3BEA3B">
      <w:pPr>
        <w:pStyle w:val="12"/>
        <w:jc w:val="center"/>
        <w:rPr>
          <w:rFonts w:ascii="Times New Roman" w:hAnsi="Times New Roman" w:cs="Times New Roman"/>
          <w:sz w:val="72"/>
          <w:szCs w:val="72"/>
        </w:rPr>
      </w:pPr>
    </w:p>
    <w:p w14:paraId="50851FE0">
      <w:pPr>
        <w:pStyle w:val="12"/>
        <w:jc w:val="center"/>
        <w:rPr>
          <w:rFonts w:ascii="Times New Roman" w:hAnsi="Times New Roman" w:cs="Times New Roman"/>
          <w:sz w:val="72"/>
          <w:szCs w:val="72"/>
        </w:rPr>
      </w:pPr>
      <w:bookmarkStart w:id="0" w:name="_GoBack"/>
      <w:bookmarkEnd w:id="0"/>
    </w:p>
    <w:p w14:paraId="3C9F0129">
      <w:pPr>
        <w:pStyle w:val="12"/>
        <w:jc w:val="center"/>
        <w:rPr>
          <w:rFonts w:ascii="Times New Roman" w:hAnsi="Times New Roman" w:cs="Times New Roman"/>
          <w:sz w:val="72"/>
          <w:szCs w:val="72"/>
        </w:rPr>
      </w:pPr>
    </w:p>
    <w:p w14:paraId="56448C24">
      <w:pPr>
        <w:pStyle w:val="12"/>
        <w:jc w:val="center"/>
        <w:rPr>
          <w:rFonts w:ascii="Times New Roman" w:hAnsi="Times New Roman" w:cs="Times New Roman"/>
          <w:sz w:val="72"/>
          <w:szCs w:val="72"/>
        </w:rPr>
      </w:pPr>
    </w:p>
    <w:p w14:paraId="6026B58E">
      <w:pPr>
        <w:pStyle w:val="12"/>
        <w:jc w:val="center"/>
        <w:rPr>
          <w:rFonts w:ascii="Times New Roman" w:hAnsi="Times New Roman" w:cs="Times New Roman"/>
          <w:sz w:val="72"/>
          <w:szCs w:val="72"/>
        </w:rPr>
      </w:pPr>
    </w:p>
    <w:p w14:paraId="306FB87C">
      <w:pPr>
        <w:pStyle w:val="12"/>
        <w:jc w:val="both"/>
        <w:rPr>
          <w:rFonts w:ascii="Times New Roman" w:hAnsi="Times New Roman" w:cs="Times New Roman"/>
          <w:sz w:val="72"/>
          <w:szCs w:val="72"/>
        </w:rPr>
      </w:pPr>
    </w:p>
    <w:p w14:paraId="14A80D76">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743DDA9">
      <w:pPr>
        <w:rPr>
          <w:rFonts w:ascii="Times New Roman" w:hAnsi="Times New Roman" w:cs="Times New Roman"/>
          <w:sz w:val="72"/>
          <w:szCs w:val="72"/>
        </w:rPr>
      </w:pPr>
    </w:p>
    <w:p w14:paraId="2407A0D2">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146F9E14">
      <w:pPr>
        <w:pStyle w:val="12"/>
        <w:spacing w:line="600" w:lineRule="exact"/>
        <w:ind w:firstLine="640" w:firstLineChars="200"/>
        <w:rPr>
          <w:rFonts w:ascii="Times New Roman" w:hAnsi="Times New Roman" w:eastAsia="仿宋_GB2312" w:cs="Times New Roman"/>
          <w:sz w:val="32"/>
          <w:szCs w:val="32"/>
        </w:rPr>
      </w:pPr>
    </w:p>
    <w:p w14:paraId="58DB1B88">
      <w:pPr>
        <w:pStyle w:val="12"/>
        <w:jc w:val="center"/>
        <w:rPr>
          <w:rFonts w:ascii="Times New Roman" w:hAnsi="Times New Roman" w:cs="Times New Roman"/>
          <w:sz w:val="72"/>
          <w:szCs w:val="72"/>
        </w:rPr>
      </w:pPr>
    </w:p>
    <w:p w14:paraId="39A7DFD4">
      <w:pPr>
        <w:pStyle w:val="12"/>
        <w:jc w:val="center"/>
        <w:rPr>
          <w:rFonts w:ascii="Times New Roman" w:hAnsi="Times New Roman" w:cs="Times New Roman"/>
          <w:sz w:val="72"/>
          <w:szCs w:val="72"/>
        </w:rPr>
      </w:pPr>
    </w:p>
    <w:p w14:paraId="21B1C796">
      <w:pPr>
        <w:jc w:val="left"/>
        <w:rPr>
          <w:rFonts w:ascii="Times New Roman" w:hAnsi="Times New Roman" w:cs="Times New Roman"/>
          <w:color w:val="000000"/>
          <w:kern w:val="0"/>
          <w:sz w:val="32"/>
          <w:szCs w:val="32"/>
        </w:rPr>
      </w:pPr>
    </w:p>
    <w:sectPr>
      <w:footerReference r:id="rId6" w:type="default"/>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9F04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E97F6">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DDC53">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CBB32">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461DBC91">
                <w:pPr>
                  <w:pStyle w:val="6"/>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224187C"/>
    <w:rsid w:val="03C230FA"/>
    <w:rsid w:val="05F07BF3"/>
    <w:rsid w:val="060C68AF"/>
    <w:rsid w:val="095A2027"/>
    <w:rsid w:val="0BF73B5D"/>
    <w:rsid w:val="0E17213F"/>
    <w:rsid w:val="13CE33F5"/>
    <w:rsid w:val="14587163"/>
    <w:rsid w:val="16837C3A"/>
    <w:rsid w:val="16C52D01"/>
    <w:rsid w:val="16FB6BF7"/>
    <w:rsid w:val="172D0D7B"/>
    <w:rsid w:val="18245CDA"/>
    <w:rsid w:val="19E41BC5"/>
    <w:rsid w:val="19F811CC"/>
    <w:rsid w:val="1D3A1AFC"/>
    <w:rsid w:val="1D97DEFF"/>
    <w:rsid w:val="1DFF72E5"/>
    <w:rsid w:val="1E8918EA"/>
    <w:rsid w:val="1EFC6F07"/>
    <w:rsid w:val="1FD44489"/>
    <w:rsid w:val="227B6E3E"/>
    <w:rsid w:val="27E72880"/>
    <w:rsid w:val="293410EC"/>
    <w:rsid w:val="29980F02"/>
    <w:rsid w:val="2F71011B"/>
    <w:rsid w:val="2FDF85B8"/>
    <w:rsid w:val="2FFFEE04"/>
    <w:rsid w:val="318178A1"/>
    <w:rsid w:val="346516FC"/>
    <w:rsid w:val="34DF85B0"/>
    <w:rsid w:val="35775243"/>
    <w:rsid w:val="37C4673A"/>
    <w:rsid w:val="38156F95"/>
    <w:rsid w:val="3ADD023E"/>
    <w:rsid w:val="3AE158FD"/>
    <w:rsid w:val="3B8F36BC"/>
    <w:rsid w:val="3CE533DA"/>
    <w:rsid w:val="3D931088"/>
    <w:rsid w:val="40730CFD"/>
    <w:rsid w:val="431D39E7"/>
    <w:rsid w:val="43F860E9"/>
    <w:rsid w:val="46D85D5E"/>
    <w:rsid w:val="47163BC5"/>
    <w:rsid w:val="491FF225"/>
    <w:rsid w:val="49D942C7"/>
    <w:rsid w:val="4F912F4E"/>
    <w:rsid w:val="4FC41575"/>
    <w:rsid w:val="4FFD214C"/>
    <w:rsid w:val="50A2798F"/>
    <w:rsid w:val="52C61160"/>
    <w:rsid w:val="53B11E10"/>
    <w:rsid w:val="55572544"/>
    <w:rsid w:val="5777D4F5"/>
    <w:rsid w:val="58987AAA"/>
    <w:rsid w:val="59462FFB"/>
    <w:rsid w:val="59DD8326"/>
    <w:rsid w:val="5BA34735"/>
    <w:rsid w:val="5D066D29"/>
    <w:rsid w:val="5D720862"/>
    <w:rsid w:val="5DEF592A"/>
    <w:rsid w:val="5EA0548D"/>
    <w:rsid w:val="5FC6BB1E"/>
    <w:rsid w:val="5FC92290"/>
    <w:rsid w:val="5FF720F1"/>
    <w:rsid w:val="60597AB8"/>
    <w:rsid w:val="637600C4"/>
    <w:rsid w:val="65C043B5"/>
    <w:rsid w:val="66955F17"/>
    <w:rsid w:val="67DB0DB2"/>
    <w:rsid w:val="67FF5C0B"/>
    <w:rsid w:val="68242759"/>
    <w:rsid w:val="6CCE0EE6"/>
    <w:rsid w:val="6CE67B35"/>
    <w:rsid w:val="6D7D1815"/>
    <w:rsid w:val="6EFC0924"/>
    <w:rsid w:val="6FB74722"/>
    <w:rsid w:val="6FEF8B7E"/>
    <w:rsid w:val="71A6591B"/>
    <w:rsid w:val="71D06101"/>
    <w:rsid w:val="73076EFF"/>
    <w:rsid w:val="730D309E"/>
    <w:rsid w:val="737D59BA"/>
    <w:rsid w:val="740718AD"/>
    <w:rsid w:val="75610B49"/>
    <w:rsid w:val="76B80C3C"/>
    <w:rsid w:val="77C37683"/>
    <w:rsid w:val="782B653E"/>
    <w:rsid w:val="78874D6A"/>
    <w:rsid w:val="798E2128"/>
    <w:rsid w:val="79C478F8"/>
    <w:rsid w:val="79D19834"/>
    <w:rsid w:val="79FF515B"/>
    <w:rsid w:val="7A1B2075"/>
    <w:rsid w:val="7B2E5971"/>
    <w:rsid w:val="7BB5399C"/>
    <w:rsid w:val="7E9E1962"/>
    <w:rsid w:val="7E9F11B4"/>
    <w:rsid w:val="7F37EC1E"/>
    <w:rsid w:val="7F7DCD9D"/>
    <w:rsid w:val="7F970A6F"/>
    <w:rsid w:val="7F9E4734"/>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5056</Words>
  <Characters>5590</Characters>
  <Lines>69</Lines>
  <Paragraphs>19</Paragraphs>
  <TotalTime>10</TotalTime>
  <ScaleCrop>false</ScaleCrop>
  <LinksUpToDate>false</LinksUpToDate>
  <CharactersWithSpaces>5624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WPS_1621561607</cp:lastModifiedBy>
  <cp:lastPrinted>2024-08-08T18:20:00Z</cp:lastPrinted>
  <dcterms:modified xsi:type="dcterms:W3CDTF">2025-09-22T01:22:25Z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BB7B6AA21D207914D6FDA268992A22D6</vt:lpwstr>
  </property>
  <property fmtid="{D5CDD505-2E9C-101B-9397-08002B2CF9AE}" pid="4" name="KSOTemplateDocerSaveRecord">
    <vt:lpwstr>eyJoZGlkIjoiMWRkMTc4MmFlNmUxZWVhNzFlZDkxNWE1OWRlZTgxN2QiLCJ1c2VySWQiOiIxMjE0NTQ1Mjc2In0=</vt:lpwstr>
  </property>
</Properties>
</file>