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509F26">
      <w:pPr>
        <w:pStyle w:val="14"/>
        <w:jc w:val="both"/>
        <w:rPr>
          <w:rFonts w:hAnsi="黑体"/>
          <w:sz w:val="36"/>
          <w:szCs w:val="36"/>
        </w:rPr>
      </w:pPr>
      <w:r>
        <w:rPr>
          <w:rFonts w:hint="eastAsia" w:hAnsi="黑体"/>
          <w:sz w:val="36"/>
          <w:szCs w:val="36"/>
        </w:rPr>
        <w:t>附件1</w:t>
      </w:r>
    </w:p>
    <w:p w14:paraId="15921297">
      <w:pPr>
        <w:pStyle w:val="14"/>
        <w:jc w:val="center"/>
        <w:rPr>
          <w:rFonts w:ascii="Times New Roman" w:hAnsi="Times New Roman" w:cs="Times New Roman"/>
          <w:sz w:val="56"/>
          <w:szCs w:val="56"/>
        </w:rPr>
      </w:pPr>
    </w:p>
    <w:p w14:paraId="3F09C006">
      <w:pPr>
        <w:pStyle w:val="14"/>
        <w:jc w:val="center"/>
        <w:rPr>
          <w:rFonts w:ascii="Times New Roman" w:hAnsi="Times New Roman" w:cs="Times New Roman"/>
          <w:sz w:val="84"/>
          <w:szCs w:val="84"/>
        </w:rPr>
      </w:pPr>
    </w:p>
    <w:p w14:paraId="338CAAFF">
      <w:pPr>
        <w:pStyle w:val="14"/>
        <w:jc w:val="center"/>
        <w:rPr>
          <w:rFonts w:ascii="Times New Roman" w:hAnsi="Times New Roman" w:cs="Times New Roman"/>
          <w:sz w:val="84"/>
          <w:szCs w:val="84"/>
        </w:rPr>
      </w:pPr>
    </w:p>
    <w:p w14:paraId="73164177">
      <w:pPr>
        <w:pStyle w:val="14"/>
        <w:jc w:val="center"/>
        <w:rPr>
          <w:rFonts w:ascii="Times New Roman" w:hAnsi="Times New Roman" w:eastAsia="方正小标宋简体" w:cs="Times New Roman"/>
          <w:sz w:val="72"/>
          <w:szCs w:val="72"/>
        </w:rPr>
      </w:pPr>
      <w:r>
        <w:rPr>
          <w:rFonts w:ascii="Times New Roman" w:hAnsi="Times New Roman" w:eastAsia="方正小标宋简体" w:cs="Times New Roman"/>
          <w:sz w:val="72"/>
          <w:szCs w:val="72"/>
        </w:rPr>
        <w:t>2024年度</w:t>
      </w:r>
    </w:p>
    <w:p w14:paraId="137893C6">
      <w:pPr>
        <w:pStyle w:val="14"/>
        <w:jc w:val="center"/>
        <w:rPr>
          <w:rFonts w:ascii="Times New Roman" w:hAnsi="Times New Roman" w:eastAsia="方正小标宋简体" w:cs="Times New Roman"/>
          <w:sz w:val="72"/>
          <w:szCs w:val="72"/>
        </w:rPr>
      </w:pPr>
      <w:r>
        <w:rPr>
          <w:rFonts w:hint="eastAsia" w:ascii="Times New Roman" w:hAnsi="Times New Roman" w:eastAsia="方正小标宋简体" w:cs="Times New Roman"/>
          <w:sz w:val="72"/>
          <w:szCs w:val="72"/>
          <w:lang w:val="en-US" w:eastAsia="zh-CN"/>
        </w:rPr>
        <w:t>怀化市文化馆</w:t>
      </w:r>
      <w:r>
        <w:rPr>
          <w:rFonts w:ascii="Times New Roman" w:hAnsi="Times New Roman" w:eastAsia="方正小标宋简体" w:cs="Times New Roman"/>
          <w:sz w:val="72"/>
          <w:szCs w:val="72"/>
        </w:rPr>
        <w:t>部门决算</w:t>
      </w:r>
    </w:p>
    <w:p w14:paraId="609AE725">
      <w:pPr>
        <w:pStyle w:val="14"/>
        <w:jc w:val="center"/>
        <w:rPr>
          <w:rFonts w:ascii="Times New Roman" w:hAnsi="Times New Roman" w:eastAsia="方正小标宋_GBK" w:cs="Times New Roman"/>
          <w:sz w:val="56"/>
          <w:szCs w:val="56"/>
        </w:rPr>
      </w:pPr>
    </w:p>
    <w:p w14:paraId="137700C0">
      <w:pPr>
        <w:pStyle w:val="14"/>
        <w:spacing w:line="600" w:lineRule="exact"/>
        <w:jc w:val="both"/>
        <w:rPr>
          <w:rFonts w:ascii="Times New Roman" w:hAnsi="Times New Roman" w:cs="Times New Roman"/>
          <w:b/>
          <w:sz w:val="36"/>
          <w:szCs w:val="28"/>
        </w:rPr>
        <w:sectPr>
          <w:footerReference r:id="rId3" w:type="default"/>
          <w:pgSz w:w="11906" w:h="16838"/>
          <w:pgMar w:top="1417" w:right="1588" w:bottom="1417" w:left="1588" w:header="851" w:footer="992" w:gutter="0"/>
          <w:pgNumType w:start="1"/>
          <w:cols w:space="425" w:num="1"/>
          <w:docGrid w:type="lines" w:linePitch="312" w:charSpace="0"/>
        </w:sectPr>
      </w:pPr>
    </w:p>
    <w:p w14:paraId="4346C49D">
      <w:pPr>
        <w:pStyle w:val="14"/>
        <w:spacing w:line="600" w:lineRule="exact"/>
        <w:jc w:val="both"/>
        <w:rPr>
          <w:rFonts w:ascii="Times New Roman" w:hAnsi="Times New Roman" w:cs="Times New Roman"/>
          <w:b/>
          <w:sz w:val="36"/>
          <w:szCs w:val="28"/>
        </w:rPr>
      </w:pPr>
    </w:p>
    <w:p w14:paraId="3F0860C7">
      <w:pPr>
        <w:pStyle w:val="14"/>
        <w:spacing w:line="600" w:lineRule="exact"/>
        <w:jc w:val="center"/>
        <w:rPr>
          <w:rFonts w:ascii="Times New Roman" w:hAnsi="Times New Roman" w:cs="Times New Roman"/>
          <w:bCs/>
          <w:sz w:val="36"/>
          <w:szCs w:val="28"/>
        </w:rPr>
      </w:pPr>
      <w:r>
        <w:rPr>
          <w:rFonts w:ascii="Times New Roman" w:hAnsi="Times New Roman" w:cs="Times New Roman"/>
          <w:bCs/>
          <w:sz w:val="36"/>
          <w:szCs w:val="28"/>
        </w:rPr>
        <w:t>目  录</w:t>
      </w:r>
    </w:p>
    <w:p w14:paraId="13B26A05">
      <w:pPr>
        <w:pStyle w:val="14"/>
        <w:spacing w:line="600" w:lineRule="exact"/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72347C16">
      <w:pPr>
        <w:pStyle w:val="14"/>
        <w:spacing w:afterLines="50" w:line="600" w:lineRule="exact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第一部分 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怀化市文化馆</w:t>
      </w:r>
      <w:r>
        <w:rPr>
          <w:rFonts w:ascii="Times New Roman" w:hAnsi="Times New Roman" w:cs="Times New Roman"/>
          <w:bCs/>
          <w:sz w:val="32"/>
          <w:szCs w:val="32"/>
        </w:rPr>
        <w:t>概况</w:t>
      </w:r>
    </w:p>
    <w:p w14:paraId="20B9F701">
      <w:pPr>
        <w:pStyle w:val="14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一、部门职责</w:t>
      </w:r>
    </w:p>
    <w:p w14:paraId="6819C35E">
      <w:pPr>
        <w:pStyle w:val="14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二、机构设置及决算单位构成</w:t>
      </w:r>
    </w:p>
    <w:p w14:paraId="1A85068B">
      <w:pPr>
        <w:pStyle w:val="14"/>
        <w:spacing w:beforeLines="50" w:afterLines="50" w:line="600" w:lineRule="exact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第二部分 部门决算表</w:t>
      </w:r>
    </w:p>
    <w:p w14:paraId="1CA384C6">
      <w:pPr>
        <w:pStyle w:val="14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一、收入支出决算总表</w:t>
      </w:r>
    </w:p>
    <w:p w14:paraId="19CD23E2">
      <w:pPr>
        <w:pStyle w:val="14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二、收入决算表</w:t>
      </w:r>
    </w:p>
    <w:p w14:paraId="2FED50FD">
      <w:pPr>
        <w:pStyle w:val="14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三、支出决算表</w:t>
      </w:r>
    </w:p>
    <w:p w14:paraId="6B655338">
      <w:pPr>
        <w:pStyle w:val="14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四、财政拨款收入支出决算总表</w:t>
      </w:r>
    </w:p>
    <w:p w14:paraId="2F5AEBF1">
      <w:pPr>
        <w:pStyle w:val="14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五、一般公共预算财政拨款支出决算表</w:t>
      </w:r>
    </w:p>
    <w:p w14:paraId="56218B13">
      <w:pPr>
        <w:pStyle w:val="14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六、一般公共预算财政拨款基本支出决算明细表</w:t>
      </w:r>
    </w:p>
    <w:p w14:paraId="27B97811">
      <w:pPr>
        <w:pStyle w:val="14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七、政府性基金预算财政拨款收入支出决算表</w:t>
      </w:r>
    </w:p>
    <w:p w14:paraId="78F25067">
      <w:pPr>
        <w:pStyle w:val="14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八、国有资本经营预算财政拨款支出决算表</w:t>
      </w:r>
    </w:p>
    <w:p w14:paraId="179883FF">
      <w:pPr>
        <w:pStyle w:val="14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九、财政拨款“三公”经费支出决算表</w:t>
      </w:r>
    </w:p>
    <w:p w14:paraId="65653EA6">
      <w:pPr>
        <w:pStyle w:val="14"/>
        <w:spacing w:beforeLines="50" w:afterLines="50" w:line="600" w:lineRule="exact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第三部分 部门决算情况说明</w:t>
      </w:r>
    </w:p>
    <w:p w14:paraId="79B14457">
      <w:pPr>
        <w:pStyle w:val="14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一、收入支出决算总体情况说明</w:t>
      </w:r>
    </w:p>
    <w:p w14:paraId="5493A4EF">
      <w:pPr>
        <w:spacing w:line="60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二、收入决算情况说明</w:t>
      </w:r>
    </w:p>
    <w:p w14:paraId="1E782D3B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三、支出决算情况说明</w:t>
      </w:r>
    </w:p>
    <w:p w14:paraId="75E8A250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四、财政拨款收入支出决算总体情况说明</w:t>
      </w:r>
    </w:p>
    <w:p w14:paraId="41586883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五、一般公共预算财政拨款支出决算情况说明</w:t>
      </w:r>
    </w:p>
    <w:p w14:paraId="7AE664B1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sectPr>
          <w:footerReference r:id="rId4" w:type="default"/>
          <w:pgSz w:w="11906" w:h="16838"/>
          <w:pgMar w:top="1417" w:right="1588" w:bottom="1417" w:left="1588" w:header="851" w:footer="992" w:gutter="0"/>
          <w:pgNumType w:start="1"/>
          <w:cols w:space="425" w:num="1"/>
          <w:docGrid w:type="lines" w:linePitch="312" w:charSpace="0"/>
        </w:sectPr>
      </w:pPr>
    </w:p>
    <w:p w14:paraId="799F54E8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六、一般公共预算财政拨款基本支出决算情况说明</w:t>
      </w:r>
    </w:p>
    <w:p w14:paraId="3EC9EFD3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七、财政拨款“三公”经费支出决算情况说明</w:t>
      </w:r>
    </w:p>
    <w:p w14:paraId="6AD7EC92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八、政府性基金预算收入支出决算情况</w:t>
      </w:r>
    </w:p>
    <w:p w14:paraId="479B83C0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九、关于机关运行经费支出说明</w:t>
      </w:r>
    </w:p>
    <w:p w14:paraId="12FB0557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十、一般性支出情况说明</w:t>
      </w:r>
    </w:p>
    <w:p w14:paraId="63AF7373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十一、关于政府采购支出说明</w:t>
      </w:r>
    </w:p>
    <w:p w14:paraId="2685CBDE">
      <w:pPr>
        <w:pStyle w:val="14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十二、关于国有资产占用情况说明</w:t>
      </w:r>
    </w:p>
    <w:p w14:paraId="0E53C430">
      <w:pPr>
        <w:pStyle w:val="14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十三、关于2024年度预算绩效管理情况的说明</w:t>
      </w:r>
    </w:p>
    <w:p w14:paraId="7FB86D71">
      <w:pPr>
        <w:pStyle w:val="14"/>
        <w:spacing w:beforeLines="50" w:afterLines="50" w:line="600" w:lineRule="exact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第四部分 名词解释</w:t>
      </w:r>
    </w:p>
    <w:p w14:paraId="59813B7C">
      <w:pPr>
        <w:pStyle w:val="14"/>
        <w:spacing w:beforeLines="50" w:afterLines="50" w:line="600" w:lineRule="exact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第五部分 附件</w:t>
      </w:r>
    </w:p>
    <w:p w14:paraId="5AFF28C3">
      <w:pPr>
        <w:pStyle w:val="14"/>
        <w:spacing w:line="600" w:lineRule="exact"/>
        <w:rPr>
          <w:rFonts w:ascii="Times New Roman" w:hAnsi="Times New Roman" w:cs="Times New Roman"/>
          <w:bCs/>
          <w:sz w:val="28"/>
          <w:szCs w:val="28"/>
        </w:rPr>
      </w:pPr>
    </w:p>
    <w:p w14:paraId="11FBCD86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285CD0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6DC35C19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0948D15E">
      <w:pPr>
        <w:pStyle w:val="8"/>
        <w:rPr>
          <w:rFonts w:ascii="Times New Roman" w:hAnsi="Times New Roman" w:cs="Times New Roman"/>
        </w:rPr>
        <w:sectPr>
          <w:footerReference r:id="rId5" w:type="default"/>
          <w:pgSz w:w="11906" w:h="16838"/>
          <w:pgMar w:top="1417" w:right="1588" w:bottom="1417" w:left="1588" w:header="851" w:footer="992" w:gutter="0"/>
          <w:pgNumType w:start="1"/>
          <w:cols w:space="425" w:num="1"/>
          <w:docGrid w:type="lines" w:linePitch="312" w:charSpace="0"/>
        </w:sectPr>
      </w:pPr>
    </w:p>
    <w:p w14:paraId="5ADC8BB2">
      <w:pPr>
        <w:rPr>
          <w:rFonts w:ascii="Times New Roman" w:hAnsi="Times New Roman" w:eastAsia="方正小标宋_GBK" w:cs="Times New Roman"/>
          <w:sz w:val="72"/>
          <w:szCs w:val="72"/>
        </w:rPr>
      </w:pPr>
    </w:p>
    <w:p w14:paraId="3E1FCD6D">
      <w:pPr>
        <w:pStyle w:val="14"/>
        <w:spacing w:line="360" w:lineRule="auto"/>
        <w:jc w:val="center"/>
        <w:rPr>
          <w:rFonts w:ascii="Times New Roman" w:hAnsi="Times New Roman" w:eastAsia="方正小标宋_GBK" w:cs="Times New Roman"/>
          <w:sz w:val="52"/>
          <w:szCs w:val="52"/>
        </w:rPr>
      </w:pPr>
      <w:r>
        <w:rPr>
          <w:rFonts w:ascii="Times New Roman" w:hAnsi="Times New Roman" w:eastAsia="方正小标宋_GBK" w:cs="Times New Roman"/>
          <w:sz w:val="52"/>
          <w:szCs w:val="52"/>
        </w:rPr>
        <w:t>第一部分</w:t>
      </w:r>
    </w:p>
    <w:p w14:paraId="5CF44BA9">
      <w:pPr>
        <w:pStyle w:val="14"/>
        <w:spacing w:line="360" w:lineRule="auto"/>
        <w:jc w:val="center"/>
        <w:rPr>
          <w:rFonts w:ascii="Times New Roman" w:hAnsi="Times New Roman" w:eastAsia="方正小标宋_GBK" w:cs="Times New Roman"/>
          <w:sz w:val="52"/>
          <w:szCs w:val="52"/>
        </w:rPr>
      </w:pPr>
      <w:r>
        <w:rPr>
          <w:rFonts w:hint="eastAsia" w:ascii="Times New Roman" w:hAnsi="Times New Roman" w:eastAsia="方正小标宋_GBK" w:cs="Times New Roman"/>
          <w:sz w:val="52"/>
          <w:szCs w:val="52"/>
          <w:lang w:val="en-US" w:eastAsia="zh-CN"/>
        </w:rPr>
        <w:t>怀化市文化馆</w:t>
      </w:r>
      <w:r>
        <w:rPr>
          <w:rFonts w:ascii="Times New Roman" w:hAnsi="Times New Roman" w:eastAsia="方正小标宋_GBK" w:cs="Times New Roman"/>
          <w:sz w:val="52"/>
          <w:szCs w:val="52"/>
        </w:rPr>
        <w:t>概况</w:t>
      </w:r>
    </w:p>
    <w:p w14:paraId="4254B27C">
      <w:pPr>
        <w:pStyle w:val="4"/>
        <w:ind w:left="0" w:leftChars="0" w:firstLine="0" w:firstLineChars="0"/>
        <w:rPr>
          <w:rFonts w:ascii="Times New Roman" w:hAnsi="Times New Roman" w:cs="Times New Roman"/>
        </w:rPr>
      </w:pPr>
    </w:p>
    <w:p w14:paraId="1D6553B1">
      <w:pPr>
        <w:pStyle w:val="15"/>
        <w:spacing w:line="600" w:lineRule="exact"/>
        <w:ind w:firstLine="0" w:firstLineChars="0"/>
        <w:jc w:val="left"/>
        <w:rPr>
          <w:rFonts w:hint="eastAsia" w:ascii="Times New Roman" w:hAnsi="Times New Roman" w:eastAsia="黑体" w:cs="Times New Roman"/>
          <w:sz w:val="32"/>
          <w:szCs w:val="32"/>
        </w:rPr>
      </w:pPr>
    </w:p>
    <w:p w14:paraId="46B4921D">
      <w:pPr>
        <w:pStyle w:val="15"/>
        <w:spacing w:line="600" w:lineRule="exact"/>
        <w:ind w:firstLine="0" w:firstLineChars="0"/>
        <w:jc w:val="left"/>
        <w:rPr>
          <w:rFonts w:hint="eastAsia" w:ascii="Times New Roman" w:hAnsi="Times New Roman" w:eastAsia="黑体" w:cs="Times New Roman"/>
          <w:sz w:val="32"/>
          <w:szCs w:val="32"/>
        </w:rPr>
      </w:pPr>
    </w:p>
    <w:p w14:paraId="69E0B737">
      <w:pPr>
        <w:pStyle w:val="15"/>
        <w:spacing w:line="600" w:lineRule="exact"/>
        <w:ind w:firstLine="0" w:firstLineChars="0"/>
        <w:jc w:val="left"/>
        <w:rPr>
          <w:rFonts w:hint="eastAsia" w:ascii="Times New Roman" w:hAnsi="Times New Roman" w:eastAsia="黑体" w:cs="Times New Roman"/>
          <w:sz w:val="32"/>
          <w:szCs w:val="32"/>
        </w:rPr>
      </w:pPr>
    </w:p>
    <w:p w14:paraId="64C84162">
      <w:pPr>
        <w:pStyle w:val="15"/>
        <w:spacing w:line="600" w:lineRule="exact"/>
        <w:ind w:firstLine="0" w:firstLineChars="0"/>
        <w:jc w:val="left"/>
        <w:rPr>
          <w:rFonts w:hint="eastAsia" w:ascii="Times New Roman" w:hAnsi="Times New Roman" w:eastAsia="黑体" w:cs="Times New Roman"/>
          <w:sz w:val="32"/>
          <w:szCs w:val="32"/>
        </w:rPr>
      </w:pPr>
    </w:p>
    <w:p w14:paraId="4BC45E92">
      <w:pPr>
        <w:pStyle w:val="15"/>
        <w:spacing w:line="600" w:lineRule="exact"/>
        <w:ind w:firstLine="0" w:firstLineChars="0"/>
        <w:jc w:val="left"/>
        <w:rPr>
          <w:rFonts w:hint="eastAsia" w:ascii="Times New Roman" w:hAnsi="Times New Roman" w:eastAsia="黑体" w:cs="Times New Roman"/>
          <w:sz w:val="32"/>
          <w:szCs w:val="32"/>
        </w:rPr>
      </w:pPr>
    </w:p>
    <w:p w14:paraId="53DE6A5F">
      <w:pPr>
        <w:pStyle w:val="15"/>
        <w:spacing w:line="600" w:lineRule="exact"/>
        <w:ind w:firstLine="0" w:firstLineChars="0"/>
        <w:jc w:val="left"/>
        <w:rPr>
          <w:rFonts w:hint="eastAsia" w:ascii="Times New Roman" w:hAnsi="Times New Roman" w:eastAsia="黑体" w:cs="Times New Roman"/>
          <w:sz w:val="32"/>
          <w:szCs w:val="32"/>
        </w:rPr>
      </w:pPr>
    </w:p>
    <w:p w14:paraId="7ED91A61">
      <w:pPr>
        <w:pStyle w:val="15"/>
        <w:spacing w:line="600" w:lineRule="exact"/>
        <w:ind w:firstLine="0" w:firstLineChars="0"/>
        <w:jc w:val="left"/>
        <w:rPr>
          <w:rFonts w:hint="eastAsia" w:ascii="Times New Roman" w:hAnsi="Times New Roman" w:eastAsia="黑体" w:cs="Times New Roman"/>
          <w:sz w:val="32"/>
          <w:szCs w:val="32"/>
        </w:rPr>
      </w:pPr>
    </w:p>
    <w:p w14:paraId="25637AA7">
      <w:pPr>
        <w:pStyle w:val="15"/>
        <w:spacing w:line="600" w:lineRule="exact"/>
        <w:ind w:firstLine="0" w:firstLineChars="0"/>
        <w:jc w:val="left"/>
        <w:rPr>
          <w:rFonts w:hint="eastAsia" w:ascii="Times New Roman" w:hAnsi="Times New Roman" w:eastAsia="黑体" w:cs="Times New Roman"/>
          <w:sz w:val="32"/>
          <w:szCs w:val="32"/>
        </w:rPr>
      </w:pPr>
    </w:p>
    <w:p w14:paraId="3BF89825">
      <w:pPr>
        <w:pStyle w:val="15"/>
        <w:spacing w:line="600" w:lineRule="exact"/>
        <w:ind w:firstLine="0" w:firstLineChars="0"/>
        <w:jc w:val="left"/>
        <w:rPr>
          <w:rFonts w:hint="eastAsia" w:ascii="Times New Roman" w:hAnsi="Times New Roman" w:eastAsia="黑体" w:cs="Times New Roman"/>
          <w:sz w:val="32"/>
          <w:szCs w:val="32"/>
        </w:rPr>
      </w:pPr>
    </w:p>
    <w:p w14:paraId="6A0C03C5">
      <w:pPr>
        <w:pStyle w:val="15"/>
        <w:spacing w:line="600" w:lineRule="exact"/>
        <w:ind w:firstLine="0" w:firstLineChars="0"/>
        <w:jc w:val="left"/>
        <w:rPr>
          <w:rFonts w:hint="eastAsia" w:ascii="Times New Roman" w:hAnsi="Times New Roman" w:eastAsia="黑体" w:cs="Times New Roman"/>
          <w:sz w:val="32"/>
          <w:szCs w:val="32"/>
        </w:rPr>
      </w:pPr>
    </w:p>
    <w:p w14:paraId="7B0C2BD5">
      <w:pPr>
        <w:pStyle w:val="15"/>
        <w:spacing w:line="600" w:lineRule="exact"/>
        <w:ind w:firstLine="0" w:firstLineChars="0"/>
        <w:jc w:val="left"/>
        <w:rPr>
          <w:rFonts w:hint="eastAsia" w:ascii="Times New Roman" w:hAnsi="Times New Roman" w:eastAsia="黑体" w:cs="Times New Roman"/>
          <w:sz w:val="32"/>
          <w:szCs w:val="32"/>
        </w:rPr>
      </w:pPr>
    </w:p>
    <w:p w14:paraId="08E25C8A">
      <w:pPr>
        <w:pStyle w:val="15"/>
        <w:spacing w:line="600" w:lineRule="exact"/>
        <w:ind w:firstLine="0" w:firstLineChars="0"/>
        <w:jc w:val="left"/>
        <w:rPr>
          <w:rFonts w:hint="eastAsia" w:ascii="Times New Roman" w:hAnsi="Times New Roman" w:eastAsia="黑体" w:cs="Times New Roman"/>
          <w:sz w:val="32"/>
          <w:szCs w:val="32"/>
        </w:rPr>
      </w:pPr>
    </w:p>
    <w:p w14:paraId="09B295EB">
      <w:pPr>
        <w:pStyle w:val="15"/>
        <w:spacing w:line="600" w:lineRule="exact"/>
        <w:ind w:firstLine="0" w:firstLineChars="0"/>
        <w:jc w:val="left"/>
        <w:rPr>
          <w:rFonts w:hint="eastAsia" w:ascii="Times New Roman" w:hAnsi="Times New Roman" w:eastAsia="黑体" w:cs="Times New Roman"/>
          <w:sz w:val="32"/>
          <w:szCs w:val="32"/>
        </w:rPr>
      </w:pPr>
    </w:p>
    <w:p w14:paraId="69A80F16">
      <w:pPr>
        <w:pStyle w:val="15"/>
        <w:spacing w:line="600" w:lineRule="exact"/>
        <w:ind w:firstLine="0" w:firstLineChars="0"/>
        <w:jc w:val="left"/>
        <w:rPr>
          <w:rFonts w:hint="eastAsia" w:ascii="Times New Roman" w:hAnsi="Times New Roman" w:eastAsia="黑体" w:cs="Times New Roman"/>
          <w:sz w:val="32"/>
          <w:szCs w:val="32"/>
        </w:rPr>
      </w:pPr>
    </w:p>
    <w:p w14:paraId="147495EF">
      <w:pPr>
        <w:pStyle w:val="15"/>
        <w:spacing w:line="600" w:lineRule="exact"/>
        <w:ind w:firstLine="0" w:firstLineChars="0"/>
        <w:jc w:val="left"/>
        <w:rPr>
          <w:rFonts w:hint="eastAsia" w:ascii="Times New Roman" w:hAnsi="Times New Roman" w:eastAsia="黑体" w:cs="Times New Roman"/>
          <w:sz w:val="32"/>
          <w:szCs w:val="32"/>
        </w:rPr>
      </w:pPr>
    </w:p>
    <w:p w14:paraId="7ED3D9E5">
      <w:pPr>
        <w:pStyle w:val="15"/>
        <w:spacing w:line="600" w:lineRule="exact"/>
        <w:ind w:firstLine="0" w:firstLineChars="0"/>
        <w:jc w:val="left"/>
        <w:rPr>
          <w:rFonts w:hint="eastAsia" w:ascii="Times New Roman" w:hAnsi="Times New Roman" w:eastAsia="黑体" w:cs="Times New Roman"/>
          <w:sz w:val="32"/>
          <w:szCs w:val="32"/>
        </w:rPr>
      </w:pPr>
    </w:p>
    <w:p w14:paraId="3EB27D7D">
      <w:pPr>
        <w:pStyle w:val="15"/>
        <w:spacing w:line="600" w:lineRule="exact"/>
        <w:ind w:firstLine="0" w:firstLineChars="0"/>
        <w:jc w:val="left"/>
        <w:rPr>
          <w:rFonts w:hint="eastAsia" w:ascii="Times New Roman" w:hAnsi="Times New Roman" w:eastAsia="黑体" w:cs="Times New Roman"/>
          <w:sz w:val="32"/>
          <w:szCs w:val="32"/>
        </w:rPr>
      </w:pPr>
    </w:p>
    <w:p w14:paraId="31E7135A">
      <w:pPr>
        <w:pStyle w:val="15"/>
        <w:spacing w:line="600" w:lineRule="exact"/>
        <w:ind w:firstLine="0" w:firstLineChars="0"/>
        <w:jc w:val="left"/>
        <w:rPr>
          <w:rFonts w:hint="eastAsia" w:ascii="Times New Roman" w:hAnsi="Times New Roman" w:eastAsia="黑体" w:cs="Times New Roman"/>
          <w:sz w:val="32"/>
          <w:szCs w:val="32"/>
        </w:rPr>
      </w:pPr>
    </w:p>
    <w:p w14:paraId="474816AE">
      <w:pPr>
        <w:pStyle w:val="15"/>
        <w:spacing w:line="600" w:lineRule="exact"/>
        <w:ind w:firstLine="0" w:firstLineChars="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一、</w:t>
      </w:r>
      <w:r>
        <w:rPr>
          <w:rFonts w:ascii="Times New Roman" w:hAnsi="Times New Roman" w:eastAsia="黑体" w:cs="Times New Roman"/>
          <w:sz w:val="32"/>
          <w:szCs w:val="32"/>
        </w:rPr>
        <w:t>部门职责</w:t>
      </w:r>
    </w:p>
    <w:p w14:paraId="7012A2AC">
      <w:pPr>
        <w:widowControl/>
        <w:spacing w:line="600" w:lineRule="exact"/>
        <w:ind w:firstLine="640" w:firstLineChars="200"/>
        <w:rPr>
          <w:rFonts w:hint="default" w:ascii="Times New Roman" w:hAnsi="Times New Roman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仿宋_GB2312"/>
          <w:bCs/>
          <w:kern w:val="0"/>
          <w:sz w:val="32"/>
          <w:szCs w:val="32"/>
          <w:lang w:val="en-US" w:eastAsia="zh-CN"/>
        </w:rPr>
        <w:t>1、负责承办市委、市政府、市委宣传部和市文体广新局交办的文化艺术活动等工作；负责策划、组织、开展各类群众性文化艺术活动。</w:t>
      </w:r>
    </w:p>
    <w:p w14:paraId="36100F13">
      <w:pPr>
        <w:widowControl/>
        <w:spacing w:line="600" w:lineRule="exact"/>
        <w:ind w:firstLine="640" w:firstLineChars="200"/>
        <w:rPr>
          <w:rFonts w:hint="default" w:ascii="Times New Roman" w:hAnsi="Times New Roman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仿宋_GB2312"/>
          <w:bCs/>
          <w:kern w:val="0"/>
          <w:sz w:val="32"/>
          <w:szCs w:val="32"/>
          <w:lang w:val="en-US" w:eastAsia="zh-CN"/>
        </w:rPr>
        <w:t>2、负责指导全市各县（市、区）文化馆、专业剧团、文化站业务工作及对其业务干部进行培训；负责辅导、培训基层群众文化艺术业务骨干，开展相关社会文化服务工作。</w:t>
      </w:r>
    </w:p>
    <w:p w14:paraId="632C92E5">
      <w:pPr>
        <w:widowControl/>
        <w:spacing w:line="600" w:lineRule="exact"/>
        <w:ind w:firstLine="640" w:firstLineChars="200"/>
        <w:rPr>
          <w:rFonts w:hint="default" w:ascii="Times New Roman" w:hAnsi="Times New Roman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仿宋_GB2312"/>
          <w:bCs/>
          <w:kern w:val="0"/>
          <w:sz w:val="32"/>
          <w:szCs w:val="32"/>
          <w:lang w:val="en-US" w:eastAsia="zh-CN"/>
        </w:rPr>
        <w:t>3、负责指导、开展各类群众文化艺术创作工作。</w:t>
      </w:r>
    </w:p>
    <w:p w14:paraId="15CAA6F7">
      <w:pPr>
        <w:widowControl/>
        <w:spacing w:line="600" w:lineRule="exact"/>
        <w:ind w:firstLine="640" w:firstLineChars="200"/>
        <w:rPr>
          <w:rFonts w:hint="default" w:ascii="Times New Roman" w:hAnsi="Times New Roman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仿宋_GB2312"/>
          <w:bCs/>
          <w:kern w:val="0"/>
          <w:sz w:val="32"/>
          <w:szCs w:val="32"/>
          <w:lang w:val="en-US" w:eastAsia="zh-CN"/>
        </w:rPr>
        <w:t>4、负责开展各艺术门类的培训工作和艺术教育工作。</w:t>
      </w:r>
    </w:p>
    <w:p w14:paraId="026D2922">
      <w:pPr>
        <w:widowControl/>
        <w:spacing w:line="600" w:lineRule="exact"/>
        <w:ind w:firstLine="640" w:firstLineChars="200"/>
        <w:rPr>
          <w:rFonts w:hint="default" w:ascii="Times New Roman" w:hAnsi="Times New Roman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仿宋_GB2312"/>
          <w:bCs/>
          <w:kern w:val="0"/>
          <w:sz w:val="32"/>
          <w:szCs w:val="32"/>
          <w:lang w:val="en-US" w:eastAsia="zh-CN"/>
        </w:rPr>
        <w:t>5、负责组织、开展艺术理论研究和学术探讨活动。</w:t>
      </w:r>
    </w:p>
    <w:p w14:paraId="79D31593">
      <w:pPr>
        <w:widowControl/>
        <w:spacing w:line="600" w:lineRule="exact"/>
        <w:ind w:firstLine="640" w:firstLineChars="200"/>
        <w:rPr>
          <w:rFonts w:hint="default" w:ascii="Times New Roman" w:hAnsi="Times New Roman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仿宋_GB2312"/>
          <w:bCs/>
          <w:kern w:val="0"/>
          <w:sz w:val="32"/>
          <w:szCs w:val="32"/>
          <w:lang w:val="en-US" w:eastAsia="zh-CN"/>
        </w:rPr>
        <w:t>6、完成主管部门交办的其他工作。</w:t>
      </w:r>
    </w:p>
    <w:p w14:paraId="1EC17090">
      <w:pPr>
        <w:widowControl/>
        <w:spacing w:line="600" w:lineRule="exact"/>
        <w:rPr>
          <w:rFonts w:ascii="Times New Roman" w:hAnsi="Times New Roman" w:eastAsia="黑体" w:cs="Times New Roman"/>
          <w:bCs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bCs/>
          <w:kern w:val="0"/>
          <w:sz w:val="32"/>
          <w:szCs w:val="32"/>
        </w:rPr>
        <w:t>二、机构设置及决算单位构成</w:t>
      </w:r>
    </w:p>
    <w:p w14:paraId="565A0B13">
      <w:pPr>
        <w:widowControl/>
        <w:spacing w:line="600" w:lineRule="exact"/>
        <w:ind w:firstLine="640" w:firstLineChars="200"/>
        <w:rPr>
          <w:rFonts w:hint="default" w:ascii="Times New Roman" w:hAnsi="Times New Roman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（一）内设机构设置。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怀化市文化馆</w:t>
      </w: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内设机构包括：</w:t>
      </w:r>
      <w:r>
        <w:rPr>
          <w:rFonts w:hint="default" w:ascii="Times New Roman" w:hAnsi="Times New Roman" w:eastAsia="仿宋_GB2312" w:cs="仿宋_GB2312"/>
          <w:bCs/>
          <w:kern w:val="0"/>
          <w:sz w:val="32"/>
          <w:szCs w:val="32"/>
          <w:lang w:val="en-US" w:eastAsia="zh-CN"/>
        </w:rPr>
        <w:t>艺术活动部、艺术创作部、文化艺术研究部、文化艺术拓展部、党群办（艺术培训部）、办公室（数字化部）六个部室。</w:t>
      </w:r>
    </w:p>
    <w:p w14:paraId="5C6EC6D9">
      <w:pPr>
        <w:widowControl/>
        <w:spacing w:line="600" w:lineRule="exact"/>
        <w:rPr>
          <w:rFonts w:ascii="Times New Roman" w:hAnsi="Times New Roman" w:eastAsia="仿宋_GB2312" w:cs="Times New Roman"/>
          <w:bCs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（二）决算单位构成。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怀化市文化馆</w:t>
      </w: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2024年部门决算汇总公开单位构成包括：</w:t>
      </w:r>
      <w:r>
        <w:rPr>
          <w:rFonts w:hint="default" w:ascii="Times New Roman" w:hAnsi="Times New Roman" w:eastAsia="仿宋_GB2312" w:cs="仿宋_GB2312"/>
          <w:bCs/>
          <w:kern w:val="0"/>
          <w:sz w:val="32"/>
          <w:szCs w:val="32"/>
          <w:lang w:val="en-US" w:eastAsia="zh-CN"/>
        </w:rPr>
        <w:t>怀化市</w:t>
      </w: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  <w:lang w:val="en-US" w:eastAsia="zh-CN"/>
        </w:rPr>
        <w:t>文化</w:t>
      </w:r>
      <w:r>
        <w:rPr>
          <w:rFonts w:hint="default" w:ascii="Times New Roman" w:hAnsi="Times New Roman" w:eastAsia="仿宋_GB2312" w:cs="仿宋_GB2312"/>
          <w:bCs/>
          <w:kern w:val="0"/>
          <w:sz w:val="32"/>
          <w:szCs w:val="32"/>
          <w:lang w:val="en-US" w:eastAsia="zh-CN"/>
        </w:rPr>
        <w:t>馆本级。</w:t>
      </w:r>
    </w:p>
    <w:p w14:paraId="72864103">
      <w:pPr>
        <w:jc w:val="left"/>
        <w:rPr>
          <w:rFonts w:ascii="Times New Roman" w:hAnsi="Times New Roman" w:eastAsia="仿宋_GB2312" w:cs="Times New Roman"/>
          <w:sz w:val="28"/>
          <w:szCs w:val="32"/>
        </w:rPr>
      </w:pPr>
    </w:p>
    <w:p w14:paraId="73D954B2">
      <w:pPr>
        <w:pStyle w:val="14"/>
        <w:jc w:val="center"/>
        <w:rPr>
          <w:rFonts w:hint="eastAsia" w:ascii="方正小标宋_GBK" w:hAnsi="方正小标宋_GBK" w:eastAsia="方正小标宋_GBK" w:cs="方正小标宋_GBK"/>
          <w:sz w:val="84"/>
          <w:szCs w:val="84"/>
        </w:rPr>
      </w:pPr>
    </w:p>
    <w:p w14:paraId="68629F56">
      <w:pPr>
        <w:pStyle w:val="14"/>
        <w:spacing w:line="360" w:lineRule="auto"/>
        <w:jc w:val="center"/>
        <w:rPr>
          <w:rFonts w:hint="eastAsia" w:ascii="Times New Roman" w:hAnsi="Times New Roman" w:eastAsia="方正小标宋_GBK" w:cs="Times New Roman"/>
          <w:sz w:val="52"/>
          <w:szCs w:val="52"/>
          <w:lang w:val="en-US" w:eastAsia="zh-CN"/>
        </w:rPr>
      </w:pPr>
    </w:p>
    <w:p w14:paraId="573223D7">
      <w:pPr>
        <w:pStyle w:val="14"/>
        <w:spacing w:line="360" w:lineRule="auto"/>
        <w:jc w:val="center"/>
        <w:rPr>
          <w:rFonts w:hint="eastAsia" w:ascii="Times New Roman" w:hAnsi="Times New Roman" w:eastAsia="方正小标宋_GBK" w:cs="Times New Roman"/>
          <w:sz w:val="52"/>
          <w:szCs w:val="52"/>
          <w:lang w:val="en-US" w:eastAsia="zh-CN"/>
        </w:rPr>
      </w:pPr>
    </w:p>
    <w:p w14:paraId="281EC047">
      <w:pPr>
        <w:pStyle w:val="14"/>
        <w:spacing w:line="360" w:lineRule="auto"/>
        <w:jc w:val="center"/>
        <w:rPr>
          <w:rFonts w:hint="eastAsia" w:ascii="Times New Roman" w:hAnsi="Times New Roman" w:eastAsia="方正小标宋_GBK" w:cs="Times New Roman"/>
          <w:sz w:val="52"/>
          <w:szCs w:val="52"/>
          <w:lang w:val="en-US" w:eastAsia="zh-CN"/>
        </w:rPr>
      </w:pPr>
    </w:p>
    <w:p w14:paraId="2A5F8CA7">
      <w:pPr>
        <w:pStyle w:val="14"/>
        <w:spacing w:line="360" w:lineRule="auto"/>
        <w:jc w:val="center"/>
        <w:rPr>
          <w:rFonts w:hint="eastAsia" w:ascii="Times New Roman" w:hAnsi="Times New Roman" w:eastAsia="方正小标宋_GBK" w:cs="Times New Roman"/>
          <w:sz w:val="52"/>
          <w:szCs w:val="52"/>
          <w:lang w:val="en-US" w:eastAsia="zh-CN"/>
        </w:rPr>
      </w:pPr>
    </w:p>
    <w:p w14:paraId="4E78D0C7">
      <w:pPr>
        <w:pStyle w:val="14"/>
        <w:spacing w:line="360" w:lineRule="auto"/>
        <w:jc w:val="center"/>
        <w:rPr>
          <w:rFonts w:hint="eastAsia" w:ascii="Times New Roman" w:hAnsi="Times New Roman" w:eastAsia="方正小标宋_GBK" w:cs="Times New Roman"/>
          <w:sz w:val="52"/>
          <w:szCs w:val="52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52"/>
          <w:szCs w:val="52"/>
          <w:lang w:val="en-US" w:eastAsia="zh-CN"/>
        </w:rPr>
        <w:t>第二部分</w:t>
      </w:r>
    </w:p>
    <w:p w14:paraId="619992F8">
      <w:pPr>
        <w:pStyle w:val="14"/>
        <w:spacing w:line="360" w:lineRule="auto"/>
        <w:jc w:val="center"/>
        <w:rPr>
          <w:rFonts w:hint="eastAsia" w:ascii="Times New Roman" w:hAnsi="Times New Roman" w:eastAsia="方正小标宋_GBK" w:cs="Times New Roman"/>
          <w:sz w:val="52"/>
          <w:szCs w:val="52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52"/>
          <w:szCs w:val="52"/>
          <w:lang w:val="en-US" w:eastAsia="zh-CN"/>
        </w:rPr>
        <w:t>部门决算表</w:t>
      </w:r>
    </w:p>
    <w:p w14:paraId="010417E0">
      <w:pPr>
        <w:pStyle w:val="14"/>
        <w:spacing w:line="360" w:lineRule="auto"/>
        <w:jc w:val="center"/>
        <w:rPr>
          <w:rFonts w:hint="eastAsia" w:ascii="Times New Roman" w:hAnsi="Times New Roman" w:eastAsia="方正小标宋_GBK" w:cs="Times New Roman"/>
          <w:sz w:val="52"/>
          <w:szCs w:val="52"/>
          <w:lang w:val="en-US" w:eastAsia="zh-CN"/>
        </w:rPr>
      </w:pPr>
    </w:p>
    <w:p w14:paraId="65FD3451">
      <w:pPr>
        <w:pStyle w:val="14"/>
        <w:spacing w:line="360" w:lineRule="auto"/>
        <w:jc w:val="center"/>
        <w:rPr>
          <w:rFonts w:ascii="Times New Roman" w:hAnsi="Times New Roman" w:cs="Times New Roman"/>
        </w:rPr>
        <w:sectPr>
          <w:footerReference r:id="rId6" w:type="default"/>
          <w:pgSz w:w="11906" w:h="16838"/>
          <w:pgMar w:top="1417" w:right="1588" w:bottom="1417" w:left="1588" w:header="851" w:footer="992" w:gutter="0"/>
          <w:pgNumType w:start="1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方正小标宋_GBK" w:cs="Times New Roman"/>
          <w:sz w:val="52"/>
          <w:szCs w:val="52"/>
          <w:lang w:val="en-US" w:eastAsia="zh-CN"/>
        </w:rPr>
        <w:t>见附件</w:t>
      </w:r>
    </w:p>
    <w:p w14:paraId="6D1E8A50">
      <w:pPr>
        <w:pStyle w:val="14"/>
        <w:rPr>
          <w:rFonts w:ascii="Times New Roman" w:hAnsi="Times New Roman" w:cs="Times New Roman"/>
          <w:sz w:val="72"/>
          <w:szCs w:val="72"/>
        </w:rPr>
      </w:pPr>
    </w:p>
    <w:p w14:paraId="059C5BB7">
      <w:pPr>
        <w:pStyle w:val="14"/>
        <w:rPr>
          <w:rFonts w:ascii="Times New Roman" w:hAnsi="Times New Roman" w:cs="Times New Roman"/>
          <w:sz w:val="72"/>
          <w:szCs w:val="72"/>
        </w:rPr>
      </w:pPr>
    </w:p>
    <w:p w14:paraId="3E2CF40F">
      <w:pPr>
        <w:pStyle w:val="14"/>
        <w:rPr>
          <w:rFonts w:ascii="Times New Roman" w:hAnsi="Times New Roman" w:cs="Times New Roman"/>
          <w:sz w:val="72"/>
          <w:szCs w:val="72"/>
        </w:rPr>
      </w:pPr>
    </w:p>
    <w:p w14:paraId="4A5B5506">
      <w:pPr>
        <w:pStyle w:val="14"/>
        <w:jc w:val="center"/>
        <w:rPr>
          <w:rFonts w:ascii="Times New Roman" w:hAnsi="Times New Roman" w:cs="Times New Roman"/>
          <w:sz w:val="72"/>
          <w:szCs w:val="72"/>
        </w:rPr>
      </w:pPr>
    </w:p>
    <w:p w14:paraId="5F0D8BE2">
      <w:pPr>
        <w:pStyle w:val="14"/>
        <w:jc w:val="center"/>
        <w:rPr>
          <w:rFonts w:ascii="Times New Roman" w:hAnsi="Times New Roman" w:eastAsia="方正小标宋_GBK" w:cs="Times New Roman"/>
          <w:sz w:val="72"/>
          <w:szCs w:val="72"/>
        </w:rPr>
      </w:pPr>
    </w:p>
    <w:p w14:paraId="77928F31">
      <w:pPr>
        <w:pStyle w:val="14"/>
        <w:spacing w:line="360" w:lineRule="auto"/>
        <w:ind w:firstLine="2600" w:firstLineChars="500"/>
        <w:jc w:val="both"/>
        <w:rPr>
          <w:rFonts w:ascii="Times New Roman" w:hAnsi="Times New Roman" w:eastAsia="方正小标宋_GBK" w:cs="Times New Roman"/>
          <w:sz w:val="52"/>
          <w:szCs w:val="52"/>
        </w:rPr>
      </w:pPr>
      <w:r>
        <w:rPr>
          <w:rFonts w:ascii="Times New Roman" w:hAnsi="Times New Roman" w:eastAsia="方正小标宋_GBK" w:cs="Times New Roman"/>
          <w:sz w:val="52"/>
          <w:szCs w:val="52"/>
        </w:rPr>
        <w:t>第三部分</w:t>
      </w:r>
    </w:p>
    <w:p w14:paraId="2769FA12">
      <w:pPr>
        <w:pStyle w:val="14"/>
        <w:spacing w:line="360" w:lineRule="auto"/>
        <w:jc w:val="center"/>
        <w:rPr>
          <w:rFonts w:ascii="Times New Roman" w:hAnsi="Times New Roman" w:eastAsia="方正小标宋_GBK" w:cs="Times New Roman"/>
          <w:sz w:val="52"/>
          <w:szCs w:val="52"/>
        </w:rPr>
      </w:pPr>
      <w:r>
        <w:rPr>
          <w:rFonts w:ascii="Times New Roman" w:hAnsi="Times New Roman" w:eastAsia="方正小标宋_GBK" w:cs="Times New Roman"/>
          <w:sz w:val="52"/>
          <w:szCs w:val="52"/>
        </w:rPr>
        <w:t>2024年度部门决算情况说明</w:t>
      </w:r>
    </w:p>
    <w:p w14:paraId="36AB387D">
      <w:pPr>
        <w:widowControl/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方正小标宋_GBK" w:cs="Times New Roman"/>
          <w:sz w:val="70"/>
          <w:szCs w:val="70"/>
        </w:rPr>
        <w:br w:type="page"/>
      </w:r>
    </w:p>
    <w:p w14:paraId="33EB0A8E">
      <w:pPr>
        <w:pStyle w:val="14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一、收入支出决算总体情况说明</w:t>
      </w:r>
    </w:p>
    <w:p w14:paraId="03C5860A">
      <w:pPr>
        <w:pStyle w:val="14"/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2024年度收、支总计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780.77</w:t>
      </w:r>
      <w:r>
        <w:rPr>
          <w:rFonts w:ascii="Times New Roman" w:hAnsi="Times New Roman" w:eastAsia="仿宋_GB2312" w:cs="Times New Roman"/>
          <w:sz w:val="32"/>
          <w:szCs w:val="32"/>
        </w:rPr>
        <w:t>万元。与上年相比，增加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45.97</w:t>
      </w:r>
      <w:r>
        <w:rPr>
          <w:rFonts w:ascii="Times New Roman" w:hAnsi="Times New Roman" w:eastAsia="仿宋_GB2312" w:cs="Times New Roman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6.26</w:t>
      </w:r>
      <w:r>
        <w:rPr>
          <w:rFonts w:ascii="Times New Roman" w:hAnsi="Times New Roman" w:eastAsia="仿宋_GB2312" w:cs="Times New Roman"/>
          <w:sz w:val="32"/>
          <w:szCs w:val="32"/>
        </w:rPr>
        <w:t>%，主要是因为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商品和服务支出较上年增加。</w:t>
      </w:r>
    </w:p>
    <w:p w14:paraId="64931541">
      <w:pPr>
        <w:pStyle w:val="14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二、收入决算情况说明</w:t>
      </w:r>
    </w:p>
    <w:p w14:paraId="23317CC2">
      <w:pPr>
        <w:pStyle w:val="14"/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2024年度收入合计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780.77</w:t>
      </w:r>
      <w:r>
        <w:rPr>
          <w:rFonts w:ascii="Times New Roman" w:hAnsi="Times New Roman" w:eastAsia="仿宋_GB2312" w:cs="Times New Roman"/>
          <w:sz w:val="32"/>
          <w:szCs w:val="32"/>
        </w:rPr>
        <w:t>万元，其中：财政拨款收入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780.77</w:t>
      </w:r>
      <w:r>
        <w:rPr>
          <w:rFonts w:ascii="Times New Roman" w:hAnsi="Times New Roman" w:eastAsia="仿宋_GB2312" w:cs="Times New Roman"/>
          <w:sz w:val="32"/>
          <w:szCs w:val="32"/>
        </w:rPr>
        <w:t>万元，占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100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1994B68B">
      <w:pPr>
        <w:pStyle w:val="14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三、支出决算情况说明</w:t>
      </w:r>
    </w:p>
    <w:p w14:paraId="040D2B80">
      <w:pPr>
        <w:pStyle w:val="14"/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2024年度支出合计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780.77</w:t>
      </w:r>
      <w:r>
        <w:rPr>
          <w:rFonts w:ascii="Times New Roman" w:hAnsi="Times New Roman" w:eastAsia="仿宋_GB2312" w:cs="Times New Roman"/>
          <w:sz w:val="32"/>
          <w:szCs w:val="32"/>
        </w:rPr>
        <w:t>万元，其中：基本支出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576.27</w:t>
      </w:r>
      <w:r>
        <w:rPr>
          <w:rFonts w:ascii="Times New Roman" w:hAnsi="Times New Roman" w:eastAsia="仿宋_GB2312" w:cs="Times New Roman"/>
          <w:sz w:val="32"/>
          <w:szCs w:val="32"/>
        </w:rPr>
        <w:t>万元，占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73.81</w:t>
      </w:r>
      <w:r>
        <w:rPr>
          <w:rFonts w:ascii="Times New Roman" w:hAnsi="Times New Roman" w:eastAsia="仿宋_GB2312" w:cs="Times New Roman"/>
          <w:sz w:val="32"/>
          <w:szCs w:val="32"/>
        </w:rPr>
        <w:t>%；项目支出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204.5</w:t>
      </w:r>
      <w:r>
        <w:rPr>
          <w:rFonts w:ascii="Times New Roman" w:hAnsi="Times New Roman" w:eastAsia="仿宋_GB2312" w:cs="Times New Roman"/>
          <w:sz w:val="32"/>
          <w:szCs w:val="32"/>
        </w:rPr>
        <w:t>万元，占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26.19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44367303">
      <w:pPr>
        <w:pStyle w:val="14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四、财政拨款收入支出决算总体情况说明</w:t>
      </w:r>
    </w:p>
    <w:p w14:paraId="05C1DB37">
      <w:pPr>
        <w:pStyle w:val="14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2024年度财政拨款收、支总计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780.77</w:t>
      </w:r>
      <w:r>
        <w:rPr>
          <w:rFonts w:ascii="Times New Roman" w:hAnsi="Times New Roman" w:eastAsia="仿宋_GB2312" w:cs="Times New Roman"/>
          <w:sz w:val="32"/>
          <w:szCs w:val="32"/>
        </w:rPr>
        <w:t>万元，与上年相比，增加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45.97</w:t>
      </w:r>
      <w:r>
        <w:rPr>
          <w:rFonts w:ascii="Times New Roman" w:hAnsi="Times New Roman" w:eastAsia="仿宋_GB2312" w:cs="Times New Roman"/>
          <w:sz w:val="32"/>
          <w:szCs w:val="32"/>
        </w:rPr>
        <w:t>万元,增长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6.26</w:t>
      </w:r>
      <w:r>
        <w:rPr>
          <w:rFonts w:ascii="Times New Roman" w:hAnsi="Times New Roman" w:eastAsia="仿宋_GB2312" w:cs="Times New Roman"/>
          <w:sz w:val="32"/>
          <w:szCs w:val="32"/>
        </w:rPr>
        <w:t>%，主要是因为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基本支出较上年增加。</w:t>
      </w:r>
    </w:p>
    <w:p w14:paraId="2A087136">
      <w:pPr>
        <w:pStyle w:val="14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五、一般公共预算财政拨款支出决算情况说明</w:t>
      </w:r>
    </w:p>
    <w:p w14:paraId="23B68C89">
      <w:pPr>
        <w:pStyle w:val="14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楷体_GB2312" w:cs="Times New Roman"/>
          <w:b/>
          <w:sz w:val="32"/>
          <w:szCs w:val="32"/>
        </w:rPr>
      </w:pPr>
      <w:r>
        <w:rPr>
          <w:rFonts w:ascii="Times New Roman" w:hAnsi="Times New Roman" w:eastAsia="楷体_GB2312" w:cs="Times New Roman"/>
          <w:b/>
          <w:sz w:val="32"/>
          <w:szCs w:val="32"/>
        </w:rPr>
        <w:t>（一）一般公共预算财政拨款支出决算总体情况</w:t>
      </w:r>
    </w:p>
    <w:p w14:paraId="1A05611C">
      <w:pPr>
        <w:snapToGrid w:val="0"/>
        <w:spacing w:line="520" w:lineRule="exact"/>
        <w:ind w:firstLine="640" w:firstLineChars="200"/>
        <w:rPr>
          <w:rFonts w:hint="eastAsia" w:ascii="仿宋_GB2312" w:hAnsi="仿宋" w:eastAsia="仿宋_GB2312" w:cs="仿宋_GB2312"/>
          <w:color w:val="0000FF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2024年度财政拨款支出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780.77</w:t>
      </w:r>
      <w:r>
        <w:rPr>
          <w:rFonts w:ascii="Times New Roman" w:hAnsi="Times New Roman" w:eastAsia="仿宋_GB2312" w:cs="Times New Roman"/>
          <w:sz w:val="32"/>
          <w:szCs w:val="32"/>
        </w:rPr>
        <w:t>万元，占本年支出合计的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100</w:t>
      </w:r>
      <w:r>
        <w:rPr>
          <w:rFonts w:ascii="Times New Roman" w:hAnsi="Times New Roman" w:eastAsia="仿宋_GB2312" w:cs="Times New Roman"/>
          <w:sz w:val="32"/>
          <w:szCs w:val="32"/>
        </w:rPr>
        <w:t>%，与上年相比，财政拨款支出增加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45.97</w:t>
      </w:r>
      <w:r>
        <w:rPr>
          <w:rFonts w:ascii="Times New Roman" w:hAnsi="Times New Roman" w:eastAsia="仿宋_GB2312" w:cs="Times New Roman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26.19</w:t>
      </w:r>
      <w:r>
        <w:rPr>
          <w:rFonts w:ascii="Times New Roman" w:hAnsi="Times New Roman" w:eastAsia="仿宋_GB2312" w:cs="Times New Roman"/>
          <w:sz w:val="32"/>
          <w:szCs w:val="32"/>
        </w:rPr>
        <w:t>%，主要是因为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文化旅游体育与传媒支出</w:t>
      </w:r>
      <w:r>
        <w:rPr>
          <w:rFonts w:ascii="Times New Roman" w:hAnsi="Times New Roman" w:eastAsia="仿宋_GB2312" w:cs="Times New Roman"/>
          <w:sz w:val="32"/>
          <w:szCs w:val="32"/>
        </w:rPr>
        <w:t>（类）支出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较上年增加。</w:t>
      </w:r>
      <w:bookmarkStart w:id="0" w:name="_GoBack"/>
      <w:bookmarkEnd w:id="0"/>
    </w:p>
    <w:p w14:paraId="6B7DFEE3">
      <w:pPr>
        <w:pStyle w:val="14"/>
        <w:overflowPunct w:val="0"/>
        <w:autoSpaceDE/>
        <w:autoSpaceDN/>
        <w:spacing w:line="600" w:lineRule="exact"/>
        <w:ind w:firstLine="320" w:firstLineChars="100"/>
        <w:jc w:val="both"/>
        <w:rPr>
          <w:rFonts w:ascii="Times New Roman" w:hAnsi="Times New Roman" w:eastAsia="楷体_GB2312" w:cs="Times New Roman"/>
          <w:b/>
          <w:sz w:val="32"/>
          <w:szCs w:val="32"/>
        </w:rPr>
      </w:pPr>
      <w:r>
        <w:rPr>
          <w:rFonts w:ascii="Times New Roman" w:hAnsi="Times New Roman" w:eastAsia="楷体_GB2312" w:cs="Times New Roman"/>
          <w:b/>
          <w:sz w:val="32"/>
          <w:szCs w:val="32"/>
        </w:rPr>
        <w:t>（二）一般公共预算财政拨款支出决算结构情况</w:t>
      </w:r>
    </w:p>
    <w:p w14:paraId="1EDBE191">
      <w:pPr>
        <w:pStyle w:val="14"/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2024年度财政拨款支出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780.77</w:t>
      </w:r>
      <w:r>
        <w:rPr>
          <w:rFonts w:ascii="Times New Roman" w:hAnsi="Times New Roman" w:eastAsia="仿宋_GB2312" w:cs="Times New Roman"/>
          <w:sz w:val="32"/>
          <w:szCs w:val="32"/>
        </w:rPr>
        <w:t>万元，主要用于以下方面：一般公共服务（类）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</w:t>
      </w:r>
      <w:r>
        <w:rPr>
          <w:rFonts w:ascii="Times New Roman" w:hAnsi="Times New Roman" w:eastAsia="仿宋_GB2312" w:cs="Times New Roman"/>
          <w:sz w:val="32"/>
          <w:szCs w:val="32"/>
        </w:rPr>
        <w:t>万元，占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1.54</w:t>
      </w:r>
      <w:r>
        <w:rPr>
          <w:rFonts w:ascii="Times New Roman" w:hAnsi="Times New Roman" w:eastAsia="仿宋_GB2312" w:cs="Times New Roman"/>
          <w:sz w:val="32"/>
          <w:szCs w:val="32"/>
        </w:rPr>
        <w:t>%；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文化旅游体育与传媒支出</w:t>
      </w:r>
      <w:r>
        <w:rPr>
          <w:rFonts w:ascii="Times New Roman" w:hAnsi="Times New Roman" w:eastAsia="仿宋_GB2312" w:cs="Times New Roman"/>
          <w:sz w:val="32"/>
          <w:szCs w:val="32"/>
        </w:rPr>
        <w:t>（类）支出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768.77</w:t>
      </w:r>
      <w:r>
        <w:rPr>
          <w:rFonts w:ascii="Times New Roman" w:hAnsi="Times New Roman" w:eastAsia="仿宋_GB2312" w:cs="Times New Roman"/>
          <w:sz w:val="32"/>
          <w:szCs w:val="32"/>
        </w:rPr>
        <w:t>万元，占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98.46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01D5287F">
      <w:pPr>
        <w:pStyle w:val="14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楷体_GB2312" w:cs="Times New Roman"/>
          <w:b/>
          <w:sz w:val="32"/>
          <w:szCs w:val="32"/>
        </w:rPr>
      </w:pPr>
      <w:r>
        <w:rPr>
          <w:rFonts w:ascii="Times New Roman" w:hAnsi="Times New Roman" w:eastAsia="楷体_GB2312" w:cs="Times New Roman"/>
          <w:b/>
          <w:sz w:val="32"/>
          <w:szCs w:val="32"/>
        </w:rPr>
        <w:t>（三）一般公共预算财政拨款支出决算具体情况</w:t>
      </w:r>
    </w:p>
    <w:p w14:paraId="73E648F4">
      <w:pPr>
        <w:pStyle w:val="14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2024年度财政拨款支出年初预算数为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684.37</w:t>
      </w:r>
      <w:r>
        <w:rPr>
          <w:rFonts w:ascii="Times New Roman" w:hAnsi="Times New Roman" w:eastAsia="仿宋_GB2312" w:cs="Times New Roman"/>
          <w:sz w:val="32"/>
          <w:szCs w:val="32"/>
        </w:rPr>
        <w:t>万元，支出决算数为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780.77</w:t>
      </w:r>
      <w:r>
        <w:rPr>
          <w:rFonts w:ascii="Times New Roman" w:hAnsi="Times New Roman" w:eastAsia="仿宋_GB2312" w:cs="Times New Roman"/>
          <w:sz w:val="32"/>
          <w:szCs w:val="32"/>
        </w:rPr>
        <w:t>万元，完成年初预算的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114.09</w:t>
      </w:r>
      <w:r>
        <w:rPr>
          <w:rFonts w:ascii="Times New Roman" w:hAnsi="Times New Roman" w:eastAsia="仿宋_GB2312" w:cs="Times New Roman"/>
          <w:sz w:val="32"/>
          <w:szCs w:val="32"/>
        </w:rPr>
        <w:t>%，其中：</w:t>
      </w:r>
    </w:p>
    <w:p w14:paraId="38B5C078">
      <w:pPr>
        <w:pStyle w:val="14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1、一般公共服务（类）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政协事务</w:t>
      </w:r>
      <w:r>
        <w:rPr>
          <w:rFonts w:ascii="Times New Roman" w:hAnsi="Times New Roman" w:eastAsia="仿宋_GB2312" w:cs="Times New Roman"/>
          <w:sz w:val="32"/>
          <w:szCs w:val="32"/>
        </w:rPr>
        <w:t>（款）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其他政协事务支出</w:t>
      </w:r>
      <w:r>
        <w:rPr>
          <w:rFonts w:ascii="Times New Roman" w:hAnsi="Times New Roman" w:eastAsia="仿宋_GB2312" w:cs="Times New Roman"/>
          <w:sz w:val="32"/>
          <w:szCs w:val="32"/>
        </w:rPr>
        <w:t>（项）。</w:t>
      </w:r>
    </w:p>
    <w:p w14:paraId="3B84D029">
      <w:pPr>
        <w:pStyle w:val="14"/>
        <w:overflowPunct w:val="0"/>
        <w:autoSpaceDE/>
        <w:autoSpaceDN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年初预算为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>万元，决算数大于年初预算数的主要原因是：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年初追加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市政协委员工作室建设和运行经费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支出2万元。</w:t>
      </w:r>
    </w:p>
    <w:p w14:paraId="06F1BA0A">
      <w:pPr>
        <w:pStyle w:val="14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2、一般公共服务（类）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民族事务</w:t>
      </w:r>
      <w:r>
        <w:rPr>
          <w:rFonts w:ascii="Times New Roman" w:hAnsi="Times New Roman" w:eastAsia="仿宋_GB2312" w:cs="Times New Roman"/>
          <w:sz w:val="32"/>
          <w:szCs w:val="32"/>
        </w:rPr>
        <w:t>（款）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民族工作专项</w:t>
      </w:r>
      <w:r>
        <w:rPr>
          <w:rFonts w:ascii="Times New Roman" w:hAnsi="Times New Roman" w:eastAsia="仿宋_GB2312" w:cs="Times New Roman"/>
          <w:sz w:val="32"/>
          <w:szCs w:val="32"/>
        </w:rPr>
        <w:t>（项）。</w:t>
      </w:r>
    </w:p>
    <w:p w14:paraId="61643E1D">
      <w:pPr>
        <w:pStyle w:val="14"/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年初预算为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ascii="Times New Roman" w:hAnsi="Times New Roman" w:eastAsia="仿宋_GB2312" w:cs="Times New Roman"/>
          <w:sz w:val="32"/>
          <w:szCs w:val="32"/>
        </w:rPr>
        <w:t>万元，决算数大于年初预算数的主要原因是：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年中追加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2024春雨工程边疆行活动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支出10万元。</w:t>
      </w:r>
    </w:p>
    <w:p w14:paraId="44251490">
      <w:pPr>
        <w:pStyle w:val="14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 w:cs="Times New Roman"/>
          <w:sz w:val="32"/>
          <w:szCs w:val="32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文化旅游体育与传媒支出</w:t>
      </w:r>
      <w:r>
        <w:rPr>
          <w:rFonts w:ascii="Times New Roman" w:hAnsi="Times New Roman" w:eastAsia="仿宋_GB2312" w:cs="Times New Roman"/>
          <w:sz w:val="32"/>
          <w:szCs w:val="32"/>
        </w:rPr>
        <w:t>（类）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文化和旅游</w:t>
      </w:r>
      <w:r>
        <w:rPr>
          <w:rFonts w:ascii="Times New Roman" w:hAnsi="Times New Roman" w:eastAsia="仿宋_GB2312" w:cs="Times New Roman"/>
          <w:sz w:val="32"/>
          <w:szCs w:val="32"/>
        </w:rPr>
        <w:t>（款）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行政运行</w:t>
      </w:r>
      <w:r>
        <w:rPr>
          <w:rFonts w:ascii="Times New Roman" w:hAnsi="Times New Roman" w:eastAsia="仿宋_GB2312" w:cs="Times New Roman"/>
          <w:sz w:val="32"/>
          <w:szCs w:val="32"/>
        </w:rPr>
        <w:t>（项）。</w:t>
      </w:r>
    </w:p>
    <w:p w14:paraId="0A33510D">
      <w:pPr>
        <w:pStyle w:val="14"/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年初预算为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601.87</w:t>
      </w:r>
      <w:r>
        <w:rPr>
          <w:rFonts w:ascii="Times New Roman" w:hAnsi="Times New Roman" w:eastAsia="仿宋_GB2312" w:cs="Times New Roman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576.27</w:t>
      </w:r>
      <w:r>
        <w:rPr>
          <w:rFonts w:ascii="Times New Roman" w:hAnsi="Times New Roman" w:eastAsia="仿宋_GB2312" w:cs="Times New Roman"/>
          <w:sz w:val="32"/>
          <w:szCs w:val="32"/>
        </w:rPr>
        <w:t>万元，</w:t>
      </w:r>
      <w:r>
        <w:rPr>
          <w:rFonts w:ascii="Times New Roman" w:hAnsi="Times New Roman" w:eastAsia="仿宋_GB2312" w:cs="Times New Roman"/>
          <w:sz w:val="32"/>
          <w:szCs w:val="32"/>
        </w:rPr>
        <w:t>完成年初预算的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100</w:t>
      </w:r>
      <w:r>
        <w:rPr>
          <w:rFonts w:ascii="Times New Roman" w:hAnsi="Times New Roman" w:eastAsia="仿宋_GB2312" w:cs="Times New Roman"/>
          <w:sz w:val="32"/>
          <w:szCs w:val="32"/>
        </w:rPr>
        <w:t>%，</w:t>
      </w:r>
      <w:r>
        <w:rPr>
          <w:rFonts w:ascii="Times New Roman" w:hAnsi="Times New Roman" w:eastAsia="仿宋_GB2312" w:cs="Times New Roman"/>
          <w:sz w:val="32"/>
          <w:szCs w:val="32"/>
        </w:rPr>
        <w:t>决算数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小于</w:t>
      </w:r>
      <w:r>
        <w:rPr>
          <w:rFonts w:ascii="Times New Roman" w:hAnsi="Times New Roman" w:eastAsia="仿宋_GB2312" w:cs="Times New Roman"/>
          <w:sz w:val="32"/>
          <w:szCs w:val="32"/>
        </w:rPr>
        <w:t>年初预算数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的主要原因是：公用经费支出减少。</w:t>
      </w:r>
    </w:p>
    <w:p w14:paraId="7A6CAD8B">
      <w:pPr>
        <w:pStyle w:val="14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 w:cs="Times New Roman"/>
          <w:sz w:val="32"/>
          <w:szCs w:val="32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文化旅游体育与传媒支出</w:t>
      </w:r>
      <w:r>
        <w:rPr>
          <w:rFonts w:ascii="Times New Roman" w:hAnsi="Times New Roman" w:eastAsia="仿宋_GB2312" w:cs="Times New Roman"/>
          <w:sz w:val="32"/>
          <w:szCs w:val="32"/>
        </w:rPr>
        <w:t>（类）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文化和旅游</w:t>
      </w:r>
      <w:r>
        <w:rPr>
          <w:rFonts w:ascii="Times New Roman" w:hAnsi="Times New Roman" w:eastAsia="仿宋_GB2312" w:cs="Times New Roman"/>
          <w:sz w:val="32"/>
          <w:szCs w:val="32"/>
        </w:rPr>
        <w:t>（款）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群众文化</w:t>
      </w:r>
      <w:r>
        <w:rPr>
          <w:rFonts w:ascii="Times New Roman" w:hAnsi="Times New Roman" w:eastAsia="仿宋_GB2312" w:cs="Times New Roman"/>
          <w:sz w:val="32"/>
          <w:szCs w:val="32"/>
        </w:rPr>
        <w:t>（项）。</w:t>
      </w:r>
    </w:p>
    <w:p w14:paraId="757142CD">
      <w:pPr>
        <w:pStyle w:val="14"/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年初预算为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27.5</w:t>
      </w:r>
      <w:r>
        <w:rPr>
          <w:rFonts w:ascii="Times New Roman" w:hAnsi="Times New Roman" w:eastAsia="仿宋_GB2312" w:cs="Times New Roman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27.5</w:t>
      </w:r>
      <w:r>
        <w:rPr>
          <w:rFonts w:ascii="Times New Roman" w:hAnsi="Times New Roman" w:eastAsia="仿宋_GB2312" w:cs="Times New Roman"/>
          <w:sz w:val="32"/>
          <w:szCs w:val="32"/>
        </w:rPr>
        <w:t>万元，完成年初预算的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100</w:t>
      </w:r>
      <w:r>
        <w:rPr>
          <w:rFonts w:ascii="Times New Roman" w:hAnsi="Times New Roman" w:eastAsia="仿宋_GB2312" w:cs="Times New Roman"/>
          <w:sz w:val="32"/>
          <w:szCs w:val="32"/>
        </w:rPr>
        <w:t>%，决算数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与</w:t>
      </w:r>
      <w:r>
        <w:rPr>
          <w:rFonts w:ascii="Times New Roman" w:hAnsi="Times New Roman" w:eastAsia="仿宋_GB2312" w:cs="Times New Roman"/>
          <w:sz w:val="32"/>
          <w:szCs w:val="32"/>
        </w:rPr>
        <w:t>年初预算数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一致，</w:t>
      </w:r>
      <w:r>
        <w:rPr>
          <w:rFonts w:ascii="Times New Roman" w:hAnsi="Times New Roman" w:eastAsia="仿宋_GB2312" w:cs="Times New Roman"/>
          <w:sz w:val="32"/>
          <w:szCs w:val="32"/>
        </w:rPr>
        <w:t>主要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用于群众文化工作经费支出15万元、免费开放市级配套资金支出12.5万元。</w:t>
      </w:r>
    </w:p>
    <w:p w14:paraId="0E2C99F7">
      <w:pPr>
        <w:pStyle w:val="14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Times New Roman"/>
          <w:sz w:val="32"/>
          <w:szCs w:val="32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文化旅游体育与传媒支出</w:t>
      </w:r>
      <w:r>
        <w:rPr>
          <w:rFonts w:ascii="Times New Roman" w:hAnsi="Times New Roman" w:eastAsia="仿宋_GB2312" w:cs="Times New Roman"/>
          <w:sz w:val="32"/>
          <w:szCs w:val="32"/>
        </w:rPr>
        <w:t>（类）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文化和旅游</w:t>
      </w:r>
      <w:r>
        <w:rPr>
          <w:rFonts w:ascii="Times New Roman" w:hAnsi="Times New Roman" w:eastAsia="仿宋_GB2312" w:cs="Times New Roman"/>
          <w:sz w:val="32"/>
          <w:szCs w:val="32"/>
        </w:rPr>
        <w:t>（款）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文化创作与保护</w:t>
      </w:r>
      <w:r>
        <w:rPr>
          <w:rFonts w:ascii="Times New Roman" w:hAnsi="Times New Roman" w:eastAsia="仿宋_GB2312" w:cs="Times New Roman"/>
          <w:sz w:val="32"/>
          <w:szCs w:val="32"/>
        </w:rPr>
        <w:t>（项）。</w:t>
      </w:r>
    </w:p>
    <w:p w14:paraId="45E993E6">
      <w:pPr>
        <w:pStyle w:val="14"/>
        <w:overflowPunct w:val="0"/>
        <w:autoSpaceDE/>
        <w:autoSpaceDN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年初预算为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Times New Roman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Times New Roman"/>
          <w:sz w:val="32"/>
          <w:szCs w:val="32"/>
        </w:rPr>
        <w:t>万元，完成年初预算的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100</w:t>
      </w:r>
      <w:r>
        <w:rPr>
          <w:rFonts w:ascii="Times New Roman" w:hAnsi="Times New Roman" w:eastAsia="仿宋_GB2312" w:cs="Times New Roman"/>
          <w:sz w:val="32"/>
          <w:szCs w:val="32"/>
        </w:rPr>
        <w:t>%，决算数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与</w:t>
      </w:r>
      <w:r>
        <w:rPr>
          <w:rFonts w:ascii="Times New Roman" w:hAnsi="Times New Roman" w:eastAsia="仿宋_GB2312" w:cs="Times New Roman"/>
          <w:sz w:val="32"/>
          <w:szCs w:val="32"/>
        </w:rPr>
        <w:t>年初预算数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一致，</w:t>
      </w:r>
      <w:r>
        <w:rPr>
          <w:rFonts w:ascii="Times New Roman" w:hAnsi="Times New Roman" w:eastAsia="仿宋_GB2312" w:cs="Times New Roman"/>
          <w:sz w:val="32"/>
          <w:szCs w:val="32"/>
        </w:rPr>
        <w:t>主要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用于《怀化公共文化》内刊撰写、发行支出5万元。</w:t>
      </w:r>
    </w:p>
    <w:p w14:paraId="5380A2EA">
      <w:pPr>
        <w:pStyle w:val="14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文化旅游体育与传媒支出</w:t>
      </w:r>
      <w:r>
        <w:rPr>
          <w:rFonts w:ascii="Times New Roman" w:hAnsi="Times New Roman" w:eastAsia="仿宋_GB2312" w:cs="Times New Roman"/>
          <w:sz w:val="32"/>
          <w:szCs w:val="32"/>
        </w:rPr>
        <w:t>（类）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文化和旅游</w:t>
      </w:r>
      <w:r>
        <w:rPr>
          <w:rFonts w:ascii="Times New Roman" w:hAnsi="Times New Roman" w:eastAsia="仿宋_GB2312" w:cs="Times New Roman"/>
          <w:sz w:val="32"/>
          <w:szCs w:val="32"/>
        </w:rPr>
        <w:t>（款）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其他文化和旅游支出</w:t>
      </w:r>
      <w:r>
        <w:rPr>
          <w:rFonts w:ascii="Times New Roman" w:hAnsi="Times New Roman" w:eastAsia="仿宋_GB2312" w:cs="Times New Roman"/>
          <w:sz w:val="32"/>
          <w:szCs w:val="32"/>
        </w:rPr>
        <w:t>（项）。</w:t>
      </w:r>
    </w:p>
    <w:p w14:paraId="7E15EC00">
      <w:pPr>
        <w:pStyle w:val="14"/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年初预算为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50</w:t>
      </w:r>
      <w:r>
        <w:rPr>
          <w:rFonts w:ascii="Times New Roman" w:hAnsi="Times New Roman" w:eastAsia="仿宋_GB2312" w:cs="Times New Roman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92</w:t>
      </w:r>
      <w:r>
        <w:rPr>
          <w:rFonts w:ascii="Times New Roman" w:hAnsi="Times New Roman" w:eastAsia="仿宋_GB2312" w:cs="Times New Roman"/>
          <w:sz w:val="32"/>
          <w:szCs w:val="32"/>
        </w:rPr>
        <w:t>万元，完成年初预算的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184</w:t>
      </w:r>
      <w:r>
        <w:rPr>
          <w:rFonts w:ascii="Times New Roman" w:hAnsi="Times New Roman" w:eastAsia="仿宋_GB2312" w:cs="Times New Roman"/>
          <w:sz w:val="32"/>
          <w:szCs w:val="32"/>
        </w:rPr>
        <w:t>%，决算数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大于</w:t>
      </w:r>
      <w:r>
        <w:rPr>
          <w:rFonts w:ascii="Times New Roman" w:hAnsi="Times New Roman" w:eastAsia="仿宋_GB2312" w:cs="Times New Roman"/>
          <w:sz w:val="32"/>
          <w:szCs w:val="32"/>
        </w:rPr>
        <w:t>年初预算数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的主要原因是：增拨2024年免费开放中央配套资金30万元、舞蹈《幸福小院》项目经费12万元，</w:t>
      </w:r>
      <w:r>
        <w:rPr>
          <w:rFonts w:ascii="Times New Roman" w:hAnsi="Times New Roman" w:eastAsia="仿宋_GB2312" w:cs="Times New Roman"/>
          <w:sz w:val="32"/>
          <w:szCs w:val="32"/>
        </w:rPr>
        <w:t>主要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用于免费开放及舞蹈《幸福小院》制作。</w:t>
      </w:r>
    </w:p>
    <w:p w14:paraId="77472C6C">
      <w:pPr>
        <w:pStyle w:val="14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 w:cs="Times New Roman"/>
          <w:sz w:val="32"/>
          <w:szCs w:val="32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文化旅游体育与传媒支出</w:t>
      </w:r>
      <w:r>
        <w:rPr>
          <w:rFonts w:ascii="Times New Roman" w:hAnsi="Times New Roman" w:eastAsia="仿宋_GB2312" w:cs="Times New Roman"/>
          <w:sz w:val="32"/>
          <w:szCs w:val="32"/>
        </w:rPr>
        <w:t>（类）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其他文化旅游体育与传媒支出</w:t>
      </w:r>
      <w:r>
        <w:rPr>
          <w:rFonts w:ascii="Times New Roman" w:hAnsi="Times New Roman" w:eastAsia="仿宋_GB2312" w:cs="Times New Roman"/>
          <w:sz w:val="32"/>
          <w:szCs w:val="32"/>
        </w:rPr>
        <w:t>（款）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其他文化旅游体育与传媒支出</w:t>
      </w:r>
      <w:r>
        <w:rPr>
          <w:rFonts w:ascii="Times New Roman" w:hAnsi="Times New Roman" w:eastAsia="仿宋_GB2312" w:cs="Times New Roman"/>
          <w:sz w:val="32"/>
          <w:szCs w:val="32"/>
        </w:rPr>
        <w:t>（项）。</w:t>
      </w:r>
    </w:p>
    <w:p w14:paraId="3A38BBF6">
      <w:pPr>
        <w:pStyle w:val="14"/>
        <w:overflowPunct w:val="0"/>
        <w:autoSpaceDE/>
        <w:autoSpaceDN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年初预算为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68</w:t>
      </w:r>
      <w:r>
        <w:rPr>
          <w:rFonts w:ascii="Times New Roman" w:hAnsi="Times New Roman" w:eastAsia="仿宋_GB2312" w:cs="Times New Roman"/>
          <w:sz w:val="32"/>
          <w:szCs w:val="32"/>
        </w:rPr>
        <w:t>万元，决算数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大于</w:t>
      </w:r>
      <w:r>
        <w:rPr>
          <w:rFonts w:ascii="Times New Roman" w:hAnsi="Times New Roman" w:eastAsia="仿宋_GB2312" w:cs="Times New Roman"/>
          <w:sz w:val="32"/>
          <w:szCs w:val="32"/>
        </w:rPr>
        <w:t>年初预算数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的主要原因是：年初追加春节送戏下乡活动经费4万元、怀化市铿锵号子沉浸式体验空间50万元、怀化市特色资源库建设项目（7小时）14万元。</w:t>
      </w:r>
    </w:p>
    <w:p w14:paraId="02DD27AC">
      <w:pPr>
        <w:pStyle w:val="14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六、一般公共预算财政拨款基本支出决算情况说明</w:t>
      </w:r>
    </w:p>
    <w:p w14:paraId="477E1409">
      <w:pPr>
        <w:pStyle w:val="14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2024年度一般公共预算财政拨款基本支出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576.27</w:t>
      </w:r>
      <w:r>
        <w:rPr>
          <w:rFonts w:ascii="Times New Roman" w:hAnsi="Times New Roman" w:eastAsia="仿宋_GB2312" w:cs="Times New Roman"/>
          <w:sz w:val="32"/>
          <w:szCs w:val="32"/>
        </w:rPr>
        <w:t>万元，其中：</w:t>
      </w:r>
    </w:p>
    <w:p w14:paraId="527DC41C">
      <w:pPr>
        <w:pStyle w:val="14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人员经费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537.64</w:t>
      </w:r>
      <w:r>
        <w:rPr>
          <w:rFonts w:ascii="Times New Roman" w:hAnsi="Times New Roman" w:eastAsia="仿宋_GB2312" w:cs="Times New Roman"/>
          <w:sz w:val="32"/>
          <w:szCs w:val="32"/>
        </w:rPr>
        <w:t>万元，占基本支出的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93.3</w:t>
      </w:r>
      <w:r>
        <w:rPr>
          <w:rFonts w:ascii="Times New Roman" w:hAnsi="Times New Roman" w:eastAsia="仿宋_GB2312" w:cs="Times New Roman"/>
          <w:sz w:val="32"/>
          <w:szCs w:val="32"/>
        </w:rPr>
        <w:t>%,主要包括基本工资、津贴补贴、奖金、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绩效工资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 机关事业单位基本养老保险缴费、职工基本医疗保险缴费、其他社会保障缴费、住房公积金、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对个人和家庭的补助等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264EA51D">
      <w:pPr>
        <w:pStyle w:val="14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公用经费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38.63</w:t>
      </w:r>
      <w:r>
        <w:rPr>
          <w:rFonts w:ascii="Times New Roman" w:hAnsi="Times New Roman" w:eastAsia="仿宋_GB2312" w:cs="Times New Roman"/>
          <w:sz w:val="32"/>
          <w:szCs w:val="32"/>
        </w:rPr>
        <w:t>万元，占基本支出的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6.7</w:t>
      </w:r>
      <w:r>
        <w:rPr>
          <w:rFonts w:ascii="Times New Roman" w:hAnsi="Times New Roman" w:eastAsia="仿宋_GB2312" w:cs="Times New Roman"/>
          <w:sz w:val="32"/>
          <w:szCs w:val="32"/>
        </w:rPr>
        <w:t>%，主要包括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差旅费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、劳务费、委托业务费、工会经费、其他商品和服务支出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等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20157F8E">
      <w:pPr>
        <w:pStyle w:val="14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七、财政拨款“三公”经费支出决算情况说明</w:t>
      </w:r>
      <w:r>
        <w:rPr>
          <w:rFonts w:ascii="Times New Roman" w:hAnsi="Times New Roman" w:eastAsia="楷体_GB2312" w:cs="Times New Roman"/>
          <w:b/>
          <w:bCs/>
          <w:i/>
          <w:color w:val="auto"/>
          <w:sz w:val="32"/>
          <w:szCs w:val="32"/>
        </w:rPr>
        <w:t>（注意：“三公”经费不再是一般公共预算财政拨款口径，而是财政拨款口径）</w:t>
      </w:r>
    </w:p>
    <w:p w14:paraId="482FEA08">
      <w:pPr>
        <w:pStyle w:val="14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楷体_GB2312" w:cs="Times New Roman"/>
          <w:b/>
          <w:sz w:val="32"/>
          <w:szCs w:val="32"/>
        </w:rPr>
      </w:pPr>
      <w:r>
        <w:rPr>
          <w:rFonts w:ascii="Times New Roman" w:hAnsi="Times New Roman" w:eastAsia="楷体_GB2312" w:cs="Times New Roman"/>
          <w:b/>
          <w:sz w:val="32"/>
          <w:szCs w:val="32"/>
        </w:rPr>
        <w:t>（一）“三公”经费财政拨款支出决算总体情况说明</w:t>
      </w:r>
    </w:p>
    <w:p w14:paraId="341AC092">
      <w:pPr>
        <w:pStyle w:val="14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highlight w:val="yellow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2024年度“三公”经费财政拨款支出预算为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2.5</w:t>
      </w:r>
      <w:r>
        <w:rPr>
          <w:rFonts w:ascii="Times New Roman" w:hAnsi="Times New Roman" w:eastAsia="仿宋_GB2312" w:cs="Times New Roman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2.51</w:t>
      </w:r>
      <w:r>
        <w:rPr>
          <w:rFonts w:ascii="Times New Roman" w:hAnsi="Times New Roman" w:eastAsia="仿宋_GB2312" w:cs="Times New Roman"/>
          <w:sz w:val="32"/>
          <w:szCs w:val="32"/>
        </w:rPr>
        <w:t>万元，完成预算的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100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与上年相比增加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0.94</w:t>
      </w:r>
      <w:r>
        <w:rPr>
          <w:rFonts w:ascii="Times New Roman" w:hAnsi="Times New Roman" w:eastAsia="仿宋_GB2312" w:cs="Times New Roman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59.87</w:t>
      </w:r>
      <w:r>
        <w:rPr>
          <w:rFonts w:ascii="Times New Roman" w:hAnsi="Times New Roman" w:eastAsia="仿宋_GB2312" w:cs="Times New Roman"/>
          <w:sz w:val="32"/>
          <w:szCs w:val="32"/>
        </w:rPr>
        <w:t>%。决算数大于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与</w:t>
      </w:r>
      <w:r>
        <w:rPr>
          <w:rFonts w:ascii="Times New Roman" w:hAnsi="Times New Roman" w:eastAsia="仿宋_GB2312" w:cs="Times New Roman"/>
          <w:sz w:val="32"/>
          <w:szCs w:val="32"/>
        </w:rPr>
        <w:t>预算数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基本持平。</w:t>
      </w:r>
      <w:r>
        <w:rPr>
          <w:rFonts w:ascii="Times New Roman" w:hAnsi="Times New Roman" w:eastAsia="仿宋_GB2312" w:cs="Times New Roman"/>
          <w:sz w:val="32"/>
          <w:szCs w:val="32"/>
        </w:rPr>
        <w:t>决算数大于上年数的主要原因是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车辆老化，车辆维修费较上年增加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5404C231">
      <w:pPr>
        <w:pStyle w:val="14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楷体_GB2312" w:cs="Times New Roman"/>
          <w:b/>
          <w:sz w:val="32"/>
          <w:szCs w:val="32"/>
        </w:rPr>
      </w:pPr>
      <w:r>
        <w:rPr>
          <w:rFonts w:ascii="Times New Roman" w:hAnsi="Times New Roman" w:eastAsia="楷体_GB2312" w:cs="Times New Roman"/>
          <w:b/>
          <w:sz w:val="32"/>
          <w:szCs w:val="32"/>
        </w:rPr>
        <w:t>（二）“三公”经费财政拨款支出决算具体情况说明</w:t>
      </w:r>
    </w:p>
    <w:p w14:paraId="4576FFB8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1.因公出国（境）费支出预算为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本年无</w:t>
      </w:r>
      <w:r>
        <w:rPr>
          <w:rFonts w:hint="eastAsia" w:ascii="Times New Roman" w:hAnsi="Times New Roman" w:eastAsia="仿宋_GB2312"/>
          <w:sz w:val="32"/>
          <w:szCs w:val="32"/>
        </w:rPr>
        <w:t>因公出国（境）费支出。</w:t>
      </w:r>
    </w:p>
    <w:p w14:paraId="128017C2">
      <w:pPr>
        <w:pStyle w:val="14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2.公务用车购置费及运行维护费支出预算为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2.50</w:t>
      </w:r>
      <w:r>
        <w:rPr>
          <w:rFonts w:ascii="Times New Roman" w:hAnsi="Times New Roman" w:eastAsia="仿宋_GB2312" w:cs="Times New Roman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2.51</w:t>
      </w:r>
      <w:r>
        <w:rPr>
          <w:rFonts w:ascii="Times New Roman" w:hAnsi="Times New Roman" w:eastAsia="仿宋_GB2312" w:cs="Times New Roman"/>
          <w:sz w:val="32"/>
          <w:szCs w:val="32"/>
        </w:rPr>
        <w:t>万元，完成预算的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100</w:t>
      </w:r>
      <w:r>
        <w:rPr>
          <w:rFonts w:ascii="Times New Roman" w:hAnsi="Times New Roman" w:eastAsia="仿宋_GB2312" w:cs="Times New Roman"/>
          <w:sz w:val="32"/>
          <w:szCs w:val="32"/>
        </w:rPr>
        <w:t>%；与上年相比增加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0.94</w:t>
      </w:r>
      <w:r>
        <w:rPr>
          <w:rFonts w:ascii="Times New Roman" w:hAnsi="Times New Roman" w:eastAsia="仿宋_GB2312" w:cs="Times New Roman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59.87</w:t>
      </w:r>
      <w:r>
        <w:rPr>
          <w:rFonts w:ascii="Times New Roman" w:hAnsi="Times New Roman" w:eastAsia="仿宋_GB2312" w:cs="Times New Roman"/>
          <w:sz w:val="32"/>
          <w:szCs w:val="32"/>
        </w:rPr>
        <w:t>%。其中：</w:t>
      </w:r>
    </w:p>
    <w:p w14:paraId="6E03D26C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公务用车购置费支出预算为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本年无</w:t>
      </w:r>
      <w:r>
        <w:rPr>
          <w:rFonts w:hint="eastAsia" w:ascii="Times New Roman" w:hAnsi="Times New Roman" w:eastAsia="仿宋_GB2312"/>
          <w:sz w:val="32"/>
          <w:szCs w:val="32"/>
        </w:rPr>
        <w:t>公务用车购置费支出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。</w:t>
      </w:r>
    </w:p>
    <w:p w14:paraId="5DA497E8">
      <w:pPr>
        <w:pStyle w:val="14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公务用车运行维护费支出预算为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2.5</w:t>
      </w:r>
      <w:r>
        <w:rPr>
          <w:rFonts w:ascii="Times New Roman" w:hAnsi="Times New Roman" w:eastAsia="仿宋_GB2312" w:cs="Times New Roman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2.51</w:t>
      </w:r>
      <w:r>
        <w:rPr>
          <w:rFonts w:ascii="Times New Roman" w:hAnsi="Times New Roman" w:eastAsia="仿宋_GB2312" w:cs="Times New Roman"/>
          <w:sz w:val="32"/>
          <w:szCs w:val="32"/>
        </w:rPr>
        <w:t>万元，</w:t>
      </w:r>
    </w:p>
    <w:p w14:paraId="56848DFE">
      <w:pPr>
        <w:pStyle w:val="14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主要是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用于车辆保险、车辆维修费、购汽油及高速过路费等，</w:t>
      </w:r>
      <w:r>
        <w:rPr>
          <w:rFonts w:ascii="Times New Roman" w:hAnsi="Times New Roman" w:eastAsia="仿宋_GB2312" w:cs="Times New Roman"/>
          <w:sz w:val="32"/>
          <w:szCs w:val="32"/>
        </w:rPr>
        <w:t>完成预算的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100</w:t>
      </w:r>
      <w:r>
        <w:rPr>
          <w:rFonts w:ascii="Times New Roman" w:hAnsi="Times New Roman" w:eastAsia="仿宋_GB2312" w:cs="Times New Roman"/>
          <w:sz w:val="32"/>
          <w:szCs w:val="32"/>
        </w:rPr>
        <w:t>%；与上年相比增加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0.94</w:t>
      </w:r>
      <w:r>
        <w:rPr>
          <w:rFonts w:ascii="Times New Roman" w:hAnsi="Times New Roman" w:eastAsia="仿宋_GB2312" w:cs="Times New Roman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59.87</w:t>
      </w:r>
      <w:r>
        <w:rPr>
          <w:rFonts w:ascii="Times New Roman" w:hAnsi="Times New Roman" w:eastAsia="仿宋_GB2312" w:cs="Times New Roman"/>
          <w:sz w:val="32"/>
          <w:szCs w:val="32"/>
        </w:rPr>
        <w:t>%。决算数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与</w:t>
      </w:r>
      <w:r>
        <w:rPr>
          <w:rFonts w:ascii="Times New Roman" w:hAnsi="Times New Roman" w:eastAsia="仿宋_GB2312" w:cs="Times New Roman"/>
          <w:sz w:val="32"/>
          <w:szCs w:val="32"/>
        </w:rPr>
        <w:t>预算数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基本持平。</w:t>
      </w:r>
      <w:r>
        <w:rPr>
          <w:rFonts w:ascii="Times New Roman" w:hAnsi="Times New Roman" w:eastAsia="仿宋_GB2312" w:cs="Times New Roman"/>
          <w:sz w:val="32"/>
          <w:szCs w:val="32"/>
        </w:rPr>
        <w:t>截止2024年12月31日，我单位开支财政拨款的公务用车保有量为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ascii="Times New Roman" w:hAnsi="Times New Roman" w:eastAsia="仿宋_GB2312" w:cs="Times New Roman"/>
          <w:sz w:val="32"/>
          <w:szCs w:val="32"/>
        </w:rPr>
        <w:t>辆。</w:t>
      </w:r>
    </w:p>
    <w:p w14:paraId="78E361DB">
      <w:pPr>
        <w:pStyle w:val="14"/>
        <w:numPr>
          <w:ilvl w:val="0"/>
          <w:numId w:val="1"/>
        </w:numPr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公务接待费支出预算为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本年无</w:t>
      </w:r>
      <w:r>
        <w:rPr>
          <w:rFonts w:ascii="Times New Roman" w:hAnsi="Times New Roman" w:eastAsia="仿宋_GB2312" w:cs="Times New Roman"/>
          <w:sz w:val="32"/>
          <w:szCs w:val="32"/>
        </w:rPr>
        <w:t>公务接待费支出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459A557A">
      <w:pPr>
        <w:pStyle w:val="14"/>
        <w:numPr>
          <w:numId w:val="0"/>
        </w:numPr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八、政府性基金预算收入支出决算情况</w:t>
      </w:r>
    </w:p>
    <w:p w14:paraId="17B80F57">
      <w:pPr>
        <w:pStyle w:val="14"/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2024年度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本单位无</w:t>
      </w:r>
      <w:r>
        <w:rPr>
          <w:rFonts w:hint="eastAsia" w:ascii="Times New Roman" w:hAnsi="Times New Roman" w:eastAsia="仿宋_GB2312"/>
          <w:sz w:val="32"/>
          <w:szCs w:val="32"/>
        </w:rPr>
        <w:t>政府性基金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收支。</w:t>
      </w:r>
    </w:p>
    <w:p w14:paraId="74D0A39F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九、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国有资本经营预算财政拨款收入支出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决算情况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说明</w:t>
      </w:r>
    </w:p>
    <w:p w14:paraId="7E9C5B25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2023年度本单位无国有资本经营预算财政拨款收支。</w:t>
      </w:r>
    </w:p>
    <w:p w14:paraId="0EC0E90F">
      <w:pPr>
        <w:pStyle w:val="14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十</w:t>
      </w:r>
      <w:r>
        <w:rPr>
          <w:rFonts w:ascii="Times New Roman" w:hAnsi="Times New Roman" w:cs="Times New Roman"/>
          <w:bCs/>
          <w:sz w:val="32"/>
          <w:szCs w:val="32"/>
        </w:rPr>
        <w:t>、关于机关运行经费支出说明</w:t>
      </w:r>
    </w:p>
    <w:p w14:paraId="1662CA70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Theme="minorEastAsia" w:hAnsiTheme="minorEastAsia" w:eastAsiaTheme="minorEastAsia"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本单位是财政补助事业单位无</w:t>
      </w:r>
      <w:r>
        <w:rPr>
          <w:rFonts w:hint="eastAsia" w:asciiTheme="minorEastAsia" w:hAnsiTheme="minorEastAsia" w:eastAsiaTheme="minorEastAsia"/>
          <w:sz w:val="32"/>
          <w:szCs w:val="32"/>
        </w:rPr>
        <w:t>机关运行经费支出</w:t>
      </w: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t>。</w:t>
      </w:r>
    </w:p>
    <w:p w14:paraId="2BD4348B">
      <w:pPr>
        <w:pStyle w:val="14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十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一</w:t>
      </w:r>
      <w:r>
        <w:rPr>
          <w:rFonts w:ascii="Times New Roman" w:hAnsi="Times New Roman" w:cs="Times New Roman"/>
          <w:bCs/>
          <w:sz w:val="32"/>
          <w:szCs w:val="32"/>
        </w:rPr>
        <w:t>、一般性支出情况说明</w:t>
      </w:r>
    </w:p>
    <w:p w14:paraId="3B599D3E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度</w:t>
      </w:r>
      <w:r>
        <w:rPr>
          <w:rFonts w:hint="eastAsia" w:ascii="Times New Roman" w:hAnsi="Times New Roman" w:eastAsia="仿宋_GB2312"/>
          <w:sz w:val="32"/>
          <w:szCs w:val="32"/>
        </w:rPr>
        <w:t>本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单位无</w:t>
      </w:r>
      <w:r>
        <w:rPr>
          <w:rFonts w:hint="eastAsia" w:ascii="Times New Roman" w:hAnsi="Times New Roman" w:eastAsia="仿宋_GB2312"/>
          <w:sz w:val="32"/>
          <w:szCs w:val="32"/>
        </w:rPr>
        <w:t>会议费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/>
          <w:sz w:val="32"/>
          <w:szCs w:val="32"/>
        </w:rPr>
        <w:t>培训费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支出</w:t>
      </w:r>
      <w:r>
        <w:rPr>
          <w:rFonts w:hint="eastAsia" w:ascii="Times New Roman" w:hAnsi="Times New Roman" w:eastAsia="仿宋_GB2312"/>
          <w:sz w:val="32"/>
          <w:szCs w:val="32"/>
        </w:rPr>
        <w:t>；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无</w:t>
      </w:r>
      <w:r>
        <w:rPr>
          <w:rFonts w:hint="eastAsia" w:ascii="Times New Roman" w:hAnsi="Times New Roman" w:eastAsia="仿宋_GB2312"/>
          <w:sz w:val="32"/>
          <w:szCs w:val="32"/>
        </w:rPr>
        <w:t>节庆、晚会、论坛、赛事活动开支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。</w:t>
      </w:r>
    </w:p>
    <w:p w14:paraId="48470E5E">
      <w:pPr>
        <w:pStyle w:val="14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十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二</w:t>
      </w:r>
      <w:r>
        <w:rPr>
          <w:rFonts w:ascii="Times New Roman" w:hAnsi="Times New Roman" w:cs="Times New Roman"/>
          <w:bCs/>
          <w:sz w:val="32"/>
          <w:szCs w:val="32"/>
        </w:rPr>
        <w:t>、关于政府采购支出说明</w:t>
      </w:r>
    </w:p>
    <w:p w14:paraId="5FD90FE5">
      <w:pPr>
        <w:pStyle w:val="14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本部门2024年度政府采购支出总额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121.14</w:t>
      </w:r>
      <w:r>
        <w:rPr>
          <w:rFonts w:ascii="Times New Roman" w:hAnsi="Times New Roman" w:eastAsia="仿宋_GB2312" w:cs="Times New Roman"/>
          <w:sz w:val="32"/>
          <w:szCs w:val="32"/>
        </w:rPr>
        <w:t>万元，其中：政府采购货物支出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4.2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万元、政府采购工程支出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万元、政府采购服务支出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116.94</w:t>
      </w:r>
      <w:r>
        <w:rPr>
          <w:rFonts w:ascii="Times New Roman" w:hAnsi="Times New Roman" w:eastAsia="仿宋_GB2312" w:cs="Times New Roman"/>
          <w:sz w:val="32"/>
          <w:szCs w:val="32"/>
        </w:rPr>
        <w:t>万元。授予中小企业合同金额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121.14</w:t>
      </w:r>
      <w:r>
        <w:rPr>
          <w:rFonts w:ascii="Times New Roman" w:hAnsi="Times New Roman" w:eastAsia="仿宋_GB2312" w:cs="Times New Roman"/>
          <w:sz w:val="32"/>
          <w:szCs w:val="32"/>
        </w:rPr>
        <w:t>万元，占政府采购支出总额的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100</w:t>
      </w:r>
      <w:r>
        <w:rPr>
          <w:rFonts w:ascii="Times New Roman" w:hAnsi="Times New Roman" w:eastAsia="仿宋_GB2312" w:cs="Times New Roman"/>
          <w:sz w:val="32"/>
          <w:szCs w:val="32"/>
        </w:rPr>
        <w:t>%，其中：授予小微企业合同金额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121.14</w:t>
      </w:r>
      <w:r>
        <w:rPr>
          <w:rFonts w:ascii="Times New Roman" w:hAnsi="Times New Roman" w:eastAsia="仿宋_GB2312" w:cs="Times New Roman"/>
          <w:sz w:val="32"/>
          <w:szCs w:val="32"/>
        </w:rPr>
        <w:t>万元，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占授予中小企业合同金额的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100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%。货物采购授予中小企业合同金额占货物支出金额的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100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%，工程采购授予中小企业合同金额占工程支出金额的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%，服务采购授予中小企业合同金额占服务支出金额的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100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%。</w:t>
      </w:r>
    </w:p>
    <w:p w14:paraId="1DFCD634">
      <w:pPr>
        <w:pStyle w:val="14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color w:val="auto"/>
          <w:sz w:val="32"/>
          <w:szCs w:val="32"/>
        </w:rPr>
      </w:pPr>
      <w:r>
        <w:rPr>
          <w:rFonts w:ascii="Times New Roman" w:hAnsi="Times New Roman" w:cs="Times New Roman"/>
          <w:bCs/>
          <w:color w:val="auto"/>
          <w:sz w:val="32"/>
          <w:szCs w:val="32"/>
        </w:rPr>
        <w:t>十</w:t>
      </w:r>
      <w:r>
        <w:rPr>
          <w:rFonts w:hint="eastAsia" w:ascii="Times New Roman" w:hAnsi="Times New Roman" w:cs="Times New Roman"/>
          <w:bCs/>
          <w:color w:val="auto"/>
          <w:sz w:val="32"/>
          <w:szCs w:val="32"/>
          <w:lang w:val="en-US" w:eastAsia="zh-CN"/>
        </w:rPr>
        <w:t>三</w:t>
      </w:r>
      <w:r>
        <w:rPr>
          <w:rFonts w:ascii="Times New Roman" w:hAnsi="Times New Roman" w:cs="Times New Roman"/>
          <w:bCs/>
          <w:color w:val="auto"/>
          <w:sz w:val="32"/>
          <w:szCs w:val="32"/>
        </w:rPr>
        <w:t>、关于国有资产占用情况说明</w:t>
      </w:r>
    </w:p>
    <w:p w14:paraId="55301189">
      <w:pPr>
        <w:pStyle w:val="14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截至2024年12月31日，单位共有车辆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辆，其中，副部（省）级及以上领导用车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辆、主要负责人用车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辆、机要通信用车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辆、应急保障用车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辆、执法执勤用车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辆、特种专业技术用车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辆、离退休干部服务用车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辆、其他用车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辆，其他用车主要是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业务用车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；单位价值100万元以上设备（不含车辆）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台（套）。</w:t>
      </w:r>
    </w:p>
    <w:p w14:paraId="5741654E">
      <w:pPr>
        <w:pStyle w:val="14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color w:val="auto"/>
          <w:sz w:val="32"/>
          <w:szCs w:val="32"/>
        </w:rPr>
      </w:pPr>
      <w:r>
        <w:rPr>
          <w:rFonts w:ascii="Times New Roman" w:hAnsi="Times New Roman" w:cs="Times New Roman"/>
          <w:bCs/>
          <w:color w:val="auto"/>
          <w:sz w:val="32"/>
          <w:szCs w:val="32"/>
        </w:rPr>
        <w:t>十三、关于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2024</w:t>
      </w:r>
      <w:r>
        <w:rPr>
          <w:rFonts w:ascii="Times New Roman" w:hAnsi="Times New Roman" w:cs="Times New Roman"/>
          <w:bCs/>
          <w:color w:val="auto"/>
          <w:sz w:val="32"/>
          <w:szCs w:val="32"/>
        </w:rPr>
        <w:t>年度预算绩效情况的说明</w:t>
      </w:r>
    </w:p>
    <w:p w14:paraId="032AF117">
      <w:pPr>
        <w:overflowPunct w:val="0"/>
        <w:spacing w:line="600" w:lineRule="exact"/>
        <w:ind w:firstLine="640" w:firstLineChars="200"/>
        <w:rPr>
          <w:rFonts w:ascii="Times New Roman" w:hAnsi="Times New Roman" w:eastAsia="楷体_GB2312" w:cs="Times New Roman"/>
          <w:b/>
          <w:bCs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sz w:val="32"/>
          <w:szCs w:val="32"/>
        </w:rPr>
        <w:t>（一）绩效评价工作开展情况。</w:t>
      </w:r>
    </w:p>
    <w:p w14:paraId="6959A789">
      <w:pPr>
        <w:overflowPunct w:val="0"/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组织对2024年度本单位整体支出开展绩效自评，涉及项目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11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 个，共涉及资金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204.5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万元。其中，一般公共预算项目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11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 个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204.5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万元，占一般公共预算支出总额的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100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.</w:t>
      </w:r>
    </w:p>
    <w:p w14:paraId="55F2FD2B">
      <w:pPr>
        <w:numPr>
          <w:ilvl w:val="0"/>
          <w:numId w:val="2"/>
        </w:numPr>
        <w:overflowPunct w:val="0"/>
        <w:spacing w:line="600" w:lineRule="exact"/>
        <w:ind w:firstLine="640" w:firstLineChars="200"/>
        <w:rPr>
          <w:rFonts w:ascii="Times New Roman" w:hAnsi="Times New Roman" w:eastAsia="仿宋_GB2312" w:cs="Times New Roman"/>
          <w:b/>
          <w:bCs/>
          <w:kern w:val="0"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sz w:val="32"/>
          <w:szCs w:val="32"/>
        </w:rPr>
        <w:t>绩效评价结果。</w:t>
      </w:r>
    </w:p>
    <w:p w14:paraId="6460E8D6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2024年度本单位整体支出</w:t>
      </w:r>
      <w:r>
        <w:rPr>
          <w:rFonts w:ascii="Times New Roman" w:hAnsi="Times New Roman" w:eastAsia="仿宋_GB2312" w:cs="Times New Roman"/>
          <w:sz w:val="32"/>
          <w:szCs w:val="32"/>
        </w:rPr>
        <w:t>全年预算数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684.37</w:t>
      </w:r>
      <w:r>
        <w:rPr>
          <w:rFonts w:ascii="Times New Roman" w:hAnsi="Times New Roman" w:eastAsia="仿宋_GB2312" w:cs="Times New Roman"/>
          <w:sz w:val="32"/>
          <w:szCs w:val="32"/>
        </w:rPr>
        <w:t>万元，执行数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780.77</w:t>
      </w:r>
      <w:r>
        <w:rPr>
          <w:rFonts w:ascii="Times New Roman" w:hAnsi="Times New Roman" w:eastAsia="仿宋_GB2312" w:cs="Times New Roman"/>
          <w:sz w:val="32"/>
          <w:szCs w:val="32"/>
        </w:rPr>
        <w:t>万元，完成预算的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114.09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，绩效自评得分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98</w:t>
      </w:r>
      <w:r>
        <w:rPr>
          <w:rFonts w:ascii="Times New Roman" w:hAnsi="Times New Roman" w:eastAsia="仿宋_GB2312" w:cs="Times New Roman"/>
          <w:sz w:val="32"/>
          <w:szCs w:val="32"/>
        </w:rPr>
        <w:t>分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，评价等级为</w:t>
      </w:r>
      <w:r>
        <w:rPr>
          <w:rFonts w:ascii="Times New Roman" w:hAnsi="Times New Roman" w:eastAsia="仿宋_GB2312" w:cs="Times New Roman"/>
          <w:sz w:val="32"/>
          <w:szCs w:val="32"/>
        </w:rPr>
        <w:t>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优</w:t>
      </w:r>
      <w:r>
        <w:rPr>
          <w:rFonts w:ascii="Times New Roman" w:hAnsi="Times New Roman" w:eastAsia="仿宋_GB2312" w:cs="Times New Roman"/>
          <w:sz w:val="32"/>
          <w:szCs w:val="32"/>
        </w:rPr>
        <w:t>”。</w:t>
      </w:r>
    </w:p>
    <w:p w14:paraId="282D1411">
      <w:pPr>
        <w:pStyle w:val="14"/>
        <w:numPr>
          <w:ilvl w:val="0"/>
          <w:numId w:val="2"/>
        </w:numPr>
        <w:overflowPunct w:val="0"/>
        <w:autoSpaceDE/>
        <w:autoSpaceDN/>
        <w:spacing w:line="600" w:lineRule="exact"/>
        <w:ind w:left="0" w:leftChars="0" w:firstLine="640" w:firstLineChars="200"/>
        <w:jc w:val="both"/>
        <w:rPr>
          <w:rFonts w:ascii="Times New Roman" w:hAnsi="Times New Roman" w:eastAsia="楷体_GB2312" w:cs="Times New Roman"/>
          <w:b/>
          <w:bCs/>
          <w:color w:val="auto"/>
          <w:kern w:val="2"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color w:val="auto"/>
          <w:kern w:val="2"/>
          <w:sz w:val="32"/>
          <w:szCs w:val="32"/>
        </w:rPr>
        <w:t>评价结果应用情况。</w:t>
      </w:r>
    </w:p>
    <w:p w14:paraId="7BDAD005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将绩效自评结果作为本单位完善制度和改进管理的重要依据，根据绩效自评结果，对比设定目标和实际完成情况，及时调整工作重点，提高工作效率，根据绩效自评结果，制定发展计划，提高财政资金支出决策水平和管理水平。</w:t>
      </w:r>
    </w:p>
    <w:p w14:paraId="1E26115A">
      <w:pPr>
        <w:pStyle w:val="14"/>
        <w:jc w:val="center"/>
        <w:rPr>
          <w:rFonts w:ascii="Times New Roman" w:hAnsi="Times New Roman" w:cs="Times New Roman"/>
          <w:sz w:val="72"/>
          <w:szCs w:val="72"/>
        </w:rPr>
      </w:pPr>
    </w:p>
    <w:p w14:paraId="7686C572">
      <w:pPr>
        <w:pStyle w:val="14"/>
        <w:jc w:val="center"/>
        <w:rPr>
          <w:rFonts w:ascii="Times New Roman" w:hAnsi="Times New Roman" w:cs="Times New Roman"/>
          <w:sz w:val="72"/>
          <w:szCs w:val="72"/>
        </w:rPr>
      </w:pPr>
    </w:p>
    <w:p w14:paraId="3461BB16">
      <w:pPr>
        <w:pStyle w:val="14"/>
        <w:jc w:val="center"/>
        <w:rPr>
          <w:rFonts w:ascii="Times New Roman" w:hAnsi="Times New Roman" w:cs="Times New Roman"/>
          <w:sz w:val="72"/>
          <w:szCs w:val="72"/>
        </w:rPr>
      </w:pPr>
    </w:p>
    <w:p w14:paraId="4605238F">
      <w:pPr>
        <w:pStyle w:val="14"/>
        <w:jc w:val="center"/>
        <w:rPr>
          <w:rFonts w:ascii="Times New Roman" w:hAnsi="Times New Roman" w:cs="Times New Roman"/>
          <w:sz w:val="72"/>
          <w:szCs w:val="72"/>
        </w:rPr>
      </w:pPr>
    </w:p>
    <w:p w14:paraId="6F07C2B2">
      <w:pPr>
        <w:pStyle w:val="14"/>
        <w:jc w:val="center"/>
        <w:rPr>
          <w:rFonts w:ascii="Times New Roman" w:hAnsi="Times New Roman" w:cs="Times New Roman"/>
          <w:sz w:val="72"/>
          <w:szCs w:val="72"/>
        </w:rPr>
      </w:pPr>
    </w:p>
    <w:p w14:paraId="4D918C83">
      <w:pPr>
        <w:pStyle w:val="14"/>
        <w:jc w:val="center"/>
        <w:rPr>
          <w:rFonts w:ascii="Times New Roman" w:hAnsi="Times New Roman" w:cs="Times New Roman"/>
          <w:sz w:val="72"/>
          <w:szCs w:val="72"/>
        </w:rPr>
      </w:pPr>
    </w:p>
    <w:p w14:paraId="42F4B452">
      <w:pPr>
        <w:pStyle w:val="14"/>
        <w:jc w:val="center"/>
        <w:rPr>
          <w:rFonts w:ascii="Times New Roman" w:hAnsi="Times New Roman" w:cs="Times New Roman"/>
          <w:sz w:val="72"/>
          <w:szCs w:val="72"/>
        </w:rPr>
      </w:pPr>
    </w:p>
    <w:p w14:paraId="038CCCE1">
      <w:pPr>
        <w:pStyle w:val="14"/>
        <w:jc w:val="center"/>
        <w:rPr>
          <w:rFonts w:ascii="Times New Roman" w:hAnsi="Times New Roman" w:cs="Times New Roman"/>
          <w:sz w:val="72"/>
          <w:szCs w:val="72"/>
        </w:rPr>
      </w:pPr>
    </w:p>
    <w:p w14:paraId="21BB8580">
      <w:pPr>
        <w:pStyle w:val="14"/>
        <w:jc w:val="center"/>
        <w:rPr>
          <w:rFonts w:ascii="Times New Roman" w:hAnsi="Times New Roman" w:cs="Times New Roman"/>
          <w:sz w:val="72"/>
          <w:szCs w:val="72"/>
        </w:rPr>
      </w:pPr>
    </w:p>
    <w:p w14:paraId="0F547BB6">
      <w:pPr>
        <w:pStyle w:val="14"/>
        <w:jc w:val="center"/>
        <w:rPr>
          <w:rFonts w:ascii="Times New Roman" w:hAnsi="Times New Roman" w:cs="Times New Roman"/>
          <w:sz w:val="72"/>
          <w:szCs w:val="72"/>
        </w:rPr>
      </w:pPr>
    </w:p>
    <w:p w14:paraId="13EBCDEF">
      <w:pPr>
        <w:pStyle w:val="14"/>
        <w:jc w:val="both"/>
        <w:rPr>
          <w:rFonts w:ascii="Times New Roman" w:hAnsi="Times New Roman" w:cs="Times New Roman"/>
          <w:sz w:val="72"/>
          <w:szCs w:val="72"/>
        </w:rPr>
      </w:pPr>
    </w:p>
    <w:p w14:paraId="1A5B0F35">
      <w:pPr>
        <w:pStyle w:val="14"/>
        <w:numPr>
          <w:ilvl w:val="0"/>
          <w:numId w:val="3"/>
        </w:numPr>
        <w:spacing w:line="360" w:lineRule="auto"/>
        <w:jc w:val="center"/>
        <w:rPr>
          <w:rFonts w:ascii="Times New Roman" w:hAnsi="Times New Roman" w:eastAsia="方正小标宋_GBK" w:cs="Times New Roman"/>
          <w:sz w:val="52"/>
          <w:szCs w:val="52"/>
        </w:rPr>
      </w:pPr>
      <w:r>
        <w:rPr>
          <w:rFonts w:ascii="Times New Roman" w:hAnsi="Times New Roman" w:eastAsia="方正小标宋_GBK" w:cs="Times New Roman"/>
          <w:sz w:val="52"/>
          <w:szCs w:val="52"/>
        </w:rPr>
        <w:t xml:space="preserve">   </w:t>
      </w:r>
    </w:p>
    <w:p w14:paraId="51F76BEA">
      <w:pPr>
        <w:pStyle w:val="14"/>
        <w:numPr>
          <w:numId w:val="0"/>
        </w:numPr>
        <w:spacing w:line="360" w:lineRule="auto"/>
        <w:ind w:firstLine="3120" w:firstLineChars="600"/>
        <w:jc w:val="both"/>
        <w:rPr>
          <w:rFonts w:ascii="Times New Roman" w:hAnsi="Times New Roman" w:eastAsia="方正小标宋_GBK" w:cs="Times New Roman"/>
          <w:sz w:val="52"/>
          <w:szCs w:val="52"/>
        </w:rPr>
      </w:pPr>
      <w:r>
        <w:rPr>
          <w:rFonts w:ascii="Times New Roman" w:hAnsi="Times New Roman" w:eastAsia="方正小标宋_GBK" w:cs="Times New Roman"/>
          <w:sz w:val="52"/>
          <w:szCs w:val="52"/>
        </w:rPr>
        <w:t>名词解释</w:t>
      </w:r>
    </w:p>
    <w:p w14:paraId="06A08018">
      <w:pPr>
        <w:widowControl/>
        <w:jc w:val="left"/>
        <w:rPr>
          <w:rFonts w:ascii="Times New Roman" w:hAnsi="Times New Roman" w:cs="Times New Roman"/>
          <w:color w:val="000000"/>
          <w:kern w:val="0"/>
          <w:sz w:val="32"/>
          <w:szCs w:val="32"/>
        </w:rPr>
      </w:pPr>
    </w:p>
    <w:p w14:paraId="1258C794">
      <w:pPr>
        <w:widowControl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 w14:paraId="053AA966">
      <w:pPr>
        <w:widowControl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 w14:paraId="55D90A72">
      <w:pPr>
        <w:widowControl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 w14:paraId="3AA78DAB">
      <w:pPr>
        <w:widowControl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 w14:paraId="774F50E6">
      <w:pPr>
        <w:widowControl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 w14:paraId="74439563">
      <w:pPr>
        <w:widowControl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 w14:paraId="2C69A17E">
      <w:pPr>
        <w:widowControl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 w14:paraId="05B392AD">
      <w:pPr>
        <w:widowControl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 w14:paraId="2D6A7A2A">
      <w:pPr>
        <w:widowControl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 w14:paraId="36121A3F">
      <w:pPr>
        <w:widowControl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 w14:paraId="0DFD33B3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55" w:lineRule="atLeast"/>
        <w:ind w:right="0" w:firstLine="640" w:firstLineChars="200"/>
        <w:jc w:val="both"/>
        <w:textAlignment w:val="auto"/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  <w:t>一、机关运行经费：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 w14:paraId="19D135BA"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8" w:afterAutospacing="0" w:line="255" w:lineRule="atLeast"/>
        <w:ind w:right="0" w:firstLine="640" w:firstLineChars="200"/>
        <w:jc w:val="both"/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  <w:t>二、“三公”经费：纳入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p w14:paraId="38B6FBEF">
      <w:pPr>
        <w:pStyle w:val="14"/>
        <w:jc w:val="center"/>
        <w:rPr>
          <w:rFonts w:ascii="Times New Roman" w:hAnsi="Times New Roman" w:cs="Times New Roman"/>
          <w:sz w:val="72"/>
          <w:szCs w:val="72"/>
        </w:rPr>
      </w:pPr>
    </w:p>
    <w:p w14:paraId="00B502F3">
      <w:pPr>
        <w:pStyle w:val="14"/>
        <w:jc w:val="center"/>
        <w:rPr>
          <w:rFonts w:ascii="Times New Roman" w:hAnsi="Times New Roman" w:cs="Times New Roman"/>
          <w:sz w:val="72"/>
          <w:szCs w:val="72"/>
        </w:rPr>
      </w:pPr>
    </w:p>
    <w:p w14:paraId="297FF040">
      <w:pPr>
        <w:pStyle w:val="14"/>
        <w:jc w:val="center"/>
        <w:rPr>
          <w:rFonts w:ascii="Times New Roman" w:hAnsi="Times New Roman" w:cs="Times New Roman"/>
          <w:sz w:val="72"/>
          <w:szCs w:val="72"/>
        </w:rPr>
      </w:pPr>
    </w:p>
    <w:p w14:paraId="40F03150">
      <w:pPr>
        <w:pStyle w:val="14"/>
        <w:jc w:val="center"/>
        <w:rPr>
          <w:rFonts w:ascii="Times New Roman" w:hAnsi="Times New Roman" w:cs="Times New Roman"/>
          <w:sz w:val="72"/>
          <w:szCs w:val="72"/>
        </w:rPr>
      </w:pPr>
    </w:p>
    <w:p w14:paraId="5F5C6B3F">
      <w:pPr>
        <w:pStyle w:val="14"/>
        <w:jc w:val="center"/>
        <w:rPr>
          <w:rFonts w:ascii="Times New Roman" w:hAnsi="Times New Roman" w:cs="Times New Roman"/>
          <w:sz w:val="72"/>
          <w:szCs w:val="72"/>
        </w:rPr>
      </w:pPr>
    </w:p>
    <w:p w14:paraId="0AA1502C">
      <w:pPr>
        <w:pStyle w:val="14"/>
        <w:jc w:val="center"/>
        <w:rPr>
          <w:rFonts w:ascii="Times New Roman" w:hAnsi="Times New Roman" w:cs="Times New Roman"/>
          <w:sz w:val="72"/>
          <w:szCs w:val="72"/>
        </w:rPr>
      </w:pPr>
    </w:p>
    <w:p w14:paraId="4558E7DE">
      <w:pPr>
        <w:pStyle w:val="14"/>
        <w:jc w:val="both"/>
        <w:rPr>
          <w:rFonts w:ascii="Times New Roman" w:hAnsi="Times New Roman" w:cs="Times New Roman"/>
          <w:sz w:val="72"/>
          <w:szCs w:val="72"/>
        </w:rPr>
      </w:pPr>
    </w:p>
    <w:p w14:paraId="0414FCAF">
      <w:pPr>
        <w:pStyle w:val="14"/>
        <w:numPr>
          <w:ilvl w:val="0"/>
          <w:numId w:val="4"/>
        </w:numPr>
        <w:spacing w:line="360" w:lineRule="auto"/>
        <w:jc w:val="center"/>
        <w:rPr>
          <w:rFonts w:ascii="Times New Roman" w:hAnsi="Times New Roman" w:eastAsia="方正小标宋_GBK" w:cs="Times New Roman"/>
          <w:sz w:val="52"/>
          <w:szCs w:val="52"/>
        </w:rPr>
      </w:pPr>
      <w:r>
        <w:rPr>
          <w:rFonts w:ascii="Times New Roman" w:hAnsi="Times New Roman" w:eastAsia="方正小标宋_GBK" w:cs="Times New Roman"/>
          <w:sz w:val="52"/>
          <w:szCs w:val="52"/>
        </w:rPr>
        <w:t xml:space="preserve"> </w:t>
      </w:r>
    </w:p>
    <w:p w14:paraId="1E35B2E7">
      <w:pPr>
        <w:pStyle w:val="14"/>
        <w:numPr>
          <w:numId w:val="0"/>
        </w:numPr>
        <w:spacing w:line="360" w:lineRule="auto"/>
        <w:ind w:firstLine="3120" w:firstLineChars="600"/>
        <w:jc w:val="both"/>
        <w:rPr>
          <w:rFonts w:ascii="Times New Roman" w:hAnsi="Times New Roman" w:eastAsia="方正小标宋_GBK" w:cs="Times New Roman"/>
          <w:sz w:val="52"/>
          <w:szCs w:val="52"/>
        </w:rPr>
      </w:pPr>
      <w:r>
        <w:rPr>
          <w:rFonts w:ascii="Times New Roman" w:hAnsi="Times New Roman" w:eastAsia="方正小标宋_GBK" w:cs="Times New Roman"/>
          <w:sz w:val="52"/>
          <w:szCs w:val="52"/>
        </w:rPr>
        <w:t xml:space="preserve"> 附 件</w:t>
      </w:r>
    </w:p>
    <w:p w14:paraId="2E5579AA">
      <w:pPr>
        <w:rPr>
          <w:rFonts w:ascii="Times New Roman" w:hAnsi="Times New Roman" w:cs="Times New Roman"/>
          <w:sz w:val="72"/>
          <w:szCs w:val="72"/>
        </w:rPr>
      </w:pPr>
    </w:p>
    <w:p w14:paraId="6BCAAA32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</w:p>
    <w:p w14:paraId="731A7A8B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</w:p>
    <w:p w14:paraId="0EDE32AF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</w:p>
    <w:p w14:paraId="7A3679E4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</w:p>
    <w:p w14:paraId="2191DF91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</w:p>
    <w:p w14:paraId="331B6C9A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</w:p>
    <w:p w14:paraId="034099CD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</w:p>
    <w:p w14:paraId="1B9AFFCF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</w:p>
    <w:p w14:paraId="4CB8EBBD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</w:p>
    <w:p w14:paraId="009EC837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</w:p>
    <w:p w14:paraId="5E2E6AC6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</w:p>
    <w:p w14:paraId="67912FCC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</w:p>
    <w:p w14:paraId="0BB3FC43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</w:p>
    <w:p w14:paraId="5282A0D5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</w:p>
    <w:p w14:paraId="57805B60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</w:p>
    <w:p w14:paraId="7F3D5AC7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</w:p>
    <w:p w14:paraId="3E5B6E1E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</w:p>
    <w:p w14:paraId="37D56F47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</w:p>
    <w:p w14:paraId="0E584399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一、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2024年度部门整体支出绩效自评报告。</w:t>
      </w:r>
    </w:p>
    <w:p w14:paraId="283E59F1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二、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2024年部门决算公开表</w:t>
      </w:r>
    </w:p>
    <w:p w14:paraId="4059E1E6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</w:p>
    <w:p w14:paraId="743C92B5">
      <w:pPr>
        <w:pStyle w:val="14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6F269C46">
      <w:pPr>
        <w:pStyle w:val="14"/>
        <w:jc w:val="center"/>
        <w:rPr>
          <w:rFonts w:ascii="Times New Roman" w:hAnsi="Times New Roman" w:cs="Times New Roman"/>
          <w:sz w:val="72"/>
          <w:szCs w:val="72"/>
        </w:rPr>
      </w:pPr>
    </w:p>
    <w:p w14:paraId="6E2B00A9">
      <w:pPr>
        <w:pStyle w:val="14"/>
        <w:jc w:val="center"/>
        <w:rPr>
          <w:rFonts w:ascii="Times New Roman" w:hAnsi="Times New Roman" w:cs="Times New Roman"/>
          <w:sz w:val="72"/>
          <w:szCs w:val="72"/>
        </w:rPr>
      </w:pPr>
    </w:p>
    <w:p w14:paraId="110ABAAB">
      <w:pPr>
        <w:jc w:val="left"/>
        <w:rPr>
          <w:rFonts w:ascii="Times New Roman" w:hAnsi="Times New Roman" w:cs="Times New Roman"/>
          <w:color w:val="000000"/>
          <w:kern w:val="0"/>
          <w:sz w:val="32"/>
          <w:szCs w:val="32"/>
        </w:rPr>
      </w:pPr>
    </w:p>
    <w:sectPr>
      <w:pgSz w:w="11906" w:h="16838"/>
      <w:pgMar w:top="1417" w:right="1588" w:bottom="1417" w:left="158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SimSun-ExtB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ADC410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CF8F02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02446D">
    <w:pPr>
      <w:pStyle w:val="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3348FA">
    <w:pPr>
      <w:pStyle w:val="6"/>
    </w:pPr>
    <w:r>
      <w:pict>
        <v:shape id="文本框 5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fXBYQIAAAoFAAAOAAAAZHJzL2Uyb0RvYy54bWysVE1uEzEU3iNxB8t7OmlRqy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95eTw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Fvd9cFhAgAACgUAAA4AAAAAAAAAAAAAAAAALgIAAGRycy9lMm9Eb2MueG1s&#10;UEsBAi0AFAAGAAgAAAAhAHGq0bnXAAAABQEAAA8AAAAAAAAAAAAAAAAAuwQAAGRycy9kb3ducmV2&#10;LnhtbFBLBQYAAAAABAAEAPMAAAC/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6A28A020">
                <w:pPr>
                  <w:pStyle w:val="6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24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A67A62"/>
    <w:multiLevelType w:val="singleLevel"/>
    <w:tmpl w:val="CEA67A62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76A9D5C"/>
    <w:multiLevelType w:val="singleLevel"/>
    <w:tmpl w:val="F76A9D5C"/>
    <w:lvl w:ilvl="0" w:tentative="0">
      <w:start w:val="5"/>
      <w:numFmt w:val="chineseCounting"/>
      <w:suff w:val="space"/>
      <w:lvlText w:val="第%1部分"/>
      <w:lvlJc w:val="left"/>
      <w:rPr>
        <w:rFonts w:hint="eastAsia"/>
      </w:rPr>
    </w:lvl>
  </w:abstractNum>
  <w:abstractNum w:abstractNumId="2">
    <w:nsid w:val="08426B70"/>
    <w:multiLevelType w:val="singleLevel"/>
    <w:tmpl w:val="08426B70"/>
    <w:lvl w:ilvl="0" w:tentative="0">
      <w:start w:val="4"/>
      <w:numFmt w:val="chineseCounting"/>
      <w:suff w:val="space"/>
      <w:lvlText w:val="第%1部分"/>
      <w:lvlJc w:val="left"/>
      <w:rPr>
        <w:rFonts w:hint="eastAsia"/>
      </w:rPr>
    </w:lvl>
  </w:abstractNum>
  <w:abstractNum w:abstractNumId="3">
    <w:nsid w:val="10091ED3"/>
    <w:multiLevelType w:val="singleLevel"/>
    <w:tmpl w:val="10091ED3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4506F9"/>
    <w:rsid w:val="0000001A"/>
    <w:rsid w:val="0002229B"/>
    <w:rsid w:val="000273BD"/>
    <w:rsid w:val="0003620C"/>
    <w:rsid w:val="00040CBC"/>
    <w:rsid w:val="000415B7"/>
    <w:rsid w:val="00041E3F"/>
    <w:rsid w:val="00055DAA"/>
    <w:rsid w:val="00061F7B"/>
    <w:rsid w:val="000658A3"/>
    <w:rsid w:val="00074155"/>
    <w:rsid w:val="00080785"/>
    <w:rsid w:val="000A3F69"/>
    <w:rsid w:val="000B20F1"/>
    <w:rsid w:val="000C5742"/>
    <w:rsid w:val="00103957"/>
    <w:rsid w:val="00152C6D"/>
    <w:rsid w:val="00162D39"/>
    <w:rsid w:val="001678BD"/>
    <w:rsid w:val="00182373"/>
    <w:rsid w:val="001A67DB"/>
    <w:rsid w:val="001B67D1"/>
    <w:rsid w:val="001C3C29"/>
    <w:rsid w:val="001D2B79"/>
    <w:rsid w:val="001D51E5"/>
    <w:rsid w:val="001E080D"/>
    <w:rsid w:val="001E53D0"/>
    <w:rsid w:val="001F0C3B"/>
    <w:rsid w:val="00202C82"/>
    <w:rsid w:val="00214427"/>
    <w:rsid w:val="00220689"/>
    <w:rsid w:val="00221AFD"/>
    <w:rsid w:val="00226CB7"/>
    <w:rsid w:val="00252450"/>
    <w:rsid w:val="00264552"/>
    <w:rsid w:val="00264EF9"/>
    <w:rsid w:val="00265724"/>
    <w:rsid w:val="0027426B"/>
    <w:rsid w:val="00296D60"/>
    <w:rsid w:val="002E0A30"/>
    <w:rsid w:val="0030077D"/>
    <w:rsid w:val="003130C4"/>
    <w:rsid w:val="00316C4B"/>
    <w:rsid w:val="0032192B"/>
    <w:rsid w:val="0033283E"/>
    <w:rsid w:val="003479BD"/>
    <w:rsid w:val="0037197D"/>
    <w:rsid w:val="003768D5"/>
    <w:rsid w:val="003926B9"/>
    <w:rsid w:val="003C2E17"/>
    <w:rsid w:val="003C47E6"/>
    <w:rsid w:val="003C4FC2"/>
    <w:rsid w:val="00401F9A"/>
    <w:rsid w:val="00416E61"/>
    <w:rsid w:val="0042790C"/>
    <w:rsid w:val="004506F9"/>
    <w:rsid w:val="00462315"/>
    <w:rsid w:val="004717A2"/>
    <w:rsid w:val="00473DF3"/>
    <w:rsid w:val="00487911"/>
    <w:rsid w:val="00490F48"/>
    <w:rsid w:val="00491741"/>
    <w:rsid w:val="004B0CEE"/>
    <w:rsid w:val="004C2A0A"/>
    <w:rsid w:val="004F5EFB"/>
    <w:rsid w:val="00500E5F"/>
    <w:rsid w:val="005122EF"/>
    <w:rsid w:val="0051441A"/>
    <w:rsid w:val="00517C33"/>
    <w:rsid w:val="00517D5F"/>
    <w:rsid w:val="00523644"/>
    <w:rsid w:val="0054069E"/>
    <w:rsid w:val="00544866"/>
    <w:rsid w:val="00552A3D"/>
    <w:rsid w:val="00574CC8"/>
    <w:rsid w:val="005767CC"/>
    <w:rsid w:val="00590D9F"/>
    <w:rsid w:val="00595D26"/>
    <w:rsid w:val="005A74E6"/>
    <w:rsid w:val="005B404E"/>
    <w:rsid w:val="005D4D55"/>
    <w:rsid w:val="005E0E6C"/>
    <w:rsid w:val="005E2CFB"/>
    <w:rsid w:val="005F2103"/>
    <w:rsid w:val="005F3D1C"/>
    <w:rsid w:val="005F4189"/>
    <w:rsid w:val="006171EE"/>
    <w:rsid w:val="0062378F"/>
    <w:rsid w:val="00641842"/>
    <w:rsid w:val="00651EEC"/>
    <w:rsid w:val="00686673"/>
    <w:rsid w:val="00691E8C"/>
    <w:rsid w:val="006A22C4"/>
    <w:rsid w:val="006A351B"/>
    <w:rsid w:val="006B0422"/>
    <w:rsid w:val="006C1B53"/>
    <w:rsid w:val="006D7730"/>
    <w:rsid w:val="006E5284"/>
    <w:rsid w:val="006F3EB5"/>
    <w:rsid w:val="006F56C8"/>
    <w:rsid w:val="00702E34"/>
    <w:rsid w:val="00704395"/>
    <w:rsid w:val="00710FE7"/>
    <w:rsid w:val="00717621"/>
    <w:rsid w:val="00720FF1"/>
    <w:rsid w:val="00727A53"/>
    <w:rsid w:val="007502DE"/>
    <w:rsid w:val="00787B42"/>
    <w:rsid w:val="007C4539"/>
    <w:rsid w:val="007F3657"/>
    <w:rsid w:val="00810F0C"/>
    <w:rsid w:val="00811AA2"/>
    <w:rsid w:val="00812ED5"/>
    <w:rsid w:val="008277D9"/>
    <w:rsid w:val="0084478C"/>
    <w:rsid w:val="0086638C"/>
    <w:rsid w:val="008764FA"/>
    <w:rsid w:val="008A1079"/>
    <w:rsid w:val="008A3E8D"/>
    <w:rsid w:val="008A5055"/>
    <w:rsid w:val="008D17F4"/>
    <w:rsid w:val="009237C4"/>
    <w:rsid w:val="00944C48"/>
    <w:rsid w:val="00950252"/>
    <w:rsid w:val="00953129"/>
    <w:rsid w:val="00967F5D"/>
    <w:rsid w:val="009A0F95"/>
    <w:rsid w:val="009B3ADF"/>
    <w:rsid w:val="009C31C5"/>
    <w:rsid w:val="009C3B52"/>
    <w:rsid w:val="009E6817"/>
    <w:rsid w:val="009E6E9A"/>
    <w:rsid w:val="00A01D2B"/>
    <w:rsid w:val="00A1392A"/>
    <w:rsid w:val="00A42218"/>
    <w:rsid w:val="00A70249"/>
    <w:rsid w:val="00A70B02"/>
    <w:rsid w:val="00A71D9F"/>
    <w:rsid w:val="00A92E9F"/>
    <w:rsid w:val="00AB18FF"/>
    <w:rsid w:val="00B26269"/>
    <w:rsid w:val="00B33BEA"/>
    <w:rsid w:val="00B57C9F"/>
    <w:rsid w:val="00B63572"/>
    <w:rsid w:val="00B845B3"/>
    <w:rsid w:val="00B85D8B"/>
    <w:rsid w:val="00BB4A40"/>
    <w:rsid w:val="00BD6022"/>
    <w:rsid w:val="00BD6C3E"/>
    <w:rsid w:val="00BE3674"/>
    <w:rsid w:val="00C10681"/>
    <w:rsid w:val="00C10822"/>
    <w:rsid w:val="00C15C89"/>
    <w:rsid w:val="00C27C0D"/>
    <w:rsid w:val="00C3049A"/>
    <w:rsid w:val="00C31B1E"/>
    <w:rsid w:val="00C32F2E"/>
    <w:rsid w:val="00C73888"/>
    <w:rsid w:val="00C77645"/>
    <w:rsid w:val="00CE04C3"/>
    <w:rsid w:val="00CE34BE"/>
    <w:rsid w:val="00CE76A0"/>
    <w:rsid w:val="00D148C6"/>
    <w:rsid w:val="00D17A8A"/>
    <w:rsid w:val="00D415BA"/>
    <w:rsid w:val="00D63780"/>
    <w:rsid w:val="00D644EE"/>
    <w:rsid w:val="00DD06FF"/>
    <w:rsid w:val="00DD5FE9"/>
    <w:rsid w:val="00E00C7A"/>
    <w:rsid w:val="00E37D6C"/>
    <w:rsid w:val="00E55B68"/>
    <w:rsid w:val="00E561AE"/>
    <w:rsid w:val="00E60C00"/>
    <w:rsid w:val="00E67BE6"/>
    <w:rsid w:val="00E8683C"/>
    <w:rsid w:val="00EA2B72"/>
    <w:rsid w:val="00F74360"/>
    <w:rsid w:val="00FB462F"/>
    <w:rsid w:val="00FD7D3B"/>
    <w:rsid w:val="00FE16FA"/>
    <w:rsid w:val="00FE328A"/>
    <w:rsid w:val="00FE6269"/>
    <w:rsid w:val="00FF5CD6"/>
    <w:rsid w:val="1D97DEFF"/>
    <w:rsid w:val="1DFF72E5"/>
    <w:rsid w:val="1EFC6F07"/>
    <w:rsid w:val="2FDF85B8"/>
    <w:rsid w:val="2FFFEE04"/>
    <w:rsid w:val="34DF85B0"/>
    <w:rsid w:val="3B8F36BC"/>
    <w:rsid w:val="48314CDE"/>
    <w:rsid w:val="491FF225"/>
    <w:rsid w:val="4FFD214C"/>
    <w:rsid w:val="5169081C"/>
    <w:rsid w:val="5777D4F5"/>
    <w:rsid w:val="59DD8326"/>
    <w:rsid w:val="5DEF592A"/>
    <w:rsid w:val="5FC6BB1E"/>
    <w:rsid w:val="5FF720F1"/>
    <w:rsid w:val="646F4152"/>
    <w:rsid w:val="67FF5C0B"/>
    <w:rsid w:val="6EFC0924"/>
    <w:rsid w:val="6FB74722"/>
    <w:rsid w:val="6FEF8B7E"/>
    <w:rsid w:val="71A6591B"/>
    <w:rsid w:val="737D59BA"/>
    <w:rsid w:val="77C37683"/>
    <w:rsid w:val="79D19834"/>
    <w:rsid w:val="79FF515B"/>
    <w:rsid w:val="7E9E1962"/>
    <w:rsid w:val="7E9F11B4"/>
    <w:rsid w:val="7F37EC1E"/>
    <w:rsid w:val="7F7DCD9D"/>
    <w:rsid w:val="7F970A6F"/>
    <w:rsid w:val="7FC1FFF3"/>
    <w:rsid w:val="7FC69637"/>
    <w:rsid w:val="7FDF8620"/>
    <w:rsid w:val="7FE8C8F7"/>
    <w:rsid w:val="7FFB242F"/>
    <w:rsid w:val="7FFDB408"/>
    <w:rsid w:val="7FFE4EEB"/>
    <w:rsid w:val="95FB2B98"/>
    <w:rsid w:val="9A639BC2"/>
    <w:rsid w:val="9FF7D786"/>
    <w:rsid w:val="ABBFB23D"/>
    <w:rsid w:val="C3B4DA5A"/>
    <w:rsid w:val="CBFF70E0"/>
    <w:rsid w:val="CFF50B82"/>
    <w:rsid w:val="CFFFAD89"/>
    <w:rsid w:val="DFFE359E"/>
    <w:rsid w:val="DFFE4FFD"/>
    <w:rsid w:val="EEABED75"/>
    <w:rsid w:val="F56FDF51"/>
    <w:rsid w:val="F6B69F17"/>
    <w:rsid w:val="F77F1D61"/>
    <w:rsid w:val="F7FED3A9"/>
    <w:rsid w:val="F8C9DB26"/>
    <w:rsid w:val="F97E8EAE"/>
    <w:rsid w:val="FB36E1A6"/>
    <w:rsid w:val="FB3BE134"/>
    <w:rsid w:val="FCFF4275"/>
    <w:rsid w:val="FD7FEEEA"/>
    <w:rsid w:val="FDFFB577"/>
    <w:rsid w:val="FEEA50FE"/>
    <w:rsid w:val="FF7D47A9"/>
    <w:rsid w:val="FFCF21CB"/>
    <w:rsid w:val="FFFF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unhideWhenUsed/>
    <w:qFormat/>
    <w:uiPriority w:val="99"/>
    <w:pPr>
      <w:widowControl/>
      <w:spacing w:after="120"/>
      <w:ind w:left="420" w:leftChars="200"/>
      <w:jc w:val="left"/>
    </w:pPr>
    <w:rPr>
      <w:rFonts w:ascii="宋体" w:hAnsi="宋体" w:eastAsia="宋体" w:cs="宋体"/>
      <w:kern w:val="0"/>
      <w:sz w:val="24"/>
    </w:rPr>
  </w:style>
  <w:style w:type="paragraph" w:styleId="4">
    <w:name w:val="Body Text First Indent 2"/>
    <w:basedOn w:val="3"/>
    <w:next w:val="1"/>
    <w:unhideWhenUsed/>
    <w:qFormat/>
    <w:uiPriority w:val="99"/>
    <w:pPr>
      <w:ind w:firstLine="420" w:firstLineChars="200"/>
    </w:p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next w:val="4"/>
    <w:semiHidden/>
    <w:qFormat/>
    <w:uiPriority w:val="0"/>
    <w:pPr>
      <w:snapToGrid w:val="0"/>
      <w:jc w:val="left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2">
    <w:name w:val="页眉 Char"/>
    <w:basedOn w:val="11"/>
    <w:link w:val="7"/>
    <w:qFormat/>
    <w:uiPriority w:val="99"/>
    <w:rPr>
      <w:sz w:val="18"/>
      <w:szCs w:val="18"/>
    </w:rPr>
  </w:style>
  <w:style w:type="character" w:customStyle="1" w:styleId="13">
    <w:name w:val="页脚 Char"/>
    <w:basedOn w:val="11"/>
    <w:link w:val="6"/>
    <w:qFormat/>
    <w:uiPriority w:val="99"/>
    <w:rPr>
      <w:sz w:val="18"/>
      <w:szCs w:val="18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sz w:val="24"/>
      <w:szCs w:val="24"/>
      <w:lang w:val="en-US" w:eastAsia="zh-CN" w:bidi="ar-SA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批注框文本 Char"/>
    <w:basedOn w:val="11"/>
    <w:link w:val="5"/>
    <w:semiHidden/>
    <w:qFormat/>
    <w:uiPriority w:val="99"/>
    <w:rPr>
      <w:sz w:val="18"/>
      <w:szCs w:val="18"/>
    </w:rPr>
  </w:style>
  <w:style w:type="character" w:customStyle="1" w:styleId="17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2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1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17</Pages>
  <Words>4429</Words>
  <Characters>4967</Characters>
  <Lines>69</Lines>
  <Paragraphs>19</Paragraphs>
  <TotalTime>2</TotalTime>
  <ScaleCrop>false</ScaleCrop>
  <LinksUpToDate>false</LinksUpToDate>
  <CharactersWithSpaces>4993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2025-09-10T10:15:00Z</dcterms:created>
  <dc:creator>李航 null</dc:creator>
  <cp:lastModifiedBy>linlin</cp:lastModifiedBy>
  <cp:lastPrinted>2024-08-08T18:20:00Z</cp:lastPrinted>
  <dcterms:modified xsi:type="dcterms:W3CDTF">2025-09-15T10:27:30Z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BB7B6AA21D207914D6FDA268992A22D6</vt:lpwstr>
  </property>
  <property fmtid="{D5CDD505-2E9C-101B-9397-08002B2CF9AE}" pid="4" name="KSOTemplateDocerSaveRecord">
    <vt:lpwstr>eyJoZGlkIjoiZDY1MTJlNWZmODEzMjA1NWExMzQzMjQ5ZjUyZDJmODQiLCJ1c2VySWQiOiI5OTk0NjQwODEifQ==</vt:lpwstr>
  </property>
</Properties>
</file>