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keepNext w:val="0"/>
        <w:keepLines w:val="0"/>
        <w:pageBreakBefore w:val="0"/>
        <w:kinsoku/>
        <w:wordWrap/>
        <w:overflowPunct/>
        <w:topLinePunct w:val="0"/>
        <w:bidi w:val="0"/>
        <w:spacing w:line="600" w:lineRule="exact"/>
        <w:jc w:val="center"/>
        <w:textAlignment w:val="auto"/>
        <w:rPr>
          <w:rFonts w:hint="eastAsia" w:ascii="仿宋" w:hAnsi="仿宋" w:eastAsia="仿宋" w:cs="仿宋"/>
          <w:b/>
          <w:bCs/>
          <w:color w:val="auto"/>
          <w:sz w:val="48"/>
          <w:szCs w:val="48"/>
        </w:rPr>
      </w:pPr>
      <w:r>
        <w:rPr>
          <w:rFonts w:hint="eastAsia" w:ascii="仿宋" w:hAnsi="仿宋" w:eastAsia="仿宋" w:cs="仿宋"/>
          <w:b/>
          <w:bCs/>
          <w:color w:val="auto"/>
          <w:sz w:val="48"/>
          <w:szCs w:val="48"/>
        </w:rPr>
        <w:t>202</w:t>
      </w:r>
      <w:r>
        <w:rPr>
          <w:rFonts w:hint="eastAsia" w:ascii="仿宋" w:hAnsi="仿宋" w:eastAsia="仿宋" w:cs="仿宋"/>
          <w:b/>
          <w:bCs/>
          <w:color w:val="auto"/>
          <w:sz w:val="48"/>
          <w:szCs w:val="48"/>
          <w:lang w:val="en"/>
        </w:rPr>
        <w:t>1</w:t>
      </w:r>
      <w:r>
        <w:rPr>
          <w:rFonts w:hint="eastAsia" w:ascii="仿宋" w:hAnsi="仿宋" w:eastAsia="仿宋" w:cs="仿宋"/>
          <w:b/>
          <w:bCs/>
          <w:color w:val="auto"/>
          <w:sz w:val="48"/>
          <w:szCs w:val="48"/>
        </w:rPr>
        <w:t>年度怀化市文学艺术界联合会部门决算</w:t>
      </w:r>
    </w:p>
    <w:p>
      <w:pPr>
        <w:pStyle w:val="13"/>
        <w:keepNext w:val="0"/>
        <w:keepLines w:val="0"/>
        <w:pageBreakBefore w:val="0"/>
        <w:kinsoku/>
        <w:wordWrap/>
        <w:overflowPunct/>
        <w:topLinePunct w:val="0"/>
        <w:bidi w:val="0"/>
        <w:spacing w:line="600" w:lineRule="exact"/>
        <w:jc w:val="center"/>
        <w:textAlignment w:val="auto"/>
        <w:rPr>
          <w:rFonts w:hint="eastAsia" w:ascii="黑体" w:hAnsi="黑体" w:eastAsia="黑体" w:cs="黑体"/>
          <w:b/>
          <w:color w:val="auto"/>
          <w:sz w:val="32"/>
          <w:szCs w:val="32"/>
        </w:rPr>
      </w:pPr>
      <w:r>
        <w:rPr>
          <w:rFonts w:hint="eastAsia" w:ascii="黑体" w:hAnsi="黑体" w:eastAsia="黑体" w:cs="黑体"/>
          <w:b/>
          <w:color w:val="auto"/>
          <w:sz w:val="32"/>
          <w:szCs w:val="32"/>
        </w:rPr>
        <w:t>目</w:t>
      </w:r>
      <w:r>
        <w:rPr>
          <w:rFonts w:hint="eastAsia" w:hAnsi="黑体" w:cs="黑体"/>
          <w:b/>
          <w:color w:val="auto"/>
          <w:sz w:val="32"/>
          <w:szCs w:val="32"/>
          <w:lang w:val="en-US" w:eastAsia="zh-CN"/>
        </w:rPr>
        <w:tab/>
      </w:r>
      <w:r>
        <w:rPr>
          <w:rFonts w:hint="eastAsia" w:ascii="黑体" w:hAnsi="黑体" w:eastAsia="黑体" w:cs="黑体"/>
          <w:b/>
          <w:color w:val="auto"/>
          <w:sz w:val="32"/>
          <w:szCs w:val="32"/>
        </w:rPr>
        <w:t>录</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黑体" w:hAnsi="黑体" w:eastAsia="黑体" w:cs="黑体"/>
          <w:b/>
          <w:color w:val="auto"/>
          <w:sz w:val="32"/>
          <w:szCs w:val="32"/>
        </w:rPr>
      </w:pPr>
      <w:r>
        <w:rPr>
          <w:rFonts w:hint="eastAsia" w:ascii="黑体" w:hAnsi="黑体" w:eastAsia="黑体" w:cs="黑体"/>
          <w:b/>
          <w:color w:val="auto"/>
          <w:sz w:val="32"/>
          <w:szCs w:val="32"/>
        </w:rPr>
        <w:t>第一部分</w:t>
      </w:r>
      <w:r>
        <w:rPr>
          <w:rFonts w:hint="eastAsia" w:hAnsi="黑体" w:cs="黑体"/>
          <w:b/>
          <w:color w:val="auto"/>
          <w:sz w:val="32"/>
          <w:szCs w:val="32"/>
          <w:lang w:val="en-US" w:eastAsia="zh-CN"/>
        </w:rPr>
        <w:tab/>
      </w:r>
      <w:r>
        <w:rPr>
          <w:rFonts w:hint="eastAsia" w:ascii="黑体" w:hAnsi="黑体" w:eastAsia="黑体" w:cs="黑体"/>
          <w:b/>
          <w:color w:val="auto"/>
          <w:sz w:val="32"/>
          <w:szCs w:val="32"/>
          <w:lang w:eastAsia="zh-CN"/>
        </w:rPr>
        <w:t>怀化市文学艺术界联合会部门</w:t>
      </w:r>
      <w:r>
        <w:rPr>
          <w:rFonts w:hint="eastAsia" w:ascii="黑体" w:hAnsi="黑体" w:eastAsia="黑体" w:cs="黑体"/>
          <w:b/>
          <w:color w:val="auto"/>
          <w:sz w:val="32"/>
          <w:szCs w:val="32"/>
        </w:rPr>
        <w:t>概况</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一、部门职责</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二、机构设置</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黑体" w:hAnsi="黑体" w:eastAsia="黑体" w:cs="黑体"/>
          <w:b/>
          <w:color w:val="auto"/>
          <w:sz w:val="32"/>
          <w:szCs w:val="32"/>
        </w:rPr>
      </w:pPr>
      <w:r>
        <w:rPr>
          <w:rFonts w:hint="eastAsia" w:ascii="黑体" w:hAnsi="黑体" w:eastAsia="黑体" w:cs="黑体"/>
          <w:b/>
          <w:color w:val="auto"/>
          <w:sz w:val="32"/>
          <w:szCs w:val="32"/>
        </w:rPr>
        <w:t>第二部分</w:t>
      </w:r>
      <w:r>
        <w:rPr>
          <w:rFonts w:hint="eastAsia" w:hAnsi="黑体" w:cs="黑体"/>
          <w:b/>
          <w:color w:val="auto"/>
          <w:sz w:val="32"/>
          <w:szCs w:val="32"/>
          <w:lang w:val="en-US" w:eastAsia="zh-CN"/>
        </w:rPr>
        <w:tab/>
      </w:r>
      <w:r>
        <w:rPr>
          <w:rFonts w:hint="eastAsia" w:ascii="黑体" w:hAnsi="黑体" w:eastAsia="黑体" w:cs="黑体"/>
          <w:b/>
          <w:color w:val="auto"/>
          <w:sz w:val="32"/>
          <w:szCs w:val="32"/>
        </w:rPr>
        <w:t>202</w:t>
      </w:r>
      <w:r>
        <w:rPr>
          <w:rFonts w:hint="eastAsia" w:ascii="黑体" w:hAnsi="黑体" w:eastAsia="黑体" w:cs="黑体"/>
          <w:b/>
          <w:color w:val="auto"/>
          <w:sz w:val="32"/>
          <w:szCs w:val="32"/>
          <w:lang w:val="en"/>
        </w:rPr>
        <w:t>1</w:t>
      </w:r>
      <w:r>
        <w:rPr>
          <w:rFonts w:hint="eastAsia" w:ascii="黑体" w:hAnsi="黑体" w:eastAsia="黑体" w:cs="黑体"/>
          <w:b/>
          <w:color w:val="auto"/>
          <w:sz w:val="32"/>
          <w:szCs w:val="32"/>
        </w:rPr>
        <w:t>年度部门决算表</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一、收入支出决算总表</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二、收入决算表</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三、支出决算表</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四、财政拨款收入支出决算总表</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五、一般公共预算财政拨款支出决算表</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六、一般公共预算财政拨款基本支出决算表</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七、一般公共预算财政拨款“三公”经费支出决算表</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八、政府性基金预算财政拨款收入支出决算表</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九、国有资本经营预算财政拨款支出决算表</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黑体" w:hAnsi="黑体" w:eastAsia="黑体" w:cs="黑体"/>
          <w:b/>
          <w:color w:val="auto"/>
          <w:sz w:val="32"/>
          <w:szCs w:val="32"/>
        </w:rPr>
      </w:pPr>
      <w:r>
        <w:rPr>
          <w:rFonts w:hint="eastAsia" w:ascii="黑体" w:hAnsi="黑体" w:eastAsia="黑体" w:cs="黑体"/>
          <w:b/>
          <w:color w:val="auto"/>
          <w:sz w:val="32"/>
          <w:szCs w:val="32"/>
        </w:rPr>
        <w:t>第三部分</w:t>
      </w:r>
      <w:r>
        <w:rPr>
          <w:rFonts w:hint="eastAsia" w:hAnsi="黑体" w:cs="黑体"/>
          <w:b/>
          <w:color w:val="auto"/>
          <w:sz w:val="32"/>
          <w:szCs w:val="32"/>
          <w:lang w:val="en-US" w:eastAsia="zh-CN"/>
        </w:rPr>
        <w:tab/>
      </w:r>
      <w:r>
        <w:rPr>
          <w:rFonts w:hint="eastAsia" w:ascii="黑体" w:hAnsi="黑体" w:eastAsia="黑体" w:cs="黑体"/>
          <w:b/>
          <w:color w:val="auto"/>
          <w:sz w:val="32"/>
          <w:szCs w:val="32"/>
        </w:rPr>
        <w:t>202</w:t>
      </w:r>
      <w:r>
        <w:rPr>
          <w:rFonts w:hint="eastAsia" w:ascii="黑体" w:hAnsi="黑体" w:eastAsia="黑体" w:cs="黑体"/>
          <w:b/>
          <w:color w:val="auto"/>
          <w:sz w:val="32"/>
          <w:szCs w:val="32"/>
          <w:lang w:val="en"/>
        </w:rPr>
        <w:t>1</w:t>
      </w:r>
      <w:r>
        <w:rPr>
          <w:rFonts w:hint="eastAsia" w:ascii="黑体" w:hAnsi="黑体" w:eastAsia="黑体" w:cs="黑体"/>
          <w:b/>
          <w:color w:val="auto"/>
          <w:sz w:val="32"/>
          <w:szCs w:val="32"/>
        </w:rPr>
        <w:t>年度部门决算情况说明</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一、收入支出决算总体情况说明</w:t>
      </w:r>
    </w:p>
    <w:p>
      <w:pPr>
        <w:keepNext w:val="0"/>
        <w:keepLines w:val="0"/>
        <w:pageBreakBefore w:val="0"/>
        <w:kinsoku/>
        <w:wordWrap/>
        <w:overflowPunct/>
        <w:topLinePunct w:val="0"/>
        <w:bidi w:val="0"/>
        <w:spacing w:line="600" w:lineRule="exact"/>
        <w:ind w:left="0" w:leftChars="0"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二、收入决算情况说明</w:t>
      </w:r>
    </w:p>
    <w:p>
      <w:pPr>
        <w:keepNext w:val="0"/>
        <w:keepLines w:val="0"/>
        <w:pageBreakBefore w:val="0"/>
        <w:kinsoku/>
        <w:wordWrap/>
        <w:overflowPunct/>
        <w:topLinePunct w:val="0"/>
        <w:autoSpaceDE w:val="0"/>
        <w:autoSpaceDN w:val="0"/>
        <w:bidi w:val="0"/>
        <w:adjustRightInd w:val="0"/>
        <w:spacing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三、支出决算情况说明</w:t>
      </w:r>
    </w:p>
    <w:p>
      <w:pPr>
        <w:keepNext w:val="0"/>
        <w:keepLines w:val="0"/>
        <w:pageBreakBefore w:val="0"/>
        <w:kinsoku/>
        <w:wordWrap/>
        <w:overflowPunct/>
        <w:topLinePunct w:val="0"/>
        <w:autoSpaceDE w:val="0"/>
        <w:autoSpaceDN w:val="0"/>
        <w:bidi w:val="0"/>
        <w:adjustRightInd w:val="0"/>
        <w:spacing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四、财政拨款收入支出决算总体情况说明</w:t>
      </w:r>
    </w:p>
    <w:p>
      <w:pPr>
        <w:keepNext w:val="0"/>
        <w:keepLines w:val="0"/>
        <w:pageBreakBefore w:val="0"/>
        <w:kinsoku/>
        <w:wordWrap/>
        <w:overflowPunct/>
        <w:topLinePunct w:val="0"/>
        <w:autoSpaceDE w:val="0"/>
        <w:autoSpaceDN w:val="0"/>
        <w:bidi w:val="0"/>
        <w:adjustRightInd w:val="0"/>
        <w:spacing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五、一般公共预算财政拨款支出决算情况说明</w:t>
      </w:r>
    </w:p>
    <w:p>
      <w:pPr>
        <w:keepNext w:val="0"/>
        <w:keepLines w:val="0"/>
        <w:pageBreakBefore w:val="0"/>
        <w:kinsoku/>
        <w:wordWrap/>
        <w:overflowPunct/>
        <w:topLinePunct w:val="0"/>
        <w:autoSpaceDE w:val="0"/>
        <w:autoSpaceDN w:val="0"/>
        <w:bidi w:val="0"/>
        <w:adjustRightInd w:val="0"/>
        <w:spacing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六、一般公共预算财政拨款基本支出决算情况说明</w:t>
      </w:r>
    </w:p>
    <w:p>
      <w:pPr>
        <w:keepNext w:val="0"/>
        <w:keepLines w:val="0"/>
        <w:pageBreakBefore w:val="0"/>
        <w:kinsoku/>
        <w:wordWrap/>
        <w:overflowPunct/>
        <w:topLinePunct w:val="0"/>
        <w:autoSpaceDE w:val="0"/>
        <w:autoSpaceDN w:val="0"/>
        <w:bidi w:val="0"/>
        <w:adjustRightInd w:val="0"/>
        <w:spacing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七、一般公共预算财政拨款三公经费支出决算情况说明</w:t>
      </w:r>
    </w:p>
    <w:p>
      <w:pPr>
        <w:keepNext w:val="0"/>
        <w:keepLines w:val="0"/>
        <w:pageBreakBefore w:val="0"/>
        <w:kinsoku/>
        <w:wordWrap/>
        <w:overflowPunct/>
        <w:topLinePunct w:val="0"/>
        <w:autoSpaceDE w:val="0"/>
        <w:autoSpaceDN w:val="0"/>
        <w:bidi w:val="0"/>
        <w:adjustRightInd w:val="0"/>
        <w:spacing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八、政府性基金预算收入支出决算情况</w:t>
      </w:r>
    </w:p>
    <w:p>
      <w:pPr>
        <w:keepNext w:val="0"/>
        <w:keepLines w:val="0"/>
        <w:pageBreakBefore w:val="0"/>
        <w:kinsoku/>
        <w:wordWrap/>
        <w:overflowPunct/>
        <w:topLinePunct w:val="0"/>
        <w:autoSpaceDE w:val="0"/>
        <w:autoSpaceDN w:val="0"/>
        <w:bidi w:val="0"/>
        <w:adjustRightInd w:val="0"/>
        <w:spacing w:line="600" w:lineRule="exact"/>
        <w:ind w:left="0" w:leftChars="0" w:firstLine="640" w:firstLineChars="200"/>
        <w:jc w:val="left"/>
        <w:textAlignment w:val="auto"/>
        <w:rPr>
          <w:rFonts w:hint="eastAsia" w:ascii="仿宋" w:hAnsi="仿宋" w:eastAsia="仿宋" w:cs="仿宋"/>
          <w:color w:val="auto"/>
          <w:kern w:val="0"/>
          <w:sz w:val="32"/>
          <w:szCs w:val="32"/>
          <w:lang w:eastAsia="zh-CN"/>
        </w:rPr>
      </w:pPr>
      <w:r>
        <w:rPr>
          <w:rFonts w:hint="eastAsia" w:ascii="仿宋" w:hAnsi="仿宋" w:eastAsia="仿宋" w:cs="仿宋"/>
          <w:color w:val="auto"/>
          <w:kern w:val="0"/>
          <w:sz w:val="32"/>
          <w:szCs w:val="32"/>
        </w:rPr>
        <w:t>九、</w:t>
      </w:r>
      <w:r>
        <w:rPr>
          <w:rFonts w:hint="eastAsia" w:ascii="仿宋" w:hAnsi="仿宋" w:eastAsia="仿宋" w:cs="仿宋"/>
          <w:color w:val="auto"/>
          <w:kern w:val="0"/>
          <w:sz w:val="32"/>
          <w:szCs w:val="32"/>
          <w:lang w:eastAsia="zh-CN"/>
        </w:rPr>
        <w:t>国有资本经营预算财政拨款支出决算情况说明</w:t>
      </w:r>
    </w:p>
    <w:p>
      <w:pPr>
        <w:keepNext w:val="0"/>
        <w:keepLines w:val="0"/>
        <w:pageBreakBefore w:val="0"/>
        <w:kinsoku/>
        <w:wordWrap/>
        <w:overflowPunct/>
        <w:topLinePunct w:val="0"/>
        <w:autoSpaceDE w:val="0"/>
        <w:autoSpaceDN w:val="0"/>
        <w:bidi w:val="0"/>
        <w:adjustRightInd w:val="0"/>
        <w:spacing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lang w:eastAsia="zh-CN"/>
        </w:rPr>
        <w:t>十、</w:t>
      </w:r>
      <w:r>
        <w:rPr>
          <w:rFonts w:hint="eastAsia" w:ascii="仿宋" w:hAnsi="仿宋" w:eastAsia="仿宋" w:cs="仿宋"/>
          <w:color w:val="auto"/>
          <w:kern w:val="0"/>
          <w:sz w:val="32"/>
          <w:szCs w:val="32"/>
        </w:rPr>
        <w:t>关于机关运行经费支出说明</w:t>
      </w:r>
    </w:p>
    <w:p>
      <w:pPr>
        <w:keepNext w:val="0"/>
        <w:keepLines w:val="0"/>
        <w:pageBreakBefore w:val="0"/>
        <w:kinsoku/>
        <w:wordWrap/>
        <w:overflowPunct/>
        <w:topLinePunct w:val="0"/>
        <w:autoSpaceDE w:val="0"/>
        <w:autoSpaceDN w:val="0"/>
        <w:bidi w:val="0"/>
        <w:adjustRightInd w:val="0"/>
        <w:spacing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十</w:t>
      </w:r>
      <w:r>
        <w:rPr>
          <w:rFonts w:hint="eastAsia" w:ascii="仿宋" w:hAnsi="仿宋" w:eastAsia="仿宋" w:cs="仿宋"/>
          <w:color w:val="auto"/>
          <w:kern w:val="0"/>
          <w:sz w:val="32"/>
          <w:szCs w:val="32"/>
          <w:lang w:eastAsia="zh-CN"/>
        </w:rPr>
        <w:t>一</w:t>
      </w:r>
      <w:r>
        <w:rPr>
          <w:rFonts w:hint="eastAsia" w:ascii="仿宋" w:hAnsi="仿宋" w:eastAsia="仿宋" w:cs="仿宋"/>
          <w:color w:val="auto"/>
          <w:kern w:val="0"/>
          <w:sz w:val="32"/>
          <w:szCs w:val="32"/>
        </w:rPr>
        <w:t>、一般性支出情况</w:t>
      </w:r>
    </w:p>
    <w:p>
      <w:pPr>
        <w:keepNext w:val="0"/>
        <w:keepLines w:val="0"/>
        <w:pageBreakBefore w:val="0"/>
        <w:kinsoku/>
        <w:wordWrap/>
        <w:overflowPunct/>
        <w:topLinePunct w:val="0"/>
        <w:autoSpaceDE w:val="0"/>
        <w:autoSpaceDN w:val="0"/>
        <w:bidi w:val="0"/>
        <w:adjustRightInd w:val="0"/>
        <w:spacing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十</w:t>
      </w:r>
      <w:r>
        <w:rPr>
          <w:rFonts w:hint="eastAsia" w:ascii="仿宋" w:hAnsi="仿宋" w:eastAsia="仿宋" w:cs="仿宋"/>
          <w:color w:val="auto"/>
          <w:kern w:val="0"/>
          <w:sz w:val="32"/>
          <w:szCs w:val="32"/>
          <w:lang w:eastAsia="zh-CN"/>
        </w:rPr>
        <w:t>二</w:t>
      </w:r>
      <w:r>
        <w:rPr>
          <w:rFonts w:hint="eastAsia" w:ascii="仿宋" w:hAnsi="仿宋" w:eastAsia="仿宋" w:cs="仿宋"/>
          <w:color w:val="auto"/>
          <w:kern w:val="0"/>
          <w:sz w:val="32"/>
          <w:szCs w:val="32"/>
        </w:rPr>
        <w:t>、关于政府采购支出说明</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w:t>
      </w:r>
      <w:r>
        <w:rPr>
          <w:rFonts w:hint="eastAsia" w:ascii="仿宋" w:hAnsi="仿宋" w:eastAsia="仿宋" w:cs="仿宋"/>
          <w:color w:val="auto"/>
          <w:sz w:val="32"/>
          <w:szCs w:val="32"/>
          <w:lang w:eastAsia="zh-CN"/>
        </w:rPr>
        <w:t>三</w:t>
      </w:r>
      <w:r>
        <w:rPr>
          <w:rFonts w:hint="eastAsia" w:ascii="仿宋" w:hAnsi="仿宋" w:eastAsia="仿宋" w:cs="仿宋"/>
          <w:color w:val="auto"/>
          <w:sz w:val="32"/>
          <w:szCs w:val="32"/>
        </w:rPr>
        <w:t>、关于国有资产占用情况说明</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w:t>
      </w:r>
      <w:r>
        <w:rPr>
          <w:rFonts w:hint="eastAsia" w:ascii="仿宋" w:hAnsi="仿宋" w:eastAsia="仿宋" w:cs="仿宋"/>
          <w:color w:val="auto"/>
          <w:sz w:val="32"/>
          <w:szCs w:val="32"/>
          <w:lang w:eastAsia="zh-CN"/>
        </w:rPr>
        <w:t>四</w:t>
      </w:r>
      <w:r>
        <w:rPr>
          <w:rFonts w:hint="eastAsia" w:ascii="仿宋" w:hAnsi="仿宋" w:eastAsia="仿宋" w:cs="仿宋"/>
          <w:color w:val="auto"/>
          <w:sz w:val="32"/>
          <w:szCs w:val="32"/>
        </w:rPr>
        <w:t>、关于202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年度预算绩效情况的说明</w:t>
      </w:r>
    </w:p>
    <w:p>
      <w:pPr>
        <w:keepNext w:val="0"/>
        <w:keepLines w:val="0"/>
        <w:pageBreakBefore w:val="0"/>
        <w:kinsoku/>
        <w:wordWrap/>
        <w:overflowPunct/>
        <w:topLinePunct w:val="0"/>
        <w:autoSpaceDE w:val="0"/>
        <w:autoSpaceDN w:val="0"/>
        <w:bidi w:val="0"/>
        <w:adjustRightInd w:val="0"/>
        <w:spacing w:line="600" w:lineRule="exact"/>
        <w:ind w:left="0" w:leftChars="0" w:firstLine="640" w:firstLineChars="200"/>
        <w:jc w:val="left"/>
        <w:textAlignment w:val="auto"/>
        <w:rPr>
          <w:rFonts w:hint="eastAsia" w:ascii="黑体" w:hAnsi="黑体" w:eastAsia="黑体" w:cs="黑体"/>
          <w:b/>
          <w:color w:val="auto"/>
          <w:kern w:val="0"/>
          <w:sz w:val="32"/>
          <w:szCs w:val="32"/>
        </w:rPr>
      </w:pPr>
      <w:r>
        <w:rPr>
          <w:rFonts w:hint="eastAsia" w:ascii="黑体" w:hAnsi="黑体" w:eastAsia="黑体" w:cs="黑体"/>
          <w:b/>
          <w:color w:val="auto"/>
          <w:kern w:val="0"/>
          <w:sz w:val="32"/>
          <w:szCs w:val="32"/>
        </w:rPr>
        <w:t>第四部分</w:t>
      </w:r>
      <w:r>
        <w:rPr>
          <w:rFonts w:hint="eastAsia" w:ascii="黑体" w:hAnsi="黑体" w:eastAsia="黑体" w:cs="黑体"/>
          <w:b/>
          <w:color w:val="auto"/>
          <w:kern w:val="0"/>
          <w:sz w:val="32"/>
          <w:szCs w:val="32"/>
          <w:lang w:val="en-US" w:eastAsia="zh-CN"/>
        </w:rPr>
        <w:tab/>
      </w:r>
      <w:r>
        <w:rPr>
          <w:rFonts w:hint="eastAsia" w:ascii="黑体" w:hAnsi="黑体" w:eastAsia="黑体" w:cs="黑体"/>
          <w:b/>
          <w:color w:val="auto"/>
          <w:kern w:val="0"/>
          <w:sz w:val="32"/>
          <w:szCs w:val="32"/>
        </w:rPr>
        <w:t>名词解释</w:t>
      </w:r>
    </w:p>
    <w:p>
      <w:pPr>
        <w:keepNext w:val="0"/>
        <w:keepLines w:val="0"/>
        <w:pageBreakBefore w:val="0"/>
        <w:kinsoku/>
        <w:wordWrap/>
        <w:overflowPunct/>
        <w:topLinePunct w:val="0"/>
        <w:autoSpaceDE w:val="0"/>
        <w:autoSpaceDN w:val="0"/>
        <w:bidi w:val="0"/>
        <w:adjustRightInd w:val="0"/>
        <w:spacing w:line="600" w:lineRule="exact"/>
        <w:ind w:left="0" w:leftChars="0" w:firstLine="640" w:firstLineChars="200"/>
        <w:jc w:val="left"/>
        <w:textAlignment w:val="auto"/>
        <w:rPr>
          <w:rFonts w:hint="eastAsia" w:ascii="黑体" w:hAnsi="黑体" w:eastAsia="黑体" w:cs="黑体"/>
          <w:b/>
          <w:color w:val="auto"/>
          <w:kern w:val="0"/>
          <w:sz w:val="32"/>
          <w:szCs w:val="32"/>
        </w:rPr>
      </w:pPr>
      <w:r>
        <w:rPr>
          <w:rFonts w:hint="eastAsia" w:ascii="黑体" w:hAnsi="黑体" w:eastAsia="黑体" w:cs="黑体"/>
          <w:b/>
          <w:color w:val="auto"/>
          <w:kern w:val="0"/>
          <w:sz w:val="32"/>
          <w:szCs w:val="32"/>
        </w:rPr>
        <w:t>第五部分</w:t>
      </w:r>
      <w:r>
        <w:rPr>
          <w:rFonts w:hint="eastAsia" w:ascii="黑体" w:hAnsi="黑体" w:eastAsia="黑体" w:cs="黑体"/>
          <w:b/>
          <w:color w:val="auto"/>
          <w:kern w:val="0"/>
          <w:sz w:val="32"/>
          <w:szCs w:val="32"/>
          <w:lang w:val="en-US" w:eastAsia="zh-CN"/>
        </w:rPr>
        <w:tab/>
      </w:r>
      <w:r>
        <w:rPr>
          <w:rFonts w:hint="eastAsia" w:ascii="黑体" w:hAnsi="黑体" w:eastAsia="黑体" w:cs="黑体"/>
          <w:b/>
          <w:color w:val="auto"/>
          <w:kern w:val="0"/>
          <w:sz w:val="32"/>
          <w:szCs w:val="32"/>
        </w:rPr>
        <w:t>附件</w:t>
      </w:r>
    </w:p>
    <w:p>
      <w:pPr>
        <w:keepNext w:val="0"/>
        <w:keepLines w:val="0"/>
        <w:pageBreakBefore w:val="0"/>
        <w:kinsoku/>
        <w:wordWrap/>
        <w:overflowPunct/>
        <w:topLinePunct w:val="0"/>
        <w:bidi w:val="0"/>
        <w:spacing w:line="600" w:lineRule="exact"/>
        <w:ind w:left="0" w:leftChars="0" w:firstLine="640" w:firstLineChars="200"/>
        <w:jc w:val="center"/>
        <w:textAlignment w:val="auto"/>
        <w:rPr>
          <w:rFonts w:hint="eastAsia" w:ascii="仿宋" w:hAnsi="仿宋" w:eastAsia="仿宋" w:cs="仿宋"/>
          <w:color w:val="auto"/>
          <w:sz w:val="32"/>
          <w:szCs w:val="32"/>
        </w:rPr>
      </w:pPr>
    </w:p>
    <w:p>
      <w:pPr>
        <w:pStyle w:val="13"/>
        <w:keepNext w:val="0"/>
        <w:keepLines w:val="0"/>
        <w:pageBreakBefore w:val="0"/>
        <w:kinsoku/>
        <w:wordWrap/>
        <w:overflowPunct/>
        <w:topLinePunct w:val="0"/>
        <w:bidi w:val="0"/>
        <w:spacing w:line="600" w:lineRule="exact"/>
        <w:jc w:val="center"/>
        <w:textAlignment w:val="auto"/>
        <w:rPr>
          <w:rFonts w:hint="eastAsia" w:ascii="黑体" w:hAnsi="黑体" w:eastAsia="黑体" w:cs="黑体"/>
          <w:b/>
          <w:bCs/>
          <w:color w:val="auto"/>
          <w:sz w:val="44"/>
          <w:szCs w:val="44"/>
        </w:rPr>
      </w:pPr>
      <w:r>
        <w:rPr>
          <w:rFonts w:hint="eastAsia" w:ascii="黑体" w:hAnsi="黑体" w:eastAsia="黑体" w:cs="黑体"/>
          <w:b/>
          <w:bCs/>
          <w:color w:val="auto"/>
          <w:sz w:val="44"/>
          <w:szCs w:val="44"/>
        </w:rPr>
        <w:t>第一部分</w:t>
      </w:r>
      <w:r>
        <w:rPr>
          <w:rFonts w:hint="eastAsia" w:ascii="黑体" w:hAnsi="黑体" w:eastAsia="黑体" w:cs="黑体"/>
          <w:b/>
          <w:bCs/>
          <w:color w:val="auto"/>
          <w:sz w:val="44"/>
          <w:szCs w:val="44"/>
          <w:lang w:val="en-US" w:eastAsia="zh-CN"/>
        </w:rPr>
        <w:tab/>
      </w:r>
      <w:r>
        <w:rPr>
          <w:rFonts w:hint="eastAsia" w:ascii="黑体" w:hAnsi="黑体" w:eastAsia="黑体" w:cs="黑体"/>
          <w:b/>
          <w:bCs/>
          <w:color w:val="auto"/>
          <w:sz w:val="44"/>
          <w:szCs w:val="44"/>
        </w:rPr>
        <w:t>怀化市文学艺术界联合会单位概况</w:t>
      </w:r>
    </w:p>
    <w:p>
      <w:pPr>
        <w:pStyle w:val="14"/>
        <w:keepNext w:val="0"/>
        <w:keepLines w:val="0"/>
        <w:pageBreakBefore w:val="0"/>
        <w:kinsoku/>
        <w:wordWrap/>
        <w:overflowPunct/>
        <w:topLinePunct w:val="0"/>
        <w:bidi w:val="0"/>
        <w:spacing w:line="600" w:lineRule="exact"/>
        <w:ind w:left="0" w:leftChars="0" w:firstLine="640" w:firstLineChars="200"/>
        <w:jc w:val="left"/>
        <w:textAlignment w:val="auto"/>
        <w:rPr>
          <w:rFonts w:hint="eastAsia" w:ascii="仿宋" w:hAnsi="仿宋" w:eastAsia="仿宋" w:cs="仿宋"/>
          <w:color w:val="auto"/>
          <w:sz w:val="32"/>
          <w:szCs w:val="32"/>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left="0" w:right="0" w:firstLine="640" w:firstLineChars="200"/>
        <w:textAlignment w:val="auto"/>
        <w:rPr>
          <w:rFonts w:hint="eastAsia" w:ascii="黑体" w:hAnsi="黑体" w:eastAsia="黑体" w:cs="黑体"/>
          <w:b w:val="0"/>
          <w:bCs/>
          <w:i w:val="0"/>
          <w:iCs w:val="0"/>
          <w:caps w:val="0"/>
          <w:color w:val="auto"/>
          <w:spacing w:val="0"/>
          <w:sz w:val="32"/>
          <w:szCs w:val="32"/>
        </w:rPr>
      </w:pPr>
      <w:r>
        <w:rPr>
          <w:rStyle w:val="10"/>
          <w:rFonts w:hint="eastAsia" w:ascii="黑体" w:hAnsi="黑体" w:eastAsia="黑体" w:cs="黑体"/>
          <w:b w:val="0"/>
          <w:bCs/>
          <w:i w:val="0"/>
          <w:iCs w:val="0"/>
          <w:caps w:val="0"/>
          <w:color w:val="auto"/>
          <w:spacing w:val="0"/>
          <w:sz w:val="32"/>
          <w:szCs w:val="32"/>
          <w:shd w:val="clear" w:color="auto" w:fill="FFFFFF"/>
        </w:rPr>
        <w:t>一、部门职责</w:t>
      </w:r>
    </w:p>
    <w:p>
      <w:pPr>
        <w:keepNext w:val="0"/>
        <w:keepLines w:val="0"/>
        <w:pageBreakBefore w:val="0"/>
        <w:kinsoku/>
        <w:wordWrap/>
        <w:overflowPunct/>
        <w:topLinePunct w:val="0"/>
        <w:bidi w:val="0"/>
        <w:spacing w:line="600" w:lineRule="exact"/>
        <w:ind w:left="0" w:leftChars="0"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怀化市文学艺术界联合会是党委政府联系文艺家的群众团体，按照科学发展观的要求，坚持文艺“为人民服务，为社会主义服务”的方向和“百花齐放，百家争鸣”的方针，充分发挥文联“团结引导、联络协调、服务管理、自律维权”的职能，着力发挥好党委政府和文艺家之间的桥梁纽带作用，不断探索新形势下文学艺术创作的新途径，积极组织全市文艺工作者开展文艺创作，文艺演出、展览、评奖、研讨和交流等活动，激发文艺工作者的创作热情，做好各个艺术门类及各艺术类别的联络、协调、服务指导工作。进一步拓展服务基层的渠道，提高服务群众的水平，繁荣我市文艺事业.</w:t>
      </w:r>
    </w:p>
    <w:p>
      <w:pPr>
        <w:keepNext w:val="0"/>
        <w:keepLines w:val="0"/>
        <w:pageBreakBefore w:val="0"/>
        <w:widowControl/>
        <w:kinsoku/>
        <w:wordWrap/>
        <w:overflowPunct/>
        <w:topLinePunct w:val="0"/>
        <w:bidi w:val="0"/>
        <w:spacing w:line="600" w:lineRule="exact"/>
        <w:ind w:left="0" w:leftChars="0" w:firstLine="640" w:firstLineChars="200"/>
        <w:textAlignment w:val="auto"/>
        <w:rPr>
          <w:rFonts w:hint="eastAsia" w:ascii="黑体" w:hAnsi="黑体" w:eastAsia="黑体" w:cs="黑体"/>
          <w:b w:val="0"/>
          <w:bCs/>
          <w:color w:val="auto"/>
          <w:kern w:val="0"/>
          <w:sz w:val="32"/>
          <w:szCs w:val="32"/>
        </w:rPr>
      </w:pPr>
      <w:r>
        <w:rPr>
          <w:rFonts w:hint="eastAsia" w:ascii="黑体" w:hAnsi="黑体" w:eastAsia="黑体" w:cs="黑体"/>
          <w:b w:val="0"/>
          <w:bCs/>
          <w:color w:val="auto"/>
          <w:kern w:val="0"/>
          <w:sz w:val="32"/>
          <w:szCs w:val="32"/>
        </w:rPr>
        <w:t>二、机构设置及决算单位构成</w:t>
      </w:r>
    </w:p>
    <w:p>
      <w:pPr>
        <w:keepNext w:val="0"/>
        <w:keepLines w:val="0"/>
        <w:pageBreakBefore w:val="0"/>
        <w:widowControl/>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b/>
          <w:bCs w:val="0"/>
          <w:color w:val="auto"/>
          <w:kern w:val="0"/>
          <w:sz w:val="32"/>
          <w:szCs w:val="32"/>
        </w:rPr>
        <w:t>（一）内设机构设置：</w:t>
      </w:r>
      <w:r>
        <w:rPr>
          <w:rFonts w:hint="eastAsia" w:ascii="仿宋" w:hAnsi="仿宋" w:eastAsia="仿宋" w:cs="仿宋"/>
          <w:color w:val="auto"/>
          <w:sz w:val="32"/>
          <w:szCs w:val="32"/>
        </w:rPr>
        <w:t>怀化市文学艺术界联合会</w:t>
      </w:r>
      <w:r>
        <w:rPr>
          <w:rFonts w:hint="eastAsia" w:ascii="仿宋" w:hAnsi="仿宋" w:eastAsia="仿宋" w:cs="仿宋"/>
          <w:color w:val="auto"/>
          <w:sz w:val="32"/>
          <w:szCs w:val="32"/>
          <w:lang w:eastAsia="zh-CN"/>
        </w:rPr>
        <w:t>作为一级预算单位，</w:t>
      </w:r>
      <w:r>
        <w:rPr>
          <w:rFonts w:hint="eastAsia" w:ascii="仿宋" w:hAnsi="仿宋" w:eastAsia="仿宋" w:cs="仿宋"/>
          <w:color w:val="auto"/>
          <w:sz w:val="32"/>
          <w:szCs w:val="32"/>
        </w:rPr>
        <w:t>内设机构包括：办公室，二级部门预算单位：雪峰文学杂志社(无内设机构、财务未独立核算)</w:t>
      </w:r>
    </w:p>
    <w:p>
      <w:pPr>
        <w:keepNext w:val="0"/>
        <w:keepLines w:val="0"/>
        <w:pageBreakBefore w:val="0"/>
        <w:widowControl/>
        <w:kinsoku/>
        <w:wordWrap/>
        <w:overflowPunct/>
        <w:topLinePunct w:val="0"/>
        <w:bidi w:val="0"/>
        <w:spacing w:line="600" w:lineRule="exact"/>
        <w:ind w:left="0" w:leftChars="0"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b/>
          <w:bCs w:val="0"/>
          <w:color w:val="auto"/>
          <w:kern w:val="0"/>
          <w:sz w:val="32"/>
          <w:szCs w:val="32"/>
        </w:rPr>
        <w:t>（二）决算单位构成。</w:t>
      </w:r>
      <w:r>
        <w:rPr>
          <w:rFonts w:hint="eastAsia" w:ascii="仿宋" w:hAnsi="仿宋" w:eastAsia="仿宋" w:cs="仿宋"/>
          <w:color w:val="auto"/>
          <w:sz w:val="32"/>
          <w:szCs w:val="32"/>
        </w:rPr>
        <w:t>怀化市文学艺术界联合会</w:t>
      </w:r>
      <w:r>
        <w:rPr>
          <w:rFonts w:hint="eastAsia" w:ascii="仿宋" w:hAnsi="仿宋" w:eastAsia="仿宋" w:cs="仿宋"/>
          <w:color w:val="auto"/>
          <w:sz w:val="32"/>
          <w:szCs w:val="32"/>
          <w:lang w:val="en"/>
        </w:rPr>
        <w:t>2021</w:t>
      </w:r>
      <w:r>
        <w:rPr>
          <w:rFonts w:hint="eastAsia" w:ascii="仿宋" w:hAnsi="仿宋" w:eastAsia="仿宋" w:cs="仿宋"/>
          <w:color w:val="auto"/>
          <w:sz w:val="32"/>
          <w:szCs w:val="32"/>
        </w:rPr>
        <w:t>年部门决算汇总公开单位构成包括：怀化市文学艺术界联合会本级以及雪峰文学杂志社</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 </w:t>
      </w:r>
    </w:p>
    <w:p>
      <w:pPr>
        <w:pStyle w:val="2"/>
        <w:rPr>
          <w:rFonts w:hint="eastAsia"/>
          <w:color w:val="auto"/>
        </w:rPr>
      </w:pPr>
    </w:p>
    <w:p>
      <w:pPr>
        <w:keepNext w:val="0"/>
        <w:keepLines w:val="0"/>
        <w:pageBreakBefore w:val="0"/>
        <w:kinsoku/>
        <w:wordWrap/>
        <w:overflowPunct/>
        <w:topLinePunct w:val="0"/>
        <w:autoSpaceDE/>
        <w:autoSpaceDN/>
        <w:bidi w:val="0"/>
        <w:adjustRightInd/>
        <w:snapToGrid/>
        <w:spacing w:line="600" w:lineRule="exact"/>
        <w:jc w:val="center"/>
        <w:textAlignment w:val="auto"/>
        <w:rPr>
          <w:rStyle w:val="10"/>
          <w:rFonts w:hint="eastAsia" w:ascii="黑体" w:hAnsi="黑体" w:eastAsia="黑体" w:cs="黑体"/>
          <w:i w:val="0"/>
          <w:iCs w:val="0"/>
          <w:caps w:val="0"/>
          <w:color w:val="auto"/>
          <w:spacing w:val="0"/>
          <w:sz w:val="44"/>
          <w:szCs w:val="44"/>
          <w:highlight w:val="none"/>
          <w:shd w:val="clear" w:color="auto" w:fill="FFFFFF"/>
        </w:rPr>
      </w:pPr>
      <w:r>
        <w:rPr>
          <w:rStyle w:val="10"/>
          <w:rFonts w:hint="eastAsia" w:ascii="黑体" w:hAnsi="黑体" w:eastAsia="黑体" w:cs="黑体"/>
          <w:i w:val="0"/>
          <w:iCs w:val="0"/>
          <w:caps w:val="0"/>
          <w:color w:val="auto"/>
          <w:spacing w:val="0"/>
          <w:sz w:val="44"/>
          <w:szCs w:val="44"/>
          <w:highlight w:val="none"/>
          <w:shd w:val="clear" w:color="auto" w:fill="FFFFFF"/>
        </w:rPr>
        <w:t>第二部分 2021年度部门决算表</w:t>
      </w:r>
    </w:p>
    <w:p>
      <w:pPr>
        <w:keepNext w:val="0"/>
        <w:keepLines w:val="0"/>
        <w:pageBreakBefore w:val="0"/>
        <w:kinsoku/>
        <w:wordWrap/>
        <w:overflowPunct/>
        <w:topLinePunct w:val="0"/>
        <w:autoSpaceDE/>
        <w:autoSpaceDN/>
        <w:bidi w:val="0"/>
        <w:adjustRightInd/>
        <w:snapToGrid/>
        <w:spacing w:line="600" w:lineRule="exact"/>
        <w:jc w:val="center"/>
        <w:textAlignment w:val="auto"/>
        <w:rPr>
          <w:rStyle w:val="10"/>
          <w:rFonts w:hint="eastAsia" w:ascii="仿宋" w:hAnsi="仿宋" w:eastAsia="仿宋" w:cs="仿宋"/>
          <w:i w:val="0"/>
          <w:iCs w:val="0"/>
          <w:caps w:val="0"/>
          <w:color w:val="auto"/>
          <w:spacing w:val="0"/>
          <w:sz w:val="32"/>
          <w:szCs w:val="32"/>
          <w:highlight w:val="yellow"/>
          <w:shd w:val="clear" w:color="auto" w:fill="FFFFFF"/>
          <w:lang w:val="en-US" w:eastAsia="zh-CN"/>
        </w:rPr>
      </w:pPr>
      <w:r>
        <w:rPr>
          <w:rStyle w:val="10"/>
          <w:rFonts w:hint="eastAsia" w:ascii="仿宋" w:hAnsi="仿宋" w:eastAsia="仿宋" w:cs="仿宋"/>
          <w:i w:val="0"/>
          <w:iCs w:val="0"/>
          <w:caps w:val="0"/>
          <w:color w:val="auto"/>
          <w:spacing w:val="0"/>
          <w:sz w:val="32"/>
          <w:szCs w:val="32"/>
          <w:highlight w:val="none"/>
          <w:shd w:val="clear" w:color="auto" w:fill="FFFFFF"/>
          <w:lang w:val="en-US" w:eastAsia="zh-CN"/>
        </w:rPr>
        <w:t>见附表</w:t>
      </w:r>
    </w:p>
    <w:p>
      <w:pPr>
        <w:pStyle w:val="7"/>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right="0"/>
        <w:jc w:val="center"/>
        <w:textAlignment w:val="auto"/>
        <w:rPr>
          <w:rFonts w:hint="eastAsia" w:ascii="黑体" w:hAnsi="黑体" w:eastAsia="黑体" w:cs="黑体"/>
          <w:i w:val="0"/>
          <w:iCs w:val="0"/>
          <w:caps w:val="0"/>
          <w:color w:val="auto"/>
          <w:spacing w:val="0"/>
          <w:sz w:val="44"/>
          <w:szCs w:val="44"/>
        </w:rPr>
      </w:pPr>
      <w:r>
        <w:rPr>
          <w:rFonts w:hint="eastAsia" w:ascii="仿宋" w:hAnsi="仿宋" w:eastAsia="仿宋" w:cs="仿宋"/>
          <w:b/>
          <w:bCs/>
          <w:color w:val="auto"/>
          <w:sz w:val="32"/>
          <w:szCs w:val="32"/>
        </w:rPr>
        <w:t> </w:t>
      </w:r>
      <w:r>
        <w:rPr>
          <w:rStyle w:val="10"/>
          <w:rFonts w:hint="eastAsia" w:ascii="黑体" w:hAnsi="黑体" w:eastAsia="黑体" w:cs="黑体"/>
          <w:i w:val="0"/>
          <w:iCs w:val="0"/>
          <w:caps w:val="0"/>
          <w:color w:val="auto"/>
          <w:spacing w:val="0"/>
          <w:sz w:val="44"/>
          <w:szCs w:val="44"/>
          <w:shd w:val="clear" w:color="auto" w:fill="FFFFFF"/>
        </w:rPr>
        <w:t>第三部分 2021年度部门决算情况说明</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left="0" w:right="0" w:firstLine="640" w:firstLineChars="200"/>
        <w:textAlignment w:val="auto"/>
        <w:rPr>
          <w:rFonts w:hint="eastAsia" w:ascii="仿宋" w:hAnsi="仿宋" w:eastAsia="仿宋" w:cs="仿宋"/>
          <w:i w:val="0"/>
          <w:iCs w:val="0"/>
          <w:caps w:val="0"/>
          <w:color w:val="auto"/>
          <w:spacing w:val="0"/>
          <w:sz w:val="32"/>
          <w:szCs w:val="32"/>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left="0" w:right="0" w:firstLine="640" w:firstLineChars="200"/>
        <w:textAlignment w:val="auto"/>
        <w:rPr>
          <w:rFonts w:hint="eastAsia" w:ascii="仿宋" w:hAnsi="仿宋" w:eastAsia="仿宋" w:cs="仿宋"/>
          <w:b w:val="0"/>
          <w:bCs w:val="0"/>
          <w:color w:val="auto"/>
          <w:sz w:val="32"/>
          <w:szCs w:val="32"/>
        </w:rPr>
      </w:pPr>
      <w:r>
        <w:rPr>
          <w:rStyle w:val="10"/>
          <w:rFonts w:hint="eastAsia" w:ascii="黑体" w:hAnsi="黑体" w:eastAsia="黑体" w:cs="黑体"/>
          <w:b w:val="0"/>
          <w:bCs w:val="0"/>
          <w:i w:val="0"/>
          <w:iCs w:val="0"/>
          <w:caps w:val="0"/>
          <w:color w:val="auto"/>
          <w:spacing w:val="0"/>
          <w:sz w:val="32"/>
          <w:szCs w:val="32"/>
          <w:shd w:val="clear" w:color="auto" w:fill="FFFFFF"/>
        </w:rPr>
        <w:t>一、收入支出决算总体情况说明</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
        </w:rPr>
        <w:t>1</w:t>
      </w:r>
      <w:r>
        <w:rPr>
          <w:rFonts w:hint="eastAsia" w:ascii="仿宋" w:hAnsi="仿宋" w:eastAsia="仿宋" w:cs="仿宋"/>
          <w:color w:val="auto"/>
          <w:sz w:val="32"/>
          <w:szCs w:val="32"/>
        </w:rPr>
        <w:t>年度收、支总计</w:t>
      </w:r>
      <w:r>
        <w:rPr>
          <w:rFonts w:hint="eastAsia" w:ascii="仿宋" w:hAnsi="仿宋" w:eastAsia="仿宋" w:cs="仿宋"/>
          <w:color w:val="auto"/>
          <w:sz w:val="32"/>
          <w:szCs w:val="32"/>
          <w:lang w:val="en-US" w:eastAsia="zh-CN"/>
        </w:rPr>
        <w:t>各</w:t>
      </w:r>
      <w:r>
        <w:rPr>
          <w:rFonts w:hint="eastAsia" w:ascii="仿宋" w:hAnsi="仿宋" w:eastAsia="仿宋" w:cs="仿宋"/>
          <w:color w:val="auto"/>
          <w:sz w:val="32"/>
          <w:szCs w:val="32"/>
          <w:lang w:val="en"/>
        </w:rPr>
        <w:t>312.01</w:t>
      </w:r>
      <w:r>
        <w:rPr>
          <w:rFonts w:hint="eastAsia" w:ascii="仿宋" w:hAnsi="仿宋" w:eastAsia="仿宋" w:cs="仿宋"/>
          <w:color w:val="auto"/>
          <w:sz w:val="32"/>
          <w:szCs w:val="32"/>
        </w:rPr>
        <w:t>万元。与上年相比，减少</w:t>
      </w:r>
      <w:r>
        <w:rPr>
          <w:rFonts w:hint="eastAsia" w:ascii="仿宋" w:hAnsi="仿宋" w:eastAsia="仿宋" w:cs="仿宋"/>
          <w:color w:val="auto"/>
          <w:sz w:val="32"/>
          <w:szCs w:val="32"/>
          <w:lang w:val="en"/>
        </w:rPr>
        <w:t>58.65</w:t>
      </w:r>
      <w:r>
        <w:rPr>
          <w:rFonts w:hint="eastAsia" w:ascii="仿宋" w:hAnsi="仿宋" w:eastAsia="仿宋" w:cs="仿宋"/>
          <w:color w:val="auto"/>
          <w:sz w:val="32"/>
          <w:szCs w:val="32"/>
        </w:rPr>
        <w:t>万元，减少</w:t>
      </w:r>
      <w:r>
        <w:rPr>
          <w:rFonts w:hint="eastAsia" w:ascii="仿宋" w:hAnsi="仿宋" w:eastAsia="仿宋" w:cs="仿宋"/>
          <w:color w:val="auto"/>
          <w:sz w:val="32"/>
          <w:szCs w:val="32"/>
          <w:lang w:val="en"/>
        </w:rPr>
        <w:t>15.8</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%，主要是因为励行节约,预算经费压减。</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二、收入决算情况说明</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本年收入合计</w:t>
      </w:r>
      <w:r>
        <w:rPr>
          <w:rFonts w:hint="eastAsia" w:ascii="仿宋" w:hAnsi="仿宋" w:eastAsia="仿宋" w:cs="仿宋"/>
          <w:color w:val="auto"/>
          <w:sz w:val="32"/>
          <w:szCs w:val="32"/>
          <w:lang w:val="en"/>
        </w:rPr>
        <w:t>310.01</w:t>
      </w:r>
      <w:r>
        <w:rPr>
          <w:rFonts w:hint="eastAsia" w:ascii="仿宋" w:hAnsi="仿宋" w:eastAsia="仿宋" w:cs="仿宋"/>
          <w:color w:val="auto"/>
          <w:sz w:val="32"/>
          <w:szCs w:val="32"/>
        </w:rPr>
        <w:t>万元，其中：财政拨款收</w:t>
      </w:r>
      <w:r>
        <w:rPr>
          <w:rFonts w:hint="eastAsia" w:ascii="仿宋" w:hAnsi="仿宋" w:eastAsia="仿宋" w:cs="仿宋"/>
          <w:color w:val="auto"/>
          <w:sz w:val="32"/>
          <w:szCs w:val="32"/>
          <w:lang w:val="en"/>
        </w:rPr>
        <w:t>303.88</w:t>
      </w:r>
      <w:r>
        <w:rPr>
          <w:rFonts w:hint="eastAsia" w:ascii="仿宋" w:hAnsi="仿宋" w:eastAsia="仿宋" w:cs="仿宋"/>
          <w:color w:val="auto"/>
          <w:sz w:val="32"/>
          <w:szCs w:val="32"/>
        </w:rPr>
        <w:t>万元，占9</w:t>
      </w:r>
      <w:r>
        <w:rPr>
          <w:rFonts w:hint="eastAsia" w:ascii="仿宋" w:hAnsi="仿宋" w:eastAsia="仿宋" w:cs="仿宋"/>
          <w:color w:val="auto"/>
          <w:sz w:val="32"/>
          <w:szCs w:val="32"/>
          <w:lang w:val="en"/>
        </w:rPr>
        <w:t>8</w:t>
      </w:r>
      <w:r>
        <w:rPr>
          <w:rFonts w:hint="eastAsia" w:ascii="仿宋" w:hAnsi="仿宋" w:eastAsia="仿宋" w:cs="仿宋"/>
          <w:color w:val="auto"/>
          <w:sz w:val="32"/>
          <w:szCs w:val="32"/>
          <w:lang w:val="en-US" w:eastAsia="zh-CN"/>
        </w:rPr>
        <w:t>.02</w:t>
      </w:r>
      <w:r>
        <w:rPr>
          <w:rFonts w:hint="eastAsia" w:ascii="仿宋" w:hAnsi="仿宋" w:eastAsia="仿宋" w:cs="仿宋"/>
          <w:color w:val="auto"/>
          <w:sz w:val="32"/>
          <w:szCs w:val="32"/>
        </w:rPr>
        <w:t>%；上级补助收入0万元，占0%；事业收入0万元，占0%；经营收入0万元，占0%；附属单位上缴收入0万元，占0%；其他收入</w:t>
      </w:r>
      <w:r>
        <w:rPr>
          <w:rFonts w:hint="eastAsia" w:ascii="仿宋" w:hAnsi="仿宋" w:eastAsia="仿宋" w:cs="仿宋"/>
          <w:color w:val="auto"/>
          <w:sz w:val="32"/>
          <w:szCs w:val="32"/>
          <w:lang w:val="en"/>
        </w:rPr>
        <w:t>6.13</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1.98</w:t>
      </w:r>
      <w:r>
        <w:rPr>
          <w:rFonts w:hint="eastAsia" w:ascii="仿宋" w:hAnsi="仿宋" w:eastAsia="仿宋" w:cs="仿宋"/>
          <w:color w:val="auto"/>
          <w:sz w:val="32"/>
          <w:szCs w:val="32"/>
        </w:rPr>
        <w:t>%。</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三、支出决算情况说明</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本年支出合计</w:t>
      </w:r>
      <w:r>
        <w:rPr>
          <w:rFonts w:hint="eastAsia" w:ascii="仿宋" w:hAnsi="仿宋" w:eastAsia="仿宋" w:cs="仿宋"/>
          <w:color w:val="auto"/>
          <w:sz w:val="32"/>
          <w:szCs w:val="32"/>
          <w:lang w:val="en"/>
        </w:rPr>
        <w:t>312.01</w:t>
      </w:r>
      <w:r>
        <w:rPr>
          <w:rFonts w:hint="eastAsia" w:ascii="仿宋" w:hAnsi="仿宋" w:eastAsia="仿宋" w:cs="仿宋"/>
          <w:color w:val="auto"/>
          <w:sz w:val="32"/>
          <w:szCs w:val="32"/>
        </w:rPr>
        <w:t>万元，其中：基本支出</w:t>
      </w:r>
      <w:r>
        <w:rPr>
          <w:rFonts w:hint="eastAsia" w:ascii="仿宋" w:hAnsi="仿宋" w:eastAsia="仿宋" w:cs="仿宋"/>
          <w:color w:val="auto"/>
          <w:sz w:val="32"/>
          <w:szCs w:val="32"/>
          <w:lang w:val="en"/>
        </w:rPr>
        <w:t>268.84</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
        </w:rPr>
        <w:t>86.</w:t>
      </w:r>
      <w:r>
        <w:rPr>
          <w:rFonts w:hint="eastAsia" w:ascii="仿宋" w:hAnsi="仿宋" w:eastAsia="仿宋" w:cs="仿宋"/>
          <w:color w:val="auto"/>
          <w:sz w:val="32"/>
          <w:szCs w:val="32"/>
          <w:lang w:val="en-US" w:eastAsia="zh-CN"/>
        </w:rPr>
        <w:t>16</w:t>
      </w:r>
      <w:r>
        <w:rPr>
          <w:rFonts w:hint="eastAsia" w:ascii="仿宋" w:hAnsi="仿宋" w:eastAsia="仿宋" w:cs="仿宋"/>
          <w:color w:val="auto"/>
          <w:sz w:val="32"/>
          <w:szCs w:val="32"/>
        </w:rPr>
        <w:t>%；项目支出</w:t>
      </w:r>
      <w:r>
        <w:rPr>
          <w:rFonts w:hint="eastAsia" w:ascii="仿宋" w:hAnsi="仿宋" w:eastAsia="仿宋" w:cs="仿宋"/>
          <w:color w:val="auto"/>
          <w:sz w:val="32"/>
          <w:szCs w:val="32"/>
          <w:lang w:val="en"/>
        </w:rPr>
        <w:t>43.17</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
        </w:rPr>
        <w:t>13.8</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%；上缴上级支出0万元，占0%；经营支出0万元，占0%；对附属单位补助支出0万元，占0%。</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四、财政拨款收入支出决算总体情况说明</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
        </w:rPr>
        <w:t>1</w:t>
      </w:r>
      <w:r>
        <w:rPr>
          <w:rFonts w:hint="eastAsia" w:ascii="仿宋" w:hAnsi="仿宋" w:eastAsia="仿宋" w:cs="仿宋"/>
          <w:color w:val="auto"/>
          <w:sz w:val="32"/>
          <w:szCs w:val="32"/>
        </w:rPr>
        <w:t>年度财政拨款收、支总计</w:t>
      </w:r>
      <w:r>
        <w:rPr>
          <w:rFonts w:hint="eastAsia" w:ascii="仿宋" w:hAnsi="仿宋" w:eastAsia="仿宋" w:cs="仿宋"/>
          <w:color w:val="auto"/>
          <w:sz w:val="32"/>
          <w:szCs w:val="32"/>
          <w:lang w:val="en-US" w:eastAsia="zh-CN"/>
        </w:rPr>
        <w:t>各</w:t>
      </w:r>
      <w:r>
        <w:rPr>
          <w:rFonts w:hint="eastAsia" w:ascii="仿宋" w:hAnsi="仿宋" w:eastAsia="仿宋" w:cs="仿宋"/>
          <w:color w:val="auto"/>
          <w:sz w:val="32"/>
          <w:szCs w:val="32"/>
          <w:lang w:val="en"/>
        </w:rPr>
        <w:t>3</w:t>
      </w:r>
      <w:r>
        <w:rPr>
          <w:rFonts w:hint="eastAsia" w:ascii="仿宋" w:hAnsi="仿宋" w:eastAsia="仿宋" w:cs="仿宋"/>
          <w:color w:val="auto"/>
          <w:sz w:val="32"/>
          <w:szCs w:val="32"/>
          <w:lang w:val="en-US" w:eastAsia="zh-CN"/>
        </w:rPr>
        <w:t>05.88</w:t>
      </w:r>
      <w:r>
        <w:rPr>
          <w:rFonts w:hint="eastAsia" w:ascii="仿宋" w:hAnsi="仿宋" w:eastAsia="仿宋" w:cs="仿宋"/>
          <w:color w:val="auto"/>
          <w:sz w:val="32"/>
          <w:szCs w:val="32"/>
        </w:rPr>
        <w:t>万元，与上年相比，减少</w:t>
      </w:r>
      <w:r>
        <w:rPr>
          <w:rFonts w:hint="eastAsia" w:ascii="仿宋" w:hAnsi="仿宋" w:eastAsia="仿宋" w:cs="仿宋"/>
          <w:color w:val="auto"/>
          <w:sz w:val="32"/>
          <w:szCs w:val="32"/>
          <w:lang w:val="en"/>
        </w:rPr>
        <w:t>58.95</w:t>
      </w:r>
      <w:r>
        <w:rPr>
          <w:rFonts w:hint="eastAsia" w:ascii="仿宋" w:hAnsi="仿宋" w:eastAsia="仿宋" w:cs="仿宋"/>
          <w:color w:val="auto"/>
          <w:sz w:val="32"/>
          <w:szCs w:val="32"/>
        </w:rPr>
        <w:t>万元,减少</w:t>
      </w:r>
      <w:r>
        <w:rPr>
          <w:rFonts w:hint="eastAsia" w:ascii="仿宋" w:hAnsi="仿宋" w:eastAsia="仿宋" w:cs="仿宋"/>
          <w:color w:val="auto"/>
          <w:sz w:val="32"/>
          <w:szCs w:val="32"/>
          <w:lang w:val="en-US" w:eastAsia="zh-CN"/>
        </w:rPr>
        <w:t>16.16</w:t>
      </w:r>
      <w:r>
        <w:rPr>
          <w:rFonts w:hint="eastAsia" w:ascii="仿宋" w:hAnsi="仿宋" w:eastAsia="仿宋" w:cs="仿宋"/>
          <w:color w:val="auto"/>
          <w:sz w:val="32"/>
          <w:szCs w:val="32"/>
        </w:rPr>
        <w:t>%，主要是因为励行节约,预算经费压减。</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五、一般公共预算财政拨款支出决算情况说明</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b/>
          <w:color w:val="auto"/>
          <w:sz w:val="32"/>
          <w:szCs w:val="32"/>
        </w:rPr>
      </w:pPr>
      <w:r>
        <w:rPr>
          <w:rFonts w:hint="eastAsia" w:ascii="仿宋" w:hAnsi="仿宋" w:eastAsia="仿宋" w:cs="仿宋"/>
          <w:b/>
          <w:color w:val="auto"/>
          <w:sz w:val="32"/>
          <w:szCs w:val="32"/>
        </w:rPr>
        <w:t>（一）财政拨款支出决算总体情况</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
        </w:rPr>
        <w:t>1</w:t>
      </w:r>
      <w:r>
        <w:rPr>
          <w:rFonts w:hint="eastAsia" w:ascii="仿宋" w:hAnsi="仿宋" w:eastAsia="仿宋" w:cs="仿宋"/>
          <w:color w:val="auto"/>
          <w:sz w:val="32"/>
          <w:szCs w:val="32"/>
        </w:rPr>
        <w:t>年度财政拨款支出</w:t>
      </w:r>
      <w:r>
        <w:rPr>
          <w:rFonts w:hint="eastAsia" w:ascii="仿宋" w:hAnsi="仿宋" w:eastAsia="仿宋" w:cs="仿宋"/>
          <w:color w:val="auto"/>
          <w:sz w:val="32"/>
          <w:szCs w:val="32"/>
          <w:lang w:val="en"/>
        </w:rPr>
        <w:t>305.88</w:t>
      </w:r>
      <w:r>
        <w:rPr>
          <w:rFonts w:hint="eastAsia" w:ascii="仿宋" w:hAnsi="仿宋" w:eastAsia="仿宋" w:cs="仿宋"/>
          <w:color w:val="auto"/>
          <w:sz w:val="32"/>
          <w:szCs w:val="32"/>
        </w:rPr>
        <w:t>万元，占本年支出合计的</w:t>
      </w:r>
      <w:r>
        <w:rPr>
          <w:rFonts w:hint="eastAsia" w:ascii="仿宋" w:hAnsi="仿宋" w:eastAsia="仿宋" w:cs="仿宋"/>
          <w:color w:val="auto"/>
          <w:sz w:val="32"/>
          <w:szCs w:val="32"/>
          <w:lang w:val="en"/>
        </w:rPr>
        <w:t>98</w:t>
      </w:r>
      <w:r>
        <w:rPr>
          <w:rFonts w:hint="eastAsia" w:ascii="仿宋" w:hAnsi="仿宋" w:eastAsia="仿宋" w:cs="仿宋"/>
          <w:color w:val="auto"/>
          <w:sz w:val="32"/>
          <w:szCs w:val="32"/>
          <w:lang w:val="en-US" w:eastAsia="zh-CN"/>
        </w:rPr>
        <w:t>.04</w:t>
      </w:r>
      <w:r>
        <w:rPr>
          <w:rFonts w:hint="eastAsia" w:ascii="仿宋" w:hAnsi="仿宋" w:eastAsia="仿宋" w:cs="仿宋"/>
          <w:color w:val="auto"/>
          <w:sz w:val="32"/>
          <w:szCs w:val="32"/>
        </w:rPr>
        <w:t>%，与上年相比，财政拨款支出减少</w:t>
      </w:r>
      <w:r>
        <w:rPr>
          <w:rFonts w:hint="eastAsia" w:ascii="仿宋" w:hAnsi="仿宋" w:eastAsia="仿宋" w:cs="仿宋"/>
          <w:color w:val="auto"/>
          <w:sz w:val="32"/>
          <w:szCs w:val="32"/>
          <w:lang w:val="en"/>
        </w:rPr>
        <w:t>54.8</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万元，减少</w:t>
      </w:r>
      <w:r>
        <w:rPr>
          <w:rFonts w:hint="eastAsia" w:ascii="仿宋" w:hAnsi="仿宋" w:eastAsia="仿宋" w:cs="仿宋"/>
          <w:color w:val="auto"/>
          <w:sz w:val="32"/>
          <w:szCs w:val="32"/>
          <w:lang w:val="en"/>
        </w:rPr>
        <w:t>15.</w:t>
      </w:r>
      <w:r>
        <w:rPr>
          <w:rFonts w:hint="eastAsia" w:ascii="仿宋" w:hAnsi="仿宋" w:eastAsia="仿宋" w:cs="仿宋"/>
          <w:color w:val="auto"/>
          <w:sz w:val="32"/>
          <w:szCs w:val="32"/>
          <w:lang w:val="en-US" w:eastAsia="zh-CN"/>
        </w:rPr>
        <w:t>19</w:t>
      </w:r>
      <w:r>
        <w:rPr>
          <w:rFonts w:hint="eastAsia" w:ascii="仿宋" w:hAnsi="仿宋" w:eastAsia="仿宋" w:cs="仿宋"/>
          <w:color w:val="auto"/>
          <w:sz w:val="32"/>
          <w:szCs w:val="32"/>
        </w:rPr>
        <w:t>%，主要是因为励行节约,预算经费压减。</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b/>
          <w:color w:val="auto"/>
          <w:sz w:val="32"/>
          <w:szCs w:val="32"/>
        </w:rPr>
      </w:pPr>
      <w:r>
        <w:rPr>
          <w:rFonts w:hint="eastAsia" w:ascii="仿宋" w:hAnsi="仿宋" w:eastAsia="仿宋" w:cs="仿宋"/>
          <w:b/>
          <w:color w:val="auto"/>
          <w:sz w:val="32"/>
          <w:szCs w:val="32"/>
        </w:rPr>
        <w:t>（二）财政拨款支出决算结构情况</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
        </w:rPr>
        <w:t>1</w:t>
      </w:r>
      <w:r>
        <w:rPr>
          <w:rFonts w:hint="eastAsia" w:ascii="仿宋" w:hAnsi="仿宋" w:eastAsia="仿宋" w:cs="仿宋"/>
          <w:color w:val="auto"/>
          <w:sz w:val="32"/>
          <w:szCs w:val="32"/>
        </w:rPr>
        <w:t>年度财政拨款支出</w:t>
      </w:r>
      <w:r>
        <w:rPr>
          <w:rFonts w:hint="eastAsia" w:ascii="仿宋" w:hAnsi="仿宋" w:eastAsia="仿宋" w:cs="仿宋"/>
          <w:color w:val="auto"/>
          <w:sz w:val="32"/>
          <w:szCs w:val="32"/>
          <w:lang w:val="en"/>
        </w:rPr>
        <w:t>305.88</w:t>
      </w:r>
      <w:r>
        <w:rPr>
          <w:rFonts w:hint="eastAsia" w:ascii="仿宋" w:hAnsi="仿宋" w:eastAsia="仿宋" w:cs="仿宋"/>
          <w:color w:val="auto"/>
          <w:sz w:val="32"/>
          <w:szCs w:val="32"/>
        </w:rPr>
        <w:t>万元，主要用于以下方面：一般公共服务（类）支出</w:t>
      </w:r>
      <w:r>
        <w:rPr>
          <w:rFonts w:hint="eastAsia" w:ascii="仿宋" w:hAnsi="仿宋" w:eastAsia="仿宋" w:cs="仿宋"/>
          <w:color w:val="auto"/>
          <w:sz w:val="32"/>
          <w:szCs w:val="32"/>
          <w:lang w:val="en"/>
        </w:rPr>
        <w:t>208.38</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
        </w:rPr>
        <w:t>68.1</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教育支出</w:t>
      </w:r>
      <w:r>
        <w:rPr>
          <w:rFonts w:hint="eastAsia" w:ascii="仿宋" w:hAnsi="仿宋" w:eastAsia="仿宋" w:cs="仿宋"/>
          <w:color w:val="auto"/>
          <w:sz w:val="32"/>
          <w:szCs w:val="32"/>
          <w:lang w:val="en-US" w:eastAsia="zh-CN"/>
        </w:rPr>
        <w:t>2万元，占0.65%；</w:t>
      </w:r>
      <w:r>
        <w:rPr>
          <w:rFonts w:hint="eastAsia" w:ascii="仿宋" w:hAnsi="仿宋" w:eastAsia="仿宋" w:cs="仿宋"/>
          <w:color w:val="auto"/>
          <w:sz w:val="32"/>
          <w:szCs w:val="32"/>
        </w:rPr>
        <w:t>文化旅游与体育与传媒（类）支出</w:t>
      </w:r>
      <w:r>
        <w:rPr>
          <w:rFonts w:hint="eastAsia" w:ascii="仿宋" w:hAnsi="仿宋" w:eastAsia="仿宋" w:cs="仿宋"/>
          <w:color w:val="auto"/>
          <w:sz w:val="32"/>
          <w:szCs w:val="32"/>
          <w:lang w:val="en"/>
        </w:rPr>
        <w:t>42.86</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
        </w:rPr>
        <w:t>14</w:t>
      </w:r>
      <w:r>
        <w:rPr>
          <w:rFonts w:hint="eastAsia" w:ascii="仿宋" w:hAnsi="仿宋" w:eastAsia="仿宋" w:cs="仿宋"/>
          <w:color w:val="auto"/>
          <w:sz w:val="32"/>
          <w:szCs w:val="32"/>
          <w:lang w:val="en-US" w:eastAsia="zh-CN"/>
        </w:rPr>
        <w:t>.01</w:t>
      </w:r>
      <w:r>
        <w:rPr>
          <w:rFonts w:hint="eastAsia" w:ascii="仿宋" w:hAnsi="仿宋" w:eastAsia="仿宋" w:cs="仿宋"/>
          <w:color w:val="auto"/>
          <w:sz w:val="32"/>
          <w:szCs w:val="32"/>
        </w:rPr>
        <w:t>%;社会保障和就业支出</w:t>
      </w:r>
      <w:r>
        <w:rPr>
          <w:rFonts w:hint="eastAsia" w:ascii="仿宋" w:hAnsi="仿宋" w:eastAsia="仿宋" w:cs="仿宋"/>
          <w:color w:val="auto"/>
          <w:sz w:val="32"/>
          <w:szCs w:val="32"/>
          <w:lang w:val="en"/>
        </w:rPr>
        <w:t>44.63</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
        </w:rPr>
        <w:t>14.</w:t>
      </w:r>
      <w:r>
        <w:rPr>
          <w:rFonts w:hint="eastAsia" w:ascii="仿宋" w:hAnsi="仿宋" w:eastAsia="仿宋" w:cs="仿宋"/>
          <w:color w:val="auto"/>
          <w:sz w:val="32"/>
          <w:szCs w:val="32"/>
          <w:lang w:val="en-US" w:eastAsia="zh-CN"/>
        </w:rPr>
        <w:t>59</w:t>
      </w:r>
      <w:r>
        <w:rPr>
          <w:rFonts w:hint="eastAsia" w:ascii="仿宋" w:hAnsi="仿宋" w:eastAsia="仿宋" w:cs="仿宋"/>
          <w:color w:val="auto"/>
          <w:sz w:val="32"/>
          <w:szCs w:val="32"/>
        </w:rPr>
        <w:t>%；卫生健康支出8.</w:t>
      </w:r>
      <w:r>
        <w:rPr>
          <w:rFonts w:hint="eastAsia" w:ascii="仿宋" w:hAnsi="仿宋" w:eastAsia="仿宋" w:cs="仿宋"/>
          <w:color w:val="auto"/>
          <w:sz w:val="32"/>
          <w:szCs w:val="32"/>
          <w:lang w:val="en"/>
        </w:rPr>
        <w:t>0</w:t>
      </w:r>
      <w:r>
        <w:rPr>
          <w:rFonts w:hint="eastAsia" w:ascii="仿宋" w:hAnsi="仿宋" w:eastAsia="仿宋" w:cs="仿宋"/>
          <w:color w:val="auto"/>
          <w:sz w:val="32"/>
          <w:szCs w:val="32"/>
        </w:rPr>
        <w:t>1万元，占2</w:t>
      </w:r>
      <w:r>
        <w:rPr>
          <w:rFonts w:hint="eastAsia" w:ascii="仿宋" w:hAnsi="仿宋" w:eastAsia="仿宋" w:cs="仿宋"/>
          <w:color w:val="auto"/>
          <w:sz w:val="32"/>
          <w:szCs w:val="32"/>
          <w:lang w:val="en"/>
        </w:rPr>
        <w:t>.6</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b/>
          <w:color w:val="auto"/>
          <w:sz w:val="32"/>
          <w:szCs w:val="32"/>
        </w:rPr>
      </w:pPr>
      <w:r>
        <w:rPr>
          <w:rFonts w:hint="eastAsia" w:ascii="仿宋" w:hAnsi="仿宋" w:eastAsia="仿宋" w:cs="仿宋"/>
          <w:b/>
          <w:color w:val="auto"/>
          <w:sz w:val="32"/>
          <w:szCs w:val="32"/>
        </w:rPr>
        <w:t>（三）财政拨款支出决算具体情况</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年度财政拨款支出年初预算数为</w:t>
      </w:r>
      <w:r>
        <w:rPr>
          <w:rFonts w:hint="eastAsia" w:ascii="仿宋" w:hAnsi="仿宋" w:eastAsia="仿宋" w:cs="仿宋"/>
          <w:color w:val="auto"/>
          <w:sz w:val="32"/>
          <w:szCs w:val="32"/>
          <w:lang w:val="en-US" w:eastAsia="zh-CN"/>
        </w:rPr>
        <w:t>175.35</w:t>
      </w:r>
      <w:r>
        <w:rPr>
          <w:rFonts w:hint="eastAsia" w:ascii="仿宋" w:hAnsi="仿宋" w:eastAsia="仿宋" w:cs="仿宋"/>
          <w:color w:val="auto"/>
          <w:sz w:val="32"/>
          <w:szCs w:val="32"/>
        </w:rPr>
        <w:t>万元，支出决算数为</w:t>
      </w:r>
      <w:r>
        <w:rPr>
          <w:rFonts w:hint="eastAsia" w:ascii="仿宋" w:hAnsi="仿宋" w:eastAsia="仿宋" w:cs="仿宋"/>
          <w:color w:val="auto"/>
          <w:sz w:val="32"/>
          <w:szCs w:val="32"/>
          <w:lang w:val="en-US" w:eastAsia="zh-CN"/>
        </w:rPr>
        <w:t>305.88</w:t>
      </w:r>
      <w:r>
        <w:rPr>
          <w:rFonts w:hint="eastAsia" w:ascii="仿宋" w:hAnsi="仿宋" w:eastAsia="仿宋" w:cs="仿宋"/>
          <w:color w:val="auto"/>
          <w:sz w:val="32"/>
          <w:szCs w:val="32"/>
        </w:rPr>
        <w:t>万元，完成年初预算的1</w:t>
      </w:r>
      <w:r>
        <w:rPr>
          <w:rFonts w:hint="eastAsia" w:ascii="仿宋" w:hAnsi="仿宋" w:eastAsia="仿宋" w:cs="仿宋"/>
          <w:color w:val="auto"/>
          <w:sz w:val="32"/>
          <w:szCs w:val="32"/>
          <w:lang w:val="en-US" w:eastAsia="zh-CN"/>
        </w:rPr>
        <w:t>74.44</w:t>
      </w:r>
      <w:r>
        <w:rPr>
          <w:rFonts w:hint="eastAsia" w:ascii="仿宋" w:hAnsi="仿宋" w:eastAsia="仿宋" w:cs="仿宋"/>
          <w:color w:val="auto"/>
          <w:sz w:val="32"/>
          <w:szCs w:val="32"/>
        </w:rPr>
        <w:t>%，调整预算追加1</w:t>
      </w:r>
      <w:r>
        <w:rPr>
          <w:rFonts w:hint="eastAsia" w:ascii="仿宋" w:hAnsi="仿宋" w:eastAsia="仿宋" w:cs="仿宋"/>
          <w:color w:val="auto"/>
          <w:sz w:val="32"/>
          <w:szCs w:val="32"/>
          <w:lang w:val="en-US" w:eastAsia="zh-CN"/>
        </w:rPr>
        <w:t>30.53</w:t>
      </w:r>
      <w:r>
        <w:rPr>
          <w:rFonts w:hint="eastAsia" w:ascii="仿宋" w:hAnsi="仿宋" w:eastAsia="仿宋" w:cs="仿宋"/>
          <w:color w:val="auto"/>
          <w:sz w:val="32"/>
          <w:szCs w:val="32"/>
        </w:rPr>
        <w:t>万元。其中：</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1、一般公共服务（类）群众团体事务（款）一般行政管理事务（项）。</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eastAsia="zh-CN"/>
        </w:rPr>
        <w:t>49.75</w:t>
      </w:r>
      <w:r>
        <w:rPr>
          <w:rFonts w:hint="eastAsia" w:ascii="仿宋" w:hAnsi="仿宋" w:eastAsia="仿宋" w:cs="仿宋"/>
          <w:color w:val="auto"/>
          <w:sz w:val="32"/>
          <w:szCs w:val="32"/>
        </w:rPr>
        <w:t>万元，支出决算为43.17万元，完成年初预算的8</w:t>
      </w:r>
      <w:r>
        <w:rPr>
          <w:rFonts w:hint="eastAsia" w:ascii="仿宋" w:hAnsi="仿宋" w:eastAsia="仿宋" w:cs="仿宋"/>
          <w:color w:val="auto"/>
          <w:sz w:val="32"/>
          <w:szCs w:val="32"/>
          <w:lang w:val="en-US" w:eastAsia="zh-CN"/>
        </w:rPr>
        <w:t>6.77</w:t>
      </w:r>
      <w:r>
        <w:rPr>
          <w:rFonts w:hint="eastAsia" w:ascii="仿宋" w:hAnsi="仿宋" w:eastAsia="仿宋" w:cs="仿宋"/>
          <w:color w:val="auto"/>
          <w:sz w:val="32"/>
          <w:szCs w:val="32"/>
        </w:rPr>
        <w:t>%，决算数大于年初预算数的主要原因是：决算开支调整。</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2、一般公共服务（类）群众团体事务（款）</w:t>
      </w:r>
      <w:r>
        <w:rPr>
          <w:rFonts w:hint="eastAsia" w:ascii="仿宋" w:hAnsi="仿宋" w:eastAsia="仿宋" w:cs="仿宋"/>
          <w:color w:val="auto"/>
          <w:sz w:val="32"/>
          <w:szCs w:val="32"/>
          <w:lang w:val="en-US" w:eastAsia="zh-CN"/>
        </w:rPr>
        <w:t>事业运行</w:t>
      </w:r>
      <w:r>
        <w:rPr>
          <w:rFonts w:hint="eastAsia" w:ascii="仿宋" w:hAnsi="仿宋" w:eastAsia="仿宋" w:cs="仿宋"/>
          <w:color w:val="auto"/>
          <w:sz w:val="32"/>
          <w:szCs w:val="32"/>
        </w:rPr>
        <w:t>（项）。</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年初预算为110.11万元，支出决算为</w:t>
      </w:r>
      <w:r>
        <w:rPr>
          <w:rFonts w:hint="eastAsia" w:ascii="仿宋" w:hAnsi="仿宋" w:eastAsia="仿宋" w:cs="仿宋"/>
          <w:strike w:val="0"/>
          <w:dstrike w:val="0"/>
          <w:color w:val="auto"/>
          <w:sz w:val="32"/>
          <w:szCs w:val="32"/>
        </w:rPr>
        <w:t>155.21</w:t>
      </w:r>
      <w:r>
        <w:rPr>
          <w:rFonts w:hint="eastAsia" w:ascii="仿宋" w:hAnsi="仿宋" w:eastAsia="仿宋" w:cs="仿宋"/>
          <w:color w:val="auto"/>
          <w:sz w:val="32"/>
          <w:szCs w:val="32"/>
        </w:rPr>
        <w:t>万元，完成年初预算的140</w:t>
      </w:r>
      <w:r>
        <w:rPr>
          <w:rFonts w:hint="eastAsia" w:ascii="仿宋" w:hAnsi="仿宋" w:eastAsia="仿宋" w:cs="仿宋"/>
          <w:color w:val="auto"/>
          <w:sz w:val="32"/>
          <w:szCs w:val="32"/>
          <w:lang w:val="en-US" w:eastAsia="zh-CN"/>
        </w:rPr>
        <w:t>.96</w:t>
      </w:r>
      <w:r>
        <w:rPr>
          <w:rFonts w:hint="eastAsia" w:ascii="仿宋" w:hAnsi="仿宋" w:eastAsia="仿宋" w:cs="仿宋"/>
          <w:color w:val="auto"/>
          <w:sz w:val="32"/>
          <w:szCs w:val="32"/>
        </w:rPr>
        <w:t>%，决算数大于年初预算数的主要原因是：决算开支调整。</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一般公共服务（类）党委办公厅（室）及相关机构事务（款）</w:t>
      </w:r>
      <w:r>
        <w:rPr>
          <w:rFonts w:hint="eastAsia" w:ascii="仿宋" w:hAnsi="仿宋" w:eastAsia="仿宋" w:cs="仿宋"/>
          <w:color w:val="auto"/>
          <w:sz w:val="32"/>
          <w:szCs w:val="32"/>
          <w:lang w:val="en-US" w:eastAsia="zh-CN"/>
        </w:rPr>
        <w:t>一般行政管理事务</w:t>
      </w:r>
      <w:r>
        <w:rPr>
          <w:rFonts w:hint="eastAsia" w:ascii="仿宋" w:hAnsi="仿宋" w:eastAsia="仿宋" w:cs="仿宋"/>
          <w:color w:val="auto"/>
          <w:sz w:val="32"/>
          <w:szCs w:val="32"/>
        </w:rPr>
        <w:t>（项）</w:t>
      </w:r>
      <w:r>
        <w:rPr>
          <w:rFonts w:hint="eastAsia" w:ascii="仿宋" w:hAnsi="仿宋" w:eastAsia="仿宋" w:cs="仿宋"/>
          <w:color w:val="auto"/>
          <w:sz w:val="32"/>
          <w:szCs w:val="32"/>
          <w:lang w:eastAsia="zh-CN"/>
        </w:rPr>
        <w:t>。</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strike w:val="0"/>
          <w:dstrike w:val="0"/>
          <w:color w:val="auto"/>
          <w:sz w:val="32"/>
          <w:szCs w:val="32"/>
          <w:lang w:val="en-US" w:eastAsia="zh-CN"/>
        </w:rPr>
        <w:t>10</w:t>
      </w:r>
      <w:r>
        <w:rPr>
          <w:rFonts w:hint="eastAsia" w:ascii="仿宋" w:hAnsi="仿宋" w:eastAsia="仿宋" w:cs="仿宋"/>
          <w:color w:val="auto"/>
          <w:sz w:val="32"/>
          <w:szCs w:val="32"/>
        </w:rPr>
        <w:t>万元，决算数大于年初预算数的主要原因是：决算开支调整。</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教育支出（类）其他教育支出（款）</w:t>
      </w:r>
      <w:r>
        <w:rPr>
          <w:rFonts w:hint="eastAsia" w:ascii="仿宋" w:hAnsi="仿宋" w:eastAsia="仿宋" w:cs="仿宋"/>
          <w:color w:val="auto"/>
          <w:sz w:val="32"/>
          <w:szCs w:val="32"/>
          <w:lang w:val="en-US" w:eastAsia="zh-CN"/>
        </w:rPr>
        <w:t>其他教育支出</w:t>
      </w:r>
      <w:r>
        <w:rPr>
          <w:rFonts w:hint="eastAsia" w:ascii="仿宋" w:hAnsi="仿宋" w:eastAsia="仿宋" w:cs="仿宋"/>
          <w:color w:val="auto"/>
          <w:sz w:val="32"/>
          <w:szCs w:val="32"/>
        </w:rPr>
        <w:t>（项）</w:t>
      </w:r>
      <w:r>
        <w:rPr>
          <w:rFonts w:hint="eastAsia" w:ascii="仿宋" w:hAnsi="仿宋" w:eastAsia="仿宋" w:cs="仿宋"/>
          <w:color w:val="auto"/>
          <w:sz w:val="32"/>
          <w:szCs w:val="32"/>
          <w:lang w:eastAsia="zh-CN"/>
        </w:rPr>
        <w:t>。</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strike w:val="0"/>
          <w:dstrike w:val="0"/>
          <w:color w:val="auto"/>
          <w:sz w:val="32"/>
          <w:szCs w:val="32"/>
          <w:lang w:val="en-US" w:eastAsia="zh-CN"/>
        </w:rPr>
        <w:t>2</w:t>
      </w:r>
      <w:r>
        <w:rPr>
          <w:rFonts w:hint="eastAsia" w:ascii="仿宋" w:hAnsi="仿宋" w:eastAsia="仿宋" w:cs="仿宋"/>
          <w:color w:val="auto"/>
          <w:sz w:val="32"/>
          <w:szCs w:val="32"/>
        </w:rPr>
        <w:t>万元，决算数大于年初预算数的主要原因是：决算开支调整。</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文化旅游体育与传媒支出（类）其他文化旅游体育与传媒支出（款）</w:t>
      </w:r>
      <w:r>
        <w:rPr>
          <w:rFonts w:hint="eastAsia" w:ascii="仿宋" w:hAnsi="仿宋" w:eastAsia="仿宋" w:cs="仿宋"/>
          <w:color w:val="auto"/>
          <w:sz w:val="32"/>
          <w:szCs w:val="32"/>
          <w:lang w:val="en-US" w:eastAsia="zh-CN"/>
        </w:rPr>
        <w:t>其他文化旅游体育与传媒支出</w:t>
      </w:r>
      <w:r>
        <w:rPr>
          <w:rFonts w:hint="eastAsia" w:ascii="仿宋" w:hAnsi="仿宋" w:eastAsia="仿宋" w:cs="仿宋"/>
          <w:color w:val="auto"/>
          <w:sz w:val="32"/>
          <w:szCs w:val="32"/>
        </w:rPr>
        <w:t>（项）</w:t>
      </w:r>
      <w:r>
        <w:rPr>
          <w:rFonts w:hint="eastAsia" w:ascii="仿宋" w:hAnsi="仿宋" w:eastAsia="仿宋" w:cs="仿宋"/>
          <w:color w:val="auto"/>
          <w:sz w:val="32"/>
          <w:szCs w:val="32"/>
          <w:lang w:eastAsia="zh-CN"/>
        </w:rPr>
        <w:t>。</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strike w:val="0"/>
          <w:dstrike w:val="0"/>
          <w:color w:val="auto"/>
          <w:sz w:val="32"/>
          <w:szCs w:val="32"/>
          <w:lang w:val="en-US" w:eastAsia="zh-CN"/>
        </w:rPr>
        <w:t>42.86</w:t>
      </w:r>
      <w:r>
        <w:rPr>
          <w:rFonts w:hint="eastAsia" w:ascii="仿宋" w:hAnsi="仿宋" w:eastAsia="仿宋" w:cs="仿宋"/>
          <w:color w:val="auto"/>
          <w:sz w:val="32"/>
          <w:szCs w:val="32"/>
        </w:rPr>
        <w:t>万元，决算数大于年初预算数的主要原因是：决算开支调整。</w:t>
      </w:r>
    </w:p>
    <w:p>
      <w:pPr>
        <w:pStyle w:val="13"/>
        <w:keepNext w:val="0"/>
        <w:keepLines w:val="0"/>
        <w:pageBreakBefore w:val="0"/>
        <w:numPr>
          <w:ilvl w:val="0"/>
          <w:numId w:val="0"/>
        </w:numPr>
        <w:kinsoku/>
        <w:wordWrap/>
        <w:overflowPunct/>
        <w:topLinePunct w:val="0"/>
        <w:bidi w:val="0"/>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社会保障和就业支出（类）行政事业单位养老支出（款）事业单位离退休（项）</w:t>
      </w:r>
      <w:r>
        <w:rPr>
          <w:rFonts w:hint="eastAsia" w:ascii="仿宋" w:hAnsi="仿宋" w:eastAsia="仿宋" w:cs="仿宋"/>
          <w:color w:val="auto"/>
          <w:sz w:val="32"/>
          <w:szCs w:val="32"/>
          <w:lang w:val="en-US" w:eastAsia="zh-CN"/>
        </w:rPr>
        <w:t>/机关事业单位基本养老保险缴费支出（项）/其他行政事业单位养老支出（项）</w:t>
      </w:r>
      <w:r>
        <w:rPr>
          <w:rFonts w:hint="eastAsia" w:ascii="仿宋" w:hAnsi="仿宋" w:eastAsia="仿宋" w:cs="仿宋"/>
          <w:color w:val="auto"/>
          <w:sz w:val="32"/>
          <w:szCs w:val="32"/>
        </w:rPr>
        <w:t>。</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年初预算为15.49万元，支出决算为</w:t>
      </w:r>
      <w:r>
        <w:rPr>
          <w:rFonts w:hint="eastAsia" w:ascii="仿宋" w:hAnsi="仿宋" w:eastAsia="仿宋" w:cs="仿宋"/>
          <w:strike w:val="0"/>
          <w:dstrike w:val="0"/>
          <w:color w:val="auto"/>
          <w:sz w:val="32"/>
          <w:szCs w:val="32"/>
        </w:rPr>
        <w:t>44.63</w:t>
      </w:r>
      <w:r>
        <w:rPr>
          <w:rFonts w:hint="eastAsia" w:ascii="仿宋" w:hAnsi="仿宋" w:eastAsia="仿宋" w:cs="仿宋"/>
          <w:color w:val="auto"/>
          <w:sz w:val="32"/>
          <w:szCs w:val="32"/>
        </w:rPr>
        <w:t>万元，完成年初预算的288</w:t>
      </w:r>
      <w:r>
        <w:rPr>
          <w:rFonts w:hint="eastAsia" w:ascii="仿宋" w:hAnsi="仿宋" w:eastAsia="仿宋" w:cs="仿宋"/>
          <w:color w:val="auto"/>
          <w:sz w:val="32"/>
          <w:szCs w:val="32"/>
          <w:lang w:val="en-US" w:eastAsia="zh-CN"/>
        </w:rPr>
        <w:t>.12</w:t>
      </w:r>
      <w:r>
        <w:rPr>
          <w:rFonts w:hint="eastAsia" w:ascii="仿宋" w:hAnsi="仿宋" w:eastAsia="仿宋" w:cs="仿宋"/>
          <w:color w:val="auto"/>
          <w:sz w:val="32"/>
          <w:szCs w:val="32"/>
        </w:rPr>
        <w:t>%，决算数大于年初预算数的主要原因是：决算开支调整，开支机关事业单位基本养老保险缴费。</w:t>
      </w:r>
    </w:p>
    <w:p>
      <w:pPr>
        <w:pStyle w:val="13"/>
        <w:keepNext w:val="0"/>
        <w:keepLines w:val="0"/>
        <w:pageBreakBefore w:val="0"/>
        <w:numPr>
          <w:ilvl w:val="0"/>
          <w:numId w:val="1"/>
        </w:numPr>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卫生健康支出（类）行政事业单位医疗（款）</w:t>
      </w:r>
      <w:r>
        <w:rPr>
          <w:rFonts w:hint="eastAsia" w:ascii="仿宋" w:hAnsi="仿宋" w:eastAsia="仿宋" w:cs="仿宋"/>
          <w:color w:val="auto"/>
          <w:sz w:val="32"/>
          <w:szCs w:val="32"/>
          <w:lang w:val="en-US" w:eastAsia="zh-CN"/>
        </w:rPr>
        <w:t>行政单位医疗</w:t>
      </w:r>
      <w:r>
        <w:rPr>
          <w:rFonts w:hint="eastAsia" w:ascii="仿宋" w:hAnsi="仿宋" w:eastAsia="仿宋" w:cs="仿宋"/>
          <w:color w:val="auto"/>
          <w:sz w:val="32"/>
          <w:szCs w:val="32"/>
        </w:rPr>
        <w:t>（项）</w:t>
      </w:r>
      <w:r>
        <w:rPr>
          <w:rFonts w:hint="eastAsia" w:ascii="仿宋" w:hAnsi="仿宋" w:eastAsia="仿宋" w:cs="仿宋"/>
          <w:color w:val="auto"/>
          <w:sz w:val="32"/>
          <w:szCs w:val="32"/>
          <w:lang w:eastAsia="zh-CN"/>
        </w:rPr>
        <w:t>。</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strike w:val="0"/>
          <w:dstrike w:val="0"/>
          <w:color w:val="auto"/>
          <w:sz w:val="32"/>
          <w:szCs w:val="32"/>
          <w:lang w:val="en-US" w:eastAsia="zh-CN"/>
        </w:rPr>
        <w:t>7.85</w:t>
      </w:r>
      <w:r>
        <w:rPr>
          <w:rFonts w:hint="eastAsia" w:ascii="仿宋" w:hAnsi="仿宋" w:eastAsia="仿宋" w:cs="仿宋"/>
          <w:color w:val="auto"/>
          <w:sz w:val="32"/>
          <w:szCs w:val="32"/>
        </w:rPr>
        <w:t>万元，决算数大于年初预算数的主要原因是：决算开支调整。</w:t>
      </w:r>
    </w:p>
    <w:p>
      <w:pPr>
        <w:pStyle w:val="13"/>
        <w:keepNext w:val="0"/>
        <w:keepLines w:val="0"/>
        <w:pageBreakBefore w:val="0"/>
        <w:numPr>
          <w:ilvl w:val="0"/>
          <w:numId w:val="1"/>
        </w:numPr>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卫生健康支出（类）行政事业单位医疗（款）</w:t>
      </w:r>
      <w:r>
        <w:rPr>
          <w:rFonts w:hint="eastAsia" w:ascii="仿宋" w:hAnsi="仿宋" w:eastAsia="仿宋" w:cs="仿宋"/>
          <w:color w:val="auto"/>
          <w:sz w:val="32"/>
          <w:szCs w:val="32"/>
          <w:lang w:val="en-US" w:eastAsia="zh-CN"/>
        </w:rPr>
        <w:t>其他行政事业单位医疗支出</w:t>
      </w:r>
      <w:r>
        <w:rPr>
          <w:rFonts w:hint="eastAsia" w:ascii="仿宋" w:hAnsi="仿宋" w:eastAsia="仿宋" w:cs="仿宋"/>
          <w:color w:val="auto"/>
          <w:sz w:val="32"/>
          <w:szCs w:val="32"/>
        </w:rPr>
        <w:t>（项）</w:t>
      </w:r>
      <w:r>
        <w:rPr>
          <w:rFonts w:hint="eastAsia" w:ascii="仿宋" w:hAnsi="仿宋" w:eastAsia="仿宋" w:cs="仿宋"/>
          <w:color w:val="auto"/>
          <w:sz w:val="32"/>
          <w:szCs w:val="32"/>
          <w:lang w:eastAsia="zh-CN"/>
        </w:rPr>
        <w:t>。</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strike w:val="0"/>
          <w:dstrike w:val="0"/>
          <w:color w:val="auto"/>
          <w:sz w:val="32"/>
          <w:szCs w:val="32"/>
          <w:lang w:val="en-US" w:eastAsia="zh-CN"/>
        </w:rPr>
        <w:t>0.17</w:t>
      </w:r>
      <w:r>
        <w:rPr>
          <w:rFonts w:hint="eastAsia" w:ascii="仿宋" w:hAnsi="仿宋" w:eastAsia="仿宋" w:cs="仿宋"/>
          <w:color w:val="auto"/>
          <w:sz w:val="32"/>
          <w:szCs w:val="32"/>
        </w:rPr>
        <w:t>万元，决算数大于年初预算数的主要原因是：决算开支调整。</w:t>
      </w:r>
    </w:p>
    <w:p>
      <w:pPr>
        <w:pStyle w:val="13"/>
        <w:keepNext w:val="0"/>
        <w:keepLines w:val="0"/>
        <w:pageBreakBefore w:val="0"/>
        <w:numPr>
          <w:ilvl w:val="0"/>
          <w:numId w:val="0"/>
        </w:numPr>
        <w:kinsoku/>
        <w:wordWrap/>
        <w:overflowPunct/>
        <w:topLinePunct w:val="0"/>
        <w:bidi w:val="0"/>
        <w:spacing w:line="600" w:lineRule="exact"/>
        <w:ind w:left="0" w:leftChars="0"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六、一般公共预算财政拨款基本支出决算情况说明</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年度财政拨款基本支出</w:t>
      </w:r>
      <w:r>
        <w:rPr>
          <w:rFonts w:hint="eastAsia" w:ascii="仿宋" w:hAnsi="仿宋" w:eastAsia="仿宋" w:cs="仿宋"/>
          <w:color w:val="auto"/>
          <w:sz w:val="32"/>
          <w:szCs w:val="32"/>
          <w:lang w:val="en-US" w:eastAsia="zh-CN"/>
        </w:rPr>
        <w:t>262.71</w:t>
      </w:r>
      <w:r>
        <w:rPr>
          <w:rFonts w:hint="eastAsia" w:ascii="仿宋" w:hAnsi="仿宋" w:eastAsia="仿宋" w:cs="仿宋"/>
          <w:color w:val="auto"/>
          <w:sz w:val="32"/>
          <w:szCs w:val="32"/>
        </w:rPr>
        <w:t>万元，其中：人员经费</w:t>
      </w:r>
      <w:r>
        <w:rPr>
          <w:rFonts w:hint="eastAsia" w:ascii="仿宋" w:hAnsi="仿宋" w:eastAsia="仿宋" w:cs="仿宋"/>
          <w:color w:val="auto"/>
          <w:sz w:val="32"/>
          <w:szCs w:val="32"/>
          <w:lang w:val="en-US" w:eastAsia="zh-CN"/>
        </w:rPr>
        <w:t>187.47</w:t>
      </w:r>
      <w:r>
        <w:rPr>
          <w:rFonts w:hint="eastAsia" w:ascii="仿宋" w:hAnsi="仿宋" w:eastAsia="仿宋" w:cs="仿宋"/>
          <w:color w:val="auto"/>
          <w:sz w:val="32"/>
          <w:szCs w:val="32"/>
        </w:rPr>
        <w:t>万元，占基本支出的</w:t>
      </w:r>
      <w:r>
        <w:rPr>
          <w:rFonts w:hint="eastAsia" w:ascii="仿宋" w:hAnsi="仿宋" w:eastAsia="仿宋" w:cs="仿宋"/>
          <w:color w:val="auto"/>
          <w:sz w:val="32"/>
          <w:szCs w:val="32"/>
          <w:lang w:val="en-US" w:eastAsia="zh-CN"/>
        </w:rPr>
        <w:t>71.36</w:t>
      </w:r>
      <w:r>
        <w:rPr>
          <w:rFonts w:hint="eastAsia" w:ascii="仿宋" w:hAnsi="仿宋" w:eastAsia="仿宋" w:cs="仿宋"/>
          <w:color w:val="auto"/>
          <w:sz w:val="32"/>
          <w:szCs w:val="32"/>
        </w:rPr>
        <w:t>%,主要包括基本工资、津贴补贴、奖金、机关事业单位基本养老保险缴费、退休费等；公用经费</w:t>
      </w:r>
      <w:r>
        <w:rPr>
          <w:rFonts w:hint="eastAsia" w:ascii="仿宋" w:hAnsi="仿宋" w:eastAsia="仿宋" w:cs="仿宋"/>
          <w:color w:val="auto"/>
          <w:sz w:val="32"/>
          <w:szCs w:val="32"/>
          <w:lang w:val="en-US" w:eastAsia="zh-CN"/>
        </w:rPr>
        <w:t>75.24</w:t>
      </w:r>
      <w:r>
        <w:rPr>
          <w:rFonts w:hint="eastAsia" w:ascii="仿宋" w:hAnsi="仿宋" w:eastAsia="仿宋" w:cs="仿宋"/>
          <w:color w:val="auto"/>
          <w:sz w:val="32"/>
          <w:szCs w:val="32"/>
        </w:rPr>
        <w:t>万元，占基本支出的</w:t>
      </w:r>
      <w:r>
        <w:rPr>
          <w:rFonts w:hint="eastAsia" w:ascii="仿宋" w:hAnsi="仿宋" w:eastAsia="仿宋" w:cs="仿宋"/>
          <w:color w:val="auto"/>
          <w:sz w:val="32"/>
          <w:szCs w:val="32"/>
          <w:lang w:val="en-US" w:eastAsia="zh-CN"/>
        </w:rPr>
        <w:t>28.64</w:t>
      </w:r>
      <w:r>
        <w:rPr>
          <w:rFonts w:hint="eastAsia" w:ascii="仿宋" w:hAnsi="仿宋" w:eastAsia="仿宋" w:cs="仿宋"/>
          <w:color w:val="auto"/>
          <w:sz w:val="32"/>
          <w:szCs w:val="32"/>
        </w:rPr>
        <w:t>%，主要包括办公费、印刷费、差旅费、其他商品和服务支出等。</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七、一般公共预算财政拨款三公经费支出决算情况说明</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b/>
          <w:color w:val="auto"/>
          <w:sz w:val="32"/>
          <w:szCs w:val="32"/>
        </w:rPr>
      </w:pPr>
      <w:r>
        <w:rPr>
          <w:rFonts w:hint="eastAsia" w:ascii="仿宋" w:hAnsi="仿宋" w:eastAsia="仿宋" w:cs="仿宋"/>
          <w:b/>
          <w:color w:val="auto"/>
          <w:sz w:val="32"/>
          <w:szCs w:val="32"/>
        </w:rPr>
        <w:t>（一）“三公”经费财政拨款支出决算总体情况说明</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“三公”经费财政拨款支出预算为1.</w:t>
      </w:r>
      <w:r>
        <w:rPr>
          <w:rFonts w:hint="eastAsia" w:ascii="仿宋" w:hAnsi="仿宋" w:eastAsia="仿宋" w:cs="仿宋"/>
          <w:color w:val="auto"/>
          <w:sz w:val="32"/>
          <w:szCs w:val="32"/>
          <w:lang w:val="en-US" w:eastAsia="zh-CN"/>
        </w:rPr>
        <w:t>71</w:t>
      </w:r>
      <w:r>
        <w:rPr>
          <w:rFonts w:hint="eastAsia" w:ascii="仿宋" w:hAnsi="仿宋" w:eastAsia="仿宋" w:cs="仿宋"/>
          <w:color w:val="auto"/>
          <w:sz w:val="32"/>
          <w:szCs w:val="32"/>
        </w:rPr>
        <w:t>万元，支出决算为0.</w:t>
      </w:r>
      <w:r>
        <w:rPr>
          <w:rFonts w:hint="eastAsia" w:ascii="仿宋" w:hAnsi="仿宋" w:eastAsia="仿宋" w:cs="仿宋"/>
          <w:color w:val="auto"/>
          <w:sz w:val="32"/>
          <w:szCs w:val="32"/>
          <w:lang w:val="en-US" w:eastAsia="zh-CN"/>
        </w:rPr>
        <w:t>35</w:t>
      </w:r>
      <w:r>
        <w:rPr>
          <w:rFonts w:hint="eastAsia" w:ascii="仿宋" w:hAnsi="仿宋" w:eastAsia="仿宋" w:cs="仿宋"/>
          <w:color w:val="auto"/>
          <w:sz w:val="32"/>
          <w:szCs w:val="32"/>
        </w:rPr>
        <w:t>万元，完成预算的</w:t>
      </w:r>
      <w:r>
        <w:rPr>
          <w:rFonts w:hint="eastAsia" w:ascii="仿宋" w:hAnsi="仿宋" w:eastAsia="仿宋" w:cs="仿宋"/>
          <w:color w:val="auto"/>
          <w:sz w:val="32"/>
          <w:szCs w:val="32"/>
          <w:lang w:val="en-US" w:eastAsia="zh-CN"/>
        </w:rPr>
        <w:t>20.47</w:t>
      </w:r>
      <w:r>
        <w:rPr>
          <w:rFonts w:hint="eastAsia" w:ascii="仿宋" w:hAnsi="仿宋" w:eastAsia="仿宋" w:cs="仿宋"/>
          <w:color w:val="auto"/>
          <w:sz w:val="32"/>
          <w:szCs w:val="32"/>
        </w:rPr>
        <w:t>%，其中：</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因公出国（境）费支出预算为0万元，支出决算为0万元，决算数与预算数相等，与上年相比持平。主要原因</w:t>
      </w:r>
      <w:r>
        <w:rPr>
          <w:rFonts w:hint="eastAsia" w:ascii="仿宋" w:hAnsi="仿宋" w:eastAsia="仿宋" w:cs="仿宋"/>
          <w:color w:val="auto"/>
          <w:sz w:val="32"/>
          <w:szCs w:val="32"/>
          <w:lang w:val="en-US" w:eastAsia="zh-CN"/>
        </w:rPr>
        <w:t>本年度未安排因公出国(境)</w:t>
      </w:r>
      <w:r>
        <w:rPr>
          <w:rFonts w:hint="eastAsia" w:ascii="仿宋" w:hAnsi="仿宋" w:eastAsia="仿宋" w:cs="仿宋"/>
          <w:color w:val="auto"/>
          <w:sz w:val="32"/>
          <w:szCs w:val="32"/>
          <w:lang w:eastAsia="zh-CN"/>
        </w:rPr>
        <w:t>。</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公务接待费支出预算为1.</w:t>
      </w:r>
      <w:r>
        <w:rPr>
          <w:rFonts w:hint="eastAsia" w:ascii="仿宋" w:hAnsi="仿宋" w:eastAsia="仿宋" w:cs="仿宋"/>
          <w:color w:val="auto"/>
          <w:sz w:val="32"/>
          <w:szCs w:val="32"/>
          <w:lang w:val="en-US" w:eastAsia="zh-CN"/>
        </w:rPr>
        <w:t>71</w:t>
      </w:r>
      <w:r>
        <w:rPr>
          <w:rFonts w:hint="eastAsia" w:ascii="仿宋" w:hAnsi="仿宋" w:eastAsia="仿宋" w:cs="仿宋"/>
          <w:color w:val="auto"/>
          <w:sz w:val="32"/>
          <w:szCs w:val="32"/>
        </w:rPr>
        <w:t>万元，支出决算为0.</w:t>
      </w:r>
      <w:r>
        <w:rPr>
          <w:rFonts w:hint="eastAsia" w:ascii="仿宋" w:hAnsi="仿宋" w:eastAsia="仿宋" w:cs="仿宋"/>
          <w:color w:val="auto"/>
          <w:sz w:val="32"/>
          <w:szCs w:val="32"/>
          <w:lang w:val="en-US" w:eastAsia="zh-CN"/>
        </w:rPr>
        <w:t>35</w:t>
      </w:r>
      <w:r>
        <w:rPr>
          <w:rFonts w:hint="eastAsia" w:ascii="仿宋" w:hAnsi="仿宋" w:eastAsia="仿宋" w:cs="仿宋"/>
          <w:color w:val="auto"/>
          <w:sz w:val="32"/>
          <w:szCs w:val="32"/>
        </w:rPr>
        <w:t>万元，完成预算的</w:t>
      </w:r>
      <w:r>
        <w:rPr>
          <w:rFonts w:hint="eastAsia" w:ascii="仿宋" w:hAnsi="仿宋" w:eastAsia="仿宋" w:cs="仿宋"/>
          <w:color w:val="auto"/>
          <w:sz w:val="32"/>
          <w:szCs w:val="32"/>
          <w:lang w:val="en-US" w:eastAsia="zh-CN"/>
        </w:rPr>
        <w:t>20.47</w:t>
      </w:r>
      <w:r>
        <w:rPr>
          <w:rFonts w:hint="eastAsia" w:ascii="仿宋" w:hAnsi="仿宋" w:eastAsia="仿宋" w:cs="仿宋"/>
          <w:color w:val="auto"/>
          <w:sz w:val="32"/>
          <w:szCs w:val="32"/>
        </w:rPr>
        <w:t>%，决算数小于预算数的主要原因是励行节约，压减开支。与上年相比</w:t>
      </w:r>
      <w:r>
        <w:rPr>
          <w:rFonts w:hint="eastAsia" w:ascii="仿宋" w:hAnsi="仿宋" w:eastAsia="仿宋" w:cs="仿宋"/>
          <w:color w:val="auto"/>
          <w:sz w:val="32"/>
          <w:szCs w:val="32"/>
          <w:lang w:eastAsia="zh-CN"/>
        </w:rPr>
        <w:t>减少</w:t>
      </w:r>
      <w:r>
        <w:rPr>
          <w:rFonts w:hint="eastAsia" w:ascii="仿宋" w:hAnsi="仿宋" w:eastAsia="仿宋" w:cs="仿宋"/>
          <w:color w:val="auto"/>
          <w:sz w:val="32"/>
          <w:szCs w:val="32"/>
        </w:rPr>
        <w:t>0.</w:t>
      </w:r>
      <w:r>
        <w:rPr>
          <w:rFonts w:hint="eastAsia" w:ascii="仿宋" w:hAnsi="仿宋" w:eastAsia="仿宋" w:cs="仿宋"/>
          <w:color w:val="auto"/>
          <w:sz w:val="32"/>
          <w:szCs w:val="32"/>
          <w:lang w:val="en-US" w:eastAsia="zh-CN"/>
        </w:rPr>
        <w:t>31</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减少</w:t>
      </w:r>
      <w:r>
        <w:rPr>
          <w:rFonts w:hint="eastAsia" w:ascii="仿宋" w:hAnsi="仿宋" w:eastAsia="仿宋" w:cs="仿宋"/>
          <w:color w:val="auto"/>
          <w:sz w:val="32"/>
          <w:szCs w:val="32"/>
          <w:lang w:val="en-US" w:eastAsia="zh-CN"/>
        </w:rPr>
        <w:t>46.97</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减少</w:t>
      </w:r>
      <w:r>
        <w:rPr>
          <w:rFonts w:hint="eastAsia" w:ascii="仿宋" w:hAnsi="仿宋" w:eastAsia="仿宋" w:cs="仿宋"/>
          <w:color w:val="auto"/>
          <w:sz w:val="32"/>
          <w:szCs w:val="32"/>
        </w:rPr>
        <w:t>的主要原因是励行节约</w:t>
      </w:r>
      <w:r>
        <w:rPr>
          <w:rFonts w:hint="eastAsia" w:ascii="仿宋" w:hAnsi="仿宋" w:eastAsia="仿宋" w:cs="仿宋"/>
          <w:color w:val="auto"/>
          <w:sz w:val="32"/>
          <w:szCs w:val="32"/>
          <w:lang w:eastAsia="zh-CN"/>
        </w:rPr>
        <w:t>，减少</w:t>
      </w:r>
      <w:r>
        <w:rPr>
          <w:rFonts w:hint="eastAsia" w:ascii="仿宋" w:hAnsi="仿宋" w:eastAsia="仿宋" w:cs="仿宋"/>
          <w:color w:val="auto"/>
          <w:sz w:val="32"/>
          <w:szCs w:val="32"/>
        </w:rPr>
        <w:t>业务接待开支。</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3、公务用车购置费及运行维护费支出预算为0万元，支出决算为0万元，决算数与年初预算数持平主要原因按预算执行，与上年数持平，主要原因是单位无公务用车。</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b/>
          <w:color w:val="auto"/>
          <w:sz w:val="32"/>
          <w:szCs w:val="32"/>
        </w:rPr>
      </w:pPr>
      <w:r>
        <w:rPr>
          <w:rFonts w:hint="eastAsia" w:ascii="仿宋" w:hAnsi="仿宋" w:eastAsia="仿宋" w:cs="仿宋"/>
          <w:b/>
          <w:color w:val="auto"/>
          <w:sz w:val="32"/>
          <w:szCs w:val="32"/>
        </w:rPr>
        <w:t>（二）“三公”经费财政拨款支出决算具体情况说明</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年度“三公”经费财政拨款支出决算中，公务接待费支出决算0.</w:t>
      </w:r>
      <w:r>
        <w:rPr>
          <w:rFonts w:hint="eastAsia" w:ascii="仿宋" w:hAnsi="仿宋" w:eastAsia="仿宋" w:cs="仿宋"/>
          <w:color w:val="auto"/>
          <w:sz w:val="32"/>
          <w:szCs w:val="32"/>
          <w:lang w:val="en-US" w:eastAsia="zh-CN"/>
        </w:rPr>
        <w:t>35</w:t>
      </w:r>
      <w:r>
        <w:rPr>
          <w:rFonts w:hint="eastAsia" w:ascii="仿宋" w:hAnsi="仿宋" w:eastAsia="仿宋" w:cs="仿宋"/>
          <w:color w:val="auto"/>
          <w:sz w:val="32"/>
          <w:szCs w:val="32"/>
        </w:rPr>
        <w:t>万元，占100%,因公出国（境）费支出决算0万元，占0%,公务用车购置费及运行维护费支出决算0万元，占0%。其中：</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1、因公出国（境）费支出决算为0万元，全年安排因公出国（境）团组0个，累计0人次。</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2、公务接待费支出决算为0.</w:t>
      </w:r>
      <w:r>
        <w:rPr>
          <w:rFonts w:hint="eastAsia" w:ascii="仿宋" w:hAnsi="仿宋" w:eastAsia="仿宋" w:cs="仿宋"/>
          <w:color w:val="auto"/>
          <w:sz w:val="32"/>
          <w:szCs w:val="32"/>
          <w:lang w:val="en-US" w:eastAsia="zh-CN"/>
        </w:rPr>
        <w:t>35</w:t>
      </w:r>
      <w:r>
        <w:rPr>
          <w:rFonts w:hint="eastAsia" w:ascii="仿宋" w:hAnsi="仿宋" w:eastAsia="仿宋" w:cs="仿宋"/>
          <w:color w:val="auto"/>
          <w:sz w:val="32"/>
          <w:szCs w:val="32"/>
        </w:rPr>
        <w:t>万元，全年共接待来访团组</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个、来宾</w:t>
      </w:r>
      <w:r>
        <w:rPr>
          <w:rFonts w:hint="eastAsia" w:ascii="仿宋" w:hAnsi="仿宋" w:eastAsia="仿宋" w:cs="仿宋"/>
          <w:color w:val="auto"/>
          <w:sz w:val="32"/>
          <w:szCs w:val="32"/>
          <w:lang w:val="en-US" w:eastAsia="zh-CN"/>
        </w:rPr>
        <w:t>40</w:t>
      </w:r>
      <w:r>
        <w:rPr>
          <w:rFonts w:hint="eastAsia" w:ascii="仿宋" w:hAnsi="仿宋" w:eastAsia="仿宋" w:cs="仿宋"/>
          <w:color w:val="auto"/>
          <w:sz w:val="32"/>
          <w:szCs w:val="32"/>
        </w:rPr>
        <w:t>人次，主要是公务活动开展发生的接待支出。</w:t>
      </w:r>
    </w:p>
    <w:p>
      <w:pPr>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sz w:val="32"/>
          <w:szCs w:val="32"/>
        </w:rPr>
        <w:t>3、公务用车购置费及运行维护费支出决算为0万元，其中：公务用车购置费0万元，更新公务用车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辆。公务用车运行维护费0万元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截止202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年12月31日，我单位无公务用车。</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八、政府性基金预算收入支出决算情况</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年度政府性基金预算财政拨款收入0万元；年初结转和结余0万元；支出0万元，本单位无政府性基金收支。</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黑体" w:hAnsi="黑体" w:eastAsia="黑体" w:cs="黑体"/>
          <w:b w:val="0"/>
          <w:bCs/>
          <w:color w:val="auto"/>
          <w:sz w:val="32"/>
          <w:szCs w:val="32"/>
          <w:lang w:eastAsia="zh-CN"/>
        </w:rPr>
      </w:pPr>
      <w:r>
        <w:rPr>
          <w:rFonts w:hint="eastAsia" w:hAnsi="黑体" w:cs="黑体"/>
          <w:b w:val="0"/>
          <w:bCs/>
          <w:color w:val="auto"/>
          <w:sz w:val="32"/>
          <w:szCs w:val="32"/>
          <w:lang w:val="en-US" w:eastAsia="zh-CN"/>
        </w:rPr>
        <w:t>九、</w:t>
      </w:r>
      <w:r>
        <w:rPr>
          <w:rFonts w:hint="eastAsia" w:ascii="黑体" w:hAnsi="黑体" w:eastAsia="黑体" w:cs="黑体"/>
          <w:b w:val="0"/>
          <w:bCs/>
          <w:color w:val="auto"/>
          <w:sz w:val="32"/>
          <w:szCs w:val="32"/>
          <w:lang w:eastAsia="zh-CN"/>
        </w:rPr>
        <w:t>国有资本经营预算财政拨款支出决算情况说明</w:t>
      </w:r>
    </w:p>
    <w:p>
      <w:pPr>
        <w:pStyle w:val="13"/>
        <w:keepNext w:val="0"/>
        <w:keepLines w:val="0"/>
        <w:pageBreakBefore w:val="0"/>
        <w:numPr>
          <w:ilvl w:val="0"/>
          <w:numId w:val="0"/>
        </w:numPr>
        <w:kinsoku/>
        <w:wordWrap/>
        <w:overflowPunct/>
        <w:topLinePunct w:val="0"/>
        <w:bidi w:val="0"/>
        <w:spacing w:line="600" w:lineRule="exact"/>
        <w:ind w:left="0" w:leftChars="0" w:firstLine="640" w:firstLineChars="200"/>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本部门2021年度国有资本经营预算财政拨款支出总额0万元;支出0万元;其中基本支出0万元，项目支出0万元。本单位无国有资本经营预算财政拨款支出。</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lang w:eastAsia="zh-CN"/>
        </w:rPr>
        <w:t>十、</w:t>
      </w:r>
      <w:r>
        <w:rPr>
          <w:rFonts w:hint="eastAsia" w:ascii="黑体" w:hAnsi="黑体" w:eastAsia="黑体" w:cs="黑体"/>
          <w:b w:val="0"/>
          <w:bCs/>
          <w:color w:val="auto"/>
          <w:sz w:val="32"/>
          <w:szCs w:val="32"/>
        </w:rPr>
        <w:t>关于机关运行经费支出说明</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本部门202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年度机关运行经费支出</w:t>
      </w:r>
      <w:r>
        <w:rPr>
          <w:rFonts w:hint="eastAsia" w:ascii="仿宋" w:hAnsi="仿宋" w:eastAsia="仿宋" w:cs="仿宋"/>
          <w:color w:val="auto"/>
          <w:sz w:val="32"/>
          <w:szCs w:val="32"/>
          <w:lang w:val="en-US" w:eastAsia="zh-CN"/>
        </w:rPr>
        <w:t>75.24</w:t>
      </w:r>
      <w:r>
        <w:rPr>
          <w:rFonts w:hint="eastAsia" w:ascii="仿宋" w:hAnsi="仿宋" w:eastAsia="仿宋" w:cs="仿宋"/>
          <w:color w:val="auto"/>
          <w:sz w:val="32"/>
          <w:szCs w:val="32"/>
        </w:rPr>
        <w:t>万元，比年上年决算数减少</w:t>
      </w:r>
      <w:r>
        <w:rPr>
          <w:rFonts w:hint="eastAsia" w:ascii="仿宋" w:hAnsi="仿宋" w:eastAsia="仿宋" w:cs="仿宋"/>
          <w:color w:val="auto"/>
          <w:sz w:val="32"/>
          <w:szCs w:val="32"/>
          <w:lang w:val="en-US" w:eastAsia="zh-CN"/>
        </w:rPr>
        <w:t>90.22</w:t>
      </w:r>
      <w:r>
        <w:rPr>
          <w:rFonts w:hint="eastAsia" w:ascii="仿宋" w:hAnsi="仿宋" w:eastAsia="仿宋" w:cs="仿宋"/>
          <w:color w:val="auto"/>
          <w:sz w:val="32"/>
          <w:szCs w:val="32"/>
        </w:rPr>
        <w:t>万元，降低</w:t>
      </w:r>
      <w:r>
        <w:rPr>
          <w:rFonts w:hint="eastAsia" w:ascii="仿宋" w:hAnsi="仿宋" w:eastAsia="仿宋" w:cs="仿宋"/>
          <w:color w:val="auto"/>
          <w:sz w:val="32"/>
          <w:szCs w:val="32"/>
          <w:lang w:val="en-US" w:eastAsia="zh-CN"/>
        </w:rPr>
        <w:t>54.53</w:t>
      </w:r>
      <w:r>
        <w:rPr>
          <w:rFonts w:hint="eastAsia" w:ascii="仿宋" w:hAnsi="仿宋" w:eastAsia="仿宋" w:cs="仿宋"/>
          <w:color w:val="auto"/>
          <w:sz w:val="32"/>
          <w:szCs w:val="32"/>
        </w:rPr>
        <w:t>%。主要原因是：压减一般性支出。</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ascii="黑体" w:hAnsi="黑体" w:eastAsia="黑体" w:cs="黑体"/>
          <w:b w:val="0"/>
          <w:bCs/>
          <w:color w:val="auto"/>
          <w:sz w:val="32"/>
          <w:szCs w:val="32"/>
          <w:lang w:eastAsia="zh-CN"/>
        </w:rPr>
        <w:t>一</w:t>
      </w:r>
      <w:r>
        <w:rPr>
          <w:rFonts w:hint="eastAsia" w:ascii="黑体" w:hAnsi="黑体" w:eastAsia="黑体" w:cs="黑体"/>
          <w:b w:val="0"/>
          <w:bCs/>
          <w:color w:val="auto"/>
          <w:sz w:val="32"/>
          <w:szCs w:val="32"/>
        </w:rPr>
        <w:t>、一般性支出情况</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default" w:ascii="仿宋" w:hAnsi="仿宋" w:eastAsia="仿宋" w:cs="仿宋"/>
          <w:color w:val="auto"/>
          <w:sz w:val="32"/>
          <w:szCs w:val="32"/>
          <w:lang w:val="en-US"/>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年本部门</w:t>
      </w:r>
      <w:r>
        <w:rPr>
          <w:rFonts w:hint="eastAsia" w:ascii="仿宋" w:hAnsi="仿宋" w:eastAsia="仿宋" w:cs="仿宋"/>
          <w:color w:val="auto"/>
          <w:sz w:val="32"/>
          <w:szCs w:val="32"/>
          <w:lang w:eastAsia="zh-CN"/>
        </w:rPr>
        <w:t>无</w:t>
      </w:r>
      <w:r>
        <w:rPr>
          <w:rFonts w:hint="eastAsia" w:ascii="仿宋" w:hAnsi="仿宋" w:eastAsia="仿宋" w:cs="仿宋"/>
          <w:color w:val="auto"/>
          <w:sz w:val="32"/>
          <w:szCs w:val="32"/>
        </w:rPr>
        <w:t>会议费</w:t>
      </w:r>
      <w:r>
        <w:rPr>
          <w:rFonts w:hint="eastAsia" w:ascii="仿宋" w:hAnsi="仿宋" w:eastAsia="仿宋" w:cs="仿宋"/>
          <w:color w:val="auto"/>
          <w:sz w:val="32"/>
          <w:szCs w:val="32"/>
          <w:lang w:val="en-US" w:eastAsia="zh-CN"/>
        </w:rPr>
        <w:t>开支；无培训费开支；</w:t>
      </w:r>
      <w:r>
        <w:rPr>
          <w:rFonts w:hint="eastAsia" w:ascii="仿宋" w:hAnsi="仿宋" w:eastAsia="仿宋" w:cs="仿宋"/>
          <w:color w:val="auto"/>
          <w:sz w:val="32"/>
          <w:szCs w:val="32"/>
        </w:rPr>
        <w:t>未举办节庆、晚会、论坛、赛事等活动。</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ascii="黑体" w:hAnsi="黑体" w:eastAsia="黑体" w:cs="黑体"/>
          <w:b w:val="0"/>
          <w:bCs/>
          <w:color w:val="auto"/>
          <w:sz w:val="32"/>
          <w:szCs w:val="32"/>
          <w:lang w:eastAsia="zh-CN"/>
        </w:rPr>
        <w:t>二</w:t>
      </w:r>
      <w:r>
        <w:rPr>
          <w:rFonts w:hint="eastAsia" w:ascii="黑体" w:hAnsi="黑体" w:eastAsia="黑体" w:cs="黑体"/>
          <w:b w:val="0"/>
          <w:bCs/>
          <w:color w:val="auto"/>
          <w:sz w:val="32"/>
          <w:szCs w:val="32"/>
        </w:rPr>
        <w:t>、关于政府采购支出说明</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关于政府采购支出2021年度政府采购支出总额0万元，其中：政府采购货物支出0万元、政府采购工程支出0万元、政府采购服务支出0万元。授予中小企业合同金额0万元，由于政府采购总额为0万元，无法计算百分比，其中：授予小微企业合同金额0万元，由于政府采购总额为0万元，无法计算百分比。</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ascii="黑体" w:hAnsi="黑体" w:eastAsia="黑体" w:cs="黑体"/>
          <w:b w:val="0"/>
          <w:bCs/>
          <w:color w:val="auto"/>
          <w:sz w:val="32"/>
          <w:szCs w:val="32"/>
          <w:lang w:eastAsia="zh-CN"/>
        </w:rPr>
        <w:t>三</w:t>
      </w:r>
      <w:r>
        <w:rPr>
          <w:rFonts w:hint="eastAsia" w:ascii="黑体" w:hAnsi="黑体" w:eastAsia="黑体" w:cs="黑体"/>
          <w:b w:val="0"/>
          <w:bCs/>
          <w:color w:val="auto"/>
          <w:sz w:val="32"/>
          <w:szCs w:val="32"/>
        </w:rPr>
        <w:t>、关于国有资产占用情况说明</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截至202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12月31日，本单位共有车辆0辆，其中，主要领导干部用车0辆，机要通信用车0辆、应急保障用车0辆、执法执勤用车0辆、特种专业技术用车0辆、其他用车0辆；单位价值50万元以上通用设备0台（套）；单位价值100万元以上专用设备0台（套）。</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ascii="黑体" w:hAnsi="黑体" w:eastAsia="黑体" w:cs="黑体"/>
          <w:b w:val="0"/>
          <w:bCs/>
          <w:color w:val="auto"/>
          <w:sz w:val="32"/>
          <w:szCs w:val="32"/>
          <w:lang w:eastAsia="zh-CN"/>
        </w:rPr>
        <w:t>四</w:t>
      </w:r>
      <w:r>
        <w:rPr>
          <w:rFonts w:hint="eastAsia" w:ascii="黑体" w:hAnsi="黑体" w:eastAsia="黑体" w:cs="黑体"/>
          <w:b w:val="0"/>
          <w:bCs/>
          <w:color w:val="auto"/>
          <w:sz w:val="32"/>
          <w:szCs w:val="32"/>
        </w:rPr>
        <w:t>、关于202</w:t>
      </w:r>
      <w:r>
        <w:rPr>
          <w:rFonts w:hint="eastAsia" w:ascii="黑体" w:hAnsi="黑体" w:eastAsia="黑体" w:cs="黑体"/>
          <w:b w:val="0"/>
          <w:bCs/>
          <w:color w:val="auto"/>
          <w:sz w:val="32"/>
          <w:szCs w:val="32"/>
          <w:lang w:val="en-US" w:eastAsia="zh-CN"/>
        </w:rPr>
        <w:t>1</w:t>
      </w:r>
      <w:r>
        <w:rPr>
          <w:rFonts w:hint="eastAsia" w:ascii="黑体" w:hAnsi="黑体" w:eastAsia="黑体" w:cs="黑体"/>
          <w:b w:val="0"/>
          <w:bCs/>
          <w:color w:val="auto"/>
          <w:sz w:val="32"/>
          <w:szCs w:val="32"/>
        </w:rPr>
        <w:t>年度预算绩效情况的说明</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本部门预算绩效管理开展情况绩效评价报告见附件（按照财政绩效部门要求已公开或其他有关部门要求需随同部门决算一同公开的绩效信息，请作为附件公开）</w:t>
      </w:r>
    </w:p>
    <w:p>
      <w:pPr>
        <w:pStyle w:val="13"/>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本单位无重点项目，因此无重点项目绩效报告。</w:t>
      </w:r>
      <w:bookmarkStart w:id="1" w:name="_GoBack"/>
      <w:bookmarkEnd w:id="1"/>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right="0"/>
        <w:jc w:val="center"/>
        <w:textAlignment w:val="auto"/>
        <w:rPr>
          <w:rFonts w:hint="eastAsia" w:ascii="黑体" w:hAnsi="黑体" w:eastAsia="黑体" w:cs="黑体"/>
          <w:i w:val="0"/>
          <w:iCs w:val="0"/>
          <w:caps w:val="0"/>
          <w:color w:val="auto"/>
          <w:spacing w:val="0"/>
          <w:sz w:val="44"/>
          <w:szCs w:val="44"/>
        </w:rPr>
      </w:pPr>
      <w:r>
        <w:rPr>
          <w:rStyle w:val="10"/>
          <w:rFonts w:hint="eastAsia" w:ascii="黑体" w:hAnsi="黑体" w:eastAsia="黑体" w:cs="黑体"/>
          <w:i w:val="0"/>
          <w:iCs w:val="0"/>
          <w:caps w:val="0"/>
          <w:color w:val="auto"/>
          <w:spacing w:val="0"/>
          <w:sz w:val="44"/>
          <w:szCs w:val="44"/>
          <w:shd w:val="clear" w:color="auto" w:fill="FFFFFF"/>
        </w:rPr>
        <w:t>第四部分名词解释</w:t>
      </w:r>
    </w:p>
    <w:p>
      <w:pPr>
        <w:pStyle w:val="7"/>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一、财政拨款收入：指单位本年度从市级财政部门取得的财政拨款。</w:t>
      </w:r>
    </w:p>
    <w:p>
      <w:pPr>
        <w:pStyle w:val="7"/>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二、上级补助收入：指事业单位从主管部门和上级单位取得的非财政补助收入。</w:t>
      </w:r>
    </w:p>
    <w:p>
      <w:pPr>
        <w:pStyle w:val="7"/>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三、事业收入：指事业单位开展专业业务活动及其辅助活动取得的收入，事业单位收到的财政专户实际核拨的教育收费等资金在此反映。</w:t>
      </w:r>
    </w:p>
    <w:p>
      <w:pPr>
        <w:pStyle w:val="7"/>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四、经营收入：指事业单位在专业业务活动及其辅助活动之外开展非独立核算经营活动取得的收入。</w:t>
      </w:r>
    </w:p>
    <w:p>
      <w:pPr>
        <w:pStyle w:val="7"/>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五、附属单位缴款：指事业单位附属独立核算单位按照有关规定上缴的收入。</w:t>
      </w:r>
    </w:p>
    <w:p>
      <w:pPr>
        <w:pStyle w:val="7"/>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六、其他收入：指单位取得的除上述“财政拨款收入”、“事业收入”、“经营收入”等以外的各项收入。</w:t>
      </w:r>
    </w:p>
    <w:p>
      <w:pPr>
        <w:pStyle w:val="7"/>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七、用事业基金弥补收支差额：指事业单位用事业基金弥补当年收支差额的数额。</w:t>
      </w:r>
    </w:p>
    <w:p>
      <w:pPr>
        <w:pStyle w:val="7"/>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八、年初结转和结余：指单位上年结转本年使用的基本支出结转、项目支出结转和结余和经营结余。</w:t>
      </w:r>
    </w:p>
    <w:p>
      <w:pPr>
        <w:pStyle w:val="7"/>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九、一般公共服务（类）人大事务（款）行政运行（项）：指人大常委会办公厅用于保障机构正常运行、开展日常工作的基本支出。</w:t>
      </w:r>
    </w:p>
    <w:p>
      <w:pPr>
        <w:pStyle w:val="7"/>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十、结余分配：指事业单位按规定对非财政补助结余资金提取的职工福利基金、事业基金和缴纳的所得税，以及减少单位按规定应缴回的基本建设竣工项目结余资金。</w:t>
      </w:r>
    </w:p>
    <w:p>
      <w:pPr>
        <w:pStyle w:val="7"/>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十一、年末结转和结余资金：指本年度或以前年度预算安排、因客观条件发生变化无法按原计划实施，需要延迟到以后年度按有关规定继续使用的资金。</w:t>
      </w:r>
    </w:p>
    <w:p>
      <w:pPr>
        <w:pStyle w:val="7"/>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十二、基本支出：指为保障机构正常运转、完成日常工作任务而发生的人员支出和公用支出。</w:t>
      </w:r>
    </w:p>
    <w:p>
      <w:pPr>
        <w:pStyle w:val="7"/>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十三、项目支出：指在基本支出之外为完成特定的行政任务或事业发展目标所发生的支出。</w:t>
      </w:r>
    </w:p>
    <w:p>
      <w:pPr>
        <w:pStyle w:val="7"/>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十四、上缴上级支出：指事业单位按照财政部门和主管部门的规定上缴上级单位的支出。</w:t>
      </w:r>
    </w:p>
    <w:p>
      <w:pPr>
        <w:pStyle w:val="7"/>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十五、经营支出：指事业单位在专业业务活动及其辅助活动之外开展非独立核算经营活动发生的支出。</w:t>
      </w:r>
    </w:p>
    <w:p>
      <w:pPr>
        <w:pStyle w:val="7"/>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十六、对附属单位补助支出：指事业单位用财政补助收入之外的收入对附属单位补助发生的支出。</w:t>
      </w:r>
    </w:p>
    <w:p>
      <w:pPr>
        <w:pStyle w:val="7"/>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七、“三公”经费：指市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pStyle w:val="7"/>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八、机关运行经费：指为保障行政单位（含参照公务员法管理的事业单位）运行用于购买货物和服务的各项资金，包括办公费、印刷费、差旅费、会议费、日常维修费、专用材料及办公用房水电费、物业管理费、公务用车运行维护费等。在财政部有明确规定前，“机关运行经费”暂指一般公共预算安排的基本支出中的“商品和服务支出”经费。</w:t>
      </w:r>
    </w:p>
    <w:p>
      <w:pPr>
        <w:pStyle w:val="7"/>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jc w:val="left"/>
        <w:textAlignment w:val="auto"/>
        <w:rPr>
          <w:rFonts w:hint="eastAsia" w:ascii="仿宋" w:hAnsi="仿宋" w:eastAsia="仿宋" w:cs="仿宋"/>
          <w:color w:val="auto"/>
          <w:sz w:val="32"/>
          <w:szCs w:val="32"/>
        </w:rPr>
      </w:pPr>
    </w:p>
    <w:p>
      <w:pPr>
        <w:pStyle w:val="7"/>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jc w:val="center"/>
        <w:textAlignment w:val="auto"/>
        <w:rPr>
          <w:rFonts w:hint="eastAsia" w:ascii="黑体" w:hAnsi="黑体" w:eastAsia="黑体" w:cs="黑体"/>
          <w:color w:val="auto"/>
          <w:sz w:val="44"/>
          <w:szCs w:val="44"/>
        </w:rPr>
      </w:pPr>
      <w:r>
        <w:rPr>
          <w:rFonts w:hint="eastAsia" w:ascii="黑体" w:hAnsi="黑体" w:eastAsia="黑体" w:cs="黑体"/>
          <w:b/>
          <w:bCs/>
          <w:color w:val="auto"/>
          <w:sz w:val="44"/>
          <w:szCs w:val="44"/>
        </w:rPr>
        <w:t>第五部分  附件</w:t>
      </w:r>
    </w:p>
    <w:p>
      <w:pPr>
        <w:pStyle w:val="7"/>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p>
    <w:p>
      <w:pPr>
        <w:keepNext w:val="0"/>
        <w:keepLines w:val="0"/>
        <w:pageBreakBefore w:val="0"/>
        <w:kinsoku/>
        <w:wordWrap/>
        <w:overflowPunct/>
        <w:topLinePunct w:val="0"/>
        <w:bidi w:val="0"/>
        <w:spacing w:line="600" w:lineRule="exact"/>
        <w:ind w:left="0" w:leftChars="0" w:firstLine="640" w:firstLineChars="200"/>
        <w:jc w:val="center"/>
        <w:textAlignment w:val="auto"/>
        <w:rPr>
          <w:rFonts w:hint="eastAsia" w:ascii="仿宋" w:hAnsi="仿宋" w:eastAsia="仿宋" w:cs="仿宋"/>
          <w:color w:val="auto"/>
          <w:kern w:val="0"/>
          <w:sz w:val="32"/>
          <w:szCs w:val="32"/>
        </w:rPr>
      </w:pPr>
    </w:p>
    <w:p>
      <w:pPr>
        <w:pStyle w:val="2"/>
        <w:rPr>
          <w:rFonts w:hint="eastAsia" w:ascii="仿宋" w:hAnsi="仿宋" w:eastAsia="仿宋" w:cs="仿宋"/>
          <w:color w:val="auto"/>
          <w:kern w:val="0"/>
          <w:sz w:val="32"/>
          <w:szCs w:val="32"/>
        </w:rPr>
      </w:pPr>
    </w:p>
    <w:p>
      <w:pPr>
        <w:pStyle w:val="3"/>
        <w:rPr>
          <w:rFonts w:hint="eastAsia"/>
          <w:color w:val="auto"/>
        </w:rPr>
      </w:pPr>
    </w:p>
    <w:p>
      <w:pPr>
        <w:keepNext w:val="0"/>
        <w:keepLines w:val="0"/>
        <w:pageBreakBefore w:val="0"/>
        <w:widowControl/>
        <w:shd w:val="clear" w:color="auto" w:fill="FFFFFF"/>
        <w:kinsoku/>
        <w:wordWrap/>
        <w:overflowPunct/>
        <w:topLinePunct w:val="0"/>
        <w:bidi w:val="0"/>
        <w:spacing w:line="600" w:lineRule="exact"/>
        <w:ind w:left="0" w:leftChars="0" w:firstLine="632" w:firstLineChars="200"/>
        <w:jc w:val="center"/>
        <w:textAlignment w:val="auto"/>
        <w:rPr>
          <w:rFonts w:hint="eastAsia" w:ascii="仿宋" w:hAnsi="仿宋" w:eastAsia="仿宋" w:cs="仿宋"/>
          <w:b/>
          <w:color w:val="auto"/>
          <w:spacing w:val="-2"/>
          <w:sz w:val="32"/>
          <w:szCs w:val="32"/>
          <w:lang w:eastAsia="zh-CN"/>
        </w:rPr>
      </w:pPr>
      <w:r>
        <w:rPr>
          <w:rFonts w:hint="eastAsia" w:ascii="仿宋" w:hAnsi="仿宋" w:eastAsia="仿宋" w:cs="仿宋"/>
          <w:b/>
          <w:color w:val="auto"/>
          <w:spacing w:val="-2"/>
          <w:sz w:val="32"/>
          <w:szCs w:val="32"/>
        </w:rPr>
        <w:t>怀化市文学艺术界联合会2021</w:t>
      </w:r>
      <w:r>
        <w:rPr>
          <w:rFonts w:hint="eastAsia" w:ascii="仿宋" w:hAnsi="仿宋" w:eastAsia="仿宋" w:cs="仿宋"/>
          <w:b/>
          <w:color w:val="auto"/>
          <w:spacing w:val="-2"/>
          <w:sz w:val="32"/>
          <w:szCs w:val="32"/>
          <w:lang w:eastAsia="zh-CN"/>
        </w:rPr>
        <w:t>年度</w:t>
      </w:r>
    </w:p>
    <w:p>
      <w:pPr>
        <w:keepNext w:val="0"/>
        <w:keepLines w:val="0"/>
        <w:pageBreakBefore w:val="0"/>
        <w:widowControl/>
        <w:shd w:val="clear" w:color="auto" w:fill="FFFFFF"/>
        <w:kinsoku/>
        <w:wordWrap/>
        <w:overflowPunct/>
        <w:topLinePunct w:val="0"/>
        <w:bidi w:val="0"/>
        <w:spacing w:line="600" w:lineRule="exact"/>
        <w:ind w:left="0" w:leftChars="0" w:firstLine="632" w:firstLineChars="200"/>
        <w:jc w:val="center"/>
        <w:textAlignment w:val="auto"/>
        <w:rPr>
          <w:rFonts w:hint="eastAsia" w:ascii="仿宋" w:hAnsi="仿宋" w:eastAsia="仿宋" w:cs="仿宋"/>
          <w:b/>
          <w:color w:val="auto"/>
          <w:spacing w:val="-2"/>
          <w:sz w:val="32"/>
          <w:szCs w:val="32"/>
        </w:rPr>
      </w:pPr>
      <w:r>
        <w:rPr>
          <w:rFonts w:hint="eastAsia" w:ascii="仿宋" w:hAnsi="仿宋" w:eastAsia="仿宋" w:cs="仿宋"/>
          <w:b/>
          <w:color w:val="auto"/>
          <w:spacing w:val="-2"/>
          <w:sz w:val="32"/>
          <w:szCs w:val="32"/>
        </w:rPr>
        <w:t>部门整体支出绩效评价报告</w:t>
      </w:r>
    </w:p>
    <w:p>
      <w:pPr>
        <w:keepNext w:val="0"/>
        <w:keepLines w:val="0"/>
        <w:pageBreakBefore w:val="0"/>
        <w:widowControl/>
        <w:shd w:val="clear" w:color="auto" w:fill="FFFFFF"/>
        <w:kinsoku/>
        <w:wordWrap/>
        <w:overflowPunct/>
        <w:topLinePunct w:val="0"/>
        <w:bidi w:val="0"/>
        <w:spacing w:line="600" w:lineRule="exact"/>
        <w:ind w:left="0" w:leftChars="0" w:firstLine="632" w:firstLineChars="200"/>
        <w:jc w:val="center"/>
        <w:textAlignment w:val="auto"/>
        <w:rPr>
          <w:rFonts w:hint="eastAsia" w:ascii="仿宋" w:hAnsi="仿宋" w:eastAsia="仿宋" w:cs="仿宋"/>
          <w:b/>
          <w:color w:val="auto"/>
          <w:spacing w:val="-2"/>
          <w:sz w:val="32"/>
          <w:szCs w:val="32"/>
        </w:rPr>
      </w:pPr>
    </w:p>
    <w:p>
      <w:pPr>
        <w:keepNext w:val="0"/>
        <w:keepLines w:val="0"/>
        <w:pageBreakBefore w:val="0"/>
        <w:widowControl/>
        <w:shd w:val="clear" w:color="auto" w:fill="FFFFFF"/>
        <w:kinsoku/>
        <w:wordWrap/>
        <w:overflowPunct/>
        <w:topLinePunct w:val="0"/>
        <w:bidi w:val="0"/>
        <w:spacing w:line="600" w:lineRule="exact"/>
        <w:ind w:left="0" w:leftChars="0" w:firstLine="632" w:firstLineChars="200"/>
        <w:textAlignment w:val="auto"/>
        <w:rPr>
          <w:rFonts w:hint="eastAsia" w:ascii="仿宋" w:hAnsi="仿宋" w:eastAsia="仿宋" w:cs="仿宋"/>
          <w:bCs/>
          <w:color w:val="auto"/>
          <w:spacing w:val="-2"/>
          <w:sz w:val="32"/>
          <w:szCs w:val="32"/>
        </w:rPr>
      </w:pPr>
      <w:r>
        <w:rPr>
          <w:rFonts w:hint="eastAsia" w:ascii="仿宋" w:hAnsi="仿宋" w:eastAsia="仿宋" w:cs="仿宋"/>
          <w:bCs/>
          <w:color w:val="auto"/>
          <w:spacing w:val="-2"/>
          <w:sz w:val="32"/>
          <w:szCs w:val="32"/>
        </w:rPr>
        <w:t>一、部门概况</w:t>
      </w:r>
    </w:p>
    <w:p>
      <w:pPr>
        <w:keepNext w:val="0"/>
        <w:keepLines w:val="0"/>
        <w:pageBreakBefore w:val="0"/>
        <w:widowControl/>
        <w:shd w:val="clear" w:color="auto" w:fill="FFFFFF"/>
        <w:kinsoku/>
        <w:wordWrap/>
        <w:overflowPunct/>
        <w:topLinePunct w:val="0"/>
        <w:bidi w:val="0"/>
        <w:spacing w:line="600" w:lineRule="exact"/>
        <w:ind w:left="0" w:leftChars="0" w:firstLine="632" w:firstLineChars="200"/>
        <w:textAlignment w:val="auto"/>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（一）部门基本情况</w:t>
      </w:r>
    </w:p>
    <w:p>
      <w:pPr>
        <w:keepNext w:val="0"/>
        <w:keepLines w:val="0"/>
        <w:pageBreakBefore w:val="0"/>
        <w:widowControl/>
        <w:shd w:val="clear" w:color="auto" w:fill="FFFFFF"/>
        <w:kinsoku/>
        <w:wordWrap/>
        <w:overflowPunct/>
        <w:topLinePunct w:val="0"/>
        <w:bidi w:val="0"/>
        <w:spacing w:line="600" w:lineRule="exact"/>
        <w:ind w:left="0" w:leftChars="0" w:firstLine="632" w:firstLineChars="200"/>
        <w:textAlignment w:val="auto"/>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1、在职人员情况</w:t>
      </w:r>
    </w:p>
    <w:p>
      <w:pPr>
        <w:keepNext w:val="0"/>
        <w:keepLines w:val="0"/>
        <w:pageBreakBefore w:val="0"/>
        <w:widowControl/>
        <w:shd w:val="clear" w:color="auto" w:fill="FFFFFF"/>
        <w:kinsoku/>
        <w:wordWrap/>
        <w:overflowPunct/>
        <w:topLinePunct w:val="0"/>
        <w:bidi w:val="0"/>
        <w:spacing w:line="600" w:lineRule="exact"/>
        <w:ind w:left="0" w:leftChars="0" w:firstLine="632" w:firstLineChars="200"/>
        <w:textAlignment w:val="auto"/>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我单位2021年人员编制数12人，均为在职人员12人。</w:t>
      </w:r>
    </w:p>
    <w:p>
      <w:pPr>
        <w:keepNext w:val="0"/>
        <w:keepLines w:val="0"/>
        <w:pageBreakBefore w:val="0"/>
        <w:widowControl/>
        <w:shd w:val="clear" w:color="auto" w:fill="FFFFFF"/>
        <w:kinsoku/>
        <w:wordWrap/>
        <w:overflowPunct/>
        <w:topLinePunct w:val="0"/>
        <w:bidi w:val="0"/>
        <w:spacing w:line="600" w:lineRule="exact"/>
        <w:ind w:left="0" w:leftChars="0" w:firstLine="632" w:firstLineChars="200"/>
        <w:textAlignment w:val="auto"/>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2、机构设置</w:t>
      </w:r>
    </w:p>
    <w:p>
      <w:pPr>
        <w:keepNext w:val="0"/>
        <w:keepLines w:val="0"/>
        <w:pageBreakBefore w:val="0"/>
        <w:widowControl/>
        <w:shd w:val="clear" w:color="auto" w:fill="FFFFFF"/>
        <w:kinsoku/>
        <w:wordWrap/>
        <w:overflowPunct/>
        <w:topLinePunct w:val="0"/>
        <w:bidi w:val="0"/>
        <w:spacing w:line="600" w:lineRule="exact"/>
        <w:ind w:left="0" w:leftChars="0" w:firstLine="632" w:firstLineChars="200"/>
        <w:textAlignment w:val="auto"/>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怀化市文学艺术界联合会作为一级部门预算单位，内设科室为：办公室。雪峰文学杂志社作为怀化市文学艺术界联合会的二级部门预算单位，无内设科室。</w:t>
      </w:r>
    </w:p>
    <w:p>
      <w:pPr>
        <w:keepNext w:val="0"/>
        <w:keepLines w:val="0"/>
        <w:pageBreakBefore w:val="0"/>
        <w:widowControl/>
        <w:shd w:val="clear" w:color="auto" w:fill="FFFFFF"/>
        <w:kinsoku/>
        <w:wordWrap/>
        <w:overflowPunct/>
        <w:topLinePunct w:val="0"/>
        <w:bidi w:val="0"/>
        <w:spacing w:line="600" w:lineRule="exact"/>
        <w:ind w:left="0" w:leftChars="0" w:firstLine="632" w:firstLineChars="200"/>
        <w:textAlignment w:val="auto"/>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3、部门职能</w:t>
      </w:r>
    </w:p>
    <w:p>
      <w:pPr>
        <w:keepNext w:val="0"/>
        <w:keepLines w:val="0"/>
        <w:pageBreakBefore w:val="0"/>
        <w:widowControl/>
        <w:shd w:val="clear" w:color="auto" w:fill="FFFFFF"/>
        <w:kinsoku/>
        <w:wordWrap/>
        <w:overflowPunct/>
        <w:topLinePunct w:val="0"/>
        <w:bidi w:val="0"/>
        <w:spacing w:line="600" w:lineRule="exact"/>
        <w:ind w:left="0" w:leftChars="0" w:firstLine="632" w:firstLineChars="200"/>
        <w:textAlignment w:val="auto"/>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怀化市文学艺术界联合会是党委政府联系文艺家的群众团体，按照科学发展观的要求，坚持文艺“为人民服务，为社会主义服务”的方向和“百花齐放，百家争鸣”的方针，充分发挥文联“团结引导、联络协调、服务管理、自律维权”的职能，着力发挥好党委政府和文艺家之间的桥梁纽带作用，不断探索新形势下文学艺术创作的新途径，积极组织全市文艺工作者开展文艺创作，文艺演出、展览、评奖、研讨和交流等活动，激发文艺工作者的创作热情，做好各个艺术门类及各艺术类别的联络、协调、服务指导工作。进一步拓展服务基层的渠道，提高服务群众的水平，繁荣我市文艺事业。</w:t>
      </w:r>
    </w:p>
    <w:p>
      <w:pPr>
        <w:keepNext w:val="0"/>
        <w:keepLines w:val="0"/>
        <w:pageBreakBefore w:val="0"/>
        <w:widowControl/>
        <w:numPr>
          <w:ilvl w:val="0"/>
          <w:numId w:val="2"/>
        </w:numPr>
        <w:shd w:val="clear" w:color="auto" w:fill="FFFFFF"/>
        <w:kinsoku/>
        <w:wordWrap/>
        <w:overflowPunct/>
        <w:topLinePunct w:val="0"/>
        <w:bidi w:val="0"/>
        <w:spacing w:line="600" w:lineRule="exact"/>
        <w:ind w:left="0" w:leftChars="0" w:firstLine="632" w:firstLineChars="200"/>
        <w:textAlignment w:val="auto"/>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年度主要工作任务</w:t>
      </w:r>
    </w:p>
    <w:p>
      <w:pPr>
        <w:keepNext w:val="0"/>
        <w:keepLines w:val="0"/>
        <w:pageBreakBefore w:val="0"/>
        <w:widowControl/>
        <w:shd w:val="clear" w:color="auto" w:fill="FFFFFF"/>
        <w:kinsoku/>
        <w:wordWrap/>
        <w:overflowPunct/>
        <w:topLinePunct w:val="0"/>
        <w:bidi w:val="0"/>
        <w:spacing w:line="600" w:lineRule="exact"/>
        <w:ind w:left="0" w:leftChars="0" w:firstLine="632" w:firstLineChars="200"/>
        <w:textAlignment w:val="auto"/>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（1）加强政治建设，强化党建引领。持续推动习近平新时代中国特色社会主义思想入脑入心入作品，重点学习了习近平总书记“七一”重要讲话精神。</w:t>
      </w:r>
    </w:p>
    <w:p>
      <w:pPr>
        <w:keepNext w:val="0"/>
        <w:keepLines w:val="0"/>
        <w:pageBreakBefore w:val="0"/>
        <w:widowControl/>
        <w:shd w:val="clear" w:color="auto" w:fill="FFFFFF"/>
        <w:kinsoku/>
        <w:wordWrap/>
        <w:overflowPunct/>
        <w:topLinePunct w:val="0"/>
        <w:bidi w:val="0"/>
        <w:spacing w:line="600" w:lineRule="exact"/>
        <w:ind w:left="0" w:leftChars="0" w:firstLine="632" w:firstLineChars="200"/>
        <w:textAlignment w:val="auto"/>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（2）服务中心大局，助力乡村振兴。紧紧围绕市委市政府重点工作，坚持党的文艺方针政策，积极探索文艺与党建、乡村振兴等重点工作相融合。</w:t>
      </w:r>
    </w:p>
    <w:p>
      <w:pPr>
        <w:keepNext w:val="0"/>
        <w:keepLines w:val="0"/>
        <w:pageBreakBefore w:val="0"/>
        <w:widowControl/>
        <w:shd w:val="clear" w:color="auto" w:fill="FFFFFF"/>
        <w:kinsoku/>
        <w:wordWrap/>
        <w:overflowPunct/>
        <w:topLinePunct w:val="0"/>
        <w:bidi w:val="0"/>
        <w:spacing w:line="600" w:lineRule="exact"/>
        <w:ind w:left="0" w:leftChars="0" w:firstLine="632" w:firstLineChars="200"/>
        <w:textAlignment w:val="auto"/>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（3）聚焦建党百年，创作文艺精品。参加全省“欢乐潇湘”庆祝中国共产党成立100周年汇演活动。</w:t>
      </w:r>
    </w:p>
    <w:p>
      <w:pPr>
        <w:keepNext w:val="0"/>
        <w:keepLines w:val="0"/>
        <w:pageBreakBefore w:val="0"/>
        <w:widowControl/>
        <w:shd w:val="clear" w:color="auto" w:fill="FFFFFF"/>
        <w:kinsoku/>
        <w:wordWrap/>
        <w:overflowPunct/>
        <w:topLinePunct w:val="0"/>
        <w:bidi w:val="0"/>
        <w:spacing w:line="600" w:lineRule="exact"/>
        <w:ind w:left="0" w:leftChars="0" w:firstLine="632" w:firstLineChars="200"/>
        <w:textAlignment w:val="auto"/>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（4）深化志愿服务，推动文艺惠民。市文联以开展党史学习教育活动为契机，聚焦建党百年，大力开展形式多样的文艺志愿服务活动。</w:t>
      </w:r>
    </w:p>
    <w:p>
      <w:pPr>
        <w:keepNext w:val="0"/>
        <w:keepLines w:val="0"/>
        <w:pageBreakBefore w:val="0"/>
        <w:widowControl/>
        <w:shd w:val="clear" w:color="auto" w:fill="FFFFFF"/>
        <w:kinsoku/>
        <w:wordWrap/>
        <w:overflowPunct/>
        <w:topLinePunct w:val="0"/>
        <w:bidi w:val="0"/>
        <w:spacing w:line="600" w:lineRule="exact"/>
        <w:ind w:left="0" w:leftChars="0" w:firstLine="632" w:firstLineChars="200"/>
        <w:textAlignment w:val="auto"/>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（5）加强人才培养，注重自身建设。认真抓好“十百千万工程”和文艺人才“双百工程”。</w:t>
      </w:r>
    </w:p>
    <w:p>
      <w:pPr>
        <w:keepNext w:val="0"/>
        <w:keepLines w:val="0"/>
        <w:pageBreakBefore w:val="0"/>
        <w:widowControl/>
        <w:shd w:val="clear" w:color="auto" w:fill="FFFFFF"/>
        <w:kinsoku/>
        <w:wordWrap/>
        <w:overflowPunct/>
        <w:topLinePunct w:val="0"/>
        <w:bidi w:val="0"/>
        <w:spacing w:line="600" w:lineRule="exact"/>
        <w:ind w:left="0" w:leftChars="0" w:firstLine="632" w:firstLineChars="200"/>
        <w:textAlignment w:val="auto"/>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（二）部门整体支出情况</w:t>
      </w:r>
    </w:p>
    <w:p>
      <w:pPr>
        <w:keepNext w:val="0"/>
        <w:keepLines w:val="0"/>
        <w:pageBreakBefore w:val="0"/>
        <w:widowControl/>
        <w:shd w:val="clear" w:color="auto" w:fill="FFFFFF"/>
        <w:kinsoku/>
        <w:wordWrap/>
        <w:overflowPunct/>
        <w:topLinePunct w:val="0"/>
        <w:bidi w:val="0"/>
        <w:spacing w:line="600" w:lineRule="exact"/>
        <w:ind w:left="0" w:leftChars="0" w:firstLine="632" w:firstLineChars="200"/>
        <w:textAlignment w:val="auto"/>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1、收入预算，2021年年初预算数175.35万元，其中，一般公共预算拨款175.35万元，政府性基金预算拨款0万元，纳入财政专户管理的非税收入拨款0万元，国有资本经营预算拨款0万元。收入较去年减少10.01万元，主要原因是压减市直一般公共预算一般性支出经费。</w:t>
      </w:r>
    </w:p>
    <w:p>
      <w:pPr>
        <w:keepNext w:val="0"/>
        <w:keepLines w:val="0"/>
        <w:pageBreakBefore w:val="0"/>
        <w:widowControl/>
        <w:shd w:val="clear" w:color="auto" w:fill="FFFFFF"/>
        <w:kinsoku/>
        <w:wordWrap/>
        <w:overflowPunct/>
        <w:topLinePunct w:val="0"/>
        <w:bidi w:val="0"/>
        <w:spacing w:line="600" w:lineRule="exact"/>
        <w:ind w:left="0" w:leftChars="0" w:firstLine="632" w:firstLineChars="200"/>
        <w:textAlignment w:val="auto"/>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2、支出预算，2021年年初预算数175.35万元，其中主要是工资福利支出96.12万元，商品和服务支出66.2万元，对个人和家庭的补助13.03万元。支出较去年减少10.01万元，主要原因是压减市直一般公共预算一般性支出经费。</w:t>
      </w:r>
    </w:p>
    <w:p>
      <w:pPr>
        <w:keepNext w:val="0"/>
        <w:keepLines w:val="0"/>
        <w:pageBreakBefore w:val="0"/>
        <w:widowControl/>
        <w:shd w:val="clear" w:color="auto" w:fill="FFFFFF"/>
        <w:kinsoku/>
        <w:wordWrap/>
        <w:overflowPunct/>
        <w:topLinePunct w:val="0"/>
        <w:bidi w:val="0"/>
        <w:spacing w:line="600" w:lineRule="exact"/>
        <w:ind w:left="0" w:leftChars="0" w:firstLine="632" w:firstLineChars="200"/>
        <w:textAlignment w:val="auto"/>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3、支出决算，2021年决算支出数312.01万元，其中，一般公共服务支出208.38万元、教育支出2万元、文化旅游体育与传媒支出42.86万元、社会保障和就业支出44.63万元、卫生健康支出8.01万元、其他支出6.13万元。</w:t>
      </w:r>
    </w:p>
    <w:p>
      <w:pPr>
        <w:keepNext w:val="0"/>
        <w:keepLines w:val="0"/>
        <w:pageBreakBefore w:val="0"/>
        <w:widowControl/>
        <w:shd w:val="clear" w:color="auto" w:fill="FFFFFF"/>
        <w:kinsoku/>
        <w:wordWrap/>
        <w:overflowPunct/>
        <w:topLinePunct w:val="0"/>
        <w:bidi w:val="0"/>
        <w:spacing w:line="600" w:lineRule="exact"/>
        <w:ind w:left="0" w:leftChars="0" w:firstLine="632" w:firstLineChars="200"/>
        <w:textAlignment w:val="auto"/>
        <w:rPr>
          <w:rFonts w:hint="eastAsia" w:ascii="仿宋" w:hAnsi="仿宋" w:eastAsia="仿宋" w:cs="仿宋"/>
          <w:bCs/>
          <w:color w:val="auto"/>
          <w:spacing w:val="-2"/>
          <w:sz w:val="32"/>
          <w:szCs w:val="32"/>
        </w:rPr>
      </w:pPr>
      <w:r>
        <w:rPr>
          <w:rFonts w:hint="eastAsia" w:ascii="仿宋" w:hAnsi="仿宋" w:eastAsia="仿宋" w:cs="仿宋"/>
          <w:bCs/>
          <w:color w:val="auto"/>
          <w:spacing w:val="-2"/>
          <w:sz w:val="32"/>
          <w:szCs w:val="32"/>
        </w:rPr>
        <w:t>二、部门整体支出管理及使用情况</w:t>
      </w:r>
    </w:p>
    <w:p>
      <w:pPr>
        <w:keepNext w:val="0"/>
        <w:keepLines w:val="0"/>
        <w:pageBreakBefore w:val="0"/>
        <w:widowControl/>
        <w:shd w:val="clear" w:color="auto" w:fill="FFFFFF"/>
        <w:kinsoku/>
        <w:wordWrap/>
        <w:overflowPunct/>
        <w:topLinePunct w:val="0"/>
        <w:bidi w:val="0"/>
        <w:spacing w:line="600" w:lineRule="exact"/>
        <w:ind w:left="0" w:leftChars="0" w:firstLine="632" w:firstLineChars="200"/>
        <w:textAlignment w:val="auto"/>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（一）基本支出</w:t>
      </w:r>
    </w:p>
    <w:p>
      <w:pPr>
        <w:keepNext w:val="0"/>
        <w:keepLines w:val="0"/>
        <w:pageBreakBefore w:val="0"/>
        <w:widowControl/>
        <w:shd w:val="clear" w:color="auto" w:fill="FFFFFF"/>
        <w:kinsoku/>
        <w:wordWrap/>
        <w:overflowPunct/>
        <w:topLinePunct w:val="0"/>
        <w:bidi w:val="0"/>
        <w:spacing w:line="600" w:lineRule="exact"/>
        <w:ind w:left="0" w:leftChars="0" w:firstLine="632" w:firstLineChars="200"/>
        <w:textAlignment w:val="auto"/>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1．基本支出总体情况</w:t>
      </w:r>
    </w:p>
    <w:p>
      <w:pPr>
        <w:keepNext w:val="0"/>
        <w:keepLines w:val="0"/>
        <w:pageBreakBefore w:val="0"/>
        <w:widowControl/>
        <w:shd w:val="clear" w:color="auto" w:fill="FFFFFF"/>
        <w:kinsoku/>
        <w:wordWrap/>
        <w:overflowPunct/>
        <w:topLinePunct w:val="0"/>
        <w:bidi w:val="0"/>
        <w:spacing w:line="600" w:lineRule="exact"/>
        <w:ind w:left="0" w:leftChars="0" w:firstLine="632" w:firstLineChars="200"/>
        <w:textAlignment w:val="auto"/>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2021年部门预算总收入175.35万元，均为一般公共预算财政拨款收入。</w:t>
      </w:r>
      <w:r>
        <w:rPr>
          <w:rFonts w:hint="eastAsia" w:ascii="仿宋" w:hAnsi="仿宋" w:eastAsia="仿宋" w:cs="仿宋"/>
          <w:color w:val="auto"/>
          <w:sz w:val="32"/>
          <w:szCs w:val="32"/>
        </w:rPr>
        <w:t>2021年部门决算总收入312.01万元，其中</w:t>
      </w:r>
      <w:r>
        <w:rPr>
          <w:rFonts w:hint="eastAsia" w:ascii="仿宋" w:hAnsi="仿宋" w:eastAsia="仿宋" w:cs="仿宋"/>
          <w:color w:val="auto"/>
          <w:spacing w:val="-2"/>
          <w:sz w:val="32"/>
          <w:szCs w:val="32"/>
        </w:rPr>
        <w:t>一般公共预算财政拨款收入303.88</w:t>
      </w:r>
      <w:r>
        <w:rPr>
          <w:rFonts w:hint="eastAsia" w:ascii="仿宋" w:hAnsi="仿宋" w:eastAsia="仿宋" w:cs="仿宋"/>
          <w:color w:val="auto"/>
          <w:sz w:val="32"/>
          <w:szCs w:val="32"/>
        </w:rPr>
        <w:t>万元、其他收入</w:t>
      </w:r>
      <w:r>
        <w:rPr>
          <w:rFonts w:hint="eastAsia" w:ascii="仿宋" w:hAnsi="仿宋" w:eastAsia="仿宋" w:cs="仿宋"/>
          <w:color w:val="auto"/>
          <w:spacing w:val="-2"/>
          <w:sz w:val="32"/>
          <w:szCs w:val="32"/>
        </w:rPr>
        <w:t>6.13万元、上年结转结余2.00万元。</w:t>
      </w:r>
    </w:p>
    <w:p>
      <w:pPr>
        <w:keepNext w:val="0"/>
        <w:keepLines w:val="0"/>
        <w:pageBreakBefore w:val="0"/>
        <w:widowControl/>
        <w:shd w:val="clear" w:color="auto" w:fill="FFFFFF"/>
        <w:kinsoku/>
        <w:wordWrap/>
        <w:overflowPunct/>
        <w:topLinePunct w:val="0"/>
        <w:bidi w:val="0"/>
        <w:spacing w:line="600" w:lineRule="exact"/>
        <w:ind w:left="0" w:leftChars="0" w:firstLine="632" w:firstLineChars="200"/>
        <w:textAlignment w:val="auto"/>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2021年部门决算总支出312.01万元，其中基本支</w:t>
      </w:r>
      <w:bookmarkStart w:id="0" w:name="_Hlk42203772"/>
      <w:r>
        <w:rPr>
          <w:rFonts w:hint="eastAsia" w:ascii="仿宋" w:hAnsi="仿宋" w:eastAsia="仿宋" w:cs="仿宋"/>
          <w:color w:val="auto"/>
          <w:spacing w:val="-2"/>
          <w:sz w:val="32"/>
          <w:szCs w:val="32"/>
        </w:rPr>
        <w:t>出</w:t>
      </w:r>
      <w:bookmarkEnd w:id="0"/>
      <w:r>
        <w:rPr>
          <w:rFonts w:hint="eastAsia" w:ascii="仿宋" w:hAnsi="仿宋" w:eastAsia="仿宋" w:cs="仿宋"/>
          <w:color w:val="auto"/>
          <w:spacing w:val="-2"/>
          <w:sz w:val="32"/>
          <w:szCs w:val="32"/>
        </w:rPr>
        <w:t>268.84万元、项目支出43.17万元。</w:t>
      </w:r>
    </w:p>
    <w:p>
      <w:pPr>
        <w:pStyle w:val="16"/>
        <w:keepNext w:val="0"/>
        <w:keepLines w:val="0"/>
        <w:pageBreakBefore w:val="0"/>
        <w:widowControl/>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2．“三公经费”支出使用和管理情况</w:t>
      </w:r>
    </w:p>
    <w:p>
      <w:pPr>
        <w:pStyle w:val="16"/>
        <w:keepNext w:val="0"/>
        <w:keepLines w:val="0"/>
        <w:pageBreakBefore w:val="0"/>
        <w:widowControl/>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（1）2021年“三公经费支出情况”</w:t>
      </w:r>
    </w:p>
    <w:p>
      <w:pPr>
        <w:pStyle w:val="16"/>
        <w:keepNext w:val="0"/>
        <w:keepLines w:val="0"/>
        <w:pageBreakBefore w:val="0"/>
        <w:widowControl/>
        <w:kinsoku/>
        <w:wordWrap/>
        <w:overflowPunct/>
        <w:topLinePunct w:val="0"/>
        <w:bidi w:val="0"/>
        <w:spacing w:line="600" w:lineRule="exact"/>
        <w:ind w:left="0" w:leftChars="0" w:firstLine="640" w:firstLineChars="200"/>
        <w:jc w:val="righ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单位：万元</w:t>
      </w:r>
    </w:p>
    <w:tbl>
      <w:tblPr>
        <w:tblStyle w:val="8"/>
        <w:tblW w:w="83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36"/>
        <w:gridCol w:w="1720"/>
        <w:gridCol w:w="1870"/>
        <w:gridCol w:w="18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 w:hRule="atLeast"/>
          <w:tblHeader/>
          <w:jc w:val="center"/>
        </w:trPr>
        <w:tc>
          <w:tcPr>
            <w:tcW w:w="2936" w:type="dxa"/>
            <w:noWrap w:val="0"/>
            <w:vAlign w:val="center"/>
          </w:tcPr>
          <w:p>
            <w:pPr>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b/>
                <w:color w:val="auto"/>
                <w:sz w:val="32"/>
                <w:szCs w:val="32"/>
              </w:rPr>
            </w:pPr>
            <w:r>
              <w:rPr>
                <w:rFonts w:hint="eastAsia" w:ascii="仿宋" w:hAnsi="仿宋" w:eastAsia="仿宋" w:cs="仿宋"/>
                <w:b/>
                <w:color w:val="auto"/>
                <w:sz w:val="32"/>
                <w:szCs w:val="32"/>
              </w:rPr>
              <w:t>费用项目</w:t>
            </w:r>
          </w:p>
        </w:tc>
        <w:tc>
          <w:tcPr>
            <w:tcW w:w="1720" w:type="dxa"/>
            <w:noWrap w:val="0"/>
            <w:vAlign w:val="center"/>
          </w:tcPr>
          <w:p>
            <w:pPr>
              <w:keepNext w:val="0"/>
              <w:keepLines w:val="0"/>
              <w:pageBreakBefore w:val="0"/>
              <w:kinsoku/>
              <w:wordWrap/>
              <w:overflowPunct/>
              <w:topLinePunct w:val="0"/>
              <w:bidi w:val="0"/>
              <w:spacing w:line="600" w:lineRule="exact"/>
              <w:ind w:left="0" w:leftChars="0" w:firstLine="640" w:firstLineChars="200"/>
              <w:jc w:val="center"/>
              <w:textAlignment w:val="auto"/>
              <w:rPr>
                <w:rFonts w:hint="eastAsia" w:ascii="仿宋" w:hAnsi="仿宋" w:eastAsia="仿宋" w:cs="仿宋"/>
                <w:b/>
                <w:color w:val="auto"/>
                <w:sz w:val="32"/>
                <w:szCs w:val="32"/>
              </w:rPr>
            </w:pPr>
            <w:r>
              <w:rPr>
                <w:rFonts w:hint="eastAsia" w:ascii="仿宋" w:hAnsi="仿宋" w:eastAsia="仿宋" w:cs="仿宋"/>
                <w:b/>
                <w:color w:val="auto"/>
                <w:sz w:val="32"/>
                <w:szCs w:val="32"/>
              </w:rPr>
              <w:t>本年预算金额</w:t>
            </w:r>
          </w:p>
        </w:tc>
        <w:tc>
          <w:tcPr>
            <w:tcW w:w="1870" w:type="dxa"/>
            <w:noWrap w:val="0"/>
            <w:vAlign w:val="center"/>
          </w:tcPr>
          <w:p>
            <w:pPr>
              <w:keepNext w:val="0"/>
              <w:keepLines w:val="0"/>
              <w:pageBreakBefore w:val="0"/>
              <w:kinsoku/>
              <w:wordWrap/>
              <w:overflowPunct/>
              <w:topLinePunct w:val="0"/>
              <w:bidi w:val="0"/>
              <w:spacing w:line="600" w:lineRule="exact"/>
              <w:ind w:left="0" w:leftChars="0" w:firstLine="640" w:firstLineChars="200"/>
              <w:jc w:val="center"/>
              <w:textAlignment w:val="auto"/>
              <w:rPr>
                <w:rFonts w:hint="eastAsia" w:ascii="仿宋" w:hAnsi="仿宋" w:eastAsia="仿宋" w:cs="仿宋"/>
                <w:b/>
                <w:color w:val="auto"/>
                <w:sz w:val="32"/>
                <w:szCs w:val="32"/>
              </w:rPr>
            </w:pPr>
            <w:r>
              <w:rPr>
                <w:rFonts w:hint="eastAsia" w:ascii="仿宋" w:hAnsi="仿宋" w:eastAsia="仿宋" w:cs="仿宋"/>
                <w:b/>
                <w:color w:val="auto"/>
                <w:sz w:val="32"/>
                <w:szCs w:val="32"/>
              </w:rPr>
              <w:t>本年决算金额</w:t>
            </w:r>
          </w:p>
        </w:tc>
        <w:tc>
          <w:tcPr>
            <w:tcW w:w="1806" w:type="dxa"/>
            <w:noWrap w:val="0"/>
            <w:vAlign w:val="center"/>
          </w:tcPr>
          <w:p>
            <w:pPr>
              <w:keepNext w:val="0"/>
              <w:keepLines w:val="0"/>
              <w:pageBreakBefore w:val="0"/>
              <w:kinsoku/>
              <w:wordWrap/>
              <w:overflowPunct/>
              <w:topLinePunct w:val="0"/>
              <w:bidi w:val="0"/>
              <w:spacing w:line="600" w:lineRule="exact"/>
              <w:ind w:left="0" w:leftChars="0" w:firstLine="640" w:firstLineChars="200"/>
              <w:jc w:val="center"/>
              <w:textAlignment w:val="auto"/>
              <w:rPr>
                <w:rFonts w:hint="eastAsia" w:ascii="仿宋" w:hAnsi="仿宋" w:eastAsia="仿宋" w:cs="仿宋"/>
                <w:b/>
                <w:color w:val="auto"/>
                <w:sz w:val="32"/>
                <w:szCs w:val="32"/>
              </w:rPr>
            </w:pPr>
            <w:r>
              <w:rPr>
                <w:rFonts w:hint="eastAsia" w:ascii="仿宋" w:hAnsi="仿宋" w:eastAsia="仿宋" w:cs="仿宋"/>
                <w:b/>
                <w:color w:val="auto"/>
                <w:sz w:val="32"/>
                <w:szCs w:val="32"/>
              </w:rPr>
              <w:t>结余“-”/超支“+”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 w:hRule="atLeast"/>
          <w:jc w:val="center"/>
        </w:trPr>
        <w:tc>
          <w:tcPr>
            <w:tcW w:w="2936" w:type="dxa"/>
            <w:noWrap w:val="0"/>
            <w:vAlign w:val="center"/>
          </w:tcPr>
          <w:p>
            <w:pPr>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公务接待费</w:t>
            </w:r>
          </w:p>
        </w:tc>
        <w:tc>
          <w:tcPr>
            <w:tcW w:w="1720" w:type="dxa"/>
            <w:noWrap w:val="0"/>
            <w:vAlign w:val="center"/>
          </w:tcPr>
          <w:p>
            <w:pPr>
              <w:keepNext w:val="0"/>
              <w:keepLines w:val="0"/>
              <w:pageBreakBefore w:val="0"/>
              <w:kinsoku/>
              <w:wordWrap/>
              <w:overflowPunct/>
              <w:topLinePunct w:val="0"/>
              <w:bidi w:val="0"/>
              <w:spacing w:line="600" w:lineRule="exact"/>
              <w:ind w:left="0" w:leftChars="0" w:firstLine="640" w:firstLineChars="200"/>
              <w:jc w:val="righ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1.71</w:t>
            </w:r>
          </w:p>
        </w:tc>
        <w:tc>
          <w:tcPr>
            <w:tcW w:w="1870" w:type="dxa"/>
            <w:noWrap w:val="0"/>
            <w:vAlign w:val="center"/>
          </w:tcPr>
          <w:p>
            <w:pPr>
              <w:keepNext w:val="0"/>
              <w:keepLines w:val="0"/>
              <w:pageBreakBefore w:val="0"/>
              <w:kinsoku/>
              <w:wordWrap/>
              <w:overflowPunct/>
              <w:topLinePunct w:val="0"/>
              <w:bidi w:val="0"/>
              <w:spacing w:line="600" w:lineRule="exact"/>
              <w:ind w:left="0" w:leftChars="0" w:firstLine="640" w:firstLineChars="200"/>
              <w:jc w:val="righ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0.35</w:t>
            </w:r>
          </w:p>
        </w:tc>
        <w:tc>
          <w:tcPr>
            <w:tcW w:w="1806" w:type="dxa"/>
            <w:noWrap w:val="0"/>
            <w:vAlign w:val="center"/>
          </w:tcPr>
          <w:p>
            <w:pPr>
              <w:keepNext w:val="0"/>
              <w:keepLines w:val="0"/>
              <w:pageBreakBefore w:val="0"/>
              <w:kinsoku/>
              <w:wordWrap/>
              <w:overflowPunct/>
              <w:topLinePunct w:val="0"/>
              <w:bidi w:val="0"/>
              <w:spacing w:line="600" w:lineRule="exact"/>
              <w:ind w:left="0" w:leftChars="0" w:firstLine="640" w:firstLineChars="200"/>
              <w:jc w:val="righ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 w:hRule="atLeast"/>
          <w:jc w:val="center"/>
        </w:trPr>
        <w:tc>
          <w:tcPr>
            <w:tcW w:w="2936" w:type="dxa"/>
            <w:noWrap w:val="0"/>
            <w:vAlign w:val="center"/>
          </w:tcPr>
          <w:p>
            <w:pPr>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公务用车购置及运行维护费</w:t>
            </w:r>
          </w:p>
        </w:tc>
        <w:tc>
          <w:tcPr>
            <w:tcW w:w="1720" w:type="dxa"/>
            <w:noWrap w:val="0"/>
            <w:vAlign w:val="center"/>
          </w:tcPr>
          <w:p>
            <w:pPr>
              <w:keepNext w:val="0"/>
              <w:keepLines w:val="0"/>
              <w:pageBreakBefore w:val="0"/>
              <w:kinsoku/>
              <w:wordWrap/>
              <w:overflowPunct/>
              <w:topLinePunct w:val="0"/>
              <w:bidi w:val="0"/>
              <w:spacing w:line="600" w:lineRule="exact"/>
              <w:ind w:left="0" w:leftChars="0" w:firstLine="640" w:firstLineChars="200"/>
              <w:jc w:val="righ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0.00</w:t>
            </w:r>
          </w:p>
        </w:tc>
        <w:tc>
          <w:tcPr>
            <w:tcW w:w="1870" w:type="dxa"/>
            <w:noWrap w:val="0"/>
            <w:vAlign w:val="center"/>
          </w:tcPr>
          <w:p>
            <w:pPr>
              <w:keepNext w:val="0"/>
              <w:keepLines w:val="0"/>
              <w:pageBreakBefore w:val="0"/>
              <w:kinsoku/>
              <w:wordWrap/>
              <w:overflowPunct/>
              <w:topLinePunct w:val="0"/>
              <w:bidi w:val="0"/>
              <w:spacing w:line="600" w:lineRule="exact"/>
              <w:ind w:left="0" w:leftChars="0" w:firstLine="640" w:firstLineChars="200"/>
              <w:jc w:val="righ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0.00</w:t>
            </w:r>
          </w:p>
        </w:tc>
        <w:tc>
          <w:tcPr>
            <w:tcW w:w="1806" w:type="dxa"/>
            <w:noWrap w:val="0"/>
            <w:vAlign w:val="center"/>
          </w:tcPr>
          <w:p>
            <w:pPr>
              <w:keepNext w:val="0"/>
              <w:keepLines w:val="0"/>
              <w:pageBreakBefore w:val="0"/>
              <w:kinsoku/>
              <w:wordWrap/>
              <w:overflowPunct/>
              <w:topLinePunct w:val="0"/>
              <w:bidi w:val="0"/>
              <w:spacing w:line="600" w:lineRule="exact"/>
              <w:ind w:left="0" w:leftChars="0" w:firstLine="640" w:firstLineChars="200"/>
              <w:jc w:val="righ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 w:hRule="atLeast"/>
          <w:jc w:val="center"/>
        </w:trPr>
        <w:tc>
          <w:tcPr>
            <w:tcW w:w="2936" w:type="dxa"/>
            <w:noWrap w:val="0"/>
            <w:vAlign w:val="center"/>
          </w:tcPr>
          <w:p>
            <w:pPr>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因公出国费用</w:t>
            </w:r>
          </w:p>
        </w:tc>
        <w:tc>
          <w:tcPr>
            <w:tcW w:w="1720" w:type="dxa"/>
            <w:noWrap w:val="0"/>
            <w:vAlign w:val="center"/>
          </w:tcPr>
          <w:p>
            <w:pPr>
              <w:keepNext w:val="0"/>
              <w:keepLines w:val="0"/>
              <w:pageBreakBefore w:val="0"/>
              <w:kinsoku/>
              <w:wordWrap/>
              <w:overflowPunct/>
              <w:topLinePunct w:val="0"/>
              <w:bidi w:val="0"/>
              <w:spacing w:line="600" w:lineRule="exact"/>
              <w:ind w:left="0" w:leftChars="0" w:firstLine="640" w:firstLineChars="200"/>
              <w:jc w:val="righ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0.00</w:t>
            </w:r>
          </w:p>
        </w:tc>
        <w:tc>
          <w:tcPr>
            <w:tcW w:w="1870" w:type="dxa"/>
            <w:noWrap w:val="0"/>
            <w:vAlign w:val="center"/>
          </w:tcPr>
          <w:p>
            <w:pPr>
              <w:keepNext w:val="0"/>
              <w:keepLines w:val="0"/>
              <w:pageBreakBefore w:val="0"/>
              <w:kinsoku/>
              <w:wordWrap/>
              <w:overflowPunct/>
              <w:topLinePunct w:val="0"/>
              <w:bidi w:val="0"/>
              <w:spacing w:line="600" w:lineRule="exact"/>
              <w:ind w:left="0" w:leftChars="0" w:firstLine="640" w:firstLineChars="200"/>
              <w:jc w:val="righ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0.00</w:t>
            </w:r>
          </w:p>
        </w:tc>
        <w:tc>
          <w:tcPr>
            <w:tcW w:w="1806" w:type="dxa"/>
            <w:noWrap w:val="0"/>
            <w:vAlign w:val="center"/>
          </w:tcPr>
          <w:p>
            <w:pPr>
              <w:keepNext w:val="0"/>
              <w:keepLines w:val="0"/>
              <w:pageBreakBefore w:val="0"/>
              <w:kinsoku/>
              <w:wordWrap/>
              <w:overflowPunct/>
              <w:topLinePunct w:val="0"/>
              <w:bidi w:val="0"/>
              <w:spacing w:line="600" w:lineRule="exact"/>
              <w:ind w:left="0" w:leftChars="0" w:firstLine="640" w:firstLineChars="200"/>
              <w:jc w:val="righ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 w:hRule="atLeast"/>
          <w:jc w:val="center"/>
        </w:trPr>
        <w:tc>
          <w:tcPr>
            <w:tcW w:w="2936" w:type="dxa"/>
            <w:noWrap w:val="0"/>
            <w:vAlign w:val="center"/>
          </w:tcPr>
          <w:p>
            <w:pPr>
              <w:keepNext w:val="0"/>
              <w:keepLines w:val="0"/>
              <w:pageBreakBefore w:val="0"/>
              <w:kinsoku/>
              <w:wordWrap/>
              <w:overflowPunct/>
              <w:topLinePunct w:val="0"/>
              <w:bidi w:val="0"/>
              <w:spacing w:line="600" w:lineRule="exact"/>
              <w:ind w:left="0" w:leftChars="0" w:firstLine="640" w:firstLineChars="200"/>
              <w:jc w:val="center"/>
              <w:textAlignment w:val="auto"/>
              <w:rPr>
                <w:rFonts w:hint="eastAsia" w:ascii="仿宋" w:hAnsi="仿宋" w:eastAsia="仿宋" w:cs="仿宋"/>
                <w:b/>
                <w:color w:val="auto"/>
                <w:sz w:val="32"/>
                <w:szCs w:val="32"/>
              </w:rPr>
            </w:pPr>
            <w:r>
              <w:rPr>
                <w:rFonts w:hint="eastAsia" w:ascii="仿宋" w:hAnsi="仿宋" w:eastAsia="仿宋" w:cs="仿宋"/>
                <w:b/>
                <w:color w:val="auto"/>
                <w:sz w:val="32"/>
                <w:szCs w:val="32"/>
              </w:rPr>
              <w:t>合计</w:t>
            </w:r>
          </w:p>
        </w:tc>
        <w:tc>
          <w:tcPr>
            <w:tcW w:w="1720" w:type="dxa"/>
            <w:noWrap w:val="0"/>
            <w:vAlign w:val="center"/>
          </w:tcPr>
          <w:p>
            <w:pPr>
              <w:keepNext w:val="0"/>
              <w:keepLines w:val="0"/>
              <w:pageBreakBefore w:val="0"/>
              <w:kinsoku/>
              <w:wordWrap/>
              <w:overflowPunct/>
              <w:topLinePunct w:val="0"/>
              <w:bidi w:val="0"/>
              <w:spacing w:line="600" w:lineRule="exact"/>
              <w:ind w:left="0" w:leftChars="0" w:firstLine="640" w:firstLineChars="200"/>
              <w:jc w:val="righ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1.71</w:t>
            </w:r>
          </w:p>
        </w:tc>
        <w:tc>
          <w:tcPr>
            <w:tcW w:w="1870" w:type="dxa"/>
            <w:noWrap w:val="0"/>
            <w:vAlign w:val="center"/>
          </w:tcPr>
          <w:p>
            <w:pPr>
              <w:keepNext w:val="0"/>
              <w:keepLines w:val="0"/>
              <w:pageBreakBefore w:val="0"/>
              <w:kinsoku/>
              <w:wordWrap/>
              <w:overflowPunct/>
              <w:topLinePunct w:val="0"/>
              <w:bidi w:val="0"/>
              <w:spacing w:line="600" w:lineRule="exact"/>
              <w:ind w:left="0" w:leftChars="0" w:firstLine="640" w:firstLineChars="200"/>
              <w:jc w:val="righ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0.35</w:t>
            </w:r>
          </w:p>
        </w:tc>
        <w:tc>
          <w:tcPr>
            <w:tcW w:w="1806" w:type="dxa"/>
            <w:noWrap w:val="0"/>
            <w:vAlign w:val="center"/>
          </w:tcPr>
          <w:p>
            <w:pPr>
              <w:keepNext w:val="0"/>
              <w:keepLines w:val="0"/>
              <w:pageBreakBefore w:val="0"/>
              <w:kinsoku/>
              <w:wordWrap/>
              <w:overflowPunct/>
              <w:topLinePunct w:val="0"/>
              <w:bidi w:val="0"/>
              <w:spacing w:line="600" w:lineRule="exact"/>
              <w:ind w:left="0" w:leftChars="0" w:firstLine="640" w:firstLineChars="200"/>
              <w:jc w:val="righ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36</w:t>
            </w:r>
          </w:p>
        </w:tc>
      </w:tr>
    </w:tbl>
    <w:p>
      <w:pPr>
        <w:pStyle w:val="16"/>
        <w:keepNext w:val="0"/>
        <w:keepLines w:val="0"/>
        <w:pageBreakBefore w:val="0"/>
        <w:widowControl/>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从上表分析，2021年三公经费预算支出1.71万元，决算支出0.35万元，结余1.36万元，三公经费总额控制在预算范围内。</w:t>
      </w:r>
    </w:p>
    <w:p>
      <w:pPr>
        <w:pStyle w:val="16"/>
        <w:keepNext w:val="0"/>
        <w:keepLines w:val="0"/>
        <w:pageBreakBefore w:val="0"/>
        <w:widowControl/>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highlight w:val="yellow"/>
        </w:rPr>
      </w:pPr>
      <w:r>
        <w:rPr>
          <w:rFonts w:hint="eastAsia" w:ascii="仿宋" w:hAnsi="仿宋" w:eastAsia="仿宋" w:cs="仿宋"/>
          <w:color w:val="auto"/>
          <w:sz w:val="32"/>
          <w:szCs w:val="32"/>
        </w:rPr>
        <w:t>从三公经费的支出明细项目分析，公务接待费支出0.35万元，结余1.36万元；公务用车购置及运行维护费支出及因公出国费用支出均为0.00万元，未超支结余，三公经费明细均在上级主管单位要求下控制到位。</w:t>
      </w:r>
    </w:p>
    <w:p>
      <w:pPr>
        <w:pStyle w:val="16"/>
        <w:keepNext w:val="0"/>
        <w:keepLines w:val="0"/>
        <w:pageBreakBefore w:val="0"/>
        <w:widowControl/>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（2）与上年度比较“三公经费”控制情况</w:t>
      </w:r>
    </w:p>
    <w:p>
      <w:pPr>
        <w:keepNext w:val="0"/>
        <w:keepLines w:val="0"/>
        <w:pageBreakBefore w:val="0"/>
        <w:widowControl/>
        <w:shd w:val="clear" w:color="auto" w:fill="FFFFFF"/>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2021年“三公”经费预算较2020年预算数减少0.2万元，下降11%，主要因为压减市直一般公共预算一般性支出经费。</w:t>
      </w:r>
    </w:p>
    <w:p>
      <w:pPr>
        <w:keepNext w:val="0"/>
        <w:keepLines w:val="0"/>
        <w:pageBreakBefore w:val="0"/>
        <w:widowControl/>
        <w:shd w:val="clear" w:color="auto" w:fill="FFFFFF"/>
        <w:kinsoku/>
        <w:wordWrap/>
        <w:overflowPunct/>
        <w:topLinePunct w:val="0"/>
        <w:bidi w:val="0"/>
        <w:spacing w:line="600" w:lineRule="exact"/>
        <w:ind w:left="0" w:leftChars="0" w:firstLine="632" w:firstLineChars="200"/>
        <w:textAlignment w:val="auto"/>
        <w:rPr>
          <w:rFonts w:hint="eastAsia" w:ascii="仿宋" w:hAnsi="仿宋" w:eastAsia="仿宋" w:cs="仿宋"/>
          <w:bCs/>
          <w:color w:val="auto"/>
          <w:spacing w:val="-2"/>
          <w:sz w:val="32"/>
          <w:szCs w:val="32"/>
        </w:rPr>
      </w:pPr>
      <w:r>
        <w:rPr>
          <w:rFonts w:hint="eastAsia" w:ascii="仿宋" w:hAnsi="仿宋" w:eastAsia="仿宋" w:cs="仿宋"/>
          <w:bCs/>
          <w:color w:val="auto"/>
          <w:spacing w:val="-2"/>
          <w:sz w:val="32"/>
          <w:szCs w:val="32"/>
        </w:rPr>
        <w:t>（二）专项支出</w:t>
      </w:r>
    </w:p>
    <w:p>
      <w:pPr>
        <w:pStyle w:val="7"/>
        <w:keepNext w:val="0"/>
        <w:keepLines w:val="0"/>
        <w:pageBreakBefore w:val="0"/>
        <w:shd w:val="clear" w:color="auto" w:fill="FFFFFF"/>
        <w:kinsoku/>
        <w:wordWrap/>
        <w:overflowPunct/>
        <w:topLinePunct w:val="0"/>
        <w:bidi w:val="0"/>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单位为完成特定行政工作任务或事业发展目标而发生的支出，包括有关事业发展专项、专项业务费、基本建设支出等。其中：专项业务（工作）经费支出43.2万元，主要用于各文艺家协会经费、怀化文学办刊等方面。</w:t>
      </w:r>
    </w:p>
    <w:p>
      <w:pPr>
        <w:pStyle w:val="7"/>
        <w:keepNext w:val="0"/>
        <w:keepLines w:val="0"/>
        <w:pageBreakBefore w:val="0"/>
        <w:shd w:val="clear" w:color="auto" w:fill="FFFFFF"/>
        <w:kinsoku/>
        <w:wordWrap/>
        <w:overflowPunct/>
        <w:topLinePunct w:val="0"/>
        <w:bidi w:val="0"/>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1、项目资金实际使用情况</w:t>
      </w:r>
    </w:p>
    <w:p>
      <w:pPr>
        <w:pStyle w:val="7"/>
        <w:keepNext w:val="0"/>
        <w:keepLines w:val="0"/>
        <w:pageBreakBefore w:val="0"/>
        <w:shd w:val="clear" w:color="auto" w:fill="FFFFFF"/>
        <w:kinsoku/>
        <w:wordWrap/>
        <w:overflowPunct/>
        <w:topLinePunct w:val="0"/>
        <w:bidi w:val="0"/>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2021年决算项目支出金额为43.17万元，均为专项业务（工作）经费。</w:t>
      </w:r>
    </w:p>
    <w:p>
      <w:pPr>
        <w:pStyle w:val="7"/>
        <w:keepNext w:val="0"/>
        <w:keepLines w:val="0"/>
        <w:pageBreakBefore w:val="0"/>
        <w:shd w:val="clear" w:color="auto" w:fill="FFFFFF"/>
        <w:kinsoku/>
        <w:wordWrap/>
        <w:overflowPunct/>
        <w:topLinePunct w:val="0"/>
        <w:bidi w:val="0"/>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2、项目资金管理情况</w:t>
      </w:r>
    </w:p>
    <w:p>
      <w:pPr>
        <w:pStyle w:val="7"/>
        <w:keepNext w:val="0"/>
        <w:keepLines w:val="0"/>
        <w:pageBreakBefore w:val="0"/>
        <w:shd w:val="clear" w:color="auto" w:fill="FFFFFF"/>
        <w:kinsoku/>
        <w:wordWrap/>
        <w:overflowPunct/>
        <w:topLinePunct w:val="0"/>
        <w:bidi w:val="0"/>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我单位为加强财务管理工作，合理合规使用财政项目资金，严格按照财务管理要求，对批准的预算开支内容，做好账务设置和账务管理，实行专项核算，在资金使用过程中，严把监督审核关，建立健全了内部审批制度。针对项目支出，制定了《财务会计制度》、《资金管理制度》等相关制度，对资金使用审批流程、资金监督、签字权限等方面做出了详细规定。</w:t>
      </w:r>
    </w:p>
    <w:p>
      <w:pPr>
        <w:keepNext w:val="0"/>
        <w:keepLines w:val="0"/>
        <w:pageBreakBefore w:val="0"/>
        <w:widowControl/>
        <w:numPr>
          <w:ilvl w:val="0"/>
          <w:numId w:val="3"/>
        </w:numPr>
        <w:shd w:val="clear" w:color="auto" w:fill="FFFFFF"/>
        <w:kinsoku/>
        <w:wordWrap/>
        <w:overflowPunct/>
        <w:topLinePunct w:val="0"/>
        <w:bidi w:val="0"/>
        <w:spacing w:line="600" w:lineRule="exact"/>
        <w:ind w:left="0" w:leftChars="0" w:firstLine="632" w:firstLineChars="200"/>
        <w:textAlignment w:val="auto"/>
        <w:rPr>
          <w:rFonts w:hint="eastAsia" w:ascii="仿宋" w:hAnsi="仿宋" w:eastAsia="仿宋" w:cs="仿宋"/>
          <w:bCs/>
          <w:color w:val="auto"/>
          <w:spacing w:val="-2"/>
          <w:sz w:val="32"/>
          <w:szCs w:val="32"/>
        </w:rPr>
      </w:pPr>
      <w:r>
        <w:rPr>
          <w:rFonts w:hint="eastAsia" w:ascii="仿宋" w:hAnsi="仿宋" w:eastAsia="仿宋" w:cs="仿宋"/>
          <w:bCs/>
          <w:color w:val="auto"/>
          <w:spacing w:val="-2"/>
          <w:sz w:val="32"/>
          <w:szCs w:val="32"/>
        </w:rPr>
        <w:t>部门专项组织实施情况</w:t>
      </w:r>
    </w:p>
    <w:p>
      <w:pPr>
        <w:pStyle w:val="7"/>
        <w:keepNext w:val="0"/>
        <w:keepLines w:val="0"/>
        <w:pageBreakBefore w:val="0"/>
        <w:shd w:val="clear" w:color="auto" w:fill="FFFFFF"/>
        <w:kinsoku/>
        <w:wordWrap/>
        <w:overflowPunct/>
        <w:topLinePunct w:val="0"/>
        <w:bidi w:val="0"/>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（一）项目组织情况</w:t>
      </w:r>
    </w:p>
    <w:p>
      <w:pPr>
        <w:pStyle w:val="7"/>
        <w:keepNext w:val="0"/>
        <w:keepLines w:val="0"/>
        <w:pageBreakBefore w:val="0"/>
        <w:shd w:val="clear" w:color="auto" w:fill="FFFFFF"/>
        <w:kinsoku/>
        <w:wordWrap/>
        <w:overflowPunct/>
        <w:topLinePunct w:val="0"/>
        <w:bidi w:val="0"/>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2021年我单位认真落实上级主管部门的决策部署，全面推进各项重点工作，较好的完成了各项目的目标任务。各项目由专人负责实施，实行事项前置审批及事后支付审批制度；采购事项均按照政府采购相关规定执行，属政府采购范围的一律通过政府采购平台，按照规定流程进行采购，严格执行财政预算评审、招投标、合同签订、过程管理、竣工验收、财政结算评审等程序；费用支出严格按照《财务会计制度》等制度规定的开支范围、标准、审批权限、审批流程、报销要求等进行审核</w:t>
      </w:r>
    </w:p>
    <w:p>
      <w:pPr>
        <w:pStyle w:val="7"/>
        <w:keepNext w:val="0"/>
        <w:keepLines w:val="0"/>
        <w:pageBreakBefore w:val="0"/>
        <w:shd w:val="clear" w:color="auto" w:fill="FFFFFF"/>
        <w:kinsoku/>
        <w:wordWrap/>
        <w:overflowPunct/>
        <w:topLinePunct w:val="0"/>
        <w:bidi w:val="0"/>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（二）项目管理情况</w:t>
      </w:r>
    </w:p>
    <w:p>
      <w:pPr>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为加强项目资金管理，规范项目资金管理行为，提高项目管理水平及项目资金使用效益，本单位制定了财务管理制度、项目资金管理制度、专项资金管理办法等业务管理制度，对项目管理职责、申报与组织实施、项目资金的管理、监督检查与验收等进行了规定，成立了工作领导小组、明确工作职责、确定责任单位、制定工作方案、项目实施细则、考核办法等。项目资金严格按指定用途专款专用，实行专项报告制度，并接受财政部门或上级部门的检查、验收。2021年本单位项目支出，基本能够严格按照相关制度规定等进行。</w:t>
      </w:r>
    </w:p>
    <w:p>
      <w:pPr>
        <w:keepNext w:val="0"/>
        <w:keepLines w:val="0"/>
        <w:pageBreakBefore w:val="0"/>
        <w:widowControl/>
        <w:shd w:val="clear" w:color="auto" w:fill="FFFFFF"/>
        <w:kinsoku/>
        <w:wordWrap/>
        <w:overflowPunct/>
        <w:topLinePunct w:val="0"/>
        <w:bidi w:val="0"/>
        <w:spacing w:line="600" w:lineRule="exact"/>
        <w:ind w:left="0" w:leftChars="0" w:firstLine="632" w:firstLineChars="200"/>
        <w:textAlignment w:val="auto"/>
        <w:rPr>
          <w:rFonts w:hint="eastAsia" w:ascii="仿宋" w:hAnsi="仿宋" w:eastAsia="仿宋" w:cs="仿宋"/>
          <w:bCs/>
          <w:color w:val="auto"/>
          <w:spacing w:val="-2"/>
          <w:sz w:val="32"/>
          <w:szCs w:val="32"/>
        </w:rPr>
      </w:pPr>
      <w:r>
        <w:rPr>
          <w:rFonts w:hint="eastAsia" w:ascii="仿宋" w:hAnsi="仿宋" w:eastAsia="仿宋" w:cs="仿宋"/>
          <w:bCs/>
          <w:color w:val="auto"/>
          <w:spacing w:val="-2"/>
          <w:sz w:val="32"/>
          <w:szCs w:val="32"/>
        </w:rPr>
        <w:t>四、资产管理情况</w:t>
      </w:r>
    </w:p>
    <w:p>
      <w:pPr>
        <w:pStyle w:val="7"/>
        <w:keepNext w:val="0"/>
        <w:keepLines w:val="0"/>
        <w:pageBreakBefore w:val="0"/>
        <w:shd w:val="clear" w:color="auto" w:fill="FFFFFF"/>
        <w:kinsoku/>
        <w:wordWrap/>
        <w:overflowPunct/>
        <w:topLinePunct w:val="0"/>
        <w:bidi w:val="0"/>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我单位根据《行政事业单位内部控制规范（试行）》、《事业单位国有资产管理暂行办法》及省、市有关规定，制定了《固定资产管理》等制度。综合部负责单位和日常资产管理工作，财务审核部负责资产核算工作。</w:t>
      </w:r>
    </w:p>
    <w:p>
      <w:pPr>
        <w:pStyle w:val="7"/>
        <w:keepNext w:val="0"/>
        <w:keepLines w:val="0"/>
        <w:pageBreakBefore w:val="0"/>
        <w:shd w:val="clear" w:color="auto" w:fill="FFFFFF"/>
        <w:kinsoku/>
        <w:wordWrap/>
        <w:overflowPunct/>
        <w:topLinePunct w:val="0"/>
        <w:bidi w:val="0"/>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截止2021年12月31日，怀化市文学艺术界联合会固定资产原值26.22万元，累计折旧15.69万元，账面净值10.53万元。</w:t>
      </w:r>
    </w:p>
    <w:p>
      <w:pPr>
        <w:keepNext w:val="0"/>
        <w:keepLines w:val="0"/>
        <w:pageBreakBefore w:val="0"/>
        <w:widowControl/>
        <w:shd w:val="clear" w:color="auto" w:fill="FFFFFF"/>
        <w:kinsoku/>
        <w:wordWrap/>
        <w:overflowPunct/>
        <w:topLinePunct w:val="0"/>
        <w:bidi w:val="0"/>
        <w:spacing w:line="600" w:lineRule="exact"/>
        <w:ind w:left="0" w:leftChars="0" w:firstLine="632" w:firstLineChars="200"/>
        <w:textAlignment w:val="auto"/>
        <w:rPr>
          <w:rFonts w:hint="eastAsia" w:ascii="仿宋" w:hAnsi="仿宋" w:eastAsia="仿宋" w:cs="仿宋"/>
          <w:bCs/>
          <w:color w:val="auto"/>
          <w:spacing w:val="-2"/>
          <w:sz w:val="32"/>
          <w:szCs w:val="32"/>
        </w:rPr>
      </w:pPr>
      <w:r>
        <w:rPr>
          <w:rFonts w:hint="eastAsia" w:ascii="仿宋" w:hAnsi="仿宋" w:eastAsia="仿宋" w:cs="仿宋"/>
          <w:bCs/>
          <w:color w:val="auto"/>
          <w:spacing w:val="-2"/>
          <w:sz w:val="32"/>
          <w:szCs w:val="32"/>
        </w:rPr>
        <w:t>五、部门整体支出绩效情况</w:t>
      </w:r>
    </w:p>
    <w:p>
      <w:pPr>
        <w:pStyle w:val="17"/>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1、加强政治建设，强化党建引领。持续推动习近平新时代中国特色社会主义思想入脑入心入作品，重点学习了习近平总书记“七一”重要讲话精神。全年组织党组理论中心组学习13次，机关干部集中学习6次，市直协会文艺家集中学习4次。围绕“学史明理、学史增信、学史崇德、学史力行”四次专题开展党史学习教育，扎实开展“我为群众办实事”活动，每名党员都完成“为群众办实事”1件以上。加强党建引领，以模范机关创建为抓手，扎实推进党建、业务工作双发展。坚持党对意识形态工作的领导，全面落实意识形态工作责任制，确保了市文联系统意识形态领域的平稳安全。</w:t>
      </w:r>
    </w:p>
    <w:p>
      <w:pPr>
        <w:pStyle w:val="17"/>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服务中心大局，助力乡村振兴。紧紧围绕市委市政府重点工作，坚持党的文艺方针政策，积极探索文艺与党建、乡村振兴等重点工作相融合。克服人员少、经费紧张等困难，选派1名35岁的优秀年轻干部驻村帮扶，机关党员每人结对联系4户困难群众，单位安排3万元帮扶资金用于结对联系村溆浦哑塘的基础设施建设。积极参与到乡村振兴中去，送文艺、送服务、送人才，积极探索文联组织在乡村振兴中发挥作用的新途径。</w:t>
      </w:r>
    </w:p>
    <w:p>
      <w:pPr>
        <w:pStyle w:val="17"/>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kern w:val="0"/>
          <w:sz w:val="32"/>
          <w:szCs w:val="32"/>
          <w:lang w:eastAsia="zh-CN"/>
        </w:rPr>
      </w:pPr>
      <w:r>
        <w:rPr>
          <w:rFonts w:hint="eastAsia" w:ascii="仿宋" w:hAnsi="仿宋" w:eastAsia="仿宋" w:cs="仿宋"/>
          <w:color w:val="auto"/>
          <w:kern w:val="0"/>
          <w:sz w:val="32"/>
          <w:szCs w:val="32"/>
        </w:rPr>
        <w:t>3、聚焦建党百年，创作文艺精品。参加全省“欢乐潇湘”美术书法摄影展，获一等奖4件、二等奖8件，三等奖10件，入围奖20件，其中李昀蹊创作的国画作品《通道转兵》荣获中国画类的唯一金奖。江月卫的扶贫题材小说《守望》改编成电影，已完成拍摄部分。杨少波的《“通道转兵”挽救红军命运》、江月卫的《在怀化看火车》等文章在《人民日报》发表。张维作词的歌曲《最亲的人》荣登央视春晚。许志国的《西电东送作业忙》、雷红伟的《小县城的惬意生活》、杨志兵的《观望》等摄影作品入围第28届全国摄影艺术展，本届全国摄影艺术展入展率为0.28%，市摄协3人突破国展大关，创怀化摄影之最。</w:t>
      </w:r>
    </w:p>
    <w:p>
      <w:pPr>
        <w:pStyle w:val="17"/>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4、深化志愿服务，推动文艺惠民。2021年，市文联以开展党史学习教育活动为契机，聚焦建党百年，大力开展形式多样的文艺志愿服务活动。不断提升“美丽乡村”文艺惠民品牌，连续9年在怀化金海广场开展“美丽乡村”艺术节。在通道县先后开展了“唱支山歌给党听”、红色诗歌节、“通道转兵”文化艺术节，在溆浦县组织开展“金樱子花开幸福来”文化艺术节等大型活动。市直各文艺家协会也开展了系列文艺志愿者活动，全市共组织文艺志愿服务进校园、下农村、入社区等各类文艺志愿者活动50余场，受益群众上万人，指导学生6000余人。</w:t>
      </w:r>
    </w:p>
    <w:p>
      <w:pPr>
        <w:pStyle w:val="17"/>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5、加强人才培养，注重自身建设。认真抓好“十百千万工程”和文艺人才“双百工程”。2021年，通过全市上下各级文艺工作者的团结拼搏，共有11人成为国家级会员，65人成为省级会员。运用“互联网＋”思维，加强与会员联络，提高会员服务和管理水平。加强自身建设，继续推进和深化县（市区）文联改革，增强各级文联的凝聚力和影响力。</w:t>
      </w:r>
    </w:p>
    <w:p>
      <w:pPr>
        <w:keepNext w:val="0"/>
        <w:keepLines w:val="0"/>
        <w:pageBreakBefore w:val="0"/>
        <w:widowControl/>
        <w:shd w:val="clear" w:color="auto" w:fill="FFFFFF"/>
        <w:kinsoku/>
        <w:wordWrap/>
        <w:overflowPunct/>
        <w:topLinePunct w:val="0"/>
        <w:bidi w:val="0"/>
        <w:spacing w:line="600" w:lineRule="exact"/>
        <w:ind w:left="0" w:leftChars="0" w:firstLine="632" w:firstLineChars="200"/>
        <w:textAlignment w:val="auto"/>
        <w:rPr>
          <w:rFonts w:hint="eastAsia" w:ascii="仿宋" w:hAnsi="仿宋" w:eastAsia="仿宋" w:cs="仿宋"/>
          <w:bCs/>
          <w:color w:val="auto"/>
          <w:spacing w:val="-2"/>
          <w:sz w:val="32"/>
          <w:szCs w:val="32"/>
        </w:rPr>
      </w:pPr>
      <w:r>
        <w:rPr>
          <w:rFonts w:hint="eastAsia" w:ascii="仿宋" w:hAnsi="仿宋" w:eastAsia="仿宋" w:cs="仿宋"/>
          <w:bCs/>
          <w:color w:val="auto"/>
          <w:spacing w:val="-2"/>
          <w:sz w:val="32"/>
          <w:szCs w:val="32"/>
        </w:rPr>
        <w:t>六、综合评价情况及评价结论</w:t>
      </w:r>
    </w:p>
    <w:p>
      <w:pPr>
        <w:pStyle w:val="7"/>
        <w:keepNext w:val="0"/>
        <w:keepLines w:val="0"/>
        <w:pageBreakBefore w:val="0"/>
        <w:kinsoku/>
        <w:wordWrap/>
        <w:overflowPunct/>
        <w:topLinePunct w:val="0"/>
        <w:bidi w:val="0"/>
        <w:adjustRightInd w:val="0"/>
        <w:snapToGrid w:val="0"/>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kern w:val="2"/>
          <w:sz w:val="32"/>
          <w:szCs w:val="32"/>
        </w:rPr>
        <w:t>我单位积极组织实施了2021年度专项资金管理，建立了专项资金和项目管理制度，规范了实施程序，较好地完成了2021年度工作目标，但仍存在绩效目标不够细化、量化；预算调整率偏高等问题。根据《部门整体支出绩效评价指标表》，2021年度部门整体绩效自评综合评分为</w:t>
      </w:r>
      <w:r>
        <w:rPr>
          <w:rFonts w:hint="eastAsia" w:ascii="仿宋" w:hAnsi="仿宋" w:eastAsia="仿宋" w:cs="仿宋"/>
          <w:color w:val="auto"/>
          <w:sz w:val="32"/>
          <w:szCs w:val="32"/>
        </w:rPr>
        <w:t>95分</w:t>
      </w:r>
      <w:r>
        <w:rPr>
          <w:rFonts w:hint="eastAsia" w:ascii="仿宋" w:hAnsi="仿宋" w:eastAsia="仿宋" w:cs="仿宋"/>
          <w:color w:val="auto"/>
          <w:kern w:val="2"/>
          <w:sz w:val="32"/>
          <w:szCs w:val="32"/>
        </w:rPr>
        <w:t>，</w:t>
      </w:r>
      <w:r>
        <w:rPr>
          <w:rFonts w:hint="eastAsia" w:ascii="仿宋" w:hAnsi="仿宋" w:eastAsia="仿宋" w:cs="仿宋"/>
          <w:color w:val="auto"/>
          <w:sz w:val="32"/>
          <w:szCs w:val="32"/>
        </w:rPr>
        <w:t>评价等级为“优”</w:t>
      </w:r>
      <w:r>
        <w:rPr>
          <w:rFonts w:hint="eastAsia" w:ascii="仿宋" w:hAnsi="仿宋" w:eastAsia="仿宋" w:cs="仿宋"/>
          <w:color w:val="auto"/>
          <w:kern w:val="2"/>
          <w:sz w:val="32"/>
          <w:szCs w:val="32"/>
        </w:rPr>
        <w:t>。</w:t>
      </w:r>
    </w:p>
    <w:p>
      <w:pPr>
        <w:keepNext w:val="0"/>
        <w:keepLines w:val="0"/>
        <w:pageBreakBefore w:val="0"/>
        <w:widowControl/>
        <w:shd w:val="clear" w:color="auto" w:fill="FFFFFF"/>
        <w:kinsoku/>
        <w:wordWrap/>
        <w:overflowPunct/>
        <w:topLinePunct w:val="0"/>
        <w:bidi w:val="0"/>
        <w:spacing w:line="600" w:lineRule="exact"/>
        <w:ind w:left="0" w:leftChars="0" w:firstLine="632" w:firstLineChars="200"/>
        <w:textAlignment w:val="auto"/>
        <w:rPr>
          <w:rFonts w:hint="eastAsia" w:ascii="仿宋" w:hAnsi="仿宋" w:eastAsia="仿宋" w:cs="仿宋"/>
          <w:color w:val="auto"/>
          <w:sz w:val="32"/>
          <w:szCs w:val="32"/>
        </w:rPr>
      </w:pPr>
      <w:r>
        <w:rPr>
          <w:rFonts w:hint="eastAsia" w:ascii="仿宋" w:hAnsi="仿宋" w:eastAsia="仿宋" w:cs="仿宋"/>
          <w:bCs/>
          <w:color w:val="auto"/>
          <w:spacing w:val="-2"/>
          <w:sz w:val="32"/>
          <w:szCs w:val="32"/>
        </w:rPr>
        <w:t>七、存在的主要问题</w:t>
      </w:r>
    </w:p>
    <w:p>
      <w:pPr>
        <w:pStyle w:val="2"/>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（一）绩效管理意识待加强</w:t>
      </w:r>
    </w:p>
    <w:p>
      <w:pPr>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通过组织对财政局绩效评价政策文件的不断学习，我单位已逐渐树立了绩效目标管理观念，但绩效管理意识还有待加强，各项目部门需要进一步将绩效目标和预算相结合，在年初报预算时，设置更加详细、合理、可衡量的绩效目标。</w:t>
      </w:r>
    </w:p>
    <w:p>
      <w:pPr>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（二）预算调整率偏高</w:t>
      </w:r>
    </w:p>
    <w:p>
      <w:pPr>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年初预算有待科学合理，执行预算欠严格落实。2021年度本部门预算调整数为136.66万元，预算数为175.35万元，预算调整率=（预算调整数/预算数）×100%=77.94%，预算调整率偏高。</w:t>
      </w:r>
    </w:p>
    <w:p>
      <w:pPr>
        <w:keepNext w:val="0"/>
        <w:keepLines w:val="0"/>
        <w:pageBreakBefore w:val="0"/>
        <w:widowControl/>
        <w:shd w:val="clear" w:color="auto" w:fill="FFFFFF"/>
        <w:kinsoku/>
        <w:wordWrap/>
        <w:overflowPunct/>
        <w:topLinePunct w:val="0"/>
        <w:bidi w:val="0"/>
        <w:spacing w:line="600" w:lineRule="exact"/>
        <w:ind w:left="0" w:leftChars="0" w:firstLine="632" w:firstLineChars="200"/>
        <w:textAlignment w:val="auto"/>
        <w:rPr>
          <w:rFonts w:hint="eastAsia" w:ascii="仿宋" w:hAnsi="仿宋" w:eastAsia="仿宋" w:cs="仿宋"/>
          <w:bCs/>
          <w:color w:val="auto"/>
          <w:spacing w:val="-2"/>
          <w:sz w:val="32"/>
          <w:szCs w:val="32"/>
        </w:rPr>
      </w:pPr>
      <w:r>
        <w:rPr>
          <w:rFonts w:hint="eastAsia" w:ascii="仿宋" w:hAnsi="仿宋" w:eastAsia="仿宋" w:cs="仿宋"/>
          <w:bCs/>
          <w:color w:val="auto"/>
          <w:spacing w:val="-2"/>
          <w:sz w:val="32"/>
          <w:szCs w:val="32"/>
        </w:rPr>
        <w:t>八、改进措施和有关建议</w:t>
      </w:r>
    </w:p>
    <w:p>
      <w:pPr>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以部门职能职责和绩效目标为基础，合理细化设置绩效目标，全面反映部门整体支出效益。对年初绩效目标各项内容填写规范、完整，有利于财政合理配置资源，节约财政资金，缓解供求矛盾，促进资源的有效配置。</w:t>
      </w:r>
    </w:p>
    <w:p>
      <w:pPr>
        <w:keepNext w:val="0"/>
        <w:keepLines w:val="0"/>
        <w:pageBreakBefore w:val="0"/>
        <w:kinsoku/>
        <w:wordWrap/>
        <w:overflowPunct/>
        <w:topLinePunct w:val="0"/>
        <w:bidi w:val="0"/>
        <w:spacing w:line="60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科学合理编制预算，严格执行预算。按照《预算法》及其实施条例的相关规定，参考上一年的预算执行情况和年度的收支预测科学编制预算，避免年中大幅调整预算。在预算执行中，严格按照预算科目支出，避免预算科目间的预算资金调剂，确需调剂的，按规定程序报经批准。遵循预算管理办法，对于年度无法预计的临时追加的相关工作所需费用严格按规定执行预算调整程序。</w:t>
      </w:r>
    </w:p>
    <w:p>
      <w:pPr>
        <w:pStyle w:val="2"/>
        <w:rPr>
          <w:rFonts w:hint="eastAsia" w:ascii="仿宋" w:hAnsi="仿宋" w:eastAsia="仿宋" w:cs="仿宋"/>
          <w:color w:val="auto"/>
          <w:sz w:val="32"/>
          <w:szCs w:val="32"/>
        </w:rPr>
      </w:pPr>
    </w:p>
    <w:p>
      <w:pPr>
        <w:pStyle w:val="3"/>
        <w:rPr>
          <w:rFonts w:hint="eastAsia" w:ascii="仿宋" w:hAnsi="仿宋" w:eastAsia="仿宋" w:cs="仿宋"/>
          <w:color w:val="auto"/>
          <w:sz w:val="32"/>
          <w:szCs w:val="32"/>
        </w:rPr>
      </w:pPr>
    </w:p>
    <w:p>
      <w:pPr>
        <w:rPr>
          <w:rFonts w:hint="eastAsia"/>
        </w:rPr>
      </w:pPr>
    </w:p>
    <w:sectPr>
      <w:pgSz w:w="11906" w:h="16838"/>
      <w:pgMar w:top="1417" w:right="1587" w:bottom="1417" w:left="1587"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BB7ED8"/>
    <w:multiLevelType w:val="singleLevel"/>
    <w:tmpl w:val="AABB7ED8"/>
    <w:lvl w:ilvl="0" w:tentative="0">
      <w:start w:val="3"/>
      <w:numFmt w:val="chineseCounting"/>
      <w:suff w:val="nothing"/>
      <w:lvlText w:val="%1、"/>
      <w:lvlJc w:val="left"/>
      <w:rPr>
        <w:rFonts w:hint="eastAsia"/>
      </w:rPr>
    </w:lvl>
  </w:abstractNum>
  <w:abstractNum w:abstractNumId="1">
    <w:nsid w:val="4B7E85FE"/>
    <w:multiLevelType w:val="singleLevel"/>
    <w:tmpl w:val="4B7E85FE"/>
    <w:lvl w:ilvl="0" w:tentative="0">
      <w:start w:val="4"/>
      <w:numFmt w:val="decimal"/>
      <w:suff w:val="nothing"/>
      <w:lvlText w:val="%1、"/>
      <w:lvlJc w:val="left"/>
    </w:lvl>
  </w:abstractNum>
  <w:abstractNum w:abstractNumId="2">
    <w:nsid w:val="6A4E18F2"/>
    <w:multiLevelType w:val="singleLevel"/>
    <w:tmpl w:val="6A4E18F2"/>
    <w:lvl w:ilvl="0" w:tentative="0">
      <w:start w:val="7"/>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4MjM4OGRjMjA1YmIwNDg3YWY0MmMwNWU4YTAwYjIifQ=="/>
  </w:docVars>
  <w:rsids>
    <w:rsidRoot w:val="004506F9"/>
    <w:rsid w:val="0002229B"/>
    <w:rsid w:val="000273BD"/>
    <w:rsid w:val="000415B7"/>
    <w:rsid w:val="00041E3F"/>
    <w:rsid w:val="00055DAA"/>
    <w:rsid w:val="00061F7B"/>
    <w:rsid w:val="000658A3"/>
    <w:rsid w:val="00074155"/>
    <w:rsid w:val="000A3F69"/>
    <w:rsid w:val="00103957"/>
    <w:rsid w:val="00152C6D"/>
    <w:rsid w:val="00162D39"/>
    <w:rsid w:val="001678BD"/>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7E6"/>
    <w:rsid w:val="003C4FC2"/>
    <w:rsid w:val="00416E61"/>
    <w:rsid w:val="0042790C"/>
    <w:rsid w:val="004506F9"/>
    <w:rsid w:val="004717A2"/>
    <w:rsid w:val="00473DF3"/>
    <w:rsid w:val="00487911"/>
    <w:rsid w:val="00491741"/>
    <w:rsid w:val="00500E5F"/>
    <w:rsid w:val="005122EF"/>
    <w:rsid w:val="0051441A"/>
    <w:rsid w:val="00517C33"/>
    <w:rsid w:val="00523644"/>
    <w:rsid w:val="0054069E"/>
    <w:rsid w:val="00544866"/>
    <w:rsid w:val="005767CC"/>
    <w:rsid w:val="00590D9F"/>
    <w:rsid w:val="00595D26"/>
    <w:rsid w:val="005A74E6"/>
    <w:rsid w:val="005B404E"/>
    <w:rsid w:val="005D4D55"/>
    <w:rsid w:val="005E2CFB"/>
    <w:rsid w:val="005F3D1C"/>
    <w:rsid w:val="0062378F"/>
    <w:rsid w:val="00641842"/>
    <w:rsid w:val="00651EEC"/>
    <w:rsid w:val="00691E8C"/>
    <w:rsid w:val="006A22C4"/>
    <w:rsid w:val="006A351B"/>
    <w:rsid w:val="006B0422"/>
    <w:rsid w:val="006C1B53"/>
    <w:rsid w:val="006D7730"/>
    <w:rsid w:val="006E5284"/>
    <w:rsid w:val="006F3EB5"/>
    <w:rsid w:val="00702E34"/>
    <w:rsid w:val="00704395"/>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44EE"/>
    <w:rsid w:val="00DD06FF"/>
    <w:rsid w:val="00DD5FE9"/>
    <w:rsid w:val="00E00C7A"/>
    <w:rsid w:val="00E37D6C"/>
    <w:rsid w:val="00E55B68"/>
    <w:rsid w:val="00E67BE6"/>
    <w:rsid w:val="00E8683C"/>
    <w:rsid w:val="00EA2B72"/>
    <w:rsid w:val="00F74360"/>
    <w:rsid w:val="00FB462F"/>
    <w:rsid w:val="00FE16FA"/>
    <w:rsid w:val="00FE328A"/>
    <w:rsid w:val="00FE6269"/>
    <w:rsid w:val="078011C6"/>
    <w:rsid w:val="0BF6C268"/>
    <w:rsid w:val="0EED1318"/>
    <w:rsid w:val="0F351CC9"/>
    <w:rsid w:val="0FF5F86F"/>
    <w:rsid w:val="0FFF8296"/>
    <w:rsid w:val="10FFF12A"/>
    <w:rsid w:val="173AA166"/>
    <w:rsid w:val="17BFC73A"/>
    <w:rsid w:val="17EB2C0E"/>
    <w:rsid w:val="17FE5C15"/>
    <w:rsid w:val="1AFBB3AF"/>
    <w:rsid w:val="1AFF252A"/>
    <w:rsid w:val="1BDFB3DF"/>
    <w:rsid w:val="1BF7B3FF"/>
    <w:rsid w:val="1D5F460B"/>
    <w:rsid w:val="1DDB1AC9"/>
    <w:rsid w:val="1F51D97E"/>
    <w:rsid w:val="1F77B694"/>
    <w:rsid w:val="1F7E7C2D"/>
    <w:rsid w:val="1F9572E5"/>
    <w:rsid w:val="1FE9AB64"/>
    <w:rsid w:val="1FEDFD04"/>
    <w:rsid w:val="1FFA9CFB"/>
    <w:rsid w:val="228F6A0D"/>
    <w:rsid w:val="274712E9"/>
    <w:rsid w:val="27BFED13"/>
    <w:rsid w:val="27FFCC2D"/>
    <w:rsid w:val="29EFEE8C"/>
    <w:rsid w:val="2AA942CB"/>
    <w:rsid w:val="2ABF5304"/>
    <w:rsid w:val="2C7F96F5"/>
    <w:rsid w:val="2D5D6E53"/>
    <w:rsid w:val="2EFDD7D9"/>
    <w:rsid w:val="2FB738A4"/>
    <w:rsid w:val="2FB7CC10"/>
    <w:rsid w:val="32547D78"/>
    <w:rsid w:val="33572E46"/>
    <w:rsid w:val="337FA97C"/>
    <w:rsid w:val="337FC143"/>
    <w:rsid w:val="33EC60C5"/>
    <w:rsid w:val="34EF67A6"/>
    <w:rsid w:val="35960183"/>
    <w:rsid w:val="35E430AB"/>
    <w:rsid w:val="35F74807"/>
    <w:rsid w:val="35FE3246"/>
    <w:rsid w:val="367F10F8"/>
    <w:rsid w:val="36CFA18E"/>
    <w:rsid w:val="37374A9E"/>
    <w:rsid w:val="379AEF63"/>
    <w:rsid w:val="37FB8342"/>
    <w:rsid w:val="37FF42CD"/>
    <w:rsid w:val="38AD0B6C"/>
    <w:rsid w:val="395445BC"/>
    <w:rsid w:val="3AFB1466"/>
    <w:rsid w:val="3B7D9251"/>
    <w:rsid w:val="3BBF6A93"/>
    <w:rsid w:val="3BD9756B"/>
    <w:rsid w:val="3BED9A62"/>
    <w:rsid w:val="3BFE0104"/>
    <w:rsid w:val="3CB9F1F2"/>
    <w:rsid w:val="3CEF7D7E"/>
    <w:rsid w:val="3CF738A9"/>
    <w:rsid w:val="3DBF3ACE"/>
    <w:rsid w:val="3DC6365A"/>
    <w:rsid w:val="3E1F6A32"/>
    <w:rsid w:val="3E4BA244"/>
    <w:rsid w:val="3E8E8FD0"/>
    <w:rsid w:val="3E960EC4"/>
    <w:rsid w:val="3EDBA288"/>
    <w:rsid w:val="3EFE4FAB"/>
    <w:rsid w:val="3F6F484A"/>
    <w:rsid w:val="3F9F4FCC"/>
    <w:rsid w:val="3FBF65A1"/>
    <w:rsid w:val="3FDE8C49"/>
    <w:rsid w:val="3FDF23FC"/>
    <w:rsid w:val="3FDF3986"/>
    <w:rsid w:val="3FEC2EC7"/>
    <w:rsid w:val="3FF6CBD2"/>
    <w:rsid w:val="3FFEE4C2"/>
    <w:rsid w:val="3FFFEA0A"/>
    <w:rsid w:val="3FFFF629"/>
    <w:rsid w:val="46EF00BC"/>
    <w:rsid w:val="47FD8E4E"/>
    <w:rsid w:val="47FF28E7"/>
    <w:rsid w:val="4AFF8D82"/>
    <w:rsid w:val="4B951314"/>
    <w:rsid w:val="4BBD05A9"/>
    <w:rsid w:val="4CAC03D8"/>
    <w:rsid w:val="4D3ED69C"/>
    <w:rsid w:val="4E7F3F43"/>
    <w:rsid w:val="4E85F576"/>
    <w:rsid w:val="4EDFAC9A"/>
    <w:rsid w:val="4EFFC0DD"/>
    <w:rsid w:val="4F9295A4"/>
    <w:rsid w:val="52F72EA4"/>
    <w:rsid w:val="53E75D4A"/>
    <w:rsid w:val="53F77B92"/>
    <w:rsid w:val="5566716F"/>
    <w:rsid w:val="5576593B"/>
    <w:rsid w:val="55DB03CA"/>
    <w:rsid w:val="56CBB32A"/>
    <w:rsid w:val="5759EB10"/>
    <w:rsid w:val="57BFE14A"/>
    <w:rsid w:val="57DF9B33"/>
    <w:rsid w:val="57E360BB"/>
    <w:rsid w:val="5979F18D"/>
    <w:rsid w:val="59B5DD77"/>
    <w:rsid w:val="59EF0A67"/>
    <w:rsid w:val="5A6DF3D8"/>
    <w:rsid w:val="5AFE934C"/>
    <w:rsid w:val="5B7CEA6F"/>
    <w:rsid w:val="5BBF0F5F"/>
    <w:rsid w:val="5BF60406"/>
    <w:rsid w:val="5BF6351A"/>
    <w:rsid w:val="5BFB9E0D"/>
    <w:rsid w:val="5BFFA12B"/>
    <w:rsid w:val="5BFFB46D"/>
    <w:rsid w:val="5BFFBD48"/>
    <w:rsid w:val="5D3C3BA4"/>
    <w:rsid w:val="5D760C9B"/>
    <w:rsid w:val="5D7D7FB5"/>
    <w:rsid w:val="5DCBDD6C"/>
    <w:rsid w:val="5DEB9496"/>
    <w:rsid w:val="5DF33357"/>
    <w:rsid w:val="5DF5AE55"/>
    <w:rsid w:val="5DFD0421"/>
    <w:rsid w:val="5DFDC68F"/>
    <w:rsid w:val="5E7287B8"/>
    <w:rsid w:val="5E791CD9"/>
    <w:rsid w:val="5EBF3F78"/>
    <w:rsid w:val="5EDBC015"/>
    <w:rsid w:val="5EE718C0"/>
    <w:rsid w:val="5EEE3AD3"/>
    <w:rsid w:val="5EF7E645"/>
    <w:rsid w:val="5F57A4A9"/>
    <w:rsid w:val="5F775E8C"/>
    <w:rsid w:val="5F79C2FF"/>
    <w:rsid w:val="5F7F0A53"/>
    <w:rsid w:val="5FBB503A"/>
    <w:rsid w:val="5FBE876F"/>
    <w:rsid w:val="5FCADD30"/>
    <w:rsid w:val="5FF797A1"/>
    <w:rsid w:val="5FFDAF9B"/>
    <w:rsid w:val="5FFDF89B"/>
    <w:rsid w:val="63C11DE5"/>
    <w:rsid w:val="63EE7F7E"/>
    <w:rsid w:val="63F7A821"/>
    <w:rsid w:val="65CEC603"/>
    <w:rsid w:val="65FFC0D2"/>
    <w:rsid w:val="66DBA8DB"/>
    <w:rsid w:val="66DFFDD4"/>
    <w:rsid w:val="675C4A73"/>
    <w:rsid w:val="676D5EE9"/>
    <w:rsid w:val="67BDD57C"/>
    <w:rsid w:val="67EF0160"/>
    <w:rsid w:val="67F79A68"/>
    <w:rsid w:val="67FA75B6"/>
    <w:rsid w:val="67FBD697"/>
    <w:rsid w:val="68CA275F"/>
    <w:rsid w:val="69FA5C8E"/>
    <w:rsid w:val="6ABEEDCF"/>
    <w:rsid w:val="6AF715FA"/>
    <w:rsid w:val="6B7F42A6"/>
    <w:rsid w:val="6B7F9D6E"/>
    <w:rsid w:val="6B9FF61B"/>
    <w:rsid w:val="6BE21605"/>
    <w:rsid w:val="6BE5C603"/>
    <w:rsid w:val="6BF1D514"/>
    <w:rsid w:val="6BFB7894"/>
    <w:rsid w:val="6BFD80DB"/>
    <w:rsid w:val="6CC33809"/>
    <w:rsid w:val="6CDBDC38"/>
    <w:rsid w:val="6CE7B29A"/>
    <w:rsid w:val="6CF58BAF"/>
    <w:rsid w:val="6CFDA396"/>
    <w:rsid w:val="6D3B370E"/>
    <w:rsid w:val="6D79142F"/>
    <w:rsid w:val="6DB7C069"/>
    <w:rsid w:val="6DC7FD8F"/>
    <w:rsid w:val="6DCB693B"/>
    <w:rsid w:val="6DCB7170"/>
    <w:rsid w:val="6DE75B03"/>
    <w:rsid w:val="6DFF25AD"/>
    <w:rsid w:val="6DFF793D"/>
    <w:rsid w:val="6E5DF188"/>
    <w:rsid w:val="6E6F3812"/>
    <w:rsid w:val="6E852177"/>
    <w:rsid w:val="6EDDE81E"/>
    <w:rsid w:val="6EF6EA8D"/>
    <w:rsid w:val="6EFFA542"/>
    <w:rsid w:val="6F17DC6A"/>
    <w:rsid w:val="6F1FC90D"/>
    <w:rsid w:val="6F5E0D64"/>
    <w:rsid w:val="6F7D7D5A"/>
    <w:rsid w:val="6F7F801C"/>
    <w:rsid w:val="6F7FE57A"/>
    <w:rsid w:val="6F9914DA"/>
    <w:rsid w:val="6FB36B75"/>
    <w:rsid w:val="6FB49B14"/>
    <w:rsid w:val="6FB76BB7"/>
    <w:rsid w:val="6FBB797A"/>
    <w:rsid w:val="6FCF8AB1"/>
    <w:rsid w:val="6FDFEA71"/>
    <w:rsid w:val="6FF7BB75"/>
    <w:rsid w:val="6FFBD707"/>
    <w:rsid w:val="6FFE3788"/>
    <w:rsid w:val="6FFFBF71"/>
    <w:rsid w:val="705FBB7A"/>
    <w:rsid w:val="707A0417"/>
    <w:rsid w:val="70B72B73"/>
    <w:rsid w:val="71D6166C"/>
    <w:rsid w:val="71FE9DF9"/>
    <w:rsid w:val="7243805A"/>
    <w:rsid w:val="73B644B7"/>
    <w:rsid w:val="73FB6AAA"/>
    <w:rsid w:val="73FF61D6"/>
    <w:rsid w:val="743F07A9"/>
    <w:rsid w:val="74BC511E"/>
    <w:rsid w:val="74D5122C"/>
    <w:rsid w:val="74E58038"/>
    <w:rsid w:val="757B3D5B"/>
    <w:rsid w:val="75BF448E"/>
    <w:rsid w:val="75D4364D"/>
    <w:rsid w:val="75DFF6BC"/>
    <w:rsid w:val="75F7AF6E"/>
    <w:rsid w:val="761432FC"/>
    <w:rsid w:val="762FFDD4"/>
    <w:rsid w:val="763A5217"/>
    <w:rsid w:val="7696F89A"/>
    <w:rsid w:val="76EA2A8D"/>
    <w:rsid w:val="77507257"/>
    <w:rsid w:val="775E86D8"/>
    <w:rsid w:val="775F4C6A"/>
    <w:rsid w:val="77736085"/>
    <w:rsid w:val="77755A48"/>
    <w:rsid w:val="77AE842B"/>
    <w:rsid w:val="77BD2687"/>
    <w:rsid w:val="77BE8BFE"/>
    <w:rsid w:val="77C3F7E0"/>
    <w:rsid w:val="77C7DE0C"/>
    <w:rsid w:val="77E7D264"/>
    <w:rsid w:val="77F13DF6"/>
    <w:rsid w:val="77F7073D"/>
    <w:rsid w:val="77FD66B6"/>
    <w:rsid w:val="77FFB77A"/>
    <w:rsid w:val="78778B5A"/>
    <w:rsid w:val="7897BC85"/>
    <w:rsid w:val="79272B16"/>
    <w:rsid w:val="797D2B7E"/>
    <w:rsid w:val="797D6D08"/>
    <w:rsid w:val="79970DB2"/>
    <w:rsid w:val="79BBDC3F"/>
    <w:rsid w:val="79CF7E87"/>
    <w:rsid w:val="79DE56AA"/>
    <w:rsid w:val="79EF6D83"/>
    <w:rsid w:val="79F9CC3A"/>
    <w:rsid w:val="79FDF50D"/>
    <w:rsid w:val="79FFC8A1"/>
    <w:rsid w:val="79FFD4B0"/>
    <w:rsid w:val="79FFFDD1"/>
    <w:rsid w:val="7AD6C360"/>
    <w:rsid w:val="7AD86A53"/>
    <w:rsid w:val="7AF3A756"/>
    <w:rsid w:val="7AFB3A67"/>
    <w:rsid w:val="7AFD814A"/>
    <w:rsid w:val="7B6613F1"/>
    <w:rsid w:val="7B752D02"/>
    <w:rsid w:val="7B7F481E"/>
    <w:rsid w:val="7BBEA1C6"/>
    <w:rsid w:val="7BBF1080"/>
    <w:rsid w:val="7BDDF4FB"/>
    <w:rsid w:val="7BDE85FB"/>
    <w:rsid w:val="7BDFB029"/>
    <w:rsid w:val="7BEF68E3"/>
    <w:rsid w:val="7BF10839"/>
    <w:rsid w:val="7BF90954"/>
    <w:rsid w:val="7BFF784C"/>
    <w:rsid w:val="7C3F96F3"/>
    <w:rsid w:val="7C9BA077"/>
    <w:rsid w:val="7CF88CF7"/>
    <w:rsid w:val="7CFBE737"/>
    <w:rsid w:val="7CFD0715"/>
    <w:rsid w:val="7CFE5574"/>
    <w:rsid w:val="7CFF855B"/>
    <w:rsid w:val="7D79A23D"/>
    <w:rsid w:val="7D7B30AC"/>
    <w:rsid w:val="7D7F9C35"/>
    <w:rsid w:val="7D933218"/>
    <w:rsid w:val="7D9546B9"/>
    <w:rsid w:val="7D9F6488"/>
    <w:rsid w:val="7DD720CC"/>
    <w:rsid w:val="7DDEC863"/>
    <w:rsid w:val="7DDFA1BA"/>
    <w:rsid w:val="7DEA73E0"/>
    <w:rsid w:val="7DEACFEA"/>
    <w:rsid w:val="7DEC1005"/>
    <w:rsid w:val="7DECFAB3"/>
    <w:rsid w:val="7DF32DD5"/>
    <w:rsid w:val="7DFF986A"/>
    <w:rsid w:val="7DFFB6AA"/>
    <w:rsid w:val="7DFFC0C9"/>
    <w:rsid w:val="7DFFFDC0"/>
    <w:rsid w:val="7E3FC594"/>
    <w:rsid w:val="7E6F4E97"/>
    <w:rsid w:val="7E7CE967"/>
    <w:rsid w:val="7E8F4309"/>
    <w:rsid w:val="7E958E83"/>
    <w:rsid w:val="7EAF160F"/>
    <w:rsid w:val="7EB94F60"/>
    <w:rsid w:val="7ED7383E"/>
    <w:rsid w:val="7EDDC9FC"/>
    <w:rsid w:val="7EDF6E70"/>
    <w:rsid w:val="7EF6FFFA"/>
    <w:rsid w:val="7EFC1370"/>
    <w:rsid w:val="7EFDF170"/>
    <w:rsid w:val="7EFEF622"/>
    <w:rsid w:val="7EFF1C60"/>
    <w:rsid w:val="7EFF4056"/>
    <w:rsid w:val="7EFFA6A4"/>
    <w:rsid w:val="7EFFBB06"/>
    <w:rsid w:val="7EFFDAF1"/>
    <w:rsid w:val="7F1DB6C3"/>
    <w:rsid w:val="7F4F04B1"/>
    <w:rsid w:val="7F5A158F"/>
    <w:rsid w:val="7F5FA01B"/>
    <w:rsid w:val="7F6F61B4"/>
    <w:rsid w:val="7F75FDD4"/>
    <w:rsid w:val="7F776A43"/>
    <w:rsid w:val="7F79AE0B"/>
    <w:rsid w:val="7F79B103"/>
    <w:rsid w:val="7F7B584E"/>
    <w:rsid w:val="7F7D32D0"/>
    <w:rsid w:val="7F7DAD51"/>
    <w:rsid w:val="7F7F065B"/>
    <w:rsid w:val="7F8E9017"/>
    <w:rsid w:val="7F9F6DEC"/>
    <w:rsid w:val="7F9FBC64"/>
    <w:rsid w:val="7F9FCF35"/>
    <w:rsid w:val="7FB6B768"/>
    <w:rsid w:val="7FBB8D72"/>
    <w:rsid w:val="7FBEF893"/>
    <w:rsid w:val="7FBF1C39"/>
    <w:rsid w:val="7FBFDE02"/>
    <w:rsid w:val="7FC6094E"/>
    <w:rsid w:val="7FD29A15"/>
    <w:rsid w:val="7FD6288B"/>
    <w:rsid w:val="7FD7EFDF"/>
    <w:rsid w:val="7FD8C23A"/>
    <w:rsid w:val="7FD9D6A6"/>
    <w:rsid w:val="7FDA061F"/>
    <w:rsid w:val="7FDF29C7"/>
    <w:rsid w:val="7FE1A15A"/>
    <w:rsid w:val="7FE7DD97"/>
    <w:rsid w:val="7FE9BD01"/>
    <w:rsid w:val="7FEF74F9"/>
    <w:rsid w:val="7FF5580A"/>
    <w:rsid w:val="7FF58BE9"/>
    <w:rsid w:val="7FF5C899"/>
    <w:rsid w:val="7FF915F6"/>
    <w:rsid w:val="7FFC906B"/>
    <w:rsid w:val="7FFCAE55"/>
    <w:rsid w:val="7FFE59AD"/>
    <w:rsid w:val="7FFE6C25"/>
    <w:rsid w:val="7FFE79EC"/>
    <w:rsid w:val="7FFE9D4D"/>
    <w:rsid w:val="7FFEF027"/>
    <w:rsid w:val="7FFF1DA8"/>
    <w:rsid w:val="7FFF1DDB"/>
    <w:rsid w:val="7FFF9F1A"/>
    <w:rsid w:val="7FFFF6A4"/>
    <w:rsid w:val="7FFFFC60"/>
    <w:rsid w:val="82CF6F91"/>
    <w:rsid w:val="87CF9323"/>
    <w:rsid w:val="8BFF59F0"/>
    <w:rsid w:val="8D3F52CF"/>
    <w:rsid w:val="8F7D2193"/>
    <w:rsid w:val="8FEE1507"/>
    <w:rsid w:val="93BE34A2"/>
    <w:rsid w:val="952D4F06"/>
    <w:rsid w:val="96C43B96"/>
    <w:rsid w:val="97DACA30"/>
    <w:rsid w:val="98FF61AC"/>
    <w:rsid w:val="9BA7B6DC"/>
    <w:rsid w:val="9DED5B09"/>
    <w:rsid w:val="9EBF054D"/>
    <w:rsid w:val="9F3F0D0E"/>
    <w:rsid w:val="9FBE0CED"/>
    <w:rsid w:val="9FD55498"/>
    <w:rsid w:val="9FEAC8A4"/>
    <w:rsid w:val="A06E0E9D"/>
    <w:rsid w:val="A2FB8412"/>
    <w:rsid w:val="A3B633A6"/>
    <w:rsid w:val="A5EEF4F0"/>
    <w:rsid w:val="A5FF13FD"/>
    <w:rsid w:val="A767D952"/>
    <w:rsid w:val="A7F18ECE"/>
    <w:rsid w:val="A9BF2216"/>
    <w:rsid w:val="AABF8A85"/>
    <w:rsid w:val="ACD77716"/>
    <w:rsid w:val="AD56CED4"/>
    <w:rsid w:val="ADB56174"/>
    <w:rsid w:val="ADC14E4B"/>
    <w:rsid w:val="ADF68D69"/>
    <w:rsid w:val="ADF772BB"/>
    <w:rsid w:val="AE77FBC3"/>
    <w:rsid w:val="AF460316"/>
    <w:rsid w:val="AF7D8CA9"/>
    <w:rsid w:val="AFAF74B0"/>
    <w:rsid w:val="AFC82FB3"/>
    <w:rsid w:val="AFDFD04C"/>
    <w:rsid w:val="AFFEFEE1"/>
    <w:rsid w:val="AFFF6B41"/>
    <w:rsid w:val="B114D5D6"/>
    <w:rsid w:val="B25FD21B"/>
    <w:rsid w:val="B3F5C074"/>
    <w:rsid w:val="B4EFA32B"/>
    <w:rsid w:val="B57749A8"/>
    <w:rsid w:val="B5BE949C"/>
    <w:rsid w:val="B63FAF21"/>
    <w:rsid w:val="B6FF5DB2"/>
    <w:rsid w:val="B77688C9"/>
    <w:rsid w:val="B79F3219"/>
    <w:rsid w:val="B7DB5D0B"/>
    <w:rsid w:val="B8F3B76E"/>
    <w:rsid w:val="B9ECF457"/>
    <w:rsid w:val="B9EF0E6A"/>
    <w:rsid w:val="BBA7FAEB"/>
    <w:rsid w:val="BBDA6182"/>
    <w:rsid w:val="BD1F8102"/>
    <w:rsid w:val="BD7BF086"/>
    <w:rsid w:val="BD7E5AD2"/>
    <w:rsid w:val="BDAE9AFC"/>
    <w:rsid w:val="BDEF4C92"/>
    <w:rsid w:val="BDEFEA24"/>
    <w:rsid w:val="BDF35607"/>
    <w:rsid w:val="BF6DD347"/>
    <w:rsid w:val="BF75DB7A"/>
    <w:rsid w:val="BF7771BA"/>
    <w:rsid w:val="BF7A9F54"/>
    <w:rsid w:val="BF7F823C"/>
    <w:rsid w:val="BF97A394"/>
    <w:rsid w:val="BFB465F6"/>
    <w:rsid w:val="BFBFEB52"/>
    <w:rsid w:val="BFCD1162"/>
    <w:rsid w:val="BFDF0FE6"/>
    <w:rsid w:val="BFEB792B"/>
    <w:rsid w:val="BFEDF617"/>
    <w:rsid w:val="BFFD8193"/>
    <w:rsid w:val="BFFDBA65"/>
    <w:rsid w:val="BFFE3945"/>
    <w:rsid w:val="BFFE57B9"/>
    <w:rsid w:val="BFFF5F0F"/>
    <w:rsid w:val="C3FFC8D0"/>
    <w:rsid w:val="C7E5D7E4"/>
    <w:rsid w:val="C7F3A05E"/>
    <w:rsid w:val="CBCD1BFA"/>
    <w:rsid w:val="CBDEAD28"/>
    <w:rsid w:val="CBDFE2A3"/>
    <w:rsid w:val="CC59FD71"/>
    <w:rsid w:val="CCDFAD80"/>
    <w:rsid w:val="CE5BCCAC"/>
    <w:rsid w:val="CE7F42C1"/>
    <w:rsid w:val="CECF83B9"/>
    <w:rsid w:val="CEEE1BAD"/>
    <w:rsid w:val="CEEF064F"/>
    <w:rsid w:val="CF7BE731"/>
    <w:rsid w:val="CF9ECD0E"/>
    <w:rsid w:val="D1CF9A1B"/>
    <w:rsid w:val="D2CF2591"/>
    <w:rsid w:val="D397A22F"/>
    <w:rsid w:val="D3EFEA35"/>
    <w:rsid w:val="D42D3AA6"/>
    <w:rsid w:val="D4FF5713"/>
    <w:rsid w:val="D53F7541"/>
    <w:rsid w:val="D5BF5A1D"/>
    <w:rsid w:val="D5BF6ACE"/>
    <w:rsid w:val="D5BF9AA0"/>
    <w:rsid w:val="D75F46DD"/>
    <w:rsid w:val="D7B3C321"/>
    <w:rsid w:val="D7BD9CD7"/>
    <w:rsid w:val="D7DBFC44"/>
    <w:rsid w:val="D7DE158C"/>
    <w:rsid w:val="D7DF2320"/>
    <w:rsid w:val="D7FE4D26"/>
    <w:rsid w:val="D8FDF97B"/>
    <w:rsid w:val="DA2363D5"/>
    <w:rsid w:val="DAFCF21D"/>
    <w:rsid w:val="DB9FFA80"/>
    <w:rsid w:val="DBE53E5E"/>
    <w:rsid w:val="DBF0317E"/>
    <w:rsid w:val="DBF78C37"/>
    <w:rsid w:val="DBFF0D69"/>
    <w:rsid w:val="DC9FF0F1"/>
    <w:rsid w:val="DCBF759E"/>
    <w:rsid w:val="DCBFD274"/>
    <w:rsid w:val="DDBF8FF4"/>
    <w:rsid w:val="DDBFE6DD"/>
    <w:rsid w:val="DDD30B47"/>
    <w:rsid w:val="DDDF724B"/>
    <w:rsid w:val="DDFDE6B4"/>
    <w:rsid w:val="DE733735"/>
    <w:rsid w:val="DE9F39B0"/>
    <w:rsid w:val="DEEAE3E8"/>
    <w:rsid w:val="DEEDF56B"/>
    <w:rsid w:val="DEEFB95C"/>
    <w:rsid w:val="DEFA324F"/>
    <w:rsid w:val="DF5F8907"/>
    <w:rsid w:val="DF678DE1"/>
    <w:rsid w:val="DF7958F3"/>
    <w:rsid w:val="DF86EE86"/>
    <w:rsid w:val="DFAF455C"/>
    <w:rsid w:val="DFBF3845"/>
    <w:rsid w:val="DFBF7F7E"/>
    <w:rsid w:val="DFDDC11D"/>
    <w:rsid w:val="DFDF0102"/>
    <w:rsid w:val="DFEA6F72"/>
    <w:rsid w:val="DFF555F1"/>
    <w:rsid w:val="DFF600D8"/>
    <w:rsid w:val="DFF77602"/>
    <w:rsid w:val="DFFBB858"/>
    <w:rsid w:val="DFFBECB5"/>
    <w:rsid w:val="DFFE6997"/>
    <w:rsid w:val="DFFFE5FA"/>
    <w:rsid w:val="E3BD48D8"/>
    <w:rsid w:val="E6BBE0C4"/>
    <w:rsid w:val="E6FF8165"/>
    <w:rsid w:val="E756B9C7"/>
    <w:rsid w:val="E77B4143"/>
    <w:rsid w:val="E7B348A1"/>
    <w:rsid w:val="E7CE5048"/>
    <w:rsid w:val="E7CE9380"/>
    <w:rsid w:val="E7DF8045"/>
    <w:rsid w:val="E7FFB96F"/>
    <w:rsid w:val="E9BFA98F"/>
    <w:rsid w:val="E9DE2AC0"/>
    <w:rsid w:val="E9EC88C7"/>
    <w:rsid w:val="EA95670D"/>
    <w:rsid w:val="EAFDCE20"/>
    <w:rsid w:val="EBB4C95A"/>
    <w:rsid w:val="EBD732C6"/>
    <w:rsid w:val="EBE704BA"/>
    <w:rsid w:val="EBEB4BBF"/>
    <w:rsid w:val="EBFC9910"/>
    <w:rsid w:val="EBFFCED5"/>
    <w:rsid w:val="EBFFDD0B"/>
    <w:rsid w:val="ECBB636A"/>
    <w:rsid w:val="ECFDC0F0"/>
    <w:rsid w:val="EED8B114"/>
    <w:rsid w:val="EEFE234C"/>
    <w:rsid w:val="EF6C64C5"/>
    <w:rsid w:val="EF779320"/>
    <w:rsid w:val="EF9F53A8"/>
    <w:rsid w:val="EFD17F2B"/>
    <w:rsid w:val="EFD33F1C"/>
    <w:rsid w:val="EFE87659"/>
    <w:rsid w:val="EFEEA2A7"/>
    <w:rsid w:val="EFF74365"/>
    <w:rsid w:val="EFF78205"/>
    <w:rsid w:val="EFF7F000"/>
    <w:rsid w:val="EFFDDDFC"/>
    <w:rsid w:val="EFFF8A8E"/>
    <w:rsid w:val="F2676CA6"/>
    <w:rsid w:val="F2B7A2EF"/>
    <w:rsid w:val="F35F8BD1"/>
    <w:rsid w:val="F3A6F45C"/>
    <w:rsid w:val="F3DB174C"/>
    <w:rsid w:val="F3EA182B"/>
    <w:rsid w:val="F3F4D35A"/>
    <w:rsid w:val="F3F7CC99"/>
    <w:rsid w:val="F3FE361B"/>
    <w:rsid w:val="F46FCB0C"/>
    <w:rsid w:val="F47CFC65"/>
    <w:rsid w:val="F4BEC3FE"/>
    <w:rsid w:val="F5B7B46C"/>
    <w:rsid w:val="F5BE0330"/>
    <w:rsid w:val="F5BF7987"/>
    <w:rsid w:val="F5DF4556"/>
    <w:rsid w:val="F67DB7C2"/>
    <w:rsid w:val="F67F5879"/>
    <w:rsid w:val="F6BE775D"/>
    <w:rsid w:val="F6BF6908"/>
    <w:rsid w:val="F6BF9624"/>
    <w:rsid w:val="F6CB0F9C"/>
    <w:rsid w:val="F6FF70C8"/>
    <w:rsid w:val="F7691000"/>
    <w:rsid w:val="F7775774"/>
    <w:rsid w:val="F79D24D2"/>
    <w:rsid w:val="F7AB2320"/>
    <w:rsid w:val="F7AB55A1"/>
    <w:rsid w:val="F7E655FD"/>
    <w:rsid w:val="F7EB3F62"/>
    <w:rsid w:val="F7EBBA10"/>
    <w:rsid w:val="F7ECA77D"/>
    <w:rsid w:val="F7EF2013"/>
    <w:rsid w:val="F7F34BB3"/>
    <w:rsid w:val="F7F76BC6"/>
    <w:rsid w:val="F7F7B88A"/>
    <w:rsid w:val="F7FAA74D"/>
    <w:rsid w:val="F7FB796E"/>
    <w:rsid w:val="F7FDB351"/>
    <w:rsid w:val="F7FDF52B"/>
    <w:rsid w:val="F7FEE111"/>
    <w:rsid w:val="F7FF7547"/>
    <w:rsid w:val="F7FF795A"/>
    <w:rsid w:val="F8BFEACA"/>
    <w:rsid w:val="F8FE23DD"/>
    <w:rsid w:val="F97B0896"/>
    <w:rsid w:val="F9DD8C56"/>
    <w:rsid w:val="F9DF9AEF"/>
    <w:rsid w:val="F9FF19D4"/>
    <w:rsid w:val="F9FF2899"/>
    <w:rsid w:val="F9FFA6A7"/>
    <w:rsid w:val="FA4DB35B"/>
    <w:rsid w:val="FACFF138"/>
    <w:rsid w:val="FAFF16B4"/>
    <w:rsid w:val="FAFFCD23"/>
    <w:rsid w:val="FB2F9E27"/>
    <w:rsid w:val="FB5678FF"/>
    <w:rsid w:val="FB5A12B2"/>
    <w:rsid w:val="FB6A2E9A"/>
    <w:rsid w:val="FB736CB8"/>
    <w:rsid w:val="FB9F6164"/>
    <w:rsid w:val="FB9FC489"/>
    <w:rsid w:val="FBA7B591"/>
    <w:rsid w:val="FBBF987C"/>
    <w:rsid w:val="FBD5A7E4"/>
    <w:rsid w:val="FBDE0CF7"/>
    <w:rsid w:val="FBDE2FB6"/>
    <w:rsid w:val="FBDEDFB8"/>
    <w:rsid w:val="FBE78538"/>
    <w:rsid w:val="FBE7A7DC"/>
    <w:rsid w:val="FBEB9E93"/>
    <w:rsid w:val="FBEF830F"/>
    <w:rsid w:val="FBEFDC0F"/>
    <w:rsid w:val="FBF67B3B"/>
    <w:rsid w:val="FBF79A47"/>
    <w:rsid w:val="FBF7A44F"/>
    <w:rsid w:val="FBF9B0D4"/>
    <w:rsid w:val="FBF9E0DA"/>
    <w:rsid w:val="FBFB2CCB"/>
    <w:rsid w:val="FBFE83C3"/>
    <w:rsid w:val="FBFFE70F"/>
    <w:rsid w:val="FC3F000D"/>
    <w:rsid w:val="FCBD1115"/>
    <w:rsid w:val="FCF71F10"/>
    <w:rsid w:val="FCFB3368"/>
    <w:rsid w:val="FCFE64C8"/>
    <w:rsid w:val="FCFF63C0"/>
    <w:rsid w:val="FD5795F5"/>
    <w:rsid w:val="FD77AC1A"/>
    <w:rsid w:val="FD8E239B"/>
    <w:rsid w:val="FD9FBCC2"/>
    <w:rsid w:val="FDAAAAB4"/>
    <w:rsid w:val="FDB239A8"/>
    <w:rsid w:val="FDB74A82"/>
    <w:rsid w:val="FDD3DB1D"/>
    <w:rsid w:val="FDE08170"/>
    <w:rsid w:val="FDE14417"/>
    <w:rsid w:val="FDF58D2E"/>
    <w:rsid w:val="FDF780A0"/>
    <w:rsid w:val="FDF7F559"/>
    <w:rsid w:val="FDFDCBAF"/>
    <w:rsid w:val="FDFF1C79"/>
    <w:rsid w:val="FDFF3C59"/>
    <w:rsid w:val="FDFFB588"/>
    <w:rsid w:val="FE502299"/>
    <w:rsid w:val="FE55626A"/>
    <w:rsid w:val="FE5E7A25"/>
    <w:rsid w:val="FE5FC41E"/>
    <w:rsid w:val="FE77283E"/>
    <w:rsid w:val="FE7A6FB0"/>
    <w:rsid w:val="FE8B9AAB"/>
    <w:rsid w:val="FE8F2A3D"/>
    <w:rsid w:val="FE9F50FE"/>
    <w:rsid w:val="FEA7117E"/>
    <w:rsid w:val="FEBC95E7"/>
    <w:rsid w:val="FEC727F9"/>
    <w:rsid w:val="FECF5A9A"/>
    <w:rsid w:val="FEDF6BA5"/>
    <w:rsid w:val="FEF710EF"/>
    <w:rsid w:val="FEF7BEEA"/>
    <w:rsid w:val="FEFD4926"/>
    <w:rsid w:val="FEFDA6DD"/>
    <w:rsid w:val="FEFF4C5C"/>
    <w:rsid w:val="FEFF833D"/>
    <w:rsid w:val="FF0B9DD2"/>
    <w:rsid w:val="FF1F62C9"/>
    <w:rsid w:val="FF3F227F"/>
    <w:rsid w:val="FF3F8D85"/>
    <w:rsid w:val="FF4E92FC"/>
    <w:rsid w:val="FF5F2F42"/>
    <w:rsid w:val="FF678DF7"/>
    <w:rsid w:val="FF6D7BBC"/>
    <w:rsid w:val="FF77E78D"/>
    <w:rsid w:val="FF7916CB"/>
    <w:rsid w:val="FF7FBE5C"/>
    <w:rsid w:val="FF7FF22F"/>
    <w:rsid w:val="FF93CB98"/>
    <w:rsid w:val="FF97D88C"/>
    <w:rsid w:val="FF9D9127"/>
    <w:rsid w:val="FFB75DCE"/>
    <w:rsid w:val="FFBDF8B9"/>
    <w:rsid w:val="FFBE6D06"/>
    <w:rsid w:val="FFBEF2AC"/>
    <w:rsid w:val="FFBF8CD9"/>
    <w:rsid w:val="FFBFBDFE"/>
    <w:rsid w:val="FFC5AE4C"/>
    <w:rsid w:val="FFD53366"/>
    <w:rsid w:val="FFD75B24"/>
    <w:rsid w:val="FFDB7058"/>
    <w:rsid w:val="FFDE64E6"/>
    <w:rsid w:val="FFDFD695"/>
    <w:rsid w:val="FFEAAD1C"/>
    <w:rsid w:val="FFEB471B"/>
    <w:rsid w:val="FFED28CE"/>
    <w:rsid w:val="FFEFBCF7"/>
    <w:rsid w:val="FFEFCD11"/>
    <w:rsid w:val="FFF3927E"/>
    <w:rsid w:val="FFF7F21C"/>
    <w:rsid w:val="FFFA81A1"/>
    <w:rsid w:val="FFFD2557"/>
    <w:rsid w:val="FFFE0B64"/>
    <w:rsid w:val="FFFF0C50"/>
    <w:rsid w:val="FFFF1C1F"/>
    <w:rsid w:val="FFFFD5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3"/>
    <w:link w:val="12"/>
    <w:unhideWhenUsed/>
    <w:qFormat/>
    <w:uiPriority w:val="99"/>
    <w:pPr>
      <w:tabs>
        <w:tab w:val="center" w:pos="4153"/>
        <w:tab w:val="right" w:pos="8306"/>
      </w:tabs>
      <w:snapToGrid w:val="0"/>
      <w:jc w:val="left"/>
    </w:pPr>
    <w:rPr>
      <w:sz w:val="18"/>
      <w:szCs w:val="18"/>
    </w:rPr>
  </w:style>
  <w:style w:type="paragraph" w:styleId="3">
    <w:name w:val="index 5"/>
    <w:basedOn w:val="1"/>
    <w:next w:val="1"/>
    <w:semiHidden/>
    <w:qFormat/>
    <w:uiPriority w:val="99"/>
    <w:pPr>
      <w:ind w:left="1680"/>
    </w:pPr>
  </w:style>
  <w:style w:type="paragraph" w:styleId="5">
    <w:name w:val="Balloon Text"/>
    <w:basedOn w:val="1"/>
    <w:link w:val="15"/>
    <w:semiHidden/>
    <w:unhideWhenUsed/>
    <w:qFormat/>
    <w:uiPriority w:val="99"/>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0">
    <w:name w:val="Strong"/>
    <w:basedOn w:val="9"/>
    <w:qFormat/>
    <w:uiPriority w:val="0"/>
    <w:rPr>
      <w:b/>
    </w:rPr>
  </w:style>
  <w:style w:type="character" w:customStyle="1" w:styleId="11">
    <w:name w:val="页眉 Char"/>
    <w:basedOn w:val="9"/>
    <w:link w:val="6"/>
    <w:qFormat/>
    <w:uiPriority w:val="99"/>
    <w:rPr>
      <w:sz w:val="18"/>
      <w:szCs w:val="18"/>
    </w:rPr>
  </w:style>
  <w:style w:type="character" w:customStyle="1" w:styleId="12">
    <w:name w:val="页脚 Char"/>
    <w:basedOn w:val="9"/>
    <w:link w:val="2"/>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9"/>
    <w:link w:val="5"/>
    <w:semiHidden/>
    <w:qFormat/>
    <w:uiPriority w:val="99"/>
    <w:rPr>
      <w:sz w:val="18"/>
      <w:szCs w:val="18"/>
    </w:rPr>
  </w:style>
  <w:style w:type="paragraph" w:customStyle="1" w:styleId="16">
    <w:name w:val="列出段落"/>
    <w:basedOn w:val="1"/>
    <w:qFormat/>
    <w:uiPriority w:val="0"/>
    <w:pPr>
      <w:ind w:firstLine="200" w:firstLineChars="200"/>
    </w:pPr>
    <w:rPr>
      <w:rFonts w:ascii="Calibri" w:hAnsi="Calibri"/>
      <w:szCs w:val="22"/>
    </w:rPr>
  </w:style>
  <w:style w:type="paragraph" w:customStyle="1" w:styleId="17">
    <w:name w:val="正文1"/>
    <w:basedOn w:val="1"/>
    <w:qFormat/>
    <w:uiPriority w:val="0"/>
    <w:rPr>
      <w:rFonts w:ascii="宋体" w:hAnsi="宋体" w:cs="宋体"/>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19</Pages>
  <Words>8325</Words>
  <Characters>8973</Characters>
  <Lines>62</Lines>
  <Paragraphs>17</Paragraphs>
  <TotalTime>14</TotalTime>
  <ScaleCrop>false</ScaleCrop>
  <LinksUpToDate>false</LinksUpToDate>
  <CharactersWithSpaces>8981</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2020-07-06T18:32:00Z</dcterms:created>
  <dc:creator>李航 null</dc:creator>
  <cp:lastModifiedBy>非鱼</cp:lastModifiedBy>
  <cp:lastPrinted>2021-08-01T16:12:00Z</cp:lastPrinted>
  <dcterms:modified xsi:type="dcterms:W3CDTF">2023-10-06T01:50:22Z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E165F38F636949D9AB9152271EE1D5A6</vt:lpwstr>
  </property>
</Properties>
</file>