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</w:rPr>
        <w:t>附件</w:t>
      </w:r>
      <w:r>
        <w:rPr>
          <w:rFonts w:hint="eastAsia" w:ascii="方正楷体简体" w:hAnsi="方正楷体简体" w:eastAsia="方正楷体简体" w:cs="方正楷体简体"/>
          <w:bCs/>
          <w:kern w:val="0"/>
          <w:sz w:val="32"/>
          <w:szCs w:val="32"/>
          <w:lang w:val="en-US" w:eastAsia="zh-CN"/>
        </w:rPr>
        <w:t>1</w:t>
      </w:r>
    </w:p>
    <w:p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怀化市文学艺术界联合会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部门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算</w:t>
      </w:r>
      <w:r>
        <w:rPr>
          <w:b/>
          <w:bCs/>
          <w:i w:val="0"/>
          <w:iCs w:val="0"/>
          <w:caps w:val="0"/>
          <w:color w:val="333333"/>
          <w:spacing w:val="0"/>
          <w:sz w:val="45"/>
          <w:szCs w:val="45"/>
        </w:rPr>
        <w:t>公开说明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 2024年部门预算说明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  2024年部门预算表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本年项目支出预算表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本年国有资本经营预算支出预算表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9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</w:p>
    <w:p>
      <w:pPr>
        <w:tabs>
          <w:tab w:val="left" w:pos="3223"/>
          <w:tab w:val="left" w:pos="7168"/>
        </w:tabs>
        <w:ind w:firstLine="1120" w:firstLineChars="35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怀化市文学艺术界联合会是党委政府联系文艺家的群众团体，按照科学发展观的要求，坚持文艺“为人民服务，为社会主义服务”的方向和“百花齐放，百家争鸣”的方针，充分发挥文联“团结引导、联络协调、服务管理、自律维权”的职能，着力发挥好党委政府和文艺家之间的桥梁纽带作用，不断探索新形势下文学艺术创作的新途径，积极组织全市文艺工作者开展文艺创作，文艺演出、展览、评奖、研讨和交流等活动，激发文艺工作者的创作热情，做好各个艺术门类及各艺术类别的联络、协调、服务指导工作。进一步拓展服务基层的渠道，提高服务群众的水平，繁荣我市文艺事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9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怀化市文学艺术界联合会作为一级部门预算单位，内设科室为：办公室。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怀化市文艺创作服务中心（原雪峰文学杂志社）作为怀化市文学艺术界联合会单位的二级部门预算单位，无内设科室。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纳入202</w:t>
      </w:r>
      <w:r>
        <w:rPr>
          <w:rFonts w:hint="default" w:eastAsia="仿宋_GB2312"/>
          <w:sz w:val="32"/>
          <w:szCs w:val="32"/>
          <w:lang w:eastAsia="zh-CN"/>
        </w:rPr>
        <w:t>4</w:t>
      </w:r>
      <w:r>
        <w:rPr>
          <w:rFonts w:hint="eastAsia" w:eastAsia="仿宋_GB2312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lang w:eastAsia="zh-CN"/>
        </w:rPr>
        <w:t>怀化市文学艺术界联合会</w:t>
      </w:r>
      <w:r>
        <w:rPr>
          <w:rFonts w:hint="eastAsia" w:eastAsia="仿宋_GB2312"/>
          <w:sz w:val="32"/>
          <w:szCs w:val="32"/>
          <w:lang w:val="en-US" w:eastAsia="zh-CN"/>
        </w:rPr>
        <w:t>部门预算编制范围的包括：</w:t>
      </w:r>
      <w:r>
        <w:rPr>
          <w:rFonts w:hint="eastAsia" w:eastAsia="仿宋_GB2312"/>
          <w:sz w:val="32"/>
          <w:szCs w:val="32"/>
          <w:lang w:eastAsia="zh-CN"/>
        </w:rPr>
        <w:t>怀化市文学艺术界联合会部门本级，怀化市文艺创作服务中心（二级部门）。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  <w:lang w:eastAsia="zh-CN"/>
        </w:rPr>
        <w:t>年部门预算包括本单位预算内的收支情况。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年年初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hint="default" w:eastAsia="仿宋_GB2312"/>
          <w:sz w:val="32"/>
          <w:szCs w:val="32"/>
          <w:lang w:eastAsia="zh-CN"/>
        </w:rPr>
        <w:t>263.19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default" w:eastAsia="仿宋_GB2312"/>
          <w:sz w:val="32"/>
          <w:szCs w:val="32"/>
          <w:lang w:eastAsia="zh-CN"/>
        </w:rPr>
        <w:t>263.19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default"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纳入财政专户管理的非税收入拨款</w:t>
      </w:r>
      <w:r>
        <w:rPr>
          <w:rFonts w:hint="default"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万元，国有资本经营预算拨款</w:t>
      </w:r>
      <w:r>
        <w:rPr>
          <w:rFonts w:hint="default"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上年结转结余</w:t>
      </w:r>
      <w:r>
        <w:rPr>
          <w:rFonts w:hint="default"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压减公用经费和专项支出后，同口径对比，</w:t>
      </w:r>
      <w:r>
        <w:rPr>
          <w:rFonts w:hint="eastAsia" w:eastAsia="仿宋_GB2312" w:cs="Times New Roman"/>
          <w:b/>
          <w:bCs/>
          <w:color w:val="auto"/>
          <w:sz w:val="32"/>
          <w:szCs w:val="32"/>
        </w:rPr>
        <w:t>收入较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上</w:t>
      </w:r>
      <w:r>
        <w:rPr>
          <w:rFonts w:hint="eastAsia" w:eastAsia="仿宋_GB2312" w:cs="Times New Roman"/>
          <w:b/>
          <w:bCs/>
          <w:color w:val="auto"/>
          <w:sz w:val="32"/>
          <w:szCs w:val="32"/>
        </w:rPr>
        <w:t>年减少</w:t>
      </w:r>
      <w:r>
        <w:rPr>
          <w:rFonts w:hint="default" w:eastAsia="仿宋_GB2312" w:cs="Times New Roman"/>
          <w:b/>
          <w:bCs/>
          <w:color w:val="auto"/>
          <w:sz w:val="32"/>
          <w:szCs w:val="32"/>
        </w:rPr>
        <w:t>24.43</w:t>
      </w:r>
      <w:r>
        <w:rPr>
          <w:rFonts w:hint="eastAsia" w:eastAsia="仿宋_GB2312"/>
          <w:b/>
          <w:bCs/>
          <w:color w:val="auto"/>
          <w:sz w:val="32"/>
          <w:szCs w:val="32"/>
        </w:rPr>
        <w:t xml:space="preserve"> 万元，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增长率</w:t>
      </w:r>
      <w:r>
        <w:rPr>
          <w:rFonts w:hint="default" w:eastAsia="仿宋_GB2312" w:cs="Times New Roman"/>
          <w:b w:val="0"/>
          <w:bCs w:val="0"/>
          <w:color w:val="auto"/>
          <w:sz w:val="32"/>
          <w:szCs w:val="32"/>
          <w:lang w:eastAsia="zh-CN"/>
        </w:rPr>
        <w:t>-</w:t>
      </w:r>
      <w:r>
        <w:rPr>
          <w:rFonts w:hint="default" w:eastAsia="仿宋_GB2312"/>
          <w:sz w:val="32"/>
          <w:szCs w:val="32"/>
          <w:lang w:eastAsia="zh-CN"/>
        </w:rPr>
        <w:t>8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b/>
          <w:bCs/>
          <w:color w:val="auto"/>
          <w:sz w:val="32"/>
          <w:szCs w:val="32"/>
        </w:rPr>
        <w:t>主要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原因</w:t>
      </w:r>
      <w:r>
        <w:rPr>
          <w:rFonts w:hint="eastAsia" w:eastAsia="仿宋_GB2312"/>
          <w:b/>
          <w:bCs/>
          <w:color w:val="auto"/>
          <w:sz w:val="32"/>
          <w:szCs w:val="32"/>
        </w:rPr>
        <w:t>是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人员变动减少各项开支</w:t>
      </w:r>
      <w:r>
        <w:rPr>
          <w:rFonts w:hint="eastAsia" w:eastAsia="仿宋_GB2312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预算数</w:t>
      </w:r>
      <w:r>
        <w:rPr>
          <w:rFonts w:hint="eastAsia" w:eastAsia="仿宋_GB2312"/>
          <w:sz w:val="32"/>
          <w:szCs w:val="32"/>
          <w:lang w:val="en-US" w:eastAsia="zh-CN"/>
        </w:rPr>
        <w:t>263.19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一般公共服务支出</w:t>
      </w:r>
      <w:r>
        <w:rPr>
          <w:rFonts w:hint="eastAsia" w:eastAsia="仿宋_GB2312"/>
          <w:sz w:val="32"/>
          <w:szCs w:val="32"/>
          <w:lang w:val="en-US" w:eastAsia="zh-CN"/>
        </w:rPr>
        <w:t>187.81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万元，社会保障和就业支出</w:t>
      </w:r>
      <w:r>
        <w:rPr>
          <w:rFonts w:hint="eastAsia" w:eastAsia="仿宋_GB2312"/>
          <w:sz w:val="32"/>
          <w:szCs w:val="32"/>
          <w:lang w:val="en-US" w:eastAsia="zh-CN"/>
        </w:rPr>
        <w:t>54.99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万元，卫生健康支出</w:t>
      </w:r>
      <w:r>
        <w:rPr>
          <w:rFonts w:hint="eastAsia" w:eastAsia="仿宋_GB2312"/>
          <w:sz w:val="32"/>
          <w:szCs w:val="32"/>
          <w:lang w:val="en-US" w:eastAsia="zh-CN"/>
        </w:rPr>
        <w:t>7.41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万元,住房保障支出12.98万元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压减公用经费和专项支出后，同口径对比，</w:t>
      </w:r>
      <w:r>
        <w:rPr>
          <w:rFonts w:hint="eastAsia" w:eastAsia="仿宋_GB2312"/>
          <w:b/>
          <w:bCs/>
          <w:color w:val="auto"/>
          <w:sz w:val="32"/>
          <w:szCs w:val="32"/>
        </w:rPr>
        <w:t>支出较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上</w:t>
      </w:r>
      <w:r>
        <w:rPr>
          <w:rFonts w:hint="eastAsia" w:eastAsia="仿宋_GB2312"/>
          <w:b/>
          <w:bCs/>
          <w:color w:val="auto"/>
          <w:sz w:val="32"/>
          <w:szCs w:val="32"/>
        </w:rPr>
        <w:t>年减少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24.43</w:t>
      </w:r>
      <w:r>
        <w:rPr>
          <w:rFonts w:hint="eastAsia" w:eastAsia="仿宋_GB2312"/>
          <w:b/>
          <w:bCs/>
          <w:color w:val="auto"/>
          <w:sz w:val="32"/>
          <w:szCs w:val="32"/>
        </w:rPr>
        <w:t>万元，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增长率</w:t>
      </w:r>
      <w:r>
        <w:rPr>
          <w:rFonts w:hint="eastAsia" w:eastAsia="仿宋_GB2312"/>
          <w:sz w:val="32"/>
          <w:szCs w:val="32"/>
          <w:lang w:val="en-US" w:eastAsia="zh-CN"/>
        </w:rPr>
        <w:t>-8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b/>
          <w:bCs/>
          <w:color w:val="auto"/>
          <w:sz w:val="32"/>
          <w:szCs w:val="32"/>
        </w:rPr>
        <w:t>主要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原因</w:t>
      </w:r>
      <w:r>
        <w:rPr>
          <w:rFonts w:hint="eastAsia" w:eastAsia="仿宋_GB2312"/>
          <w:b/>
          <w:bCs/>
          <w:color w:val="auto"/>
          <w:sz w:val="32"/>
          <w:szCs w:val="32"/>
        </w:rPr>
        <w:t>是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人员变动减少各项开支</w:t>
      </w:r>
      <w:r>
        <w:rPr>
          <w:rFonts w:hint="eastAsia" w:eastAsia="仿宋_GB2312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一般公共预算拨款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default" w:eastAsia="仿宋_GB2312"/>
          <w:sz w:val="32"/>
          <w:szCs w:val="32"/>
          <w:lang w:eastAsia="zh-CN"/>
        </w:rPr>
        <w:t>263.19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其中：一般公共服务支出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187.81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%；社会保障和就业支出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54.99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%；卫生健康支出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7.41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</w:t>
      </w:r>
      <w:r>
        <w:rPr>
          <w:rFonts w:hint="eastAsia" w:eastAsia="仿宋_GB2312"/>
          <w:sz w:val="32"/>
          <w:szCs w:val="32"/>
          <w:highlight w:val="none"/>
        </w:rPr>
        <w:t>住房保障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12.98</w:t>
      </w:r>
      <w:r>
        <w:rPr>
          <w:rFonts w:hint="eastAsia" w:eastAsia="仿宋_GB2312"/>
          <w:sz w:val="32"/>
          <w:szCs w:val="32"/>
          <w:highlight w:val="none"/>
        </w:rPr>
        <w:t>万元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sz w:val="32"/>
          <w:szCs w:val="32"/>
          <w:highlight w:val="none"/>
        </w:rPr>
        <w:t>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  <w:highlight w:val="none"/>
          <w:u w:val="none"/>
        </w:rPr>
        <w:t>%</w:t>
      </w:r>
      <w:r>
        <w:rPr>
          <w:rFonts w:hint="eastAsia" w:eastAsia="仿宋_GB2312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具体安排情况如下：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eastAsia="仿宋_GB2312"/>
          <w:sz w:val="32"/>
          <w:szCs w:val="32"/>
        </w:rPr>
        <w:t>基本支出</w:t>
      </w:r>
      <w:r>
        <w:rPr>
          <w:rFonts w:hint="eastAsia" w:eastAsia="仿宋_GB2312"/>
          <w:sz w:val="32"/>
          <w:szCs w:val="32"/>
          <w:lang w:eastAsia="zh-CN"/>
        </w:rPr>
        <w:t>：20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  <w:lang w:eastAsia="zh-CN"/>
        </w:rPr>
        <w:t>年年初预算数为</w:t>
      </w:r>
      <w:r>
        <w:rPr>
          <w:rFonts w:hint="eastAsia" w:eastAsia="仿宋_GB2312"/>
          <w:sz w:val="32"/>
          <w:szCs w:val="32"/>
          <w:lang w:val="en-US" w:eastAsia="zh-CN"/>
        </w:rPr>
        <w:t>208.19</w:t>
      </w:r>
      <w:r>
        <w:rPr>
          <w:rFonts w:hint="eastAsia" w:eastAsia="仿宋_GB2312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eastAsia="仿宋_GB2312"/>
          <w:sz w:val="32"/>
          <w:szCs w:val="32"/>
          <w:lang w:val="en-US" w:eastAsia="zh-CN"/>
        </w:rPr>
        <w:t>150.69万元</w:t>
      </w:r>
      <w:r>
        <w:rPr>
          <w:rFonts w:hint="eastAsia" w:eastAsia="仿宋_GB2312"/>
          <w:sz w:val="32"/>
          <w:szCs w:val="32"/>
          <w:lang w:eastAsia="zh-CN"/>
        </w:rPr>
        <w:t>、津贴补贴</w:t>
      </w:r>
      <w:r>
        <w:rPr>
          <w:rFonts w:hint="eastAsia" w:eastAsia="仿宋_GB2312"/>
          <w:sz w:val="32"/>
          <w:szCs w:val="32"/>
          <w:lang w:val="en-US" w:eastAsia="zh-CN"/>
        </w:rPr>
        <w:t>27.21万元、</w:t>
      </w:r>
      <w:r>
        <w:rPr>
          <w:rFonts w:hint="eastAsia" w:eastAsia="仿宋_GB2312"/>
          <w:sz w:val="32"/>
          <w:szCs w:val="32"/>
          <w:lang w:eastAsia="zh-CN"/>
        </w:rPr>
        <w:t>办公费</w:t>
      </w:r>
      <w:r>
        <w:rPr>
          <w:rFonts w:hint="eastAsia" w:eastAsia="仿宋_GB2312"/>
          <w:sz w:val="32"/>
          <w:szCs w:val="32"/>
          <w:lang w:val="en-US" w:eastAsia="zh-CN"/>
        </w:rPr>
        <w:t>2万元</w:t>
      </w:r>
      <w:r>
        <w:rPr>
          <w:rFonts w:hint="eastAsia" w:eastAsia="仿宋_GB2312"/>
          <w:sz w:val="32"/>
          <w:szCs w:val="32"/>
          <w:lang w:eastAsia="zh-CN"/>
        </w:rPr>
        <w:t>、其他商品和服务支出</w:t>
      </w:r>
      <w:r>
        <w:rPr>
          <w:rFonts w:hint="eastAsia" w:eastAsia="仿宋_GB2312"/>
          <w:sz w:val="32"/>
          <w:szCs w:val="32"/>
          <w:lang w:val="en-US" w:eastAsia="zh-CN"/>
        </w:rPr>
        <w:t>5.64万元</w:t>
      </w:r>
      <w:r>
        <w:rPr>
          <w:rFonts w:hint="eastAsia" w:eastAsia="仿宋_GB2312"/>
          <w:sz w:val="32"/>
          <w:szCs w:val="32"/>
          <w:lang w:eastAsia="zh-CN"/>
        </w:rPr>
        <w:t>等</w:t>
      </w:r>
      <w:r>
        <w:rPr>
          <w:rFonts w:hint="eastAsia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2024年年初预算数为55万元，是指单位为完成特定行政工作任务或事业发展目标而发生的支出，包括有关事业发展专项、专项业务费、基本建设支出等。其中：</w:t>
      </w:r>
      <w:r>
        <w:rPr>
          <w:rFonts w:hint="eastAsia" w:eastAsia="仿宋_GB2312"/>
          <w:sz w:val="32"/>
          <w:szCs w:val="32"/>
          <w:lang w:eastAsia="zh-CN"/>
        </w:rPr>
        <w:t>专项业务（工作）经费支出</w:t>
      </w:r>
      <w:r>
        <w:rPr>
          <w:rFonts w:hint="eastAsia" w:eastAsia="仿宋_GB2312"/>
          <w:sz w:val="32"/>
          <w:szCs w:val="32"/>
          <w:lang w:val="en-US" w:eastAsia="zh-CN"/>
        </w:rPr>
        <w:t>35</w:t>
      </w:r>
      <w:r>
        <w:rPr>
          <w:rFonts w:hint="eastAsia" w:eastAsia="仿宋_GB2312"/>
          <w:sz w:val="32"/>
          <w:szCs w:val="32"/>
          <w:lang w:eastAsia="zh-CN"/>
        </w:rPr>
        <w:t>万元，主要用于主要用于各文艺家协会活动经费、文艺采风创作等、《怀化文学》办刊经费</w:t>
      </w:r>
      <w:r>
        <w:rPr>
          <w:rFonts w:hint="eastAsia" w:eastAsia="仿宋_GB2312"/>
          <w:sz w:val="32"/>
          <w:szCs w:val="32"/>
          <w:lang w:val="en-US" w:eastAsia="zh-CN"/>
        </w:rPr>
        <w:t>20万元，主要用于《</w:t>
      </w:r>
      <w:r>
        <w:rPr>
          <w:rFonts w:hint="eastAsia" w:eastAsia="仿宋_GB2312"/>
          <w:sz w:val="32"/>
          <w:szCs w:val="32"/>
          <w:lang w:eastAsia="zh-CN"/>
        </w:rPr>
        <w:t>怀化文学》办刊等方面。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2024年政府性基金支出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2024年无政府性基金预算支出。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（一）“三公”经费预算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b/>
          <w:bCs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2024年怀化市文学艺术界联合会部门安排“三公”经费预算数为0.36万元，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其中，公务接待费0.36万元，公务用车购置费0万元，公务用车运行费0万元，因公出国（境）费0万元。2024年“三公”经费预算较上年预算数减少0.09万元，下降2%，主要因为：按照“三公”经费“只减不增”原则，从严从紧安排“三公”经费预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2024年怀化市文学艺术界联合会部门机关运行经费</w:t>
      </w:r>
      <w:r>
        <w:rPr>
          <w:rFonts w:hint="default" w:eastAsia="仿宋_GB2312"/>
          <w:b w:val="0"/>
          <w:bCs w:val="0"/>
          <w:color w:val="auto"/>
          <w:sz w:val="32"/>
          <w:szCs w:val="32"/>
          <w:lang w:eastAsia="zh-CN"/>
        </w:rPr>
        <w:t>15</w:t>
      </w:r>
      <w:bookmarkStart w:id="0" w:name="_GoBack"/>
      <w:bookmarkEnd w:id="0"/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万元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，压减公用经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费后安排12万元，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同口径对比，比上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预算数减少1.2万元，下降11%，主要因为人员变动减少。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主要用于：办公费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支出，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万元；接待费支出，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0.36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万元；其它商品和服务支出，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5.64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2024年怀化市文学艺术界联合会政府采购预算总额0万元，其中，政府采购货物预算0万元、政府采购工程预算0万元、政府采购服务预算0万元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2024年怀化市文学艺术界联合会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部门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政府采购预算总额为0万元。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2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按照市本级预算绩效管理工作的总体要求，2024年我单位整体支出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263.19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55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万元，其中专项业务（工作）经费</w:t>
      </w:r>
      <w:r>
        <w:rPr>
          <w:rFonts w:hint="eastAsia" w:eastAsia="仿宋_GB2312"/>
          <w:sz w:val="32"/>
          <w:szCs w:val="32"/>
          <w:lang w:val="en-US" w:eastAsia="zh-CN"/>
        </w:rPr>
        <w:t>35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《怀化文学》办刊经费</w:t>
      </w:r>
      <w:r>
        <w:rPr>
          <w:rFonts w:hint="eastAsia" w:eastAsia="仿宋_GB2312"/>
          <w:sz w:val="32"/>
          <w:szCs w:val="32"/>
          <w:lang w:val="en-US" w:eastAsia="zh-CN"/>
        </w:rPr>
        <w:t>20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万元，全部实行项目支出绩效目标管理。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2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1.截至2023年12月31日，本部门共有车辆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辆，其中，一般公务用车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辆、一般执法执勤用车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特种专业技术用车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辆、其他用车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单位价值50 万元以</w:t>
      </w:r>
      <w:r>
        <w:rPr>
          <w:rFonts w:eastAsia="仿宋_GB2312"/>
          <w:kern w:val="0"/>
          <w:sz w:val="32"/>
          <w:szCs w:val="32"/>
          <w:highlight w:val="none"/>
        </w:rPr>
        <w:t>上通用设备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台（套），单价100 万元以上专用设备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1.截至2023年12月31日，本部门无车辆，无50万元以上的专用设备。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2024年，本部门无新增车辆，无新增50万元以上的通用设备和专用设备。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2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b/>
          <w:bCs/>
          <w:color w:val="auto"/>
          <w:sz w:val="32"/>
          <w:szCs w:val="32"/>
          <w:lang w:val="en-US" w:eastAsia="zh-CN"/>
        </w:rPr>
        <w:t>预算绩效目标说明：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本部门所有支出实行绩效目标管理。纳入2024年部门整体支出绩效目标的金额为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263.19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万元，其中，基本支出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208.19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万元，项目支出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万元。具体绩效目标详见报表。详见附件2024年项目支出绩效目标表。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2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（七）一般性支出情况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2024年，本部门会议费预算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万元，具体为：文联四届二次全委</w:t>
      </w:r>
      <w:r>
        <w:rPr>
          <w:rFonts w:hint="eastAsia" w:eastAsia="仿宋_GB2312"/>
          <w:color w:val="auto"/>
          <w:sz w:val="32"/>
          <w:szCs w:val="32"/>
          <w:lang w:eastAsia="zh-CN"/>
        </w:rPr>
        <w:t>会议，内容为文联工作报告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，四类十佳表彰等。</w:t>
      </w:r>
      <w:r>
        <w:rPr>
          <w:rFonts w:hint="eastAsia" w:eastAsia="仿宋_GB2312"/>
          <w:color w:val="auto"/>
          <w:sz w:val="32"/>
          <w:szCs w:val="32"/>
          <w:lang w:eastAsia="zh-CN"/>
        </w:rPr>
        <w:t>预计参会人数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人，预算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2024年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本部门无培训费预算。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2024年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本部门无举办节庆、晚会、论坛、赛事等预算。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2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2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2.“三公”经费：</w:t>
      </w:r>
      <w:r>
        <w:rPr>
          <w:rFonts w:hint="eastAsia" w:eastAsia="仿宋_GB2312"/>
          <w:sz w:val="32"/>
          <w:szCs w:val="32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简体">
    <w:altName w:val="方正楷体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8240;mso-width-relative:page;mso-height-relative:page;" filled="f" stroked="f" coordsize="21600,21600" o:gfxdata="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jUeE/dAAAAACAQAADwAAAAAAAAABACAAAAA4AAAAZHJzL2Rvd25yZXYueG1sUEsBAhQAFAAAAAgA&#10;h07iQB755iilAQAATQMAAA4AAAAAAAAAAQAgAAAAN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1379D"/>
    <w:multiLevelType w:val="singleLevel"/>
    <w:tmpl w:val="2521379D"/>
    <w:lvl w:ilvl="0" w:tentative="0">
      <w:start w:val="6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abstractNum w:abstractNumId="1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kMDc2NTI5ODUwMWEzZTQzYTg5NjUyNzhlYjE2MzgifQ=="/>
  </w:docVars>
  <w:rsids>
    <w:rsidRoot w:val="004E6E3D"/>
    <w:rsid w:val="03023DA5"/>
    <w:rsid w:val="042228D2"/>
    <w:rsid w:val="04433323"/>
    <w:rsid w:val="05881A2C"/>
    <w:rsid w:val="05A425EB"/>
    <w:rsid w:val="07D74632"/>
    <w:rsid w:val="08466C90"/>
    <w:rsid w:val="09E5774A"/>
    <w:rsid w:val="0DB66903"/>
    <w:rsid w:val="14671B45"/>
    <w:rsid w:val="1496682F"/>
    <w:rsid w:val="157C6B16"/>
    <w:rsid w:val="17E97F34"/>
    <w:rsid w:val="18250522"/>
    <w:rsid w:val="1A5051A5"/>
    <w:rsid w:val="1E8244F8"/>
    <w:rsid w:val="1ED6141B"/>
    <w:rsid w:val="1FB7AC0B"/>
    <w:rsid w:val="218527E0"/>
    <w:rsid w:val="21F60A01"/>
    <w:rsid w:val="250E7A8A"/>
    <w:rsid w:val="276F0967"/>
    <w:rsid w:val="27D89400"/>
    <w:rsid w:val="27DF6275"/>
    <w:rsid w:val="28932515"/>
    <w:rsid w:val="2A0C345E"/>
    <w:rsid w:val="2E2477F7"/>
    <w:rsid w:val="2E5A1A42"/>
    <w:rsid w:val="2F830D35"/>
    <w:rsid w:val="2FAF0911"/>
    <w:rsid w:val="31636116"/>
    <w:rsid w:val="335F48A8"/>
    <w:rsid w:val="37A7A109"/>
    <w:rsid w:val="39A141FC"/>
    <w:rsid w:val="3AFF6E2E"/>
    <w:rsid w:val="3BD92F7B"/>
    <w:rsid w:val="3BDE2575"/>
    <w:rsid w:val="3CBF95A5"/>
    <w:rsid w:val="3D53AB3B"/>
    <w:rsid w:val="3DAD604A"/>
    <w:rsid w:val="3DECA121"/>
    <w:rsid w:val="3FAFD845"/>
    <w:rsid w:val="3FDF29E7"/>
    <w:rsid w:val="416B09D2"/>
    <w:rsid w:val="43A43CCA"/>
    <w:rsid w:val="45D61E36"/>
    <w:rsid w:val="4A67245D"/>
    <w:rsid w:val="4FFE300C"/>
    <w:rsid w:val="506435A4"/>
    <w:rsid w:val="51077170"/>
    <w:rsid w:val="51BFAE28"/>
    <w:rsid w:val="535836AB"/>
    <w:rsid w:val="556F46EC"/>
    <w:rsid w:val="55D67AAD"/>
    <w:rsid w:val="56CE5063"/>
    <w:rsid w:val="56FE684A"/>
    <w:rsid w:val="56FF5133"/>
    <w:rsid w:val="57C71915"/>
    <w:rsid w:val="57CD88D0"/>
    <w:rsid w:val="57F8C591"/>
    <w:rsid w:val="57FE3F74"/>
    <w:rsid w:val="57FF2661"/>
    <w:rsid w:val="599D8D92"/>
    <w:rsid w:val="5AA4755C"/>
    <w:rsid w:val="5BE7939D"/>
    <w:rsid w:val="5BFFF126"/>
    <w:rsid w:val="5C04693A"/>
    <w:rsid w:val="5C5B50CB"/>
    <w:rsid w:val="5D7BC72A"/>
    <w:rsid w:val="5DEDAF54"/>
    <w:rsid w:val="5EBF4216"/>
    <w:rsid w:val="5EF20F05"/>
    <w:rsid w:val="5F766CE8"/>
    <w:rsid w:val="5FDF3C4D"/>
    <w:rsid w:val="5FFF807C"/>
    <w:rsid w:val="601E4B2A"/>
    <w:rsid w:val="60E22426"/>
    <w:rsid w:val="620509C2"/>
    <w:rsid w:val="627E5E01"/>
    <w:rsid w:val="6361064F"/>
    <w:rsid w:val="642858BB"/>
    <w:rsid w:val="67FF8332"/>
    <w:rsid w:val="69CF2214"/>
    <w:rsid w:val="6AB10152"/>
    <w:rsid w:val="6AFE2BA5"/>
    <w:rsid w:val="6B260820"/>
    <w:rsid w:val="6B6B02DC"/>
    <w:rsid w:val="6BE62B36"/>
    <w:rsid w:val="6BF7F1A9"/>
    <w:rsid w:val="6DBF87F4"/>
    <w:rsid w:val="6F7EC010"/>
    <w:rsid w:val="6FAEAF1D"/>
    <w:rsid w:val="6FD5F1E7"/>
    <w:rsid w:val="6FDAE0FC"/>
    <w:rsid w:val="6FFF404B"/>
    <w:rsid w:val="6FFFAB06"/>
    <w:rsid w:val="6FFFD59B"/>
    <w:rsid w:val="70FCF8D4"/>
    <w:rsid w:val="71E4727E"/>
    <w:rsid w:val="71EF97B5"/>
    <w:rsid w:val="73BDD5E6"/>
    <w:rsid w:val="779FB094"/>
    <w:rsid w:val="77F319BB"/>
    <w:rsid w:val="77FB6D6A"/>
    <w:rsid w:val="77FDEB66"/>
    <w:rsid w:val="77FE28CB"/>
    <w:rsid w:val="77FF01A4"/>
    <w:rsid w:val="79156D7B"/>
    <w:rsid w:val="797F466D"/>
    <w:rsid w:val="79BC27EB"/>
    <w:rsid w:val="79BC5F0A"/>
    <w:rsid w:val="79D6799A"/>
    <w:rsid w:val="7A5F6906"/>
    <w:rsid w:val="7AFB76BD"/>
    <w:rsid w:val="7B3F0662"/>
    <w:rsid w:val="7B79AB1A"/>
    <w:rsid w:val="7BBF516D"/>
    <w:rsid w:val="7BEFC292"/>
    <w:rsid w:val="7BF7F7EF"/>
    <w:rsid w:val="7D6E4E0A"/>
    <w:rsid w:val="7DDF0942"/>
    <w:rsid w:val="7E3FE8D5"/>
    <w:rsid w:val="7E79ECCF"/>
    <w:rsid w:val="7E7F9FB1"/>
    <w:rsid w:val="7EBF0687"/>
    <w:rsid w:val="7ECDB210"/>
    <w:rsid w:val="7EDFEE73"/>
    <w:rsid w:val="7EEF2719"/>
    <w:rsid w:val="7EFEAF08"/>
    <w:rsid w:val="7EFF272C"/>
    <w:rsid w:val="7EFF2D7C"/>
    <w:rsid w:val="7F3F5CB0"/>
    <w:rsid w:val="7F572D15"/>
    <w:rsid w:val="7F764592"/>
    <w:rsid w:val="7F7DDD5C"/>
    <w:rsid w:val="7F7F5F9A"/>
    <w:rsid w:val="7FBD37E6"/>
    <w:rsid w:val="7FBEE0C1"/>
    <w:rsid w:val="7FC5CF81"/>
    <w:rsid w:val="7FEDFB8B"/>
    <w:rsid w:val="7FEF5CCC"/>
    <w:rsid w:val="7FF5E344"/>
    <w:rsid w:val="7FFF16EA"/>
    <w:rsid w:val="7FFF642F"/>
    <w:rsid w:val="7FFFC753"/>
    <w:rsid w:val="7FFFD703"/>
    <w:rsid w:val="8FFDD751"/>
    <w:rsid w:val="9B298FC0"/>
    <w:rsid w:val="9EFFEA9E"/>
    <w:rsid w:val="9FFF67EF"/>
    <w:rsid w:val="AEFAC1FF"/>
    <w:rsid w:val="B7E9AC57"/>
    <w:rsid w:val="BBB75793"/>
    <w:rsid w:val="BE9E6CB3"/>
    <w:rsid w:val="BEEB1875"/>
    <w:rsid w:val="BF575EEB"/>
    <w:rsid w:val="BF5EF063"/>
    <w:rsid w:val="BFBE3D0C"/>
    <w:rsid w:val="BFDF408D"/>
    <w:rsid w:val="BFDFC11C"/>
    <w:rsid w:val="BFFDDF7B"/>
    <w:rsid w:val="C5FED0DB"/>
    <w:rsid w:val="C9EF8868"/>
    <w:rsid w:val="D76FF552"/>
    <w:rsid w:val="DF9F6690"/>
    <w:rsid w:val="E2FE06EC"/>
    <w:rsid w:val="E7F74A0A"/>
    <w:rsid w:val="E85C0C96"/>
    <w:rsid w:val="EB7F9F33"/>
    <w:rsid w:val="EEEB1CE5"/>
    <w:rsid w:val="EF7623AD"/>
    <w:rsid w:val="EFAD5E32"/>
    <w:rsid w:val="EFF3CAAE"/>
    <w:rsid w:val="EFF8CC5A"/>
    <w:rsid w:val="F0BF75EF"/>
    <w:rsid w:val="F28B0A36"/>
    <w:rsid w:val="F6EA5C3C"/>
    <w:rsid w:val="F6EB7519"/>
    <w:rsid w:val="F76945A5"/>
    <w:rsid w:val="F7D3854F"/>
    <w:rsid w:val="F7E7D14C"/>
    <w:rsid w:val="F7FE16BF"/>
    <w:rsid w:val="F977F40E"/>
    <w:rsid w:val="F9B73434"/>
    <w:rsid w:val="F9F1BFEB"/>
    <w:rsid w:val="F9FB4777"/>
    <w:rsid w:val="FABF8B90"/>
    <w:rsid w:val="FB7EF5B3"/>
    <w:rsid w:val="FBFDCBEC"/>
    <w:rsid w:val="FDBDEA40"/>
    <w:rsid w:val="FDCB2971"/>
    <w:rsid w:val="FDEA2B55"/>
    <w:rsid w:val="FE3FA00F"/>
    <w:rsid w:val="FF3F9101"/>
    <w:rsid w:val="FFBDE53D"/>
    <w:rsid w:val="FFE35C61"/>
    <w:rsid w:val="FFEF6982"/>
    <w:rsid w:val="FFF67D85"/>
    <w:rsid w:val="FFFDE79F"/>
    <w:rsid w:val="FFFE3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unhideWhenUsed/>
    <w:qFormat/>
    <w:uiPriority w:val="99"/>
  </w:style>
  <w:style w:type="character" w:styleId="13">
    <w:name w:val="HTML Acronym"/>
    <w:basedOn w:val="7"/>
    <w:unhideWhenUsed/>
    <w:qFormat/>
    <w:uiPriority w:val="99"/>
  </w:style>
  <w:style w:type="character" w:styleId="14">
    <w:name w:val="HTML Variable"/>
    <w:basedOn w:val="7"/>
    <w:unhideWhenUsed/>
    <w:qFormat/>
    <w:uiPriority w:val="99"/>
  </w:style>
  <w:style w:type="character" w:styleId="15">
    <w:name w:val="Hyperlink"/>
    <w:basedOn w:val="7"/>
    <w:unhideWhenUsed/>
    <w:qFormat/>
    <w:uiPriority w:val="99"/>
    <w:rPr>
      <w:color w:val="333333"/>
      <w:u w:val="none"/>
    </w:rPr>
  </w:style>
  <w:style w:type="character" w:styleId="16">
    <w:name w:val="HTML Code"/>
    <w:basedOn w:val="7"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7"/>
    <w:unhideWhenUsed/>
    <w:qFormat/>
    <w:uiPriority w:val="99"/>
  </w:style>
  <w:style w:type="character" w:customStyle="1" w:styleId="18">
    <w:name w:val="hj-easyread-speakerprocesser-position-action-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</Pages>
  <Words>3014</Words>
  <Characters>3228</Characters>
  <Lines>0</Lines>
  <Paragraphs>0</Paragraphs>
  <TotalTime>0</TotalTime>
  <ScaleCrop>false</ScaleCrop>
  <LinksUpToDate>false</LinksUpToDate>
  <CharactersWithSpaces>3277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2016-08-19T09:21:00Z</dcterms:created>
  <dc:creator>微软用户</dc:creator>
  <cp:lastModifiedBy>greatwall</cp:lastModifiedBy>
  <cp:lastPrinted>2022-01-23T14:49:00Z</cp:lastPrinted>
  <dcterms:modified xsi:type="dcterms:W3CDTF">2025-01-26T10:23:52Z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KSOSaveFontToCloudKey">
    <vt:lpwstr>362188443_cloud</vt:lpwstr>
  </property>
  <property fmtid="{D5CDD505-2E9C-101B-9397-08002B2CF9AE}" pid="4" name="ICV">
    <vt:lpwstr>F93C94A2B3604CE0AD487F53A7798D66</vt:lpwstr>
  </property>
</Properties>
</file>