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388B2">
      <w:pPr>
        <w:pStyle w:val="16"/>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4B7B0FD">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4B7B0FD">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79D8C33B">
      <w:pPr>
        <w:pStyle w:val="16"/>
        <w:jc w:val="center"/>
        <w:rPr>
          <w:sz w:val="56"/>
          <w:szCs w:val="56"/>
        </w:rPr>
      </w:pPr>
    </w:p>
    <w:p w14:paraId="584C1EC2">
      <w:pPr>
        <w:pStyle w:val="16"/>
        <w:jc w:val="center"/>
        <w:rPr>
          <w:sz w:val="84"/>
          <w:szCs w:val="84"/>
        </w:rPr>
      </w:pPr>
    </w:p>
    <w:p w14:paraId="3DE07D5D">
      <w:pPr>
        <w:pStyle w:val="16"/>
        <w:jc w:val="center"/>
        <w:rPr>
          <w:sz w:val="84"/>
          <w:szCs w:val="84"/>
        </w:rPr>
      </w:pPr>
    </w:p>
    <w:p w14:paraId="648F609F">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w:t>
      </w:r>
      <w:r>
        <w:rPr>
          <w:rFonts w:hint="eastAsia" w:ascii="方正小标宋_GBK" w:hAnsi="方正小标宋_GBK" w:eastAsia="方正小标宋_GBK" w:cs="方正小标宋_GBK"/>
          <w:sz w:val="72"/>
          <w:szCs w:val="72"/>
          <w:lang w:val="en-US" w:eastAsia="zh-CN"/>
        </w:rPr>
        <w:t>4</w:t>
      </w:r>
      <w:r>
        <w:rPr>
          <w:rFonts w:hint="eastAsia" w:ascii="方正小标宋_GBK" w:hAnsi="方正小标宋_GBK" w:eastAsia="方正小标宋_GBK" w:cs="方正小标宋_GBK"/>
          <w:sz w:val="72"/>
          <w:szCs w:val="72"/>
        </w:rPr>
        <w:t>年度</w:t>
      </w:r>
    </w:p>
    <w:p w14:paraId="70030B76">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怀化市文学艺术界联合会</w:t>
      </w:r>
    </w:p>
    <w:p w14:paraId="50F584A8">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部门决算</w:t>
      </w:r>
    </w:p>
    <w:p w14:paraId="24198C82">
      <w:pPr>
        <w:pStyle w:val="16"/>
        <w:jc w:val="center"/>
        <w:rPr>
          <w:rFonts w:ascii="方正小标宋_GBK" w:hAnsi="方正小标宋_GBK" w:eastAsia="方正小标宋_GBK" w:cs="方正小标宋_GBK"/>
          <w:sz w:val="56"/>
          <w:szCs w:val="56"/>
        </w:rPr>
      </w:pPr>
    </w:p>
    <w:p w14:paraId="6F87BD64">
      <w:pPr>
        <w:pStyle w:val="16"/>
        <w:jc w:val="center"/>
        <w:rPr>
          <w:sz w:val="56"/>
          <w:szCs w:val="56"/>
        </w:rPr>
      </w:pPr>
    </w:p>
    <w:p w14:paraId="07466CBE">
      <w:pPr>
        <w:pStyle w:val="16"/>
        <w:jc w:val="center"/>
        <w:rPr>
          <w:sz w:val="56"/>
          <w:szCs w:val="56"/>
        </w:rPr>
      </w:pPr>
    </w:p>
    <w:p w14:paraId="10AF6468">
      <w:pPr>
        <w:pStyle w:val="16"/>
        <w:jc w:val="center"/>
        <w:rPr>
          <w:sz w:val="56"/>
          <w:szCs w:val="56"/>
        </w:rPr>
      </w:pPr>
    </w:p>
    <w:p w14:paraId="6875B4EA">
      <w:pPr>
        <w:pStyle w:val="16"/>
        <w:jc w:val="center"/>
        <w:rPr>
          <w:sz w:val="32"/>
          <w:szCs w:val="32"/>
        </w:rPr>
      </w:pPr>
    </w:p>
    <w:p w14:paraId="5864B1C9">
      <w:pPr>
        <w:pStyle w:val="16"/>
        <w:jc w:val="center"/>
        <w:rPr>
          <w:sz w:val="32"/>
          <w:szCs w:val="32"/>
        </w:rPr>
      </w:pPr>
    </w:p>
    <w:p w14:paraId="3750460B">
      <w:pPr>
        <w:pStyle w:val="16"/>
        <w:jc w:val="center"/>
        <w:rPr>
          <w:sz w:val="32"/>
          <w:szCs w:val="32"/>
        </w:rPr>
      </w:pPr>
    </w:p>
    <w:p w14:paraId="52E09387">
      <w:pPr>
        <w:pStyle w:val="16"/>
        <w:jc w:val="center"/>
        <w:rPr>
          <w:sz w:val="32"/>
          <w:szCs w:val="32"/>
        </w:rPr>
      </w:pPr>
    </w:p>
    <w:p w14:paraId="5F1AB037">
      <w:pPr>
        <w:pStyle w:val="16"/>
        <w:jc w:val="center"/>
        <w:rPr>
          <w:sz w:val="32"/>
          <w:szCs w:val="32"/>
        </w:rPr>
      </w:pPr>
    </w:p>
    <w:p w14:paraId="3B753A04">
      <w:pPr>
        <w:pStyle w:val="16"/>
        <w:spacing w:line="540" w:lineRule="exact"/>
        <w:jc w:val="center"/>
        <w:rPr>
          <w:sz w:val="56"/>
          <w:szCs w:val="56"/>
        </w:rPr>
      </w:pPr>
    </w:p>
    <w:p w14:paraId="700E9BE4">
      <w:pPr>
        <w:pStyle w:val="16"/>
        <w:spacing w:line="500" w:lineRule="exact"/>
        <w:jc w:val="center"/>
        <w:rPr>
          <w:b/>
          <w:sz w:val="36"/>
          <w:szCs w:val="28"/>
        </w:rPr>
      </w:pPr>
      <w:r>
        <w:rPr>
          <w:rFonts w:hint="eastAsia"/>
          <w:b/>
          <w:sz w:val="36"/>
          <w:szCs w:val="28"/>
        </w:rPr>
        <w:t>目录</w:t>
      </w:r>
    </w:p>
    <w:p w14:paraId="1D777514">
      <w:pPr>
        <w:pStyle w:val="16"/>
        <w:spacing w:line="500" w:lineRule="exact"/>
        <w:rPr>
          <w:rFonts w:hAnsi="黑体"/>
          <w:bCs/>
          <w:sz w:val="28"/>
          <w:szCs w:val="28"/>
        </w:rPr>
      </w:pPr>
      <w:r>
        <w:rPr>
          <w:rFonts w:hint="eastAsia" w:hAnsi="黑体"/>
          <w:bCs/>
          <w:sz w:val="28"/>
          <w:szCs w:val="28"/>
        </w:rPr>
        <w:t>第一部分 怀化市文学艺术界联合会概况</w:t>
      </w:r>
    </w:p>
    <w:p w14:paraId="41020476">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1B2642D">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0009E9D">
      <w:pPr>
        <w:pStyle w:val="16"/>
        <w:spacing w:line="500" w:lineRule="exact"/>
        <w:rPr>
          <w:rFonts w:hAnsi="黑体"/>
          <w:bCs/>
          <w:sz w:val="28"/>
          <w:szCs w:val="28"/>
        </w:rPr>
      </w:pPr>
      <w:r>
        <w:rPr>
          <w:rFonts w:hint="eastAsia" w:hAnsi="黑体"/>
          <w:bCs/>
          <w:sz w:val="28"/>
          <w:szCs w:val="28"/>
        </w:rPr>
        <w:t>第二部分 部门决算表</w:t>
      </w:r>
    </w:p>
    <w:p w14:paraId="4771E003">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4D64A61">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5F116E4">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4F41025">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3867C15">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239FA00">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34F5EC0">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5AF8A16">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37D336A">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51AF11C">
      <w:pPr>
        <w:pStyle w:val="16"/>
        <w:spacing w:line="500" w:lineRule="exact"/>
        <w:rPr>
          <w:rFonts w:hAnsi="黑体"/>
          <w:bCs/>
          <w:sz w:val="28"/>
          <w:szCs w:val="28"/>
        </w:rPr>
      </w:pPr>
      <w:r>
        <w:rPr>
          <w:rFonts w:hint="eastAsia" w:hAnsi="黑体"/>
          <w:bCs/>
          <w:sz w:val="28"/>
          <w:szCs w:val="28"/>
        </w:rPr>
        <w:t>第三部分 部门决算情况说明</w:t>
      </w:r>
    </w:p>
    <w:p w14:paraId="4E54DD40">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748A463">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025ED9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59D9F5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0D61B88">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48E162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BDE55C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09B54A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DE2C9E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w:t>
      </w:r>
      <w:r>
        <w:rPr>
          <w:rFonts w:hint="eastAsia" w:ascii="仿宋_GB2312" w:hAnsi="仿宋_GB2312" w:eastAsia="仿宋_GB2312" w:cs="仿宋_GB2312"/>
          <w:color w:val="000000"/>
          <w:kern w:val="0"/>
          <w:sz w:val="28"/>
          <w:szCs w:val="28"/>
          <w:lang w:val="en-US" w:eastAsia="zh-CN"/>
        </w:rPr>
        <w:t>国有资本经营预算收入支出决算情况</w:t>
      </w:r>
    </w:p>
    <w:p w14:paraId="538F5E6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4A4F4CF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2051E4D8">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19362E55">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169FF677">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eastAsia" w:ascii="Times New Roman" w:hAnsi="Times New Roman" w:eastAsia="仿宋_GB2312" w:cs="Times New Roman"/>
          <w:sz w:val="28"/>
          <w:szCs w:val="28"/>
          <w:lang w:eastAsia="zh-CN"/>
        </w:rPr>
        <w:t>2024</w:t>
      </w:r>
      <w:r>
        <w:rPr>
          <w:rFonts w:hint="eastAsia" w:ascii="仿宋_GB2312" w:hAnsi="仿宋_GB2312" w:eastAsia="仿宋_GB2312" w:cs="仿宋_GB2312"/>
          <w:sz w:val="28"/>
          <w:szCs w:val="28"/>
        </w:rPr>
        <w:t>年度预算绩效情况的说明</w:t>
      </w:r>
    </w:p>
    <w:p w14:paraId="0A232D02">
      <w:pPr>
        <w:pStyle w:val="16"/>
        <w:spacing w:line="500" w:lineRule="exact"/>
        <w:rPr>
          <w:rFonts w:hAnsi="黑体"/>
          <w:bCs/>
          <w:sz w:val="28"/>
          <w:szCs w:val="28"/>
        </w:rPr>
      </w:pPr>
      <w:r>
        <w:rPr>
          <w:rFonts w:hint="eastAsia" w:hAnsi="黑体"/>
          <w:bCs/>
          <w:sz w:val="28"/>
          <w:szCs w:val="28"/>
        </w:rPr>
        <w:t>第四部分 名词解释</w:t>
      </w:r>
    </w:p>
    <w:p w14:paraId="4196435B">
      <w:pPr>
        <w:pStyle w:val="16"/>
        <w:spacing w:line="500" w:lineRule="exact"/>
        <w:rPr>
          <w:rFonts w:hAnsi="黑体"/>
          <w:bCs/>
          <w:sz w:val="28"/>
          <w:szCs w:val="28"/>
        </w:rPr>
      </w:pPr>
      <w:r>
        <w:rPr>
          <w:rFonts w:hint="eastAsia" w:hAnsi="黑体"/>
          <w:bCs/>
          <w:sz w:val="28"/>
          <w:szCs w:val="28"/>
        </w:rPr>
        <w:t>第五部分 附件</w:t>
      </w:r>
    </w:p>
    <w:p w14:paraId="75286504">
      <w:pPr>
        <w:pStyle w:val="16"/>
        <w:spacing w:line="500" w:lineRule="exact"/>
        <w:rPr>
          <w:rFonts w:hAnsi="黑体"/>
          <w:bCs/>
          <w:sz w:val="28"/>
          <w:szCs w:val="28"/>
        </w:rPr>
      </w:pPr>
    </w:p>
    <w:p w14:paraId="4DA5259B">
      <w:pPr>
        <w:jc w:val="center"/>
        <w:rPr>
          <w:sz w:val="72"/>
          <w:szCs w:val="72"/>
        </w:rPr>
      </w:pPr>
    </w:p>
    <w:p w14:paraId="292417E5">
      <w:pPr>
        <w:pStyle w:val="8"/>
      </w:pPr>
    </w:p>
    <w:p w14:paraId="606E1E5E">
      <w:pPr>
        <w:pStyle w:val="4"/>
        <w:ind w:firstLine="480"/>
      </w:pPr>
    </w:p>
    <w:p w14:paraId="024FB921"/>
    <w:p w14:paraId="5E3618CE">
      <w:pPr>
        <w:pStyle w:val="8"/>
      </w:pPr>
    </w:p>
    <w:p w14:paraId="05C1B52A">
      <w:pPr>
        <w:pStyle w:val="4"/>
        <w:ind w:firstLine="480"/>
      </w:pPr>
    </w:p>
    <w:p w14:paraId="6B3C782A"/>
    <w:p w14:paraId="17D98B9F">
      <w:pPr>
        <w:pStyle w:val="8"/>
      </w:pPr>
    </w:p>
    <w:p w14:paraId="6AA01E92">
      <w:pPr>
        <w:pStyle w:val="4"/>
        <w:ind w:firstLine="480"/>
      </w:pPr>
    </w:p>
    <w:p w14:paraId="51E49F9F"/>
    <w:p w14:paraId="5E078B17">
      <w:pPr>
        <w:pStyle w:val="8"/>
      </w:pPr>
    </w:p>
    <w:p w14:paraId="581B7B49">
      <w:pPr>
        <w:pStyle w:val="4"/>
        <w:ind w:firstLine="480"/>
      </w:pPr>
    </w:p>
    <w:p w14:paraId="59EC91B8"/>
    <w:p w14:paraId="78501588">
      <w:pPr>
        <w:pStyle w:val="8"/>
      </w:pPr>
    </w:p>
    <w:p w14:paraId="42303F33">
      <w:pPr>
        <w:pStyle w:val="4"/>
        <w:ind w:firstLine="480"/>
      </w:pPr>
    </w:p>
    <w:p w14:paraId="0BC4B745"/>
    <w:p w14:paraId="09D87D0E">
      <w:pPr>
        <w:pStyle w:val="8"/>
      </w:pPr>
    </w:p>
    <w:p w14:paraId="0FA0C34D">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 xml:space="preserve">第一部分 </w:t>
      </w:r>
    </w:p>
    <w:p w14:paraId="3B89A7E6">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怀化市文学艺术界联合会概况</w:t>
      </w:r>
    </w:p>
    <w:p w14:paraId="42B5E37E">
      <w:pPr>
        <w:jc w:val="center"/>
        <w:rPr>
          <w:sz w:val="72"/>
          <w:szCs w:val="72"/>
        </w:rPr>
      </w:pPr>
    </w:p>
    <w:p w14:paraId="6768B47D">
      <w:pPr>
        <w:pStyle w:val="8"/>
      </w:pPr>
    </w:p>
    <w:p w14:paraId="6DAB840A">
      <w:pPr>
        <w:pStyle w:val="4"/>
        <w:ind w:firstLine="480"/>
      </w:pPr>
    </w:p>
    <w:p w14:paraId="70923ABD"/>
    <w:p w14:paraId="3395C211">
      <w:pPr>
        <w:pStyle w:val="8"/>
      </w:pPr>
    </w:p>
    <w:p w14:paraId="6948589D">
      <w:pPr>
        <w:pStyle w:val="4"/>
        <w:ind w:firstLine="480"/>
      </w:pPr>
    </w:p>
    <w:p w14:paraId="233B5F8E"/>
    <w:p w14:paraId="6B39006C">
      <w:pPr>
        <w:pStyle w:val="8"/>
      </w:pPr>
    </w:p>
    <w:p w14:paraId="3FA1B7B5">
      <w:pPr>
        <w:pStyle w:val="4"/>
        <w:ind w:firstLine="480"/>
      </w:pPr>
    </w:p>
    <w:p w14:paraId="15E090E8"/>
    <w:p w14:paraId="3D01B068">
      <w:pPr>
        <w:pStyle w:val="8"/>
      </w:pPr>
    </w:p>
    <w:p w14:paraId="0B6473FC">
      <w:pPr>
        <w:pStyle w:val="16"/>
        <w:bidi w:val="0"/>
      </w:pPr>
    </w:p>
    <w:p w14:paraId="0F6D5871"/>
    <w:p w14:paraId="5CD13064">
      <w:pPr>
        <w:pStyle w:val="8"/>
        <w:rPr>
          <w:rFonts w:hint="eastAsia"/>
        </w:rPr>
      </w:pPr>
    </w:p>
    <w:p w14:paraId="436C42D4">
      <w:pPr>
        <w:pStyle w:val="17"/>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2B9F2706">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怀化市文学艺术界联合会是党委政府联系文艺家的群众团体，按照科学发展观的要求，坚持文艺“为人民服务，为社会主义服务”的方向和“百花齐放，百家争鸣”的方针，充分发挥文联“团结引导、联络协调、服务管理、自律维权”的职能，着力发挥好党委政府和文艺家之间的桥梁纽带作用，不断探索新形势下文学艺术创作的新途径，积极组织全市文艺工作者开展文艺创作，文艺演出、展览、评奖、研讨和交流等活动，激发文艺工作者的创作热情，做好各个艺术门类及各艺术类别的联络、协调、服务指导工作。进一步拓展服务基层的渠道，提高服务群众的水平，繁荣我市文艺事业.</w:t>
      </w:r>
    </w:p>
    <w:p w14:paraId="5BB3B63E">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58ECCFE4">
      <w:pPr>
        <w:widowControl/>
        <w:rPr>
          <w:rFonts w:hint="eastAsia" w:ascii="Times New Roman" w:hAnsi="Times New Roman" w:eastAsia="仿宋_GB2312" w:cs="黑体"/>
          <w:color w:val="000000"/>
          <w:kern w:val="0"/>
          <w:sz w:val="32"/>
          <w:szCs w:val="32"/>
          <w:lang w:val="en-US" w:eastAsia="zh-CN" w:bidi="ar-SA"/>
        </w:rPr>
      </w:pPr>
      <w:r>
        <w:rPr>
          <w:rFonts w:ascii="Times New Roman" w:hAnsi="Times New Roman" w:eastAsia="宋体" w:cs="Times New Roman"/>
          <w:color w:val="000000"/>
          <w:kern w:val="0"/>
          <w:sz w:val="32"/>
          <w:szCs w:val="32"/>
        </w:rPr>
        <w:t>（一）内设机构设置。</w:t>
      </w:r>
      <w:r>
        <w:rPr>
          <w:rFonts w:hint="eastAsia" w:ascii="仿宋" w:hAnsi="仿宋" w:eastAsia="仿宋" w:cs="宋体"/>
          <w:color w:val="000000"/>
          <w:kern w:val="0"/>
          <w:sz w:val="32"/>
          <w:szCs w:val="32"/>
        </w:rPr>
        <w:t>怀</w:t>
      </w:r>
      <w:r>
        <w:rPr>
          <w:rFonts w:hint="eastAsia" w:ascii="Times New Roman" w:hAnsi="Times New Roman" w:eastAsia="仿宋_GB2312" w:cs="黑体"/>
          <w:color w:val="000000"/>
          <w:kern w:val="0"/>
          <w:sz w:val="32"/>
          <w:szCs w:val="32"/>
          <w:lang w:val="en-US" w:eastAsia="zh-CN" w:bidi="ar-SA"/>
        </w:rPr>
        <w:t>化市文学艺术界联合会作为一级预算单位，内设机构包括：办公室、二级部门预算单位：雪峰文学杂志社(无内设机构、财务未独立核算)</w:t>
      </w:r>
    </w:p>
    <w:p w14:paraId="2D32034C">
      <w:pPr>
        <w:widowControl/>
        <w:jc w:val="left"/>
        <w:rPr>
          <w:rFonts w:hint="eastAsia" w:ascii="Times New Roman" w:hAnsi="Times New Roman" w:eastAsia="仿宋_GB2312" w:cs="黑体"/>
          <w:color w:val="000000"/>
          <w:kern w:val="0"/>
          <w:sz w:val="32"/>
          <w:szCs w:val="32"/>
          <w:lang w:val="en-US" w:eastAsia="zh-CN" w:bidi="ar-SA"/>
        </w:rPr>
      </w:pPr>
      <w:r>
        <w:rPr>
          <w:rFonts w:ascii="Times New Roman" w:hAnsi="Times New Roman" w:eastAsia="宋体" w:cs="Times New Roman"/>
          <w:color w:val="000000"/>
          <w:kern w:val="0"/>
          <w:sz w:val="32"/>
          <w:szCs w:val="32"/>
        </w:rPr>
        <w:t>（二）决算单位构成。</w:t>
      </w:r>
      <w:r>
        <w:rPr>
          <w:rFonts w:hint="eastAsia" w:ascii="Times New Roman" w:hAnsi="Times New Roman" w:eastAsia="仿宋_GB2312" w:cs="黑体"/>
          <w:color w:val="000000"/>
          <w:kern w:val="0"/>
          <w:sz w:val="32"/>
          <w:szCs w:val="32"/>
          <w:lang w:val="en-US" w:eastAsia="zh-CN" w:bidi="ar-SA"/>
        </w:rPr>
        <w:t>怀化市文学艺术界联合会2024年部门决算汇总公开单位构成包括：怀化市文学艺术界联合会本级以及雪峰文学杂志社。</w:t>
      </w:r>
    </w:p>
    <w:p w14:paraId="1E035BBD">
      <w:pPr>
        <w:jc w:val="center"/>
        <w:rPr>
          <w:rFonts w:ascii="仿宋" w:hAnsi="仿宋" w:eastAsia="仿宋" w:cs="宋体"/>
          <w:color w:val="000000"/>
          <w:kern w:val="0"/>
          <w:sz w:val="32"/>
          <w:szCs w:val="32"/>
        </w:rPr>
      </w:pPr>
    </w:p>
    <w:p w14:paraId="740D29EF">
      <w:pPr>
        <w:jc w:val="center"/>
        <w:rPr>
          <w:rFonts w:ascii="黑体" w:hAnsi="黑体" w:eastAsia="黑体"/>
          <w:sz w:val="28"/>
          <w:szCs w:val="28"/>
        </w:rPr>
      </w:pPr>
    </w:p>
    <w:p w14:paraId="7F07845F">
      <w:pPr>
        <w:jc w:val="center"/>
        <w:rPr>
          <w:rFonts w:ascii="黑体" w:hAnsi="黑体" w:eastAsia="黑体"/>
          <w:sz w:val="28"/>
          <w:szCs w:val="28"/>
        </w:rPr>
      </w:pPr>
    </w:p>
    <w:p w14:paraId="27720706">
      <w:pPr>
        <w:jc w:val="center"/>
        <w:rPr>
          <w:rFonts w:ascii="黑体" w:hAnsi="黑体" w:eastAsia="黑体"/>
          <w:sz w:val="28"/>
          <w:szCs w:val="28"/>
        </w:rPr>
      </w:pPr>
    </w:p>
    <w:p w14:paraId="620AED25">
      <w:pPr>
        <w:jc w:val="center"/>
        <w:rPr>
          <w:rFonts w:ascii="黑体" w:hAnsi="黑体" w:eastAsia="黑体"/>
          <w:sz w:val="28"/>
          <w:szCs w:val="28"/>
        </w:rPr>
      </w:pPr>
    </w:p>
    <w:p w14:paraId="74235384">
      <w:pPr>
        <w:jc w:val="center"/>
        <w:rPr>
          <w:rFonts w:ascii="黑体" w:hAnsi="黑体" w:eastAsia="黑体"/>
          <w:sz w:val="28"/>
          <w:szCs w:val="28"/>
        </w:rPr>
      </w:pPr>
    </w:p>
    <w:p w14:paraId="226EA98A">
      <w:pPr>
        <w:jc w:val="center"/>
        <w:rPr>
          <w:rFonts w:ascii="黑体" w:hAnsi="黑体" w:eastAsia="黑体"/>
          <w:sz w:val="28"/>
          <w:szCs w:val="28"/>
        </w:rPr>
      </w:pPr>
    </w:p>
    <w:p w14:paraId="1EC044FE">
      <w:pPr>
        <w:jc w:val="center"/>
        <w:rPr>
          <w:rFonts w:ascii="黑体" w:hAnsi="黑体" w:eastAsia="黑体"/>
          <w:sz w:val="28"/>
          <w:szCs w:val="28"/>
        </w:rPr>
      </w:pPr>
    </w:p>
    <w:p w14:paraId="0CE15701">
      <w:pPr>
        <w:jc w:val="center"/>
        <w:rPr>
          <w:rFonts w:ascii="黑体" w:hAnsi="黑体" w:eastAsia="黑体"/>
          <w:sz w:val="28"/>
          <w:szCs w:val="28"/>
        </w:rPr>
      </w:pPr>
    </w:p>
    <w:p w14:paraId="5AF98DCA">
      <w:pPr>
        <w:jc w:val="center"/>
        <w:rPr>
          <w:rFonts w:ascii="黑体" w:hAnsi="黑体" w:eastAsia="黑体"/>
          <w:sz w:val="28"/>
          <w:szCs w:val="28"/>
        </w:rPr>
      </w:pPr>
    </w:p>
    <w:p w14:paraId="60146038">
      <w:pPr>
        <w:pStyle w:val="16"/>
        <w:jc w:val="center"/>
        <w:rPr>
          <w:rFonts w:ascii="方正小标宋_GBK" w:hAnsi="方正小标宋_GBK" w:eastAsia="方正小标宋_GBK" w:cs="方正小标宋_GBK"/>
          <w:sz w:val="84"/>
          <w:szCs w:val="84"/>
        </w:rPr>
      </w:pPr>
    </w:p>
    <w:p w14:paraId="290F1B4D">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C3F83D4">
      <w:pPr>
        <w:pStyle w:val="16"/>
        <w:jc w:val="center"/>
        <w:rPr>
          <w:rFonts w:ascii="方正小标宋_GBK" w:hAnsi="方正小标宋_GBK" w:eastAsia="方正小标宋_GBK" w:cs="方正小标宋_GBK"/>
          <w:sz w:val="84"/>
          <w:szCs w:val="84"/>
        </w:rPr>
      </w:pPr>
    </w:p>
    <w:p w14:paraId="674290B2">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19A542A">
      <w:pPr>
        <w:jc w:val="center"/>
        <w:rPr>
          <w:sz w:val="72"/>
          <w:szCs w:val="72"/>
        </w:rPr>
      </w:pPr>
    </w:p>
    <w:p w14:paraId="72765BA0">
      <w:pPr>
        <w:jc w:val="center"/>
        <w:rPr>
          <w:sz w:val="72"/>
          <w:szCs w:val="72"/>
        </w:rPr>
      </w:pPr>
    </w:p>
    <w:p w14:paraId="6058826A">
      <w:pPr>
        <w:jc w:val="center"/>
        <w:rPr>
          <w:sz w:val="72"/>
          <w:szCs w:val="72"/>
        </w:rPr>
      </w:pPr>
    </w:p>
    <w:p w14:paraId="192B655A">
      <w:pPr>
        <w:jc w:val="center"/>
        <w:rPr>
          <w:sz w:val="72"/>
          <w:szCs w:val="72"/>
        </w:rPr>
      </w:pPr>
    </w:p>
    <w:p w14:paraId="76D922D8">
      <w:pPr>
        <w:jc w:val="center"/>
        <w:rPr>
          <w:sz w:val="72"/>
          <w:szCs w:val="72"/>
        </w:rPr>
      </w:pPr>
    </w:p>
    <w:p w14:paraId="7367F1D5">
      <w:pPr>
        <w:jc w:val="center"/>
        <w:rPr>
          <w:sz w:val="72"/>
          <w:szCs w:val="72"/>
        </w:rPr>
      </w:pPr>
    </w:p>
    <w:p w14:paraId="77A6935F">
      <w:pPr>
        <w:jc w:val="left"/>
        <w:rPr>
          <w:sz w:val="32"/>
          <w:szCs w:val="32"/>
        </w:rPr>
      </w:pPr>
    </w:p>
    <w:p w14:paraId="45859575">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13290D08">
      <w:r>
        <w:drawing>
          <wp:inline distT="0" distB="0" distL="114300" distR="114300">
            <wp:extent cx="8258810" cy="7053580"/>
            <wp:effectExtent l="0" t="0" r="8890" b="13970"/>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4"/>
                    <a:stretch>
                      <a:fillRect/>
                    </a:stretch>
                  </pic:blipFill>
                  <pic:spPr>
                    <a:xfrm>
                      <a:off x="0" y="0"/>
                      <a:ext cx="8258810" cy="7053580"/>
                    </a:xfrm>
                    <a:prstGeom prst="rect">
                      <a:avLst/>
                    </a:prstGeom>
                    <a:noFill/>
                    <a:ln>
                      <a:noFill/>
                    </a:ln>
                  </pic:spPr>
                </pic:pic>
              </a:graphicData>
            </a:graphic>
          </wp:inline>
        </w:drawing>
      </w:r>
    </w:p>
    <w:p w14:paraId="3747EA9C">
      <w:r>
        <w:drawing>
          <wp:inline distT="0" distB="0" distL="114300" distR="114300">
            <wp:extent cx="9776460" cy="6038215"/>
            <wp:effectExtent l="0" t="0" r="15240" b="635"/>
            <wp:docPr id="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pic:cNvPicPr>
                      <a:picLocks noChangeAspect="1"/>
                    </pic:cNvPicPr>
                  </pic:nvPicPr>
                  <pic:blipFill>
                    <a:blip r:embed="rId5"/>
                    <a:stretch>
                      <a:fillRect/>
                    </a:stretch>
                  </pic:blipFill>
                  <pic:spPr>
                    <a:xfrm>
                      <a:off x="0" y="0"/>
                      <a:ext cx="9776460" cy="6038215"/>
                    </a:xfrm>
                    <a:prstGeom prst="rect">
                      <a:avLst/>
                    </a:prstGeom>
                    <a:noFill/>
                    <a:ln>
                      <a:noFill/>
                    </a:ln>
                  </pic:spPr>
                </pic:pic>
              </a:graphicData>
            </a:graphic>
          </wp:inline>
        </w:drawing>
      </w:r>
    </w:p>
    <w:p w14:paraId="78A380FA"/>
    <w:p w14:paraId="0275289F"/>
    <w:p w14:paraId="29201BAB">
      <w:r>
        <w:drawing>
          <wp:inline distT="0" distB="0" distL="114300" distR="114300">
            <wp:extent cx="9772015" cy="6725920"/>
            <wp:effectExtent l="0" t="0" r="635" b="17780"/>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pic:cNvPicPr>
                  </pic:nvPicPr>
                  <pic:blipFill>
                    <a:blip r:embed="rId6"/>
                    <a:stretch>
                      <a:fillRect/>
                    </a:stretch>
                  </pic:blipFill>
                  <pic:spPr>
                    <a:xfrm>
                      <a:off x="0" y="0"/>
                      <a:ext cx="9772015" cy="6725920"/>
                    </a:xfrm>
                    <a:prstGeom prst="rect">
                      <a:avLst/>
                    </a:prstGeom>
                    <a:noFill/>
                    <a:ln>
                      <a:noFill/>
                    </a:ln>
                  </pic:spPr>
                </pic:pic>
              </a:graphicData>
            </a:graphic>
          </wp:inline>
        </w:drawing>
      </w:r>
    </w:p>
    <w:p w14:paraId="5634C50C">
      <w:r>
        <w:drawing>
          <wp:inline distT="0" distB="0" distL="114300" distR="114300">
            <wp:extent cx="9774555" cy="5880735"/>
            <wp:effectExtent l="0" t="0" r="17145" b="5715"/>
            <wp:docPr id="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5"/>
                    <pic:cNvPicPr>
                      <a:picLocks noChangeAspect="1"/>
                    </pic:cNvPicPr>
                  </pic:nvPicPr>
                  <pic:blipFill>
                    <a:blip r:embed="rId7"/>
                    <a:stretch>
                      <a:fillRect/>
                    </a:stretch>
                  </pic:blipFill>
                  <pic:spPr>
                    <a:xfrm>
                      <a:off x="0" y="0"/>
                      <a:ext cx="9774555" cy="5880735"/>
                    </a:xfrm>
                    <a:prstGeom prst="rect">
                      <a:avLst/>
                    </a:prstGeom>
                    <a:noFill/>
                    <a:ln>
                      <a:noFill/>
                    </a:ln>
                  </pic:spPr>
                </pic:pic>
              </a:graphicData>
            </a:graphic>
          </wp:inline>
        </w:drawing>
      </w:r>
    </w:p>
    <w:p w14:paraId="687334EE"/>
    <w:p w14:paraId="3479D1F8"/>
    <w:p w14:paraId="08B4BCF6"/>
    <w:p w14:paraId="09AFEF07">
      <w:r>
        <w:drawing>
          <wp:inline distT="0" distB="0" distL="114300" distR="114300">
            <wp:extent cx="9776460" cy="5811520"/>
            <wp:effectExtent l="0" t="0" r="15240" b="17780"/>
            <wp:docPr id="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pic:cNvPicPr>
                      <a:picLocks noChangeAspect="1"/>
                    </pic:cNvPicPr>
                  </pic:nvPicPr>
                  <pic:blipFill>
                    <a:blip r:embed="rId8"/>
                    <a:stretch>
                      <a:fillRect/>
                    </a:stretch>
                  </pic:blipFill>
                  <pic:spPr>
                    <a:xfrm>
                      <a:off x="0" y="0"/>
                      <a:ext cx="9776460" cy="5811520"/>
                    </a:xfrm>
                    <a:prstGeom prst="rect">
                      <a:avLst/>
                    </a:prstGeom>
                    <a:noFill/>
                    <a:ln>
                      <a:noFill/>
                    </a:ln>
                  </pic:spPr>
                </pic:pic>
              </a:graphicData>
            </a:graphic>
          </wp:inline>
        </w:drawing>
      </w:r>
    </w:p>
    <w:p w14:paraId="228D4523"/>
    <w:p w14:paraId="105F3C1D">
      <w:r>
        <w:br w:type="page"/>
      </w:r>
    </w:p>
    <w:p w14:paraId="1CBE7AEE">
      <w:pPr>
        <w:widowControl/>
        <w:jc w:val="left"/>
      </w:pPr>
      <w:r>
        <w:drawing>
          <wp:inline distT="0" distB="0" distL="114300" distR="114300">
            <wp:extent cx="9177020" cy="6936740"/>
            <wp:effectExtent l="0" t="0" r="5080" b="16510"/>
            <wp:docPr id="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pic:cNvPicPr>
                      <a:picLocks noChangeAspect="1"/>
                    </pic:cNvPicPr>
                  </pic:nvPicPr>
                  <pic:blipFill>
                    <a:blip r:embed="rId9"/>
                    <a:stretch>
                      <a:fillRect/>
                    </a:stretch>
                  </pic:blipFill>
                  <pic:spPr>
                    <a:xfrm>
                      <a:off x="0" y="0"/>
                      <a:ext cx="9177020" cy="6936740"/>
                    </a:xfrm>
                    <a:prstGeom prst="rect">
                      <a:avLst/>
                    </a:prstGeom>
                    <a:noFill/>
                    <a:ln>
                      <a:noFill/>
                    </a:ln>
                  </pic:spPr>
                </pic:pic>
              </a:graphicData>
            </a:graphic>
          </wp:inline>
        </w:drawing>
      </w:r>
      <w:r>
        <w:br w:type="page"/>
      </w:r>
    </w:p>
    <w:p w14:paraId="762E109D">
      <w:r>
        <w:drawing>
          <wp:inline distT="0" distB="0" distL="114300" distR="114300">
            <wp:extent cx="9773920" cy="3863975"/>
            <wp:effectExtent l="0" t="0" r="17780" b="3175"/>
            <wp:docPr id="1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pic:cNvPicPr>
                      <a:picLocks noChangeAspect="1"/>
                    </pic:cNvPicPr>
                  </pic:nvPicPr>
                  <pic:blipFill>
                    <a:blip r:embed="rId10"/>
                    <a:stretch>
                      <a:fillRect/>
                    </a:stretch>
                  </pic:blipFill>
                  <pic:spPr>
                    <a:xfrm>
                      <a:off x="0" y="0"/>
                      <a:ext cx="9773920" cy="3863975"/>
                    </a:xfrm>
                    <a:prstGeom prst="rect">
                      <a:avLst/>
                    </a:prstGeom>
                    <a:noFill/>
                    <a:ln>
                      <a:noFill/>
                    </a:ln>
                  </pic:spPr>
                </pic:pic>
              </a:graphicData>
            </a:graphic>
          </wp:inline>
        </w:drawing>
      </w:r>
    </w:p>
    <w:p w14:paraId="426D55B6">
      <w:pPr>
        <w:widowControl/>
        <w:jc w:val="left"/>
      </w:pPr>
      <w:r>
        <w:br w:type="page"/>
      </w:r>
    </w:p>
    <w:p w14:paraId="3F08B173">
      <w:pPr>
        <w:jc w:val="center"/>
      </w:pPr>
      <w:r>
        <w:drawing>
          <wp:inline distT="0" distB="0" distL="114300" distR="114300">
            <wp:extent cx="9324975" cy="3819525"/>
            <wp:effectExtent l="0" t="0" r="9525" b="9525"/>
            <wp:docPr id="1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pic:cNvPicPr>
                      <a:picLocks noChangeAspect="1"/>
                    </pic:cNvPicPr>
                  </pic:nvPicPr>
                  <pic:blipFill>
                    <a:blip r:embed="rId11"/>
                    <a:stretch>
                      <a:fillRect/>
                    </a:stretch>
                  </pic:blipFill>
                  <pic:spPr>
                    <a:xfrm>
                      <a:off x="0" y="0"/>
                      <a:ext cx="9324975" cy="3819525"/>
                    </a:xfrm>
                    <a:prstGeom prst="rect">
                      <a:avLst/>
                    </a:prstGeom>
                    <a:noFill/>
                    <a:ln>
                      <a:noFill/>
                    </a:ln>
                  </pic:spPr>
                </pic:pic>
              </a:graphicData>
            </a:graphic>
          </wp:inline>
        </w:drawing>
      </w:r>
    </w:p>
    <w:p w14:paraId="23F7B07F">
      <w:pPr>
        <w:widowControl/>
        <w:jc w:val="left"/>
      </w:pPr>
      <w:r>
        <w:br w:type="page"/>
      </w:r>
    </w:p>
    <w:p w14:paraId="05D0118D"/>
    <w:p w14:paraId="26DE024F">
      <w:pPr>
        <w:widowControl/>
        <w:jc w:val="left"/>
      </w:pPr>
      <w:r>
        <w:drawing>
          <wp:inline distT="0" distB="0" distL="114300" distR="114300">
            <wp:extent cx="9636125" cy="2974340"/>
            <wp:effectExtent l="0" t="0" r="3175" b="16510"/>
            <wp:docPr id="1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0"/>
                    <pic:cNvPicPr>
                      <a:picLocks noChangeAspect="1"/>
                    </pic:cNvPicPr>
                  </pic:nvPicPr>
                  <pic:blipFill>
                    <a:blip r:embed="rId12"/>
                    <a:stretch>
                      <a:fillRect/>
                    </a:stretch>
                  </pic:blipFill>
                  <pic:spPr>
                    <a:xfrm>
                      <a:off x="0" y="0"/>
                      <a:ext cx="9636125" cy="2974340"/>
                    </a:xfrm>
                    <a:prstGeom prst="rect">
                      <a:avLst/>
                    </a:prstGeom>
                    <a:noFill/>
                    <a:ln>
                      <a:noFill/>
                    </a:ln>
                  </pic:spPr>
                </pic:pic>
              </a:graphicData>
            </a:graphic>
          </wp:inline>
        </w:drawing>
      </w:r>
    </w:p>
    <w:p w14:paraId="0642CFD3">
      <w:pPr>
        <w:widowControl/>
        <w:jc w:val="left"/>
        <w:rPr>
          <w:rFonts w:hint="eastAsia"/>
        </w:rPr>
      </w:pPr>
    </w:p>
    <w:p w14:paraId="285652CF">
      <w:pPr>
        <w:widowControl/>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0045C147">
      <w:pPr>
        <w:pStyle w:val="16"/>
        <w:rPr>
          <w:sz w:val="72"/>
          <w:szCs w:val="72"/>
        </w:rPr>
      </w:pPr>
    </w:p>
    <w:p w14:paraId="6953A1D2">
      <w:pPr>
        <w:pStyle w:val="16"/>
        <w:rPr>
          <w:sz w:val="72"/>
          <w:szCs w:val="72"/>
        </w:rPr>
      </w:pPr>
    </w:p>
    <w:p w14:paraId="0A65E275">
      <w:pPr>
        <w:pStyle w:val="16"/>
        <w:rPr>
          <w:sz w:val="72"/>
          <w:szCs w:val="72"/>
        </w:rPr>
      </w:pPr>
    </w:p>
    <w:p w14:paraId="424BF5E8">
      <w:pPr>
        <w:pStyle w:val="16"/>
        <w:rPr>
          <w:sz w:val="72"/>
          <w:szCs w:val="72"/>
        </w:rPr>
      </w:pPr>
    </w:p>
    <w:p w14:paraId="54B1EEFE">
      <w:pPr>
        <w:pStyle w:val="16"/>
        <w:jc w:val="center"/>
        <w:rPr>
          <w:sz w:val="72"/>
          <w:szCs w:val="72"/>
        </w:rPr>
      </w:pPr>
    </w:p>
    <w:p w14:paraId="56DD85A0">
      <w:pPr>
        <w:pStyle w:val="16"/>
        <w:jc w:val="center"/>
        <w:rPr>
          <w:rFonts w:ascii="方正小标宋_GBK" w:hAnsi="方正小标宋_GBK" w:eastAsia="方正小标宋_GBK" w:cs="方正小标宋_GBK"/>
          <w:sz w:val="72"/>
          <w:szCs w:val="72"/>
        </w:rPr>
      </w:pPr>
    </w:p>
    <w:p w14:paraId="01E11FE0">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7C592B8">
      <w:pPr>
        <w:pStyle w:val="16"/>
        <w:jc w:val="center"/>
        <w:rPr>
          <w:rFonts w:ascii="方正小标宋_GBK" w:hAnsi="方正小标宋_GBK" w:eastAsia="方正小标宋_GBK" w:cs="方正小标宋_GBK"/>
          <w:sz w:val="70"/>
          <w:szCs w:val="70"/>
        </w:rPr>
      </w:pPr>
    </w:p>
    <w:p w14:paraId="359F6FA6">
      <w:pPr>
        <w:pStyle w:val="16"/>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lang w:eastAsia="zh-CN"/>
        </w:rPr>
        <w:t>2024</w:t>
      </w:r>
      <w:r>
        <w:rPr>
          <w:rFonts w:hint="eastAsia" w:ascii="方正小标宋_GBK" w:hAnsi="方正小标宋_GBK" w:eastAsia="方正小标宋_GBK" w:cs="方正小标宋_GBK"/>
          <w:sz w:val="70"/>
          <w:szCs w:val="70"/>
        </w:rPr>
        <w:t>年度部门决算情况说明</w:t>
      </w:r>
    </w:p>
    <w:p w14:paraId="39B71333">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0F98C135">
      <w:pPr>
        <w:pStyle w:val="16"/>
        <w:spacing w:line="600" w:lineRule="exact"/>
        <w:ind w:firstLine="640" w:firstLineChars="200"/>
        <w:rPr>
          <w:rFonts w:hAnsi="黑体"/>
          <w:bCs/>
          <w:sz w:val="32"/>
          <w:szCs w:val="32"/>
        </w:rPr>
      </w:pPr>
      <w:r>
        <w:rPr>
          <w:rFonts w:hint="eastAsia" w:hAnsi="黑体"/>
          <w:bCs/>
          <w:sz w:val="32"/>
          <w:szCs w:val="32"/>
        </w:rPr>
        <w:t>一、收入支出决算总体情况说明</w:t>
      </w:r>
    </w:p>
    <w:p w14:paraId="645701C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346.73</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281.86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w:t>
      </w:r>
      <w:r>
        <w:rPr>
          <w:rFonts w:hint="eastAsia" w:ascii="Times New Roman" w:hAnsi="Times New Roman" w:eastAsia="仿宋_GB2312"/>
          <w:sz w:val="32"/>
          <w:szCs w:val="32"/>
          <w:lang w:val="en-US" w:eastAsia="zh-CN"/>
        </w:rPr>
        <w:t>经费减少。</w:t>
      </w:r>
    </w:p>
    <w:p w14:paraId="5B702340">
      <w:pPr>
        <w:pStyle w:val="16"/>
        <w:spacing w:line="600" w:lineRule="exact"/>
        <w:ind w:firstLine="640" w:firstLineChars="200"/>
        <w:rPr>
          <w:rFonts w:hAnsi="黑体"/>
          <w:bCs/>
          <w:sz w:val="32"/>
          <w:szCs w:val="32"/>
        </w:rPr>
      </w:pPr>
      <w:r>
        <w:rPr>
          <w:rFonts w:hint="eastAsia" w:hAnsi="黑体"/>
          <w:bCs/>
          <w:sz w:val="32"/>
          <w:szCs w:val="32"/>
        </w:rPr>
        <w:t>二、收入决算情况说明</w:t>
      </w:r>
    </w:p>
    <w:p w14:paraId="3EACE3D9">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346.73</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346.73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%；事业收入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%；经营收入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%；附属单位上缴收入</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350F6AE">
      <w:pPr>
        <w:pStyle w:val="16"/>
        <w:spacing w:line="600" w:lineRule="exact"/>
        <w:ind w:firstLine="640" w:firstLineChars="200"/>
        <w:rPr>
          <w:rFonts w:hAnsi="黑体"/>
          <w:bCs/>
          <w:sz w:val="32"/>
          <w:szCs w:val="32"/>
        </w:rPr>
      </w:pPr>
      <w:r>
        <w:rPr>
          <w:rFonts w:hint="eastAsia" w:hAnsi="黑体"/>
          <w:bCs/>
          <w:sz w:val="32"/>
          <w:szCs w:val="32"/>
        </w:rPr>
        <w:t>三、支出决算情况说明</w:t>
      </w:r>
    </w:p>
    <w:p w14:paraId="1E95589C">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346.73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218.63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128.1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%；上缴上级支出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%；经营支出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%；对附属单位补助支出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w:t>
      </w:r>
    </w:p>
    <w:p w14:paraId="5FB8C4C5">
      <w:pPr>
        <w:pStyle w:val="16"/>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5B732392">
      <w:pPr>
        <w:pStyle w:val="16"/>
        <w:spacing w:line="600" w:lineRule="exact"/>
        <w:rPr>
          <w:rFonts w:hint="default" w:ascii="Times New Roman" w:hAnsi="Times New Roman" w:eastAsia="仿宋_GB2312"/>
          <w:sz w:val="32"/>
          <w:szCs w:val="32"/>
          <w:lang w:val="e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346.73</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281.86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w:t>
      </w:r>
      <w:r>
        <w:rPr>
          <w:rFonts w:hint="eastAsia" w:ascii="Times New Roman" w:hAnsi="Times New Roman" w:eastAsia="仿宋_GB2312"/>
          <w:sz w:val="32"/>
          <w:szCs w:val="32"/>
          <w:lang w:val="en-US" w:eastAsia="zh-CN"/>
        </w:rPr>
        <w:t>经费减少。</w:t>
      </w:r>
    </w:p>
    <w:p w14:paraId="5D4332F9">
      <w:pPr>
        <w:pStyle w:val="16"/>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38EB88C5">
      <w:pPr>
        <w:pStyle w:val="16"/>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4E28921F">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341.73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280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w:t>
      </w:r>
      <w:r>
        <w:rPr>
          <w:rFonts w:hint="eastAsia" w:ascii="Times New Roman" w:hAnsi="Times New Roman" w:eastAsia="仿宋_GB2312"/>
          <w:sz w:val="32"/>
          <w:szCs w:val="32"/>
          <w:lang w:val="en-US" w:eastAsia="zh-CN"/>
        </w:rPr>
        <w:t>经费减少。</w:t>
      </w:r>
    </w:p>
    <w:p w14:paraId="07EA7A70">
      <w:pPr>
        <w:pStyle w:val="16"/>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39E41F1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341.73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207.95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55.35万元，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卫生健康支出9.17万元，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；住房保障支出</w:t>
      </w:r>
      <w:r>
        <w:rPr>
          <w:rFonts w:hint="eastAsia" w:ascii="Times New Roman" w:hAnsi="Times New Roman" w:eastAsia="仿宋_GB2312"/>
          <w:sz w:val="32"/>
          <w:szCs w:val="32"/>
          <w:lang w:val="en-US" w:eastAsia="zh-CN"/>
        </w:rPr>
        <w:t>13.25万元，占4%。</w:t>
      </w:r>
    </w:p>
    <w:p w14:paraId="16A08E48">
      <w:pPr>
        <w:pStyle w:val="16"/>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6DFE7364">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263.19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346.73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调整预算追加</w:t>
      </w:r>
      <w:r>
        <w:rPr>
          <w:rFonts w:hint="eastAsia" w:ascii="Times New Roman" w:hAnsi="Times New Roman" w:eastAsia="仿宋_GB2312"/>
          <w:sz w:val="32"/>
          <w:szCs w:val="32"/>
          <w:lang w:val="en-US" w:eastAsia="zh-CN"/>
        </w:rPr>
        <w:t>83.54万元，</w:t>
      </w:r>
      <w:r>
        <w:rPr>
          <w:rFonts w:hint="eastAsia" w:ascii="Times New Roman" w:hAnsi="Times New Roman" w:eastAsia="仿宋_GB2312"/>
          <w:sz w:val="32"/>
          <w:szCs w:val="32"/>
        </w:rPr>
        <w:t>其中：</w:t>
      </w:r>
    </w:p>
    <w:p w14:paraId="5461896A">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2E564AAE">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165.41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140.85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决算开支调整。</w:t>
      </w:r>
    </w:p>
    <w:p w14:paraId="07B0BDB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14:paraId="208D9D6F">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14:paraId="6CDC568A">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事业运行</w:t>
      </w:r>
      <w:r>
        <w:rPr>
          <w:rFonts w:hint="eastAsia" w:ascii="Times New Roman" w:hAnsi="Times New Roman" w:eastAsia="仿宋_GB2312"/>
          <w:sz w:val="32"/>
          <w:szCs w:val="32"/>
        </w:rPr>
        <w:t>（项）。</w:t>
      </w:r>
    </w:p>
    <w:p w14:paraId="044A359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决算开支调整</w:t>
      </w:r>
    </w:p>
    <w:p w14:paraId="14D6B6A4">
      <w:pPr>
        <w:pStyle w:val="16"/>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0A8E81C1">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218.63</w:t>
      </w:r>
      <w:r>
        <w:rPr>
          <w:rFonts w:hint="eastAsia" w:ascii="Times New Roman" w:hAnsi="Times New Roman" w:eastAsia="仿宋_GB2312"/>
          <w:sz w:val="32"/>
          <w:szCs w:val="32"/>
        </w:rPr>
        <w:t>万元，其中：</w:t>
      </w:r>
    </w:p>
    <w:p w14:paraId="722D0225">
      <w:pPr>
        <w:pStyle w:val="16"/>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201.76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机关事业单位基本养老保险缴费、职工基本医疗保险缴费、其他社会保障缴费、对个人和家庭的补助、生活补助等</w:t>
      </w:r>
      <w:r>
        <w:rPr>
          <w:rFonts w:hint="eastAsia" w:ascii="Times New Roman" w:hAnsi="Times New Roman" w:eastAsia="仿宋_GB2312"/>
          <w:sz w:val="32"/>
          <w:szCs w:val="32"/>
        </w:rPr>
        <w:t>。</w:t>
      </w:r>
    </w:p>
    <w:p w14:paraId="30B0A1B4">
      <w:pPr>
        <w:pStyle w:val="16"/>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16.87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eastAsia="zh-CN"/>
        </w:rPr>
        <w:t>委托业务费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工会经费、福利费、公务接待费、培训费、其他交通费用、其他商品和服务支出等。</w:t>
      </w:r>
    </w:p>
    <w:p w14:paraId="3AFC26E1">
      <w:pPr>
        <w:pStyle w:val="16"/>
        <w:numPr>
          <w:ilvl w:val="0"/>
          <w:numId w:val="2"/>
        </w:numPr>
        <w:spacing w:line="600" w:lineRule="exact"/>
        <w:ind w:firstLine="640" w:firstLineChars="200"/>
        <w:rPr>
          <w:rFonts w:hint="eastAsia" w:hAnsi="黑体"/>
          <w:bCs/>
          <w:sz w:val="32"/>
          <w:szCs w:val="32"/>
        </w:rPr>
      </w:pPr>
      <w:r>
        <w:rPr>
          <w:rFonts w:hint="eastAsia" w:hAnsi="黑体"/>
          <w:bCs/>
          <w:sz w:val="32"/>
          <w:szCs w:val="32"/>
        </w:rPr>
        <w:t>财政拨款三公经费支出决算情况说明</w:t>
      </w:r>
    </w:p>
    <w:p w14:paraId="096770EC">
      <w:pPr>
        <w:pStyle w:val="16"/>
        <w:numPr>
          <w:ilvl w:val="0"/>
          <w:numId w:val="0"/>
        </w:numPr>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101F4FA7">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励行节约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减少接待开支</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减少0.02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厉行节约，缩减三公经费</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其中：</w:t>
      </w:r>
    </w:p>
    <w:p w14:paraId="6A87D6A4">
      <w:pPr>
        <w:pStyle w:val="16"/>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上年接待开支太少，厉行节约，缩减三公经费。</w:t>
      </w:r>
    </w:p>
    <w:p w14:paraId="510456EE">
      <w:pPr>
        <w:pStyle w:val="16"/>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2F91F89C">
      <w:pPr>
        <w:pStyle w:val="16"/>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789C9D81">
      <w:pPr>
        <w:pStyle w:val="16"/>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6DCFC407">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590F981F">
      <w:pPr>
        <w:pStyle w:val="16"/>
        <w:spacing w:line="600" w:lineRule="exact"/>
        <w:ind w:firstLine="800" w:firstLineChars="250"/>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rPr>
        <w:t>1、因公出国（境）费支出决算为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D077638">
      <w:pPr>
        <w:pStyle w:val="16"/>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0.22</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20</w:t>
      </w:r>
      <w:r>
        <w:rPr>
          <w:rFonts w:hint="eastAsia" w:ascii="Times New Roman" w:hAnsi="Times New Roman" w:eastAsia="仿宋_GB2312"/>
          <w:color w:val="auto"/>
          <w:sz w:val="32"/>
          <w:szCs w:val="32"/>
        </w:rPr>
        <w:t>人次，主要是</w:t>
      </w:r>
      <w:r>
        <w:rPr>
          <w:rFonts w:hint="eastAsia" w:ascii="Times New Roman" w:hAnsi="Times New Roman" w:eastAsia="仿宋_GB2312"/>
          <w:color w:val="auto"/>
          <w:sz w:val="32"/>
          <w:szCs w:val="32"/>
          <w:lang w:eastAsia="zh-CN"/>
        </w:rPr>
        <w:t>文艺工作汇报、文艺活动汇报</w:t>
      </w:r>
      <w:r>
        <w:rPr>
          <w:rFonts w:hint="eastAsia" w:ascii="Times New Roman" w:hAnsi="Times New Roman" w:eastAsia="仿宋_GB2312"/>
          <w:color w:val="auto"/>
          <w:sz w:val="32"/>
          <w:szCs w:val="32"/>
        </w:rPr>
        <w:t>发生的接待支出。</w:t>
      </w:r>
    </w:p>
    <w:p w14:paraId="7426159E">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797A0E2C">
      <w:pPr>
        <w:pStyle w:val="16"/>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5D210A6B">
      <w:pPr>
        <w:pStyle w:val="16"/>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383B2362">
      <w:pPr>
        <w:pStyle w:val="16"/>
        <w:keepNext w:val="0"/>
        <w:keepLines w:val="0"/>
        <w:pageBreakBefore w:val="0"/>
        <w:widowControl w:val="0"/>
        <w:kinsoku/>
        <w:wordWrap/>
        <w:overflowPunct/>
        <w:topLinePunct w:val="0"/>
        <w:bidi w:val="0"/>
        <w:snapToGrid/>
        <w:spacing w:line="600" w:lineRule="exact"/>
        <w:textAlignment w:val="auto"/>
        <w:rPr>
          <w:rFonts w:hint="eastAsia" w:hAnsi="黑体"/>
          <w:bCs/>
          <w:sz w:val="32"/>
          <w:szCs w:val="32"/>
          <w:lang w:val="en-US" w:eastAsia="zh-CN"/>
        </w:rPr>
      </w:pPr>
      <w:r>
        <w:rPr>
          <w:rFonts w:hint="eastAsia" w:ascii="Times New Roman" w:hAnsi="Times New Roman" w:eastAsia="仿宋_GB2312"/>
          <w:sz w:val="32"/>
          <w:szCs w:val="32"/>
          <w:lang w:val="en-US" w:eastAsia="zh-CN"/>
        </w:rPr>
        <w:t xml:space="preserve"> </w:t>
      </w:r>
      <w:r>
        <w:rPr>
          <w:rFonts w:hint="eastAsia" w:hAnsi="黑体"/>
          <w:bCs/>
          <w:sz w:val="32"/>
          <w:szCs w:val="32"/>
          <w:lang w:val="en-US" w:eastAsia="zh-CN"/>
        </w:rPr>
        <w:t xml:space="preserve">   九、国有资本经营预算收入支出决算情况</w:t>
      </w:r>
      <w:bookmarkStart w:id="1" w:name="_GoBack"/>
      <w:bookmarkEnd w:id="1"/>
    </w:p>
    <w:p w14:paraId="075E8FD3">
      <w:pPr>
        <w:pStyle w:val="16"/>
        <w:keepNext w:val="0"/>
        <w:keepLines w:val="0"/>
        <w:pageBreakBefore w:val="0"/>
        <w:widowControl w:val="0"/>
        <w:kinsoku/>
        <w:wordWrap/>
        <w:overflowPunct/>
        <w:topLinePunct w:val="0"/>
        <w:bidi w:val="0"/>
        <w:snapToGrid/>
        <w:spacing w:line="600" w:lineRule="exact"/>
        <w:ind w:firstLine="960" w:firstLineChars="3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2024年度国有资本经营预算财政拨款收入0万元；年初结转和结余0万元；本年支出0万元；年末结转和结余0万元。</w:t>
      </w:r>
    </w:p>
    <w:p w14:paraId="1BEB9566">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hAnsi="黑体"/>
          <w:bCs/>
          <w:sz w:val="32"/>
          <w:szCs w:val="32"/>
          <w:lang w:val="en-US" w:eastAsia="zh-CN"/>
        </w:rPr>
      </w:pPr>
      <w:r>
        <w:rPr>
          <w:rFonts w:hint="eastAsia" w:hAnsi="黑体"/>
          <w:bCs/>
          <w:sz w:val="32"/>
          <w:szCs w:val="32"/>
          <w:lang w:val="en-US" w:eastAsia="zh-CN"/>
        </w:rPr>
        <w:t>十、关于机关运行经费支出说明</w:t>
      </w:r>
    </w:p>
    <w:p w14:paraId="2D195CCE">
      <w:pPr>
        <w:pStyle w:val="16"/>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16.86</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6.83</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压减一般性支出。</w:t>
      </w:r>
    </w:p>
    <w:p w14:paraId="0A24751E">
      <w:pPr>
        <w:pStyle w:val="16"/>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一</w:t>
      </w:r>
      <w:r>
        <w:rPr>
          <w:rFonts w:hint="eastAsia" w:hAnsi="黑体"/>
          <w:bCs/>
          <w:sz w:val="32"/>
          <w:szCs w:val="32"/>
        </w:rPr>
        <w:t>、一般性支出情况说明</w:t>
      </w:r>
    </w:p>
    <w:p w14:paraId="2C862696">
      <w:pPr>
        <w:pStyle w:val="16"/>
        <w:spacing w:line="60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2024年本部门无会议费开支。</w:t>
      </w:r>
    </w:p>
    <w:p w14:paraId="057A7956">
      <w:pPr>
        <w:pStyle w:val="16"/>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二</w:t>
      </w:r>
      <w:r>
        <w:rPr>
          <w:rFonts w:hint="eastAsia" w:hAnsi="黑体"/>
          <w:bCs/>
          <w:sz w:val="32"/>
          <w:szCs w:val="32"/>
        </w:rPr>
        <w:t>、关于政府采购支出说明</w:t>
      </w:r>
    </w:p>
    <w:p w14:paraId="4D1C75B5">
      <w:pPr>
        <w:pStyle w:val="16"/>
        <w:spacing w:line="58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年度政府采购支出总额</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万元，其中：政府采购货物支出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万元、政府采购工程支出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万元、政府采购服务支出</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万元。授予中小企业合同金额</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万元，占政府采购支出总额的</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%，其中：授予小微企业合同金额</w:t>
      </w:r>
      <w:r>
        <w:rPr>
          <w:rFonts w:hint="default" w:ascii="Times New Roman" w:hAnsi="Times New Roman" w:eastAsia="仿宋_GB2312"/>
          <w:sz w:val="32"/>
          <w:szCs w:val="32"/>
          <w:lang w:val="e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占授予中小企业合同金额的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%。货物采购授予中小企业合同金额占货物支出金额的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%，工程采购授予中小企业合同金额占工程支出金额的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%，服务采购授予中小企业合同金额占服务支出金额的</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w:t>
      </w:r>
    </w:p>
    <w:p w14:paraId="2BC13B52">
      <w:pPr>
        <w:pStyle w:val="16"/>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eastAsia="zh-CN"/>
        </w:rPr>
        <w:t>三</w:t>
      </w:r>
      <w:r>
        <w:rPr>
          <w:rFonts w:hint="eastAsia" w:hAnsi="黑体"/>
          <w:bCs/>
          <w:color w:val="auto"/>
          <w:sz w:val="32"/>
          <w:szCs w:val="32"/>
        </w:rPr>
        <w:t>、关于国有资产占用情况说明</w:t>
      </w:r>
    </w:p>
    <w:p w14:paraId="552EB089">
      <w:pPr>
        <w:pStyle w:val="16"/>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w:t>
      </w:r>
      <w:r>
        <w:rPr>
          <w:rFonts w:hint="eastAsia" w:ascii="Times New Roman" w:hAnsi="Times New Roman" w:eastAsia="仿宋_GB2312"/>
          <w:color w:val="auto"/>
          <w:sz w:val="32"/>
          <w:szCs w:val="32"/>
          <w:lang w:eastAsia="zh-CN"/>
        </w:rPr>
        <w:t>2024</w:t>
      </w:r>
      <w:r>
        <w:rPr>
          <w:rFonts w:hint="eastAsia" w:ascii="Times New Roman" w:hAnsi="Times New Roman" w:eastAsia="仿宋_GB2312"/>
          <w:color w:val="auto"/>
          <w:sz w:val="32"/>
          <w:szCs w:val="32"/>
        </w:rPr>
        <w:t>年12月31日，部门（单位）共有车辆</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辆，其中，副部（省）级及以上领导用车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辆、主要负责人用车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辆、机要通信用车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辆、应急保障用车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辆、执法执勤用车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辆、特种专业技术用车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辆、离退休干部服务用车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辆、其他用车</w:t>
      </w:r>
      <w:r>
        <w:rPr>
          <w:rFonts w:hint="default" w:ascii="Times New Roman" w:hAnsi="Times New Roman" w:eastAsia="仿宋_GB2312"/>
          <w:color w:val="auto"/>
          <w:sz w:val="32"/>
          <w:szCs w:val="32"/>
          <w:lang w:val="en"/>
        </w:rPr>
        <w:t>0</w:t>
      </w:r>
      <w:r>
        <w:rPr>
          <w:rFonts w:hint="eastAsia" w:ascii="Times New Roman" w:hAnsi="Times New Roman" w:eastAsia="仿宋_GB2312"/>
          <w:color w:val="auto"/>
          <w:sz w:val="32"/>
          <w:szCs w:val="32"/>
        </w:rPr>
        <w:t>辆，单位价值100万元以上设备（不含车辆）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79C0E71">
      <w:pPr>
        <w:pStyle w:val="16"/>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eastAsia="zh-CN"/>
        </w:rPr>
        <w:t>四</w:t>
      </w:r>
      <w:r>
        <w:rPr>
          <w:rFonts w:hint="eastAsia" w:hAnsi="黑体"/>
          <w:bCs/>
          <w:color w:val="auto"/>
          <w:sz w:val="32"/>
          <w:szCs w:val="32"/>
        </w:rPr>
        <w:t>、关于</w:t>
      </w:r>
      <w:r>
        <w:rPr>
          <w:rFonts w:hint="eastAsia" w:ascii="Times New Roman" w:hAnsi="Times New Roman" w:eastAsia="仿宋_GB2312"/>
          <w:color w:val="auto"/>
          <w:sz w:val="32"/>
          <w:szCs w:val="32"/>
          <w:lang w:eastAsia="zh-CN"/>
        </w:rPr>
        <w:t>2024</w:t>
      </w:r>
      <w:r>
        <w:rPr>
          <w:rFonts w:hint="eastAsia" w:hAnsi="黑体"/>
          <w:bCs/>
          <w:color w:val="auto"/>
          <w:sz w:val="32"/>
          <w:szCs w:val="32"/>
        </w:rPr>
        <w:t>年度预算绩效情况的说明</w:t>
      </w:r>
    </w:p>
    <w:p w14:paraId="5A99E222">
      <w:pPr>
        <w:pStyle w:val="16"/>
        <w:spacing w:line="58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（一）绩效管理工作开展情况</w:t>
      </w:r>
    </w:p>
    <w:p w14:paraId="26B81A27">
      <w:pPr>
        <w:pStyle w:val="16"/>
        <w:spacing w:line="58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按照市级部门有关要求，按时完成部门整体绩效目标编制完整、合理，项目绩效目标编制明确、量化。按要求严格预算执行管理，及时足额将专项资金按指标拨付。按要求及时公开绩效</w:t>
      </w:r>
      <w:r>
        <w:rPr>
          <w:rFonts w:hint="eastAsia" w:ascii="Times New Roman" w:hAnsi="Times New Roman" w:eastAsia="仿宋_GB2312"/>
          <w:color w:val="auto"/>
          <w:sz w:val="32"/>
          <w:szCs w:val="32"/>
          <w:lang w:eastAsia="zh-CN"/>
        </w:rPr>
        <w:t>相关</w:t>
      </w:r>
      <w:r>
        <w:rPr>
          <w:rFonts w:hint="eastAsia" w:ascii="Times New Roman" w:hAnsi="Times New Roman" w:eastAsia="仿宋_GB2312"/>
          <w:color w:val="auto"/>
          <w:sz w:val="32"/>
          <w:szCs w:val="32"/>
        </w:rPr>
        <w:t>信息。按要求及时、准确、全面开展资产清查工作，上报国有资产报表数据的真实、准确、全面。内部控制制度健全完整并执行良好，在本年度内未出现廉政风险。</w:t>
      </w:r>
    </w:p>
    <w:p w14:paraId="1D28881D">
      <w:pPr>
        <w:pStyle w:val="16"/>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108851C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olor w:val="auto"/>
          <w:sz w:val="32"/>
          <w:szCs w:val="32"/>
          <w:lang w:val="en-US" w:eastAsia="zh-CN"/>
        </w:rPr>
        <w:t>按照市本级预算绩效管理工作的总体要求，2024年我单位整体支出346.73万元，全部实行整体支出绩效目标管理，2024年，我单位强化理论武装，把牢正确政治方向。深入学习贯彻习近平新时代中国特色社会主义思想和党的二十大精神，认真学习研读习近平文化思想、习近平总书记关于文艺工作的重要论述和习近平总书记在文化传承发展座谈会上的重要讲话，通过学习研讨、专题党课、集中培训等多种方式，强化政治理论学习。全年开展党组集中学习25次，党组理论中心组学习12次，协会集中学习3次，干部集中学习8次，累计培训会员200余人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线上及时发送学习资料</w:t>
      </w:r>
      <w:r>
        <w:rPr>
          <w:rFonts w:hint="eastAsia" w:ascii="仿宋_GB2312" w:hAnsi="仿宋_GB2312" w:eastAsia="仿宋_GB2312" w:cs="仿宋_GB2312"/>
          <w:color w:val="auto"/>
          <w:sz w:val="32"/>
          <w:szCs w:val="32"/>
        </w:rPr>
        <w:t>，推动习近平文化思想入脑入心。</w:t>
      </w:r>
      <w:r>
        <w:rPr>
          <w:rFonts w:hint="eastAsia" w:ascii="仿宋_GB2312" w:hAnsi="仿宋_GB2312" w:eastAsia="仿宋_GB2312" w:cs="仿宋_GB2312"/>
          <w:color w:val="auto"/>
          <w:sz w:val="32"/>
          <w:szCs w:val="32"/>
          <w:lang w:eastAsia="zh-CN"/>
        </w:rPr>
        <w:t>加</w:t>
      </w:r>
      <w:r>
        <w:rPr>
          <w:rFonts w:hint="eastAsia" w:ascii="仿宋_GB2312" w:hAnsi="仿宋_GB2312" w:eastAsia="仿宋_GB2312" w:cs="仿宋_GB2312"/>
          <w:color w:val="auto"/>
          <w:sz w:val="32"/>
          <w:szCs w:val="32"/>
        </w:rPr>
        <w:t>强意识形态阵地管理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w:t>
      </w:r>
      <w:r>
        <w:rPr>
          <w:rFonts w:hint="eastAsia" w:ascii="仿宋_GB2312" w:hAnsi="仿宋_GB2312" w:eastAsia="仿宋_GB2312" w:cs="仿宋_GB2312"/>
          <w:color w:val="auto"/>
          <w:sz w:val="32"/>
          <w:szCs w:val="32"/>
          <w:lang w:eastAsia="zh-CN"/>
        </w:rPr>
        <w:t>半年</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val="en-US" w:eastAsia="zh-CN"/>
        </w:rPr>
        <w:t>1次</w:t>
      </w:r>
      <w:r>
        <w:rPr>
          <w:rFonts w:hint="eastAsia" w:ascii="仿宋_GB2312" w:hAnsi="仿宋_GB2312" w:eastAsia="仿宋_GB2312" w:cs="仿宋_GB2312"/>
          <w:color w:val="auto"/>
          <w:sz w:val="32"/>
          <w:szCs w:val="32"/>
        </w:rPr>
        <w:t>意识形态风险</w:t>
      </w:r>
      <w:r>
        <w:rPr>
          <w:rFonts w:hint="eastAsia" w:ascii="仿宋_GB2312" w:hAnsi="仿宋_GB2312" w:eastAsia="仿宋_GB2312" w:cs="仿宋_GB2312"/>
          <w:color w:val="auto"/>
          <w:sz w:val="32"/>
          <w:szCs w:val="32"/>
          <w:lang w:eastAsia="zh-CN"/>
        </w:rPr>
        <w:t>隐患大</w:t>
      </w:r>
      <w:r>
        <w:rPr>
          <w:rFonts w:hint="eastAsia" w:ascii="仿宋_GB2312" w:hAnsi="仿宋_GB2312" w:eastAsia="仿宋_GB2312" w:cs="仿宋_GB2312"/>
          <w:color w:val="auto"/>
          <w:sz w:val="32"/>
          <w:szCs w:val="32"/>
        </w:rPr>
        <w:t>排查，</w:t>
      </w:r>
      <w:r>
        <w:rPr>
          <w:rFonts w:hint="eastAsia" w:ascii="仿宋_GB2312" w:hAnsi="仿宋_GB2312" w:eastAsia="仿宋_GB2312" w:cs="仿宋_GB2312"/>
          <w:color w:val="auto"/>
          <w:sz w:val="32"/>
          <w:szCs w:val="32"/>
          <w:lang w:val="en-US" w:eastAsia="zh-CN"/>
        </w:rPr>
        <w:t>定期研判风险点并加强防控。</w:t>
      </w:r>
      <w:r>
        <w:rPr>
          <w:rFonts w:hint="eastAsia" w:ascii="仿宋_GB2312" w:hAnsi="仿宋_GB2312" w:eastAsia="仿宋_GB2312" w:cs="仿宋_GB2312"/>
          <w:color w:val="auto"/>
          <w:sz w:val="32"/>
          <w:szCs w:val="32"/>
        </w:rPr>
        <w:t>严格执行《怀化文学》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“怀化文联”公众号内容</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“三审三校”制度，确保文艺领域意识形态安全。</w:t>
      </w:r>
      <w:r>
        <w:rPr>
          <w:rStyle w:val="12"/>
          <w:rFonts w:hint="eastAsia" w:ascii="Times New Roman" w:hAnsi="Times New Roman" w:eastAsia="仿宋_GB2312" w:cs="仿宋_GB2312"/>
          <w:b w:val="0"/>
          <w:bCs/>
          <w:color w:val="auto"/>
          <w:kern w:val="0"/>
          <w:sz w:val="32"/>
          <w:szCs w:val="32"/>
          <w:lang w:val="en-US" w:eastAsia="zh-CN" w:bidi="ar"/>
        </w:rPr>
        <w:t>围绕市委市政府深入实施“五新四城”战略、加快建设现代化新怀化</w:t>
      </w:r>
      <w:r>
        <w:rPr>
          <w:rStyle w:val="12"/>
          <w:rFonts w:hint="eastAsia" w:ascii="Times New Roman" w:hAnsi="Times New Roman" w:eastAsia="仿宋_GB2312" w:cs="仿宋_GB2312"/>
          <w:b w:val="0"/>
          <w:bCs/>
          <w:color w:val="auto"/>
          <w:kern w:val="0"/>
          <w:sz w:val="32"/>
          <w:szCs w:val="32"/>
          <w:lang w:eastAsia="zh-CN" w:bidi="ar"/>
        </w:rPr>
        <w:t>的</w:t>
      </w:r>
      <w:r>
        <w:rPr>
          <w:rStyle w:val="12"/>
          <w:rFonts w:hint="eastAsia" w:ascii="Times New Roman" w:hAnsi="Times New Roman" w:eastAsia="仿宋_GB2312" w:cs="仿宋_GB2312"/>
          <w:b w:val="0"/>
          <w:bCs/>
          <w:color w:val="auto"/>
          <w:kern w:val="0"/>
          <w:sz w:val="32"/>
          <w:szCs w:val="32"/>
          <w:lang w:val="en-US" w:eastAsia="zh-CN" w:bidi="ar"/>
        </w:rPr>
        <w:t>总体思路和部署，组织开展一系列有特色有影响、引导性示范性强的主题文艺活动，</w:t>
      </w:r>
      <w:r>
        <w:rPr>
          <w:rFonts w:hint="eastAsia" w:ascii="Times New Roman" w:hAnsi="Times New Roman" w:eastAsia="仿宋_GB2312" w:cs="仿宋_GB2312"/>
          <w:color w:val="auto"/>
          <w:sz w:val="32"/>
          <w:szCs w:val="32"/>
          <w:lang w:eastAsia="zh-CN"/>
        </w:rPr>
        <w:t>得到领导肯定和社会认可。</w:t>
      </w:r>
      <w:r>
        <w:rPr>
          <w:rFonts w:hint="eastAsia" w:ascii="Times New Roman" w:hAnsi="Times New Roman" w:eastAsia="仿宋_GB2312" w:cs="仿宋_GB2312"/>
          <w:color w:val="auto"/>
          <w:sz w:val="32"/>
          <w:szCs w:val="32"/>
          <w:lang w:val="en-US" w:eastAsia="zh-CN"/>
        </w:rPr>
        <w:t>2024年，市文联编撰</w:t>
      </w:r>
      <w:r>
        <w:rPr>
          <w:rFonts w:hint="eastAsia" w:ascii="Times New Roman" w:hAnsi="Times New Roman" w:eastAsia="仿宋_GB2312" w:cs="仿宋_GB2312"/>
          <w:color w:val="auto"/>
          <w:sz w:val="32"/>
          <w:szCs w:val="32"/>
          <w:lang w:eastAsia="zh-CN"/>
        </w:rPr>
        <w:t>、出版</w:t>
      </w:r>
      <w:r>
        <w:rPr>
          <w:rFonts w:hint="eastAsia" w:ascii="Times New Roman" w:hAnsi="Times New Roman" w:eastAsia="仿宋_GB2312" w:cs="仿宋_GB2312"/>
          <w:color w:val="auto"/>
          <w:sz w:val="32"/>
          <w:szCs w:val="32"/>
          <w:lang w:val="en-US" w:eastAsia="zh-CN"/>
        </w:rPr>
        <w:t>《福地怀化诗文选》</w:t>
      </w:r>
      <w:r>
        <w:rPr>
          <w:rFonts w:hint="eastAsia" w:ascii="Times New Roman" w:hAnsi="Times New Roman" w:eastAsia="仿宋_GB2312" w:cs="仿宋_GB2312"/>
          <w:color w:val="auto"/>
          <w:sz w:val="32"/>
          <w:szCs w:val="32"/>
          <w:lang w:eastAsia="zh-CN"/>
        </w:rPr>
        <w:t>，成为第十一届全球湘商大会、第三届怀化旅游发展大会重要外宣文化精品。</w:t>
      </w:r>
      <w:r>
        <w:rPr>
          <w:rStyle w:val="12"/>
          <w:rFonts w:hint="eastAsia" w:ascii="Times New Roman" w:hAnsi="Times New Roman" w:eastAsia="仿宋_GB2312" w:cs="仿宋_GB2312"/>
          <w:b w:val="0"/>
          <w:bCs/>
          <w:color w:val="auto"/>
          <w:kern w:val="0"/>
          <w:sz w:val="32"/>
          <w:szCs w:val="32"/>
          <w:lang w:eastAsia="zh-CN" w:bidi="ar"/>
        </w:rPr>
        <w:t>以</w:t>
      </w:r>
      <w:r>
        <w:rPr>
          <w:rFonts w:hint="eastAsia" w:ascii="Times New Roman" w:hAnsi="Times New Roman" w:eastAsia="仿宋_GB2312" w:cs="仿宋_GB2312"/>
          <w:color w:val="auto"/>
          <w:sz w:val="32"/>
          <w:szCs w:val="32"/>
          <w:lang w:val="en-US" w:eastAsia="zh-CN"/>
        </w:rPr>
        <w:t>举办“屈子行吟</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诗歌之源”2024中国</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怀化首届屈原爱国怀乡诗歌节活动</w:t>
      </w:r>
      <w:r>
        <w:rPr>
          <w:rFonts w:hint="eastAsia" w:ascii="Times New Roman" w:hAnsi="Times New Roman" w:eastAsia="仿宋_GB2312" w:cs="仿宋_GB2312"/>
          <w:color w:val="auto"/>
          <w:sz w:val="32"/>
          <w:szCs w:val="32"/>
          <w:lang w:eastAsia="zh-CN"/>
        </w:rPr>
        <w:t>为契机</w:t>
      </w:r>
      <w:r>
        <w:rPr>
          <w:rFonts w:hint="eastAsia" w:ascii="Times New Roman" w:hAnsi="Times New Roman" w:eastAsia="仿宋_GB2312" w:cs="仿宋_GB2312"/>
          <w:color w:val="auto"/>
          <w:sz w:val="32"/>
          <w:szCs w:val="32"/>
          <w:lang w:val="en-US" w:eastAsia="zh-CN"/>
        </w:rPr>
        <w:t>，组织60名省内外诗歌学者开展“福地怀化”采风活动。</w:t>
      </w:r>
      <w:r>
        <w:rPr>
          <w:rFonts w:hint="eastAsia" w:ascii="Times New Roman" w:hAnsi="Times New Roman" w:eastAsia="仿宋_GB2312" w:cs="仿宋_GB2312"/>
          <w:color w:val="auto"/>
          <w:sz w:val="32"/>
          <w:szCs w:val="32"/>
          <w:lang w:eastAsia="zh-CN"/>
        </w:rPr>
        <w:t>组织“福地怀化——庆祝新中国成立75周年暨迎接第十一届全球湘商大会优秀文艺作品展”“一粒种子改变世界·福地怀化”美术书法篆刻名家作品邀请展、</w:t>
      </w:r>
      <w:r>
        <w:rPr>
          <w:rFonts w:hint="eastAsia" w:ascii="Times New Roman" w:hAnsi="Times New Roman" w:eastAsia="仿宋_GB2312" w:cs="仿宋_GB2312"/>
          <w:b w:val="0"/>
          <w:bCs w:val="0"/>
          <w:color w:val="auto"/>
          <w:sz w:val="32"/>
          <w:szCs w:val="32"/>
          <w:lang w:val="en-US" w:eastAsia="zh-CN"/>
        </w:rPr>
        <w:t>“艺心向党”优秀文艺作品展</w:t>
      </w:r>
      <w:r>
        <w:rPr>
          <w:rFonts w:hint="eastAsia" w:ascii="Times New Roman" w:hAnsi="Times New Roman" w:eastAsia="仿宋_GB2312" w:cs="仿宋_GB2312"/>
          <w:color w:val="auto"/>
          <w:sz w:val="32"/>
          <w:szCs w:val="32"/>
          <w:lang w:eastAsia="zh-CN"/>
        </w:rPr>
        <w:t>等系列活动。</w:t>
      </w:r>
      <w:r>
        <w:rPr>
          <w:rFonts w:hint="eastAsia" w:ascii="Times New Roman" w:hAnsi="Times New Roman" w:eastAsia="仿宋_GB2312" w:cs="仿宋_GB2312"/>
          <w:color w:val="auto"/>
          <w:sz w:val="32"/>
          <w:szCs w:val="32"/>
          <w:lang w:val="en-US" w:eastAsia="zh-CN"/>
        </w:rPr>
        <w:t>组织召开鹤中一体化发展“文艺先行”座谈会</w:t>
      </w:r>
      <w:r>
        <w:rPr>
          <w:rFonts w:hint="eastAsia" w:ascii="Times New Roman" w:hAnsi="Times New Roman" w:eastAsia="仿宋_GB2312" w:cs="仿宋_GB2312"/>
          <w:color w:val="auto"/>
          <w:sz w:val="32"/>
          <w:szCs w:val="32"/>
          <w:lang w:eastAsia="zh-CN"/>
        </w:rPr>
        <w:t>，达成文艺活动联办、文艺创作共推等10项共识，开展创作、交流、展示等文艺活动30多场，用文艺之火点燃</w:t>
      </w:r>
      <w:r>
        <w:rPr>
          <w:rFonts w:hint="eastAsia" w:ascii="Times New Roman" w:hAnsi="Times New Roman" w:eastAsia="仿宋_GB2312" w:cs="仿宋_GB2312"/>
          <w:color w:val="auto"/>
          <w:sz w:val="32"/>
          <w:szCs w:val="32"/>
          <w:lang w:val="en-US" w:eastAsia="zh-CN"/>
        </w:rPr>
        <w:t>市委、市政府推动鹤中一体化发展</w:t>
      </w:r>
      <w:r>
        <w:rPr>
          <w:rFonts w:hint="eastAsia" w:ascii="Times New Roman" w:hAnsi="Times New Roman" w:eastAsia="仿宋_GB2312" w:cs="仿宋_GB2312"/>
          <w:color w:val="auto"/>
          <w:sz w:val="32"/>
          <w:szCs w:val="32"/>
          <w:lang w:eastAsia="zh-CN"/>
        </w:rPr>
        <w:t>进程。</w:t>
      </w:r>
    </w:p>
    <w:p w14:paraId="516CDFF5">
      <w:pPr>
        <w:pStyle w:val="16"/>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3F6FF915">
      <w:pPr>
        <w:pStyle w:val="16"/>
        <w:spacing w:line="58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全面预算绩效管理工作经验不太丰富，绩效管理专业人员匮乏，规范管理尚有盲点。</w:t>
      </w:r>
    </w:p>
    <w:p w14:paraId="1CAC0279">
      <w:pPr>
        <w:pStyle w:val="16"/>
        <w:spacing w:line="580" w:lineRule="exact"/>
        <w:ind w:firstLine="640" w:firstLineChars="200"/>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深入开展政府购买社会化服务，切实引进社会化竞争机制，引进相关专业人才，加强绩效目标管理观念，增强绩效管理意识，各项目部门需要进一步将绩效目标和预算相结合，在年初报预算时，设置更加详细、合理、可衡量的绩效目标。</w:t>
      </w:r>
    </w:p>
    <w:p w14:paraId="2660E2AE">
      <w:pPr>
        <w:pStyle w:val="16"/>
        <w:spacing w:line="580" w:lineRule="exact"/>
        <w:ind w:firstLine="640" w:firstLineChars="200"/>
        <w:rPr>
          <w:rFonts w:hint="eastAsia" w:ascii="Times New Roman" w:hAnsi="Times New Roman" w:eastAsia="仿宋_GB2312"/>
          <w:color w:val="auto"/>
          <w:sz w:val="32"/>
          <w:szCs w:val="32"/>
          <w:lang w:val="en-US" w:eastAsia="zh-CN"/>
        </w:rPr>
      </w:pPr>
    </w:p>
    <w:p w14:paraId="7FADD9F0">
      <w:pPr>
        <w:pStyle w:val="16"/>
        <w:jc w:val="both"/>
        <w:rPr>
          <w:sz w:val="72"/>
          <w:szCs w:val="72"/>
        </w:rPr>
      </w:pPr>
    </w:p>
    <w:p w14:paraId="5DBAD472">
      <w:pPr>
        <w:pStyle w:val="16"/>
        <w:jc w:val="center"/>
        <w:rPr>
          <w:sz w:val="72"/>
          <w:szCs w:val="72"/>
        </w:rPr>
      </w:pPr>
    </w:p>
    <w:p w14:paraId="25BEE062">
      <w:pPr>
        <w:pStyle w:val="16"/>
        <w:jc w:val="center"/>
        <w:rPr>
          <w:sz w:val="72"/>
          <w:szCs w:val="72"/>
        </w:rPr>
      </w:pPr>
    </w:p>
    <w:p w14:paraId="72121B07">
      <w:pPr>
        <w:pStyle w:val="16"/>
        <w:jc w:val="both"/>
        <w:rPr>
          <w:rFonts w:ascii="方正小标宋_GBK" w:hAnsi="方正小标宋_GBK" w:eastAsia="方正小标宋_GBK" w:cs="方正小标宋_GBK"/>
          <w:sz w:val="72"/>
          <w:szCs w:val="72"/>
        </w:rPr>
      </w:pPr>
    </w:p>
    <w:p w14:paraId="51F956A3">
      <w:pPr>
        <w:pStyle w:val="16"/>
        <w:jc w:val="center"/>
        <w:rPr>
          <w:rFonts w:ascii="方正小标宋_GBK" w:hAnsi="方正小标宋_GBK" w:eastAsia="方正小标宋_GBK" w:cs="方正小标宋_GBK"/>
          <w:sz w:val="72"/>
          <w:szCs w:val="72"/>
        </w:rPr>
      </w:pPr>
    </w:p>
    <w:p w14:paraId="2D97FA95">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FAAA573">
      <w:pPr>
        <w:jc w:val="center"/>
        <w:rPr>
          <w:rFonts w:ascii="方正小标宋_GBK" w:hAnsi="方正小标宋_GBK" w:eastAsia="方正小标宋_GBK" w:cs="方正小标宋_GBK"/>
          <w:color w:val="000000"/>
          <w:kern w:val="0"/>
          <w:sz w:val="70"/>
          <w:szCs w:val="70"/>
        </w:rPr>
      </w:pPr>
    </w:p>
    <w:p w14:paraId="60B65E74">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1A5A030">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45A877D">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机关运行经费：</w:t>
      </w:r>
      <w:r>
        <w:rPr>
          <w:rFonts w:hint="eastAsia" w:ascii="仿宋_GB2312" w:hAnsi="仿宋_GB2312" w:eastAsia="仿宋_GB2312" w:cs="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094568A">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“三公”经费：</w:t>
      </w:r>
      <w:r>
        <w:rPr>
          <w:rFonts w:hint="eastAsia" w:ascii="仿宋_GB2312" w:hAnsi="仿宋_GB2312" w:eastAsia="仿宋_GB2312" w:cs="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8604C78">
      <w:pPr>
        <w:pStyle w:val="16"/>
        <w:jc w:val="center"/>
        <w:rPr>
          <w:sz w:val="72"/>
          <w:szCs w:val="72"/>
        </w:rPr>
      </w:pPr>
    </w:p>
    <w:p w14:paraId="5804D02B">
      <w:pPr>
        <w:pStyle w:val="16"/>
        <w:jc w:val="center"/>
        <w:rPr>
          <w:sz w:val="72"/>
          <w:szCs w:val="72"/>
        </w:rPr>
      </w:pPr>
    </w:p>
    <w:p w14:paraId="7A11C2A2">
      <w:pPr>
        <w:pStyle w:val="16"/>
        <w:jc w:val="center"/>
        <w:rPr>
          <w:sz w:val="72"/>
          <w:szCs w:val="72"/>
        </w:rPr>
      </w:pPr>
    </w:p>
    <w:p w14:paraId="1E57EE9A">
      <w:pPr>
        <w:pStyle w:val="16"/>
        <w:jc w:val="center"/>
        <w:rPr>
          <w:sz w:val="72"/>
          <w:szCs w:val="72"/>
        </w:rPr>
      </w:pPr>
    </w:p>
    <w:p w14:paraId="3B500747">
      <w:pPr>
        <w:pStyle w:val="16"/>
        <w:jc w:val="center"/>
        <w:rPr>
          <w:sz w:val="72"/>
          <w:szCs w:val="72"/>
        </w:rPr>
      </w:pPr>
    </w:p>
    <w:p w14:paraId="295EC6F5">
      <w:pPr>
        <w:pStyle w:val="16"/>
        <w:jc w:val="center"/>
        <w:rPr>
          <w:sz w:val="72"/>
          <w:szCs w:val="72"/>
        </w:rPr>
      </w:pPr>
    </w:p>
    <w:p w14:paraId="4DBD85DB">
      <w:pPr>
        <w:pStyle w:val="16"/>
        <w:jc w:val="center"/>
        <w:rPr>
          <w:sz w:val="72"/>
          <w:szCs w:val="72"/>
        </w:rPr>
      </w:pPr>
    </w:p>
    <w:p w14:paraId="73951305">
      <w:pPr>
        <w:pStyle w:val="16"/>
        <w:jc w:val="center"/>
        <w:rPr>
          <w:sz w:val="72"/>
          <w:szCs w:val="72"/>
        </w:rPr>
      </w:pPr>
    </w:p>
    <w:p w14:paraId="05081D57">
      <w:pPr>
        <w:rPr>
          <w:sz w:val="72"/>
          <w:szCs w:val="72"/>
        </w:rPr>
      </w:pPr>
      <w:r>
        <w:rPr>
          <w:sz w:val="72"/>
          <w:szCs w:val="72"/>
        </w:rPr>
        <w:br w:type="page"/>
      </w:r>
    </w:p>
    <w:p w14:paraId="1A4FF17D">
      <w:pPr>
        <w:pStyle w:val="16"/>
        <w:jc w:val="center"/>
        <w:rPr>
          <w:rFonts w:ascii="方正小标宋_GBK" w:hAnsi="方正小标宋_GBK" w:eastAsia="方正小标宋_GBK" w:cs="方正小标宋_GBK"/>
          <w:sz w:val="72"/>
          <w:szCs w:val="72"/>
        </w:rPr>
      </w:pPr>
    </w:p>
    <w:p w14:paraId="0A3AB18A">
      <w:pPr>
        <w:pStyle w:val="16"/>
        <w:jc w:val="center"/>
        <w:rPr>
          <w:rFonts w:ascii="方正小标宋_GBK" w:hAnsi="方正小标宋_GBK" w:eastAsia="方正小标宋_GBK" w:cs="方正小标宋_GBK"/>
          <w:sz w:val="72"/>
          <w:szCs w:val="72"/>
        </w:rPr>
      </w:pPr>
    </w:p>
    <w:p w14:paraId="55160D25">
      <w:pPr>
        <w:pStyle w:val="16"/>
        <w:jc w:val="center"/>
        <w:rPr>
          <w:rFonts w:ascii="方正小标宋_GBK" w:hAnsi="方正小标宋_GBK" w:eastAsia="方正小标宋_GBK" w:cs="方正小标宋_GBK"/>
          <w:sz w:val="72"/>
          <w:szCs w:val="72"/>
        </w:rPr>
      </w:pPr>
    </w:p>
    <w:p w14:paraId="7CAFB248">
      <w:pPr>
        <w:pStyle w:val="16"/>
        <w:jc w:val="center"/>
        <w:rPr>
          <w:rFonts w:ascii="方正小标宋_GBK" w:hAnsi="方正小标宋_GBK" w:eastAsia="方正小标宋_GBK" w:cs="方正小标宋_GBK"/>
          <w:sz w:val="72"/>
          <w:szCs w:val="72"/>
        </w:rPr>
      </w:pPr>
    </w:p>
    <w:p w14:paraId="4B0C7EDD">
      <w:pPr>
        <w:pStyle w:val="16"/>
        <w:jc w:val="center"/>
        <w:rPr>
          <w:rFonts w:ascii="方正小标宋_GBK" w:hAnsi="方正小标宋_GBK" w:eastAsia="方正小标宋_GBK" w:cs="方正小标宋_GBK"/>
          <w:sz w:val="72"/>
          <w:szCs w:val="72"/>
        </w:rPr>
      </w:pPr>
    </w:p>
    <w:p w14:paraId="21C7F2CD">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043306D6">
      <w:pPr>
        <w:pStyle w:val="16"/>
        <w:jc w:val="center"/>
        <w:rPr>
          <w:rFonts w:ascii="方正小标宋_GBK" w:hAnsi="方正小标宋_GBK" w:eastAsia="方正小标宋_GBK" w:cs="方正小标宋_GBK"/>
          <w:sz w:val="70"/>
          <w:szCs w:val="70"/>
        </w:rPr>
      </w:pPr>
    </w:p>
    <w:p w14:paraId="731407DD">
      <w:pPr>
        <w:pStyle w:val="16"/>
        <w:jc w:val="center"/>
        <w:rPr>
          <w:sz w:val="72"/>
          <w:szCs w:val="72"/>
        </w:rPr>
      </w:pPr>
      <w:r>
        <w:rPr>
          <w:rFonts w:hint="eastAsia" w:ascii="方正小标宋_GBK" w:hAnsi="方正小标宋_GBK" w:eastAsia="方正小标宋_GBK" w:cs="方正小标宋_GBK"/>
          <w:sz w:val="70"/>
          <w:szCs w:val="70"/>
        </w:rPr>
        <w:t>附 件</w:t>
      </w:r>
    </w:p>
    <w:p w14:paraId="625C763D">
      <w:pPr>
        <w:rPr>
          <w:sz w:val="72"/>
          <w:szCs w:val="72"/>
        </w:rPr>
      </w:pPr>
      <w:r>
        <w:rPr>
          <w:sz w:val="72"/>
          <w:szCs w:val="72"/>
        </w:rPr>
        <w:br w:type="page"/>
      </w:r>
    </w:p>
    <w:p w14:paraId="4191542D">
      <w:pPr>
        <w:pStyle w:val="16"/>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文学艺术界联合会</w:t>
      </w:r>
      <w:r>
        <w:rPr>
          <w:rFonts w:hint="eastAsia" w:ascii="Times New Roman" w:hAnsi="Times New Roman" w:eastAsia="仿宋_GB2312"/>
          <w:sz w:val="32"/>
          <w:szCs w:val="32"/>
        </w:rPr>
        <w:t>整体支出绩效自评报告。</w:t>
      </w:r>
    </w:p>
    <w:p w14:paraId="3B427E2C">
      <w:pPr>
        <w:pStyle w:val="9"/>
        <w:spacing w:beforeAutospacing="0" w:afterAutospacing="0" w:line="276" w:lineRule="auto"/>
        <w:ind w:firstLine="0" w:firstLineChars="0"/>
        <w:jc w:val="center"/>
        <w:rPr>
          <w:rFonts w:hint="eastAsia"/>
          <w:b/>
          <w:bCs/>
          <w:sz w:val="28"/>
          <w:szCs w:val="28"/>
        </w:rPr>
      </w:pPr>
    </w:p>
    <w:p w14:paraId="6E0F8C4E">
      <w:pPr>
        <w:pStyle w:val="9"/>
        <w:spacing w:beforeAutospacing="0" w:afterAutospacing="0" w:line="276" w:lineRule="auto"/>
        <w:ind w:firstLine="0" w:firstLineChars="0"/>
        <w:jc w:val="center"/>
        <w:rPr>
          <w:b/>
          <w:bCs/>
          <w:sz w:val="28"/>
          <w:szCs w:val="28"/>
        </w:rPr>
      </w:pPr>
      <w:r>
        <w:rPr>
          <w:rFonts w:hint="eastAsia"/>
          <w:b/>
          <w:bCs/>
          <w:sz w:val="28"/>
          <w:szCs w:val="28"/>
        </w:rPr>
        <w:t>怀化市文学艺术界联合会</w:t>
      </w:r>
    </w:p>
    <w:p w14:paraId="5EBDC59F">
      <w:pPr>
        <w:pStyle w:val="9"/>
        <w:spacing w:beforeAutospacing="0" w:afterAutospacing="0" w:line="276" w:lineRule="auto"/>
        <w:ind w:firstLine="0" w:firstLineChars="0"/>
        <w:jc w:val="center"/>
        <w:rPr>
          <w:b/>
          <w:bCs/>
          <w:sz w:val="28"/>
          <w:szCs w:val="28"/>
        </w:rPr>
      </w:pPr>
      <w:r>
        <w:rPr>
          <w:rFonts w:hint="eastAsia"/>
          <w:b/>
          <w:bCs/>
          <w:sz w:val="28"/>
          <w:szCs w:val="28"/>
        </w:rPr>
        <w:t>2</w:t>
      </w:r>
      <w:r>
        <w:rPr>
          <w:b/>
          <w:bCs/>
          <w:sz w:val="28"/>
          <w:szCs w:val="28"/>
        </w:rPr>
        <w:t>02</w:t>
      </w:r>
      <w:r>
        <w:rPr>
          <w:rFonts w:hint="default"/>
          <w:b/>
          <w:bCs/>
          <w:sz w:val="28"/>
          <w:szCs w:val="28"/>
          <w:lang w:val="en-US"/>
        </w:rPr>
        <w:t>4</w:t>
      </w:r>
      <w:r>
        <w:rPr>
          <w:rFonts w:hint="eastAsia"/>
          <w:b/>
          <w:bCs/>
          <w:sz w:val="28"/>
          <w:szCs w:val="28"/>
        </w:rPr>
        <w:t>年部门整体支出绩效自评报告</w:t>
      </w:r>
    </w:p>
    <w:p w14:paraId="4F009502">
      <w:pPr>
        <w:pStyle w:val="9"/>
        <w:spacing w:beforeAutospacing="0" w:afterAutospacing="0" w:line="440" w:lineRule="exact"/>
      </w:pPr>
      <w:r>
        <w:rPr>
          <w:rStyle w:val="23"/>
          <w:rFonts w:hint="eastAsia"/>
        </w:rPr>
        <w:t>一、</w:t>
      </w:r>
      <w:r>
        <w:rPr>
          <w:rFonts w:hint="eastAsia"/>
        </w:rPr>
        <w:t>部门、单位基本情况</w:t>
      </w:r>
    </w:p>
    <w:p w14:paraId="6F0FFA82">
      <w:pPr>
        <w:pStyle w:val="9"/>
        <w:spacing w:beforeAutospacing="0" w:afterAutospacing="0" w:line="440" w:lineRule="exact"/>
      </w:pPr>
      <w:r>
        <w:t>（一）机构设置情况</w:t>
      </w:r>
    </w:p>
    <w:p w14:paraId="21EBD2F0">
      <w:pPr>
        <w:pStyle w:val="9"/>
        <w:spacing w:beforeAutospacing="0" w:afterAutospacing="0" w:line="440" w:lineRule="exact"/>
      </w:pPr>
      <w:r>
        <w:rPr>
          <w:rFonts w:hint="eastAsia"/>
        </w:rPr>
        <w:t>怀化市文学艺术界联合会作为一级部门预算单位，内设科室办公室。</w:t>
      </w:r>
    </w:p>
    <w:p w14:paraId="7444025A">
      <w:pPr>
        <w:pStyle w:val="9"/>
        <w:spacing w:beforeAutospacing="0" w:afterAutospacing="0" w:line="440" w:lineRule="exact"/>
      </w:pPr>
      <w:r>
        <w:rPr>
          <w:rFonts w:hint="eastAsia"/>
        </w:rPr>
        <w:t>雪峰杂志社作为怀化市文学艺术联合会的二级部门预算单位，无内设科室。</w:t>
      </w:r>
    </w:p>
    <w:p w14:paraId="488BC217">
      <w:pPr>
        <w:pStyle w:val="9"/>
        <w:spacing w:beforeAutospacing="0" w:afterAutospacing="0" w:line="440" w:lineRule="exact"/>
      </w:pPr>
      <w:r>
        <w:t>（二）人员编制情况</w:t>
      </w:r>
    </w:p>
    <w:p w14:paraId="6635D637">
      <w:pPr>
        <w:pStyle w:val="9"/>
        <w:spacing w:beforeAutospacing="0" w:afterAutospacing="0" w:line="440" w:lineRule="exact"/>
      </w:pPr>
      <w:r>
        <w:rPr>
          <w:rFonts w:hint="eastAsia"/>
        </w:rPr>
        <w:t>根据人员编制规定，202</w:t>
      </w:r>
      <w:r>
        <w:rPr>
          <w:rFonts w:hint="default"/>
          <w:lang w:val="en-US"/>
        </w:rPr>
        <w:t>4</w:t>
      </w:r>
      <w:r>
        <w:rPr>
          <w:rFonts w:hint="eastAsia"/>
        </w:rPr>
        <w:t>年度编制人员为</w:t>
      </w:r>
      <w:r>
        <w:t>11</w:t>
      </w:r>
      <w:r>
        <w:rPr>
          <w:rFonts w:hint="eastAsia"/>
        </w:rPr>
        <w:t>人，其中：行政人员编制数6人，实有</w:t>
      </w:r>
      <w:r>
        <w:t>6</w:t>
      </w:r>
      <w:r>
        <w:rPr>
          <w:rFonts w:hint="eastAsia"/>
        </w:rPr>
        <w:t>人；事业人员编制数</w:t>
      </w:r>
      <w:r>
        <w:rPr>
          <w:rFonts w:hint="default"/>
          <w:lang w:val="en-US"/>
        </w:rPr>
        <w:t>6</w:t>
      </w:r>
      <w:r>
        <w:rPr>
          <w:rFonts w:hint="eastAsia"/>
        </w:rPr>
        <w:t>人，实有</w:t>
      </w:r>
      <w:r>
        <w:rPr>
          <w:rFonts w:hint="default"/>
          <w:lang w:val="en-US"/>
        </w:rPr>
        <w:t>5</w:t>
      </w:r>
      <w:r>
        <w:rPr>
          <w:rFonts w:hint="eastAsia"/>
        </w:rPr>
        <w:t>人；离退休人员共</w:t>
      </w:r>
      <w:r>
        <w:t>16</w:t>
      </w:r>
      <w:r>
        <w:rPr>
          <w:rFonts w:hint="eastAsia"/>
        </w:rPr>
        <w:t>人。</w:t>
      </w:r>
    </w:p>
    <w:p w14:paraId="2FA3AB66">
      <w:pPr>
        <w:pStyle w:val="9"/>
        <w:spacing w:beforeAutospacing="0" w:afterAutospacing="0" w:line="440" w:lineRule="exact"/>
        <w:rPr>
          <w:b/>
          <w:bCs/>
        </w:rPr>
      </w:pPr>
      <w:r>
        <w:t>（三）主要职能职责</w:t>
      </w:r>
    </w:p>
    <w:p w14:paraId="1865E7CD">
      <w:pPr>
        <w:pStyle w:val="9"/>
        <w:spacing w:beforeAutospacing="0" w:afterAutospacing="0" w:line="440" w:lineRule="exact"/>
        <w:jc w:val="both"/>
      </w:pPr>
      <w:r>
        <w:rPr>
          <w:rFonts w:hint="eastAsia"/>
        </w:rPr>
        <w:t>怀化市文学艺术界联合会是党委政府联系文艺家的群众团体，按照科学发展观的要求，坚持文艺“为人民服务，为社会主义服务”的方向和“百花齐放，百家争鸣”的方针，充分发挥文联“团结引导、联络协调、服务管理、自律维权”的职能，着力发挥好党委政府和文艺家之间的桥梁纽带作用，不断探索新形势下文学艺术创作的新途径，积极组织全市文艺工作者开展文艺创作，文艺演出、展览、评奖、研讨和交流等活动，激发文艺工作者的创作热情，做好各个艺术门类及各艺术类别的联络、协调、服务指导工作。进一步拓展服务基层的渠道，提高服务群众的水平，繁荣我市文艺事业。</w:t>
      </w:r>
    </w:p>
    <w:p w14:paraId="5070B27F">
      <w:pPr>
        <w:pStyle w:val="9"/>
        <w:spacing w:beforeAutospacing="0" w:afterAutospacing="0" w:line="440" w:lineRule="exact"/>
      </w:pPr>
      <w:r>
        <w:t>（四）绩效目标设定情况</w:t>
      </w:r>
    </w:p>
    <w:p w14:paraId="151A055F">
      <w:pPr>
        <w:pStyle w:val="22"/>
        <w:ind w:firstLine="480"/>
      </w:pPr>
      <w:r>
        <w:rPr>
          <w:rFonts w:hint="eastAsia"/>
        </w:rPr>
        <w:t>按照市本级预算绩效管理工作的总体要求，202</w:t>
      </w:r>
      <w:r>
        <w:rPr>
          <w:rFonts w:hint="default"/>
          <w:lang w:val="en-US"/>
        </w:rPr>
        <w:t>4</w:t>
      </w:r>
      <w:r>
        <w:rPr>
          <w:rFonts w:hint="eastAsia"/>
        </w:rPr>
        <w:t>年我单位整体支出</w:t>
      </w:r>
      <w:r>
        <w:rPr>
          <w:rFonts w:hint="default"/>
          <w:lang w:val="en-US"/>
        </w:rPr>
        <w:t>34</w:t>
      </w:r>
      <w:r>
        <w:rPr>
          <w:rFonts w:hint="eastAsia"/>
          <w:lang w:val="en-US" w:eastAsia="zh-CN"/>
        </w:rPr>
        <w:t>6.73</w:t>
      </w:r>
      <w:r>
        <w:rPr>
          <w:rFonts w:hint="eastAsia"/>
        </w:rPr>
        <w:t>万元，全部实行整体支出绩效目标理，年初编报绩效目标的项目2个，预算追加项目编报绩效目标</w:t>
      </w:r>
      <w:r>
        <w:rPr>
          <w:rFonts w:hint="default"/>
          <w:lang w:val="en-US"/>
        </w:rPr>
        <w:t>10</w:t>
      </w:r>
      <w:r>
        <w:rPr>
          <w:rFonts w:hint="eastAsia"/>
        </w:rPr>
        <w:t>个，涉及项目支出</w:t>
      </w:r>
      <w:r>
        <w:rPr>
          <w:rFonts w:hint="default"/>
          <w:lang w:val="en-US"/>
        </w:rPr>
        <w:t>128.1</w:t>
      </w:r>
      <w:r>
        <w:rPr>
          <w:rFonts w:hint="eastAsia"/>
        </w:rPr>
        <w:t>万元，其中专项业务（工作）经费3</w:t>
      </w:r>
      <w:r>
        <w:t>5</w:t>
      </w:r>
      <w:r>
        <w:rPr>
          <w:rFonts w:hint="eastAsia"/>
        </w:rPr>
        <w:t xml:space="preserve"> 万元、《怀化文学》办刊经费2</w:t>
      </w:r>
      <w:r>
        <w:t>0</w:t>
      </w:r>
      <w:r>
        <w:rPr>
          <w:rFonts w:hint="eastAsia"/>
        </w:rPr>
        <w:t>万元、市直单位老干活动经费1</w:t>
      </w:r>
      <w:r>
        <w:t>0</w:t>
      </w:r>
      <w:r>
        <w:rPr>
          <w:rFonts w:hint="eastAsia"/>
        </w:rPr>
        <w:t>万元、两企三新党建工作经费2</w:t>
      </w:r>
      <w:r>
        <w:rPr>
          <w:rFonts w:hint="default"/>
          <w:lang w:val="en-US"/>
        </w:rPr>
        <w:t>.1</w:t>
      </w:r>
      <w:r>
        <w:rPr>
          <w:rFonts w:hint="eastAsia"/>
        </w:rPr>
        <w:t>万元、《稻花飘香》及举办主题民族音乐会经费</w:t>
      </w:r>
      <w:r>
        <w:rPr>
          <w:rFonts w:hint="default"/>
          <w:lang w:val="en-US"/>
        </w:rPr>
        <w:t>10</w:t>
      </w:r>
      <w:r>
        <w:rPr>
          <w:rFonts w:hint="eastAsia"/>
        </w:rPr>
        <w:t>万元、“聚文化之力助乡村振兴”武陵山杜鹃文化节活动经费2万元、《福地怀化》歌曲制作经费</w:t>
      </w:r>
      <w:r>
        <w:rPr>
          <w:rFonts w:hint="default"/>
          <w:lang w:val="en-US"/>
        </w:rPr>
        <w:t>2</w:t>
      </w:r>
      <w:r>
        <w:rPr>
          <w:rFonts w:hint="eastAsia"/>
          <w:lang w:val="en-US" w:eastAsia="zh-CN"/>
        </w:rPr>
        <w:t>万元、怀化市摄影家协会工作经费5万元、文体活动下乡下社区5万元</w:t>
      </w:r>
      <w:r>
        <w:rPr>
          <w:rFonts w:hint="eastAsia"/>
        </w:rPr>
        <w:t>张维音乐专辑制作经费市文联“强国复兴新征程 砥砺奋进新时代”活动经费</w:t>
      </w:r>
      <w:r>
        <w:rPr>
          <w:rFonts w:hint="eastAsia"/>
          <w:lang w:val="en-US" w:eastAsia="zh-CN"/>
        </w:rPr>
        <w:t>9</w:t>
      </w:r>
      <w:r>
        <w:rPr>
          <w:rFonts w:hint="eastAsia"/>
        </w:rPr>
        <w:t>万</w:t>
      </w:r>
      <w:r>
        <w:rPr>
          <w:rFonts w:hint="eastAsia"/>
          <w:lang w:eastAsia="zh-CN"/>
        </w:rPr>
        <w:t>、《福地怀化诗文选》编辑出版经费</w:t>
      </w:r>
      <w:r>
        <w:rPr>
          <w:rFonts w:hint="eastAsia"/>
          <w:lang w:val="en-US" w:eastAsia="zh-CN"/>
        </w:rPr>
        <w:t>23万、《书写湘商的辉煌》5万元</w:t>
      </w:r>
      <w:r>
        <w:rPr>
          <w:rFonts w:hint="eastAsia"/>
        </w:rPr>
        <w:t>，全部实行项目支出绩效目标管理。</w:t>
      </w:r>
    </w:p>
    <w:p w14:paraId="5FE9FABD">
      <w:pPr>
        <w:spacing w:line="440" w:lineRule="exact"/>
      </w:pPr>
      <w:r>
        <w:rPr>
          <w:rFonts w:hint="eastAsia"/>
        </w:rPr>
        <w:t>二、部门整体支出管理及使用情况</w:t>
      </w:r>
    </w:p>
    <w:p w14:paraId="7EF4D642">
      <w:pPr>
        <w:pStyle w:val="9"/>
        <w:spacing w:beforeAutospacing="0" w:afterAutospacing="0" w:line="440" w:lineRule="exact"/>
      </w:pPr>
      <w:r>
        <w:t>（一）</w:t>
      </w:r>
      <w:r>
        <w:rPr>
          <w:rFonts w:hint="eastAsia"/>
        </w:rPr>
        <w:t>预算执行、使用、管理总体情况。</w:t>
      </w:r>
    </w:p>
    <w:p w14:paraId="12C99D16">
      <w:pPr>
        <w:pStyle w:val="22"/>
        <w:ind w:firstLine="480"/>
      </w:pPr>
      <w:r>
        <w:rPr>
          <w:rFonts w:hint="eastAsia"/>
        </w:rPr>
        <w:t>202</w:t>
      </w:r>
      <w:r>
        <w:rPr>
          <w:rFonts w:hint="eastAsia"/>
          <w:lang w:val="en-US" w:eastAsia="zh-CN"/>
        </w:rPr>
        <w:t>4</w:t>
      </w:r>
      <w:r>
        <w:rPr>
          <w:rFonts w:hint="eastAsia"/>
        </w:rPr>
        <w:t>年部门预算情况。收入包括一般公共预算财政拨款收入，其他收入资金；支出包括保障机关基本运行的经费以及相关专项经费。</w:t>
      </w:r>
    </w:p>
    <w:p w14:paraId="35A865A4">
      <w:pPr>
        <w:pStyle w:val="22"/>
        <w:ind w:firstLine="480"/>
      </w:pPr>
      <w:r>
        <w:rPr>
          <w:rFonts w:hint="eastAsia"/>
        </w:rPr>
        <w:t>本单位整体支出和项目支出实行绩效目标管理。</w:t>
      </w:r>
    </w:p>
    <w:p w14:paraId="67BA0BDC">
      <w:pPr>
        <w:pStyle w:val="22"/>
        <w:ind w:firstLine="480"/>
      </w:pPr>
      <w:r>
        <w:rPr>
          <w:rFonts w:hint="eastAsia"/>
        </w:rPr>
        <w:t>1.收入预算，</w:t>
      </w:r>
      <w:r>
        <w:rPr>
          <w:rFonts w:hint="default"/>
          <w:lang w:val="en-US"/>
        </w:rPr>
        <w:t>2024</w:t>
      </w:r>
      <w:r>
        <w:rPr>
          <w:rFonts w:hint="eastAsia"/>
        </w:rPr>
        <w:t xml:space="preserve">年年初预算数 </w:t>
      </w:r>
      <w:r>
        <w:rPr>
          <w:rFonts w:hint="eastAsia"/>
          <w:lang w:val="en-US" w:eastAsia="zh-CN"/>
        </w:rPr>
        <w:t>263.19</w:t>
      </w:r>
      <w:r>
        <w:rPr>
          <w:rFonts w:hint="eastAsia"/>
        </w:rPr>
        <w:t xml:space="preserve">万元，其中，一般公共预算拨款 </w:t>
      </w:r>
      <w:r>
        <w:rPr>
          <w:rFonts w:hint="eastAsia"/>
          <w:lang w:val="en-US" w:eastAsia="zh-CN"/>
        </w:rPr>
        <w:t>263.19</w:t>
      </w:r>
      <w:r>
        <w:rPr>
          <w:rFonts w:hint="eastAsia"/>
        </w:rPr>
        <w:t>万元，无政府性基金预算拨款、无纳入财政专户管理的非税收入拨款，无国有资本经营预算拨款。压减公用经费和专项支出后，同口径对比，收入较上年</w:t>
      </w:r>
      <w:r>
        <w:rPr>
          <w:rFonts w:hint="eastAsia"/>
          <w:lang w:eastAsia="zh-CN"/>
        </w:rPr>
        <w:t>减少</w:t>
      </w:r>
      <w:r>
        <w:rPr>
          <w:rFonts w:hint="eastAsia"/>
          <w:lang w:val="en-US" w:eastAsia="zh-CN"/>
        </w:rPr>
        <w:t>24.43</w:t>
      </w:r>
      <w:r>
        <w:rPr>
          <w:rFonts w:hint="eastAsia"/>
        </w:rPr>
        <w:t>万元，</w:t>
      </w:r>
      <w:bookmarkStart w:id="0" w:name="_Hlk171260646"/>
      <w:r>
        <w:rPr>
          <w:rFonts w:hint="eastAsia"/>
        </w:rPr>
        <w:t>主要原因是</w:t>
      </w:r>
      <w:r>
        <w:rPr>
          <w:rFonts w:hint="eastAsia"/>
          <w:lang w:eastAsia="zh-CN"/>
        </w:rPr>
        <w:t>厉行节约，压缩支出</w:t>
      </w:r>
      <w:r>
        <w:rPr>
          <w:rFonts w:hint="eastAsia"/>
        </w:rPr>
        <w:t xml:space="preserve">。 </w:t>
      </w:r>
    </w:p>
    <w:bookmarkEnd w:id="0"/>
    <w:p w14:paraId="6F118302">
      <w:pPr>
        <w:pStyle w:val="22"/>
        <w:ind w:firstLine="480"/>
      </w:pPr>
      <w:r>
        <w:rPr>
          <w:rFonts w:hint="eastAsia"/>
        </w:rPr>
        <w:t>2.支出预算，</w:t>
      </w:r>
      <w:r>
        <w:rPr>
          <w:rFonts w:hint="default"/>
          <w:lang w:val="en-US"/>
        </w:rPr>
        <w:t>2024</w:t>
      </w:r>
      <w:r>
        <w:rPr>
          <w:rFonts w:hint="eastAsia"/>
        </w:rPr>
        <w:t>年年初预算数</w:t>
      </w:r>
      <w:r>
        <w:rPr>
          <w:rFonts w:hint="eastAsia"/>
          <w:lang w:val="en-US" w:eastAsia="zh-CN"/>
        </w:rPr>
        <w:t>263.19</w:t>
      </w:r>
      <w:r>
        <w:rPr>
          <w:rFonts w:hint="eastAsia"/>
        </w:rPr>
        <w:t>万元，其中主要是人员支出</w:t>
      </w:r>
      <w:r>
        <w:rPr>
          <w:rFonts w:hint="eastAsia"/>
          <w:lang w:val="en-US" w:eastAsia="zh-CN"/>
        </w:rPr>
        <w:t>196.19</w:t>
      </w:r>
      <w:r>
        <w:rPr>
          <w:rFonts w:hint="eastAsia"/>
        </w:rPr>
        <w:t>万元，公用经费</w:t>
      </w:r>
      <w:r>
        <w:rPr>
          <w:rFonts w:hint="eastAsia"/>
          <w:lang w:val="en-US" w:eastAsia="zh-CN"/>
        </w:rPr>
        <w:t>12</w:t>
      </w:r>
      <w:r>
        <w:rPr>
          <w:rFonts w:hint="eastAsia"/>
        </w:rPr>
        <w:t>万元，特定目标类项目支出</w:t>
      </w:r>
      <w:r>
        <w:t>55</w:t>
      </w:r>
      <w:r>
        <w:rPr>
          <w:rFonts w:hint="eastAsia"/>
        </w:rPr>
        <w:t xml:space="preserve"> 万元。压减公用经费和专项支出后。压减公用经费和专项支出后，同口径对比，支出较上年</w:t>
      </w:r>
      <w:r>
        <w:rPr>
          <w:rFonts w:hint="eastAsia"/>
          <w:lang w:eastAsia="zh-CN"/>
        </w:rPr>
        <w:t>减少</w:t>
      </w:r>
      <w:r>
        <w:rPr>
          <w:rFonts w:hint="eastAsia"/>
          <w:lang w:val="en-US" w:eastAsia="zh-CN"/>
        </w:rPr>
        <w:t>24.43</w:t>
      </w:r>
      <w:r>
        <w:rPr>
          <w:rFonts w:hint="eastAsia"/>
        </w:rPr>
        <w:t>万元，主要原因是</w:t>
      </w:r>
      <w:r>
        <w:rPr>
          <w:rFonts w:hint="eastAsia"/>
          <w:lang w:eastAsia="zh-CN"/>
        </w:rPr>
        <w:t>厉行节约，压缩支出。</w:t>
      </w:r>
    </w:p>
    <w:p w14:paraId="007931ED">
      <w:pPr>
        <w:pStyle w:val="9"/>
        <w:spacing w:beforeAutospacing="0" w:afterAutospacing="0" w:line="440" w:lineRule="exact"/>
      </w:pPr>
      <w:r>
        <w:t>（二）部门预算执行情况</w:t>
      </w:r>
    </w:p>
    <w:p w14:paraId="133DC7F9">
      <w:pPr>
        <w:pStyle w:val="22"/>
        <w:ind w:firstLine="480"/>
      </w:pPr>
      <w:r>
        <w:t>1.基本支出情况</w:t>
      </w:r>
    </w:p>
    <w:p w14:paraId="63B84F60">
      <w:pPr>
        <w:pStyle w:val="22"/>
        <w:ind w:firstLine="480"/>
      </w:pPr>
      <w:r>
        <w:rPr>
          <w:rFonts w:hint="default"/>
          <w:lang w:val="en-US"/>
        </w:rPr>
        <w:t>2024</w:t>
      </w:r>
      <w:r>
        <w:rPr>
          <w:rFonts w:hint="eastAsia"/>
        </w:rPr>
        <w:t>年年初预算数为</w:t>
      </w:r>
      <w:r>
        <w:rPr>
          <w:rFonts w:hint="eastAsia"/>
          <w:lang w:val="en-US" w:eastAsia="zh-CN"/>
        </w:rPr>
        <w:t>208.19</w:t>
      </w:r>
      <w:r>
        <w:rPr>
          <w:rFonts w:hint="eastAsia"/>
        </w:rPr>
        <w:t>万元，全年预算数</w:t>
      </w:r>
      <w:r>
        <w:rPr>
          <w:rFonts w:hint="eastAsia"/>
          <w:lang w:val="en-US" w:eastAsia="zh-CN"/>
        </w:rPr>
        <w:t>208.19</w:t>
      </w:r>
      <w:r>
        <w:rPr>
          <w:rFonts w:hint="eastAsia"/>
        </w:rPr>
        <w:t>万元，实际支出</w:t>
      </w:r>
      <w:r>
        <w:rPr>
          <w:rFonts w:hint="eastAsia"/>
          <w:lang w:val="en-US" w:eastAsia="zh-CN"/>
        </w:rPr>
        <w:t>208.19</w:t>
      </w:r>
      <w:r>
        <w:rPr>
          <w:rFonts w:hint="eastAsia"/>
        </w:rPr>
        <w:t>万元，是指为保障单位机构正常运转、完成日常工作任务而发生的各项支出，包括用于基本工资</w:t>
      </w:r>
      <w:r>
        <w:rPr>
          <w:rFonts w:hint="eastAsia"/>
          <w:lang w:val="en-US" w:eastAsia="zh-CN"/>
        </w:rPr>
        <w:t>47.98</w:t>
      </w:r>
      <w:r>
        <w:rPr>
          <w:rFonts w:hint="eastAsia"/>
        </w:rPr>
        <w:t>万元、津贴补贴</w:t>
      </w:r>
      <w:r>
        <w:rPr>
          <w:rFonts w:hint="eastAsia"/>
          <w:lang w:val="en-US" w:eastAsia="zh-CN"/>
        </w:rPr>
        <w:t>27.21</w:t>
      </w:r>
      <w:r>
        <w:rPr>
          <w:rFonts w:hint="eastAsia"/>
        </w:rPr>
        <w:t>万元、奖金3</w:t>
      </w:r>
      <w:r>
        <w:t>5.</w:t>
      </w:r>
      <w:r>
        <w:rPr>
          <w:rFonts w:hint="eastAsia"/>
          <w:lang w:val="en-US" w:eastAsia="zh-CN"/>
        </w:rPr>
        <w:t>16</w:t>
      </w:r>
      <w:r>
        <w:rPr>
          <w:rFonts w:hint="eastAsia"/>
        </w:rPr>
        <w:t>万元、机关事业单位基本养老保险缴费</w:t>
      </w:r>
      <w:r>
        <w:rPr>
          <w:rFonts w:hint="eastAsia"/>
          <w:lang w:val="en-US" w:eastAsia="zh-CN"/>
        </w:rPr>
        <w:t>17.55</w:t>
      </w:r>
      <w:r>
        <w:rPr>
          <w:rFonts w:hint="eastAsia"/>
        </w:rPr>
        <w:t>万元、职工基本医疗保险缴费</w:t>
      </w:r>
      <w:r>
        <w:rPr>
          <w:rFonts w:hint="eastAsia"/>
          <w:lang w:val="en-US" w:eastAsia="zh-CN"/>
        </w:rPr>
        <w:t>7.41</w:t>
      </w:r>
      <w:r>
        <w:rPr>
          <w:rFonts w:hint="eastAsia"/>
        </w:rPr>
        <w:t>万元、 其他工资福利支出</w:t>
      </w:r>
      <w:r>
        <w:rPr>
          <w:rFonts w:hint="eastAsia"/>
          <w:lang w:val="en-US" w:eastAsia="zh-CN"/>
        </w:rPr>
        <w:t>2.4万元、</w:t>
      </w:r>
      <w:r>
        <w:rPr>
          <w:rFonts w:hint="eastAsia"/>
        </w:rPr>
        <w:t>办公费</w:t>
      </w:r>
      <w:r>
        <w:rPr>
          <w:rFonts w:hint="eastAsia"/>
          <w:lang w:val="en-US" w:eastAsia="zh-CN"/>
        </w:rPr>
        <w:t>2</w:t>
      </w:r>
      <w:r>
        <w:rPr>
          <w:rFonts w:hint="eastAsia"/>
        </w:rPr>
        <w:t>万元、</w:t>
      </w:r>
      <w:r>
        <w:rPr>
          <w:rFonts w:hint="eastAsia"/>
          <w:lang w:eastAsia="zh-CN"/>
        </w:rPr>
        <w:t>工会经费</w:t>
      </w:r>
      <w:r>
        <w:rPr>
          <w:rFonts w:hint="eastAsia"/>
          <w:lang w:val="en-US" w:eastAsia="zh-CN"/>
        </w:rPr>
        <w:t>5.5</w:t>
      </w:r>
      <w:r>
        <w:rPr>
          <w:rFonts w:hint="eastAsia"/>
        </w:rPr>
        <w:t>万元、差旅费4</w:t>
      </w:r>
      <w:r>
        <w:t>.17</w:t>
      </w:r>
      <w:r>
        <w:rPr>
          <w:rFonts w:hint="eastAsia"/>
        </w:rPr>
        <w:t>万元、维修（护）费0</w:t>
      </w:r>
      <w:r>
        <w:t>.29</w:t>
      </w:r>
      <w:r>
        <w:rPr>
          <w:rFonts w:hint="eastAsia"/>
        </w:rPr>
        <w:t>万元、公务接待费0</w:t>
      </w:r>
      <w:r>
        <w:t>.</w:t>
      </w:r>
      <w:r>
        <w:rPr>
          <w:rFonts w:hint="eastAsia"/>
          <w:lang w:val="en-US" w:eastAsia="zh-CN"/>
        </w:rPr>
        <w:t>36</w:t>
      </w:r>
      <w:r>
        <w:rPr>
          <w:rFonts w:hint="eastAsia"/>
        </w:rPr>
        <w:t>万元、</w:t>
      </w:r>
      <w:r>
        <w:rPr>
          <w:rFonts w:hint="eastAsia"/>
          <w:lang w:eastAsia="zh-CN"/>
        </w:rPr>
        <w:t>其他对单位和个人的补助支出</w:t>
      </w:r>
      <w:r>
        <w:rPr>
          <w:rFonts w:hint="eastAsia"/>
          <w:lang w:val="en-US" w:eastAsia="zh-CN"/>
        </w:rPr>
        <w:t>23.37万元</w:t>
      </w:r>
      <w:r>
        <w:rPr>
          <w:rFonts w:hint="eastAsia"/>
        </w:rPr>
        <w:t>、</w:t>
      </w:r>
      <w:r>
        <w:rPr>
          <w:rFonts w:hint="eastAsia"/>
          <w:lang w:eastAsia="zh-CN"/>
        </w:rPr>
        <w:t>退休费</w:t>
      </w:r>
      <w:r>
        <w:rPr>
          <w:rFonts w:hint="eastAsia"/>
          <w:lang w:val="en-US" w:eastAsia="zh-CN"/>
        </w:rPr>
        <w:t>11.61万元、</w:t>
      </w:r>
      <w:r>
        <w:rPr>
          <w:rFonts w:hint="eastAsia"/>
        </w:rPr>
        <w:t>其他商品和服务支出</w:t>
      </w:r>
      <w:r>
        <w:rPr>
          <w:rFonts w:hint="eastAsia"/>
          <w:lang w:val="en-US" w:eastAsia="zh-CN"/>
        </w:rPr>
        <w:t>14.65</w:t>
      </w:r>
      <w:r>
        <w:rPr>
          <w:rFonts w:hint="eastAsia"/>
        </w:rPr>
        <w:t>万元等。</w:t>
      </w:r>
    </w:p>
    <w:p w14:paraId="07057622">
      <w:pPr>
        <w:pStyle w:val="22"/>
        <w:ind w:firstLine="480"/>
      </w:pPr>
      <w:r>
        <w:rPr>
          <w:rFonts w:hint="eastAsia"/>
        </w:rPr>
        <w:t>2.项目支出情况</w:t>
      </w:r>
    </w:p>
    <w:p w14:paraId="7E10963D">
      <w:pPr>
        <w:pStyle w:val="22"/>
        <w:ind w:firstLine="480"/>
      </w:pPr>
      <w:r>
        <w:rPr>
          <w:rFonts w:hint="default"/>
          <w:lang w:val="en-US"/>
        </w:rPr>
        <w:t>2024</w:t>
      </w:r>
      <w:r>
        <w:rPr>
          <w:rFonts w:hint="eastAsia"/>
        </w:rPr>
        <w:t>年年初预算数为</w:t>
      </w:r>
      <w:r>
        <w:t>55.00</w:t>
      </w:r>
      <w:r>
        <w:rPr>
          <w:rFonts w:hint="eastAsia"/>
        </w:rPr>
        <w:t>万元，全年预算数</w:t>
      </w:r>
      <w:r>
        <w:rPr>
          <w:rFonts w:hint="eastAsia"/>
          <w:lang w:val="en-US" w:eastAsia="zh-CN"/>
        </w:rPr>
        <w:t>128.1</w:t>
      </w:r>
      <w:r>
        <w:rPr>
          <w:rFonts w:hint="eastAsia"/>
        </w:rPr>
        <w:t>万元，实际支出</w:t>
      </w:r>
      <w:r>
        <w:rPr>
          <w:rFonts w:hint="eastAsia"/>
          <w:lang w:val="en-US" w:eastAsia="zh-CN"/>
        </w:rPr>
        <w:t>128.1</w:t>
      </w:r>
      <w:r>
        <w:rPr>
          <w:rFonts w:hint="eastAsia"/>
        </w:rPr>
        <w:t>万元，其中年中追加预算</w:t>
      </w:r>
      <w:r>
        <w:rPr>
          <w:rFonts w:hint="eastAsia"/>
          <w:lang w:val="en-US" w:eastAsia="zh-CN"/>
        </w:rPr>
        <w:t>73.1</w:t>
      </w:r>
      <w:r>
        <w:rPr>
          <w:rFonts w:hint="eastAsia"/>
        </w:rPr>
        <w:t>万元。全年预算包括</w:t>
      </w:r>
      <w:r>
        <w:rPr>
          <w:rFonts w:hint="eastAsia"/>
          <w:highlight w:val="none"/>
        </w:rPr>
        <w:t>专项业务（工作）经费3</w:t>
      </w:r>
      <w:r>
        <w:rPr>
          <w:highlight w:val="none"/>
        </w:rPr>
        <w:t>5</w:t>
      </w:r>
      <w:r>
        <w:rPr>
          <w:rFonts w:hint="eastAsia"/>
          <w:highlight w:val="none"/>
        </w:rPr>
        <w:t>万元，《怀化文学》办刊经费2</w:t>
      </w:r>
      <w:r>
        <w:rPr>
          <w:highlight w:val="none"/>
        </w:rPr>
        <w:t>0</w:t>
      </w:r>
      <w:r>
        <w:rPr>
          <w:rFonts w:hint="eastAsia"/>
          <w:highlight w:val="none"/>
        </w:rPr>
        <w:t>万元，市直单位老干活动经费1</w:t>
      </w:r>
      <w:r>
        <w:rPr>
          <w:highlight w:val="none"/>
        </w:rPr>
        <w:t>0</w:t>
      </w:r>
      <w:r>
        <w:rPr>
          <w:rFonts w:hint="eastAsia"/>
          <w:highlight w:val="none"/>
        </w:rPr>
        <w:t>万元、两企三新党建工作经费2</w:t>
      </w:r>
      <w:r>
        <w:rPr>
          <w:rFonts w:hint="default"/>
          <w:highlight w:val="none"/>
          <w:lang w:val="en-US"/>
        </w:rPr>
        <w:t>.1</w:t>
      </w:r>
      <w:r>
        <w:rPr>
          <w:rFonts w:hint="eastAsia"/>
          <w:highlight w:val="none"/>
        </w:rPr>
        <w:t>万元、《稻花飘香》及举办主题民族音乐会经费</w:t>
      </w:r>
      <w:r>
        <w:rPr>
          <w:rFonts w:hint="default"/>
          <w:highlight w:val="none"/>
          <w:lang w:val="en-US"/>
        </w:rPr>
        <w:t>10</w:t>
      </w:r>
      <w:r>
        <w:rPr>
          <w:rFonts w:hint="eastAsia"/>
          <w:highlight w:val="none"/>
        </w:rPr>
        <w:t>万元、“聚文化之力助乡村振兴”武陵山杜鹃文化节活动经费2万元、《福地怀化》歌曲制作经费</w:t>
      </w:r>
      <w:r>
        <w:rPr>
          <w:rFonts w:hint="default"/>
          <w:highlight w:val="none"/>
          <w:lang w:val="en-US"/>
        </w:rPr>
        <w:t>2</w:t>
      </w:r>
      <w:r>
        <w:rPr>
          <w:rFonts w:hint="eastAsia"/>
          <w:highlight w:val="none"/>
          <w:lang w:val="en-US" w:eastAsia="zh-CN"/>
        </w:rPr>
        <w:t>万元、怀化市摄影家协会工作经费5万元、文体活动下乡下社区5万元、</w:t>
      </w:r>
      <w:r>
        <w:rPr>
          <w:rFonts w:hint="eastAsia"/>
          <w:highlight w:val="none"/>
        </w:rPr>
        <w:t>张维音乐专辑制作经费市文联“强国复兴新征程 砥砺奋进新时代”活动经费</w:t>
      </w:r>
      <w:r>
        <w:rPr>
          <w:rFonts w:hint="eastAsia"/>
          <w:highlight w:val="none"/>
          <w:lang w:val="en-US" w:eastAsia="zh-CN"/>
        </w:rPr>
        <w:t>9</w:t>
      </w:r>
      <w:r>
        <w:rPr>
          <w:rFonts w:hint="eastAsia"/>
          <w:highlight w:val="none"/>
        </w:rPr>
        <w:t>万</w:t>
      </w:r>
      <w:r>
        <w:rPr>
          <w:rFonts w:hint="eastAsia"/>
          <w:lang w:eastAsia="zh-CN"/>
        </w:rPr>
        <w:t>、《福地怀化诗文选》编辑出版经费</w:t>
      </w:r>
      <w:r>
        <w:rPr>
          <w:rFonts w:hint="eastAsia"/>
          <w:lang w:val="en-US" w:eastAsia="zh-CN"/>
        </w:rPr>
        <w:t>23万、《书写湘商的辉煌》5万元</w:t>
      </w:r>
      <w:r>
        <w:rPr>
          <w:rFonts w:hint="eastAsia"/>
        </w:rPr>
        <w:t>。项目支出是指单位为完成特定行政工作任务或事业发展目标而发生的支出，包括有关事业发展专项、专项业务费、基本建设支出等。本单位项目支出主要用于纪念袁隆平院士作品《稻花飘香》及举办主题民族音乐会经费、《怀化文学》办刊经费、用于积极推动文艺工作发展，持续强化文艺精品创作生产，加强人才队伍建设和自身建设，努力把市文联打造成广大文艺工作者温馨的“文艺工作者之家”。</w:t>
      </w:r>
    </w:p>
    <w:p w14:paraId="2FA942FF">
      <w:pPr>
        <w:pStyle w:val="22"/>
        <w:ind w:firstLine="480"/>
      </w:pPr>
      <w:r>
        <w:rPr>
          <w:rFonts w:hint="eastAsia"/>
        </w:rPr>
        <w:t>（三）“三公经费”使用和管理情况</w:t>
      </w:r>
    </w:p>
    <w:p w14:paraId="33AE8F01">
      <w:pPr>
        <w:pStyle w:val="25"/>
        <w:spacing w:line="440" w:lineRule="exact"/>
        <w:ind w:firstLine="420"/>
      </w:pPr>
      <w:r>
        <w:rPr>
          <w:rFonts w:hint="eastAsia"/>
        </w:rPr>
        <w:t xml:space="preserve">（1）  </w:t>
      </w:r>
      <w:r>
        <w:rPr>
          <w:rFonts w:hint="default"/>
          <w:lang w:val="en-US"/>
        </w:rPr>
        <w:t>2024</w:t>
      </w:r>
      <w:r>
        <w:rPr>
          <w:rFonts w:hint="eastAsia"/>
        </w:rPr>
        <w:t>年“三公经费”支出情况</w:t>
      </w:r>
    </w:p>
    <w:p w14:paraId="07B62203">
      <w:pPr>
        <w:pStyle w:val="25"/>
        <w:ind w:firstLine="6930" w:firstLineChars="3300"/>
      </w:pPr>
      <w:r>
        <w:t>单位：万元</w:t>
      </w:r>
    </w:p>
    <w:tbl>
      <w:tblPr>
        <w:tblStyle w:val="10"/>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6"/>
        <w:gridCol w:w="1720"/>
        <w:gridCol w:w="1870"/>
        <w:gridCol w:w="1806"/>
      </w:tblGrid>
      <w:tr w14:paraId="43A4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 w:hRule="atLeast"/>
          <w:tblHeader/>
          <w:jc w:val="center"/>
        </w:trPr>
        <w:tc>
          <w:tcPr>
            <w:tcW w:w="2936" w:type="dxa"/>
            <w:vAlign w:val="center"/>
          </w:tcPr>
          <w:p w14:paraId="01F1B733">
            <w:pPr>
              <w:ind w:firstLine="420"/>
              <w:jc w:val="center"/>
              <w:rPr>
                <w:sz w:val="21"/>
                <w:szCs w:val="21"/>
              </w:rPr>
            </w:pPr>
            <w:r>
              <w:rPr>
                <w:sz w:val="21"/>
                <w:szCs w:val="21"/>
              </w:rPr>
              <w:t>费用项目</w:t>
            </w:r>
          </w:p>
        </w:tc>
        <w:tc>
          <w:tcPr>
            <w:tcW w:w="1720" w:type="dxa"/>
            <w:vAlign w:val="center"/>
          </w:tcPr>
          <w:p w14:paraId="0C195BBB">
            <w:pPr>
              <w:ind w:firstLine="0" w:firstLineChars="0"/>
              <w:jc w:val="center"/>
              <w:rPr>
                <w:sz w:val="21"/>
                <w:szCs w:val="21"/>
              </w:rPr>
            </w:pPr>
            <w:r>
              <w:rPr>
                <w:sz w:val="21"/>
                <w:szCs w:val="21"/>
              </w:rPr>
              <w:t>本年预算金额</w:t>
            </w:r>
          </w:p>
        </w:tc>
        <w:tc>
          <w:tcPr>
            <w:tcW w:w="1870" w:type="dxa"/>
            <w:vAlign w:val="center"/>
          </w:tcPr>
          <w:p w14:paraId="60ABFA4E">
            <w:pPr>
              <w:ind w:firstLine="0" w:firstLineChars="0"/>
              <w:jc w:val="center"/>
              <w:rPr>
                <w:sz w:val="21"/>
                <w:szCs w:val="21"/>
              </w:rPr>
            </w:pPr>
            <w:r>
              <w:rPr>
                <w:sz w:val="21"/>
                <w:szCs w:val="21"/>
              </w:rPr>
              <w:t>本年决算金额</w:t>
            </w:r>
          </w:p>
        </w:tc>
        <w:tc>
          <w:tcPr>
            <w:tcW w:w="1806" w:type="dxa"/>
            <w:vAlign w:val="center"/>
          </w:tcPr>
          <w:p w14:paraId="3E8AC64B">
            <w:pPr>
              <w:ind w:firstLine="0" w:firstLineChars="0"/>
              <w:jc w:val="center"/>
              <w:rPr>
                <w:sz w:val="21"/>
                <w:szCs w:val="21"/>
              </w:rPr>
            </w:pPr>
            <w:r>
              <w:rPr>
                <w:sz w:val="21"/>
                <w:szCs w:val="21"/>
              </w:rPr>
              <w:t>结余</w:t>
            </w:r>
            <w:r>
              <w:rPr>
                <w:rFonts w:hint="eastAsia"/>
                <w:sz w:val="21"/>
                <w:szCs w:val="21"/>
              </w:rPr>
              <w:t>“</w:t>
            </w:r>
            <w:r>
              <w:rPr>
                <w:sz w:val="21"/>
                <w:szCs w:val="21"/>
              </w:rPr>
              <w:t>-</w:t>
            </w:r>
            <w:r>
              <w:rPr>
                <w:rFonts w:hint="eastAsia"/>
                <w:sz w:val="21"/>
                <w:szCs w:val="21"/>
              </w:rPr>
              <w:t>”</w:t>
            </w:r>
            <w:r>
              <w:rPr>
                <w:sz w:val="21"/>
                <w:szCs w:val="21"/>
              </w:rPr>
              <w:t>/超支</w:t>
            </w:r>
            <w:r>
              <w:rPr>
                <w:rFonts w:hint="eastAsia"/>
                <w:sz w:val="21"/>
                <w:szCs w:val="21"/>
              </w:rPr>
              <w:t>“</w:t>
            </w:r>
            <w:r>
              <w:rPr>
                <w:sz w:val="21"/>
                <w:szCs w:val="21"/>
              </w:rPr>
              <w:t>+</w:t>
            </w:r>
            <w:r>
              <w:rPr>
                <w:rFonts w:hint="eastAsia"/>
                <w:sz w:val="21"/>
                <w:szCs w:val="21"/>
              </w:rPr>
              <w:t>”</w:t>
            </w:r>
          </w:p>
        </w:tc>
      </w:tr>
      <w:tr w14:paraId="223C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 w:hRule="atLeast"/>
          <w:jc w:val="center"/>
        </w:trPr>
        <w:tc>
          <w:tcPr>
            <w:tcW w:w="2936" w:type="dxa"/>
            <w:vAlign w:val="center"/>
          </w:tcPr>
          <w:p w14:paraId="5BDA00F2">
            <w:pPr>
              <w:ind w:firstLine="420"/>
              <w:jc w:val="center"/>
              <w:rPr>
                <w:sz w:val="21"/>
                <w:szCs w:val="21"/>
              </w:rPr>
            </w:pPr>
            <w:r>
              <w:rPr>
                <w:sz w:val="21"/>
                <w:szCs w:val="21"/>
              </w:rPr>
              <w:t>公务接待费</w:t>
            </w:r>
          </w:p>
        </w:tc>
        <w:tc>
          <w:tcPr>
            <w:tcW w:w="1720" w:type="dxa"/>
            <w:vAlign w:val="center"/>
          </w:tcPr>
          <w:p w14:paraId="7A112206">
            <w:pPr>
              <w:pStyle w:val="26"/>
              <w:rPr>
                <w:rFonts w:hint="default" w:eastAsiaTheme="minorEastAsia"/>
                <w:lang w:val="en-US" w:eastAsia="zh-CN"/>
              </w:rPr>
            </w:pPr>
            <w:r>
              <w:t>0.</w:t>
            </w:r>
            <w:r>
              <w:rPr>
                <w:rFonts w:hint="eastAsia"/>
                <w:lang w:val="en-US" w:eastAsia="zh-CN"/>
              </w:rPr>
              <w:t>36</w:t>
            </w:r>
          </w:p>
        </w:tc>
        <w:tc>
          <w:tcPr>
            <w:tcW w:w="1870" w:type="dxa"/>
            <w:vAlign w:val="center"/>
          </w:tcPr>
          <w:p w14:paraId="3AC0C0E7">
            <w:pPr>
              <w:pStyle w:val="26"/>
              <w:rPr>
                <w:rFonts w:hint="eastAsia" w:eastAsiaTheme="minorEastAsia"/>
                <w:lang w:eastAsia="zh-CN"/>
              </w:rPr>
            </w:pPr>
            <w:r>
              <w:t>0.2</w:t>
            </w:r>
            <w:r>
              <w:rPr>
                <w:rFonts w:hint="eastAsia"/>
                <w:lang w:val="en-US" w:eastAsia="zh-CN"/>
              </w:rPr>
              <w:t>2</w:t>
            </w:r>
          </w:p>
        </w:tc>
        <w:tc>
          <w:tcPr>
            <w:tcW w:w="1806" w:type="dxa"/>
            <w:vAlign w:val="center"/>
          </w:tcPr>
          <w:p w14:paraId="058E8A8F">
            <w:pPr>
              <w:pStyle w:val="26"/>
              <w:rPr>
                <w:rFonts w:hint="default" w:eastAsiaTheme="minorEastAsia"/>
                <w:lang w:val="en-US" w:eastAsia="zh-CN"/>
              </w:rPr>
            </w:pPr>
            <w:r>
              <w:t>-0.</w:t>
            </w:r>
            <w:r>
              <w:rPr>
                <w:rFonts w:hint="eastAsia"/>
                <w:lang w:val="en-US" w:eastAsia="zh-CN"/>
              </w:rPr>
              <w:t>14</w:t>
            </w:r>
          </w:p>
        </w:tc>
      </w:tr>
      <w:tr w14:paraId="1CD8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 w:hRule="atLeast"/>
          <w:jc w:val="center"/>
        </w:trPr>
        <w:tc>
          <w:tcPr>
            <w:tcW w:w="2936" w:type="dxa"/>
            <w:vAlign w:val="center"/>
          </w:tcPr>
          <w:p w14:paraId="35DE8252">
            <w:pPr>
              <w:ind w:firstLine="0" w:firstLineChars="0"/>
              <w:jc w:val="center"/>
              <w:rPr>
                <w:sz w:val="21"/>
                <w:szCs w:val="21"/>
              </w:rPr>
            </w:pPr>
            <w:r>
              <w:rPr>
                <w:rFonts w:hint="eastAsia"/>
                <w:sz w:val="21"/>
                <w:szCs w:val="21"/>
              </w:rPr>
              <w:t>公务用车购置及运行维护费</w:t>
            </w:r>
          </w:p>
        </w:tc>
        <w:tc>
          <w:tcPr>
            <w:tcW w:w="1720" w:type="dxa"/>
            <w:vAlign w:val="center"/>
          </w:tcPr>
          <w:p w14:paraId="205468F8">
            <w:pPr>
              <w:pStyle w:val="26"/>
            </w:pPr>
            <w:r>
              <w:rPr>
                <w:rFonts w:hint="eastAsia"/>
              </w:rPr>
              <w:t>0.00</w:t>
            </w:r>
          </w:p>
        </w:tc>
        <w:tc>
          <w:tcPr>
            <w:tcW w:w="1870" w:type="dxa"/>
            <w:vAlign w:val="center"/>
          </w:tcPr>
          <w:p w14:paraId="2E1712DB">
            <w:pPr>
              <w:pStyle w:val="26"/>
            </w:pPr>
            <w:r>
              <w:rPr>
                <w:rFonts w:hint="eastAsia"/>
              </w:rPr>
              <w:t>0.00</w:t>
            </w:r>
          </w:p>
        </w:tc>
        <w:tc>
          <w:tcPr>
            <w:tcW w:w="1806" w:type="dxa"/>
            <w:vAlign w:val="center"/>
          </w:tcPr>
          <w:p w14:paraId="7DD9D8D1">
            <w:pPr>
              <w:pStyle w:val="26"/>
            </w:pPr>
            <w:r>
              <w:rPr>
                <w:rFonts w:hint="eastAsia"/>
              </w:rPr>
              <w:t>0.00</w:t>
            </w:r>
          </w:p>
        </w:tc>
      </w:tr>
      <w:tr w14:paraId="6C04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 w:hRule="atLeast"/>
          <w:jc w:val="center"/>
        </w:trPr>
        <w:tc>
          <w:tcPr>
            <w:tcW w:w="2936" w:type="dxa"/>
            <w:vAlign w:val="center"/>
          </w:tcPr>
          <w:p w14:paraId="78C76675">
            <w:pPr>
              <w:ind w:firstLine="420"/>
              <w:jc w:val="center"/>
              <w:rPr>
                <w:sz w:val="21"/>
                <w:szCs w:val="21"/>
              </w:rPr>
            </w:pPr>
            <w:r>
              <w:rPr>
                <w:sz w:val="21"/>
                <w:szCs w:val="21"/>
              </w:rPr>
              <w:t>因公出国费用</w:t>
            </w:r>
          </w:p>
        </w:tc>
        <w:tc>
          <w:tcPr>
            <w:tcW w:w="1720" w:type="dxa"/>
            <w:vAlign w:val="center"/>
          </w:tcPr>
          <w:p w14:paraId="6B977CEB">
            <w:pPr>
              <w:pStyle w:val="26"/>
            </w:pPr>
            <w:r>
              <w:rPr>
                <w:rFonts w:hint="eastAsia"/>
              </w:rPr>
              <w:t>0.00</w:t>
            </w:r>
          </w:p>
        </w:tc>
        <w:tc>
          <w:tcPr>
            <w:tcW w:w="1870" w:type="dxa"/>
            <w:vAlign w:val="center"/>
          </w:tcPr>
          <w:p w14:paraId="16D447BF">
            <w:pPr>
              <w:pStyle w:val="26"/>
            </w:pPr>
            <w:r>
              <w:rPr>
                <w:rFonts w:hint="eastAsia"/>
              </w:rPr>
              <w:t>0.00</w:t>
            </w:r>
          </w:p>
        </w:tc>
        <w:tc>
          <w:tcPr>
            <w:tcW w:w="1806" w:type="dxa"/>
            <w:vAlign w:val="center"/>
          </w:tcPr>
          <w:p w14:paraId="7B6A67C2">
            <w:pPr>
              <w:pStyle w:val="26"/>
            </w:pPr>
            <w:r>
              <w:rPr>
                <w:rFonts w:hint="eastAsia"/>
              </w:rPr>
              <w:t>0.00</w:t>
            </w:r>
          </w:p>
        </w:tc>
      </w:tr>
      <w:tr w14:paraId="48ED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 w:hRule="atLeast"/>
          <w:jc w:val="center"/>
        </w:trPr>
        <w:tc>
          <w:tcPr>
            <w:tcW w:w="2936" w:type="dxa"/>
            <w:vAlign w:val="center"/>
          </w:tcPr>
          <w:p w14:paraId="3753103E">
            <w:pPr>
              <w:ind w:firstLine="420"/>
              <w:jc w:val="center"/>
              <w:rPr>
                <w:sz w:val="21"/>
                <w:szCs w:val="21"/>
              </w:rPr>
            </w:pPr>
            <w:r>
              <w:rPr>
                <w:sz w:val="21"/>
                <w:szCs w:val="21"/>
              </w:rPr>
              <w:t>合计</w:t>
            </w:r>
          </w:p>
        </w:tc>
        <w:tc>
          <w:tcPr>
            <w:tcW w:w="1720" w:type="dxa"/>
            <w:vAlign w:val="center"/>
          </w:tcPr>
          <w:p w14:paraId="0B4A8D13">
            <w:pPr>
              <w:pStyle w:val="26"/>
              <w:ind w:firstLine="0" w:firstLineChars="0"/>
            </w:pPr>
            <w:r>
              <w:t>0.</w:t>
            </w:r>
            <w:r>
              <w:rPr>
                <w:rFonts w:hint="eastAsia"/>
                <w:lang w:val="en-US" w:eastAsia="zh-CN"/>
              </w:rPr>
              <w:t>36</w:t>
            </w:r>
          </w:p>
        </w:tc>
        <w:tc>
          <w:tcPr>
            <w:tcW w:w="1870" w:type="dxa"/>
            <w:vAlign w:val="center"/>
          </w:tcPr>
          <w:p w14:paraId="29F5EB70">
            <w:pPr>
              <w:pStyle w:val="26"/>
              <w:ind w:firstLine="0" w:firstLineChars="0"/>
            </w:pPr>
            <w:r>
              <w:t>0.2</w:t>
            </w:r>
            <w:r>
              <w:rPr>
                <w:rFonts w:hint="eastAsia"/>
                <w:lang w:val="en-US" w:eastAsia="zh-CN"/>
              </w:rPr>
              <w:t>2</w:t>
            </w:r>
          </w:p>
        </w:tc>
        <w:tc>
          <w:tcPr>
            <w:tcW w:w="1806" w:type="dxa"/>
            <w:vAlign w:val="center"/>
          </w:tcPr>
          <w:p w14:paraId="3FFC0391">
            <w:pPr>
              <w:pStyle w:val="26"/>
              <w:ind w:firstLine="0" w:firstLineChars="0"/>
            </w:pPr>
            <w:r>
              <w:t>-0.</w:t>
            </w:r>
            <w:r>
              <w:rPr>
                <w:rFonts w:hint="eastAsia"/>
                <w:lang w:val="en-US" w:eastAsia="zh-CN"/>
              </w:rPr>
              <w:t>14</w:t>
            </w:r>
          </w:p>
        </w:tc>
      </w:tr>
    </w:tbl>
    <w:p w14:paraId="7FCB3A27">
      <w:pPr>
        <w:pStyle w:val="27"/>
      </w:pPr>
      <w:r>
        <w:t>从上表分析，</w:t>
      </w:r>
      <w:r>
        <w:rPr>
          <w:lang w:val="en-US"/>
        </w:rPr>
        <w:t>2024</w:t>
      </w:r>
      <w:r>
        <w:rPr>
          <w:rFonts w:hint="eastAsia"/>
        </w:rPr>
        <w:t>“</w:t>
      </w:r>
      <w:r>
        <w:t>三公经费</w:t>
      </w:r>
      <w:r>
        <w:rPr>
          <w:rFonts w:hint="eastAsia"/>
        </w:rPr>
        <w:t>”</w:t>
      </w:r>
      <w:r>
        <w:t>预算支出</w:t>
      </w:r>
      <w:r>
        <w:rPr>
          <w:rFonts w:hint="eastAsia"/>
          <w:lang w:val="en-US" w:eastAsia="zh-CN"/>
        </w:rPr>
        <w:t>0.36</w:t>
      </w:r>
      <w:r>
        <w:t>万元，决算支出</w:t>
      </w:r>
      <w:r>
        <w:rPr>
          <w:rFonts w:hint="eastAsia"/>
          <w:lang w:val="en-US" w:eastAsia="zh-CN"/>
        </w:rPr>
        <w:t>0.22</w:t>
      </w:r>
      <w:r>
        <w:t>万元，结余</w:t>
      </w:r>
      <w:r>
        <w:rPr>
          <w:rFonts w:hint="eastAsia"/>
          <w:lang w:val="en-US" w:eastAsia="zh-CN"/>
        </w:rPr>
        <w:t>0.14</w:t>
      </w:r>
      <w:r>
        <w:t>万元，</w:t>
      </w:r>
      <w:r>
        <w:rPr>
          <w:rFonts w:hint="eastAsia"/>
        </w:rPr>
        <w:t>“</w:t>
      </w:r>
      <w:r>
        <w:t>三公经费</w:t>
      </w:r>
      <w:r>
        <w:rPr>
          <w:rFonts w:hint="eastAsia"/>
        </w:rPr>
        <w:t>”</w:t>
      </w:r>
      <w:r>
        <w:t>总额控制在预算范围内。</w:t>
      </w:r>
    </w:p>
    <w:p w14:paraId="1CD0DC90">
      <w:pPr>
        <w:pStyle w:val="27"/>
      </w:pPr>
      <w:r>
        <w:t>从</w:t>
      </w:r>
      <w:r>
        <w:rPr>
          <w:rFonts w:hint="eastAsia"/>
        </w:rPr>
        <w:t>“</w:t>
      </w:r>
      <w:r>
        <w:t>三公经费</w:t>
      </w:r>
      <w:r>
        <w:rPr>
          <w:rFonts w:hint="eastAsia"/>
        </w:rPr>
        <w:t>”</w:t>
      </w:r>
      <w:r>
        <w:t>的支出明细项目分析，公务接待费支出</w:t>
      </w:r>
      <w:r>
        <w:rPr>
          <w:rFonts w:hint="eastAsia"/>
          <w:lang w:val="en-US" w:eastAsia="zh-CN"/>
        </w:rPr>
        <w:t>0.22</w:t>
      </w:r>
      <w:r>
        <w:t>万元，结余</w:t>
      </w:r>
      <w:r>
        <w:rPr>
          <w:rFonts w:hint="eastAsia"/>
          <w:lang w:val="en-US" w:eastAsia="zh-CN"/>
        </w:rPr>
        <w:t>0.14</w:t>
      </w:r>
      <w:r>
        <w:t>万元；</w:t>
      </w:r>
      <w:r>
        <w:rPr>
          <w:rFonts w:hint="eastAsia"/>
        </w:rPr>
        <w:t>公务用车购置及运行维护费</w:t>
      </w:r>
      <w:r>
        <w:t>支出</w:t>
      </w:r>
      <w:r>
        <w:rPr>
          <w:rFonts w:hint="eastAsia"/>
        </w:rPr>
        <w:t>及</w:t>
      </w:r>
      <w:r>
        <w:t>因公出国费用支出</w:t>
      </w:r>
      <w:r>
        <w:rPr>
          <w:rFonts w:hint="eastAsia"/>
        </w:rPr>
        <w:t>均为0.00</w:t>
      </w:r>
      <w:r>
        <w:t>万元，</w:t>
      </w:r>
      <w:r>
        <w:rPr>
          <w:rFonts w:hint="eastAsia"/>
        </w:rPr>
        <w:t>“</w:t>
      </w:r>
      <w:r>
        <w:t>三公</w:t>
      </w:r>
      <w:r>
        <w:rPr>
          <w:rFonts w:hint="eastAsia"/>
        </w:rPr>
        <w:t>”</w:t>
      </w:r>
      <w:r>
        <w:t>经费明细均在</w:t>
      </w:r>
      <w:r>
        <w:rPr>
          <w:rFonts w:hint="eastAsia"/>
        </w:rPr>
        <w:t>预算指标控制范围内。</w:t>
      </w:r>
    </w:p>
    <w:p w14:paraId="183E0860">
      <w:pPr>
        <w:pStyle w:val="22"/>
        <w:ind w:firstLine="480"/>
      </w:pPr>
      <w:r>
        <w:t>（2）与上年度比较“三公经费”控制情况</w:t>
      </w:r>
    </w:p>
    <w:p w14:paraId="6C04BDA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420" w:firstLineChars="200"/>
        <w:textAlignment w:val="auto"/>
        <w:outlineLvl w:val="9"/>
      </w:pPr>
      <w:r>
        <w:rPr>
          <w:rFonts w:hint="eastAsia" w:cs="Times New Roman" w:asciiTheme="minorHAnsi" w:hAnsiTheme="minorHAnsi" w:eastAsiaTheme="minorEastAsia"/>
          <w:sz w:val="21"/>
          <w:szCs w:val="21"/>
          <w:shd w:val="clear" w:color="auto" w:fill="FFFFFF"/>
          <w:lang w:val="en-US" w:eastAsia="zh-CN" w:bidi="ar-SA"/>
        </w:rPr>
        <w:t>2024年“三公”经费预算较上年预算数减少0.09万元，下降2%，主要因为：按照“三公”经费“只减不增”原则，从严从紧安排“三公”经费预算。</w:t>
      </w:r>
      <w:r>
        <w:rPr>
          <w:rFonts w:hint="default" w:cs="Times New Roman" w:asciiTheme="minorHAnsi" w:hAnsiTheme="minorHAnsi" w:eastAsiaTheme="minorEastAsia"/>
          <w:sz w:val="21"/>
          <w:szCs w:val="21"/>
          <w:shd w:val="clear" w:color="auto" w:fill="FFFFFF"/>
          <w:lang w:val="en-US" w:eastAsia="zh-CN" w:bidi="ar-SA"/>
        </w:rPr>
        <w:t>2024</w:t>
      </w:r>
      <w:r>
        <w:rPr>
          <w:rFonts w:hint="eastAsia" w:cs="Times New Roman" w:asciiTheme="minorHAnsi" w:hAnsiTheme="minorHAnsi" w:eastAsiaTheme="minorEastAsia"/>
          <w:sz w:val="21"/>
          <w:szCs w:val="21"/>
          <w:shd w:val="clear" w:color="auto" w:fill="FFFFFF"/>
          <w:lang w:val="en-US" w:eastAsia="zh-CN" w:bidi="ar-SA"/>
        </w:rPr>
        <w:t>年“三公经费”决算数较上年</w:t>
      </w:r>
      <w:r>
        <w:rPr>
          <w:rFonts w:hint="eastAsia" w:cs="Times New Roman"/>
          <w:sz w:val="21"/>
          <w:szCs w:val="21"/>
          <w:shd w:val="clear" w:color="auto" w:fill="FFFFFF"/>
          <w:lang w:val="en-US" w:eastAsia="zh-CN" w:bidi="ar-SA"/>
        </w:rPr>
        <w:t>减少</w:t>
      </w:r>
      <w:r>
        <w:rPr>
          <w:rFonts w:hint="eastAsia" w:cs="Times New Roman" w:asciiTheme="minorHAnsi" w:hAnsiTheme="minorHAnsi" w:eastAsiaTheme="minorEastAsia"/>
          <w:sz w:val="21"/>
          <w:szCs w:val="21"/>
          <w:shd w:val="clear" w:color="auto" w:fill="FFFFFF"/>
          <w:lang w:val="en-US" w:eastAsia="zh-CN" w:bidi="ar-SA"/>
        </w:rPr>
        <w:t>了</w:t>
      </w:r>
      <w:r>
        <w:rPr>
          <w:rFonts w:hint="eastAsia" w:cs="Times New Roman"/>
          <w:sz w:val="21"/>
          <w:szCs w:val="21"/>
          <w:shd w:val="clear" w:color="auto" w:fill="FFFFFF"/>
          <w:lang w:val="en-US" w:eastAsia="zh-CN" w:bidi="ar-SA"/>
        </w:rPr>
        <w:t>0.01</w:t>
      </w:r>
      <w:r>
        <w:rPr>
          <w:rFonts w:hint="eastAsia" w:cs="Times New Roman" w:asciiTheme="minorHAnsi" w:hAnsiTheme="minorHAnsi" w:eastAsiaTheme="minorEastAsia"/>
          <w:sz w:val="21"/>
          <w:szCs w:val="21"/>
          <w:shd w:val="clear" w:color="auto" w:fill="FFFFFF"/>
          <w:lang w:val="en-US" w:eastAsia="zh-CN" w:bidi="ar-SA"/>
        </w:rPr>
        <w:t>万元，</w:t>
      </w:r>
      <w:r>
        <w:rPr>
          <w:rFonts w:hint="eastAsia" w:cs="Times New Roman"/>
          <w:sz w:val="21"/>
          <w:szCs w:val="21"/>
          <w:shd w:val="clear" w:color="auto" w:fill="FFFFFF"/>
          <w:lang w:val="en-US" w:eastAsia="zh-CN" w:bidi="ar-SA"/>
        </w:rPr>
        <w:t>减少6.32</w:t>
      </w:r>
      <w:r>
        <w:rPr>
          <w:rFonts w:hint="eastAsia" w:cs="Times New Roman" w:asciiTheme="minorHAnsi" w:hAnsiTheme="minorHAnsi" w:eastAsiaTheme="minorEastAsia"/>
          <w:sz w:val="21"/>
          <w:szCs w:val="21"/>
          <w:shd w:val="clear" w:color="auto" w:fill="FFFFFF"/>
          <w:lang w:val="en-US" w:eastAsia="zh-CN" w:bidi="ar-SA"/>
        </w:rPr>
        <w:t>%，主要因为厉行节约，压减开支。</w:t>
      </w:r>
    </w:p>
    <w:p w14:paraId="4B6E4D90">
      <w:pPr>
        <w:pStyle w:val="22"/>
        <w:ind w:firstLine="480"/>
      </w:pPr>
      <w:r>
        <w:t>三</w:t>
      </w:r>
      <w:r>
        <w:rPr>
          <w:rFonts w:hint="eastAsia"/>
        </w:rPr>
        <w:t>、基金预算支出情况</w:t>
      </w:r>
    </w:p>
    <w:p w14:paraId="09CD223B">
      <w:pPr>
        <w:pStyle w:val="22"/>
        <w:ind w:firstLine="480"/>
      </w:pPr>
      <w:r>
        <w:rPr>
          <w:rFonts w:hint="default"/>
          <w:lang w:val="en-US"/>
        </w:rPr>
        <w:t>2024</w:t>
      </w:r>
      <w:r>
        <w:t>年无政府性基金</w:t>
      </w:r>
      <w:r>
        <w:rPr>
          <w:rFonts w:hint="eastAsia"/>
        </w:rPr>
        <w:t>预算</w:t>
      </w:r>
      <w:r>
        <w:t>支出</w:t>
      </w:r>
      <w:r>
        <w:rPr>
          <w:rFonts w:hint="eastAsia"/>
        </w:rPr>
        <w:t>。</w:t>
      </w:r>
    </w:p>
    <w:p w14:paraId="7922FBBD">
      <w:pPr>
        <w:pStyle w:val="22"/>
        <w:ind w:firstLine="480"/>
      </w:pPr>
      <w:r>
        <w:rPr>
          <w:rFonts w:hint="eastAsia"/>
        </w:rPr>
        <w:t>四、国有资本经营预算支出情况</w:t>
      </w:r>
    </w:p>
    <w:p w14:paraId="004E565F">
      <w:pPr>
        <w:pStyle w:val="22"/>
        <w:ind w:firstLine="480"/>
      </w:pPr>
      <w:r>
        <w:rPr>
          <w:rFonts w:hint="default"/>
          <w:lang w:val="en-US"/>
        </w:rPr>
        <w:t>2024</w:t>
      </w:r>
      <w:r>
        <w:rPr>
          <w:rFonts w:hint="eastAsia"/>
        </w:rPr>
        <w:t>年无国有资本经营预算支出</w:t>
      </w:r>
    </w:p>
    <w:p w14:paraId="763B4A18">
      <w:pPr>
        <w:pStyle w:val="22"/>
        <w:ind w:firstLine="480"/>
      </w:pPr>
      <w:r>
        <w:rPr>
          <w:rFonts w:hint="eastAsia"/>
        </w:rPr>
        <w:t>五、社会保险基金预算支出情况</w:t>
      </w:r>
    </w:p>
    <w:p w14:paraId="4FB9E4EC">
      <w:pPr>
        <w:pStyle w:val="22"/>
        <w:ind w:firstLine="480"/>
      </w:pPr>
      <w:r>
        <w:rPr>
          <w:rFonts w:hint="default"/>
          <w:lang w:val="en-US"/>
        </w:rPr>
        <w:t>2024</w:t>
      </w:r>
      <w:r>
        <w:rPr>
          <w:rFonts w:hint="eastAsia"/>
        </w:rPr>
        <w:t>年无社会保险基金预算支出。</w:t>
      </w:r>
    </w:p>
    <w:p w14:paraId="3BC92459">
      <w:pPr>
        <w:pStyle w:val="22"/>
        <w:ind w:firstLine="480"/>
      </w:pPr>
      <w:r>
        <w:rPr>
          <w:rFonts w:hint="eastAsia"/>
        </w:rPr>
        <w:t>六、部门整体支出绩效情况</w:t>
      </w:r>
    </w:p>
    <w:p w14:paraId="3825252D">
      <w:pPr>
        <w:pStyle w:val="22"/>
        <w:ind w:firstLine="480"/>
      </w:pPr>
      <w:r>
        <w:rPr>
          <w:rFonts w:cs="楷体_GB2312" w:asciiTheme="minorEastAsia" w:hAnsiTheme="minorEastAsia"/>
        </w:rPr>
        <w:t>（一）综合评价结论。</w:t>
      </w:r>
      <w:r>
        <w:t>反映自评得分及评价等级。</w:t>
      </w:r>
    </w:p>
    <w:p w14:paraId="0C95A61D">
      <w:pPr>
        <w:pStyle w:val="22"/>
        <w:ind w:firstLine="480"/>
      </w:pPr>
      <w:r>
        <w:rPr>
          <w:rFonts w:hint="eastAsia"/>
        </w:rPr>
        <w:t>根据部门整体支出绩效评价指标规定的内容，经我单位认真自评，总评分为100分，实际得分98分，</w:t>
      </w:r>
      <w:r>
        <w:rPr>
          <w:rFonts w:hint="default"/>
          <w:lang w:val="en-US"/>
        </w:rPr>
        <w:t>2024</w:t>
      </w:r>
      <w:r>
        <w:rPr>
          <w:rFonts w:hint="eastAsia"/>
        </w:rPr>
        <w:t>年度部门整体绩效评价为优秀。</w:t>
      </w:r>
    </w:p>
    <w:p w14:paraId="3D1D36BF">
      <w:pPr>
        <w:pStyle w:val="22"/>
        <w:keepNext w:val="0"/>
        <w:keepLines w:val="0"/>
        <w:pageBreakBefore w:val="0"/>
        <w:widowControl/>
        <w:kinsoku/>
        <w:wordWrap/>
        <w:overflowPunct/>
        <w:topLinePunct w:val="0"/>
        <w:autoSpaceDE/>
        <w:autoSpaceDN/>
        <w:bidi w:val="0"/>
        <w:adjustRightInd/>
        <w:snapToGrid/>
        <w:ind w:firstLine="480"/>
        <w:textAlignment w:val="auto"/>
      </w:pPr>
      <w:r>
        <w:rPr>
          <w:rFonts w:hint="eastAsia"/>
        </w:rPr>
        <w:t>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的真实、准确、全面。内部控制制度健全完整并执行良好，在本年度内未出现廉政风险。</w:t>
      </w:r>
      <w:r>
        <w:rPr>
          <w:rFonts w:hint="default"/>
          <w:lang w:val="en-US"/>
        </w:rPr>
        <w:t>2024</w:t>
      </w:r>
      <w:r>
        <w:rPr>
          <w:rFonts w:hint="eastAsia"/>
        </w:rPr>
        <w:t>年单位党组深入学习贯彻党的二十大精神，扎实开展学习贯彻</w:t>
      </w:r>
      <w:r>
        <w:rPr>
          <w:rFonts w:hint="eastAsia"/>
          <w:lang w:eastAsia="zh-CN"/>
        </w:rPr>
        <w:t>党纪学习</w:t>
      </w:r>
      <w:r>
        <w:rPr>
          <w:rFonts w:hint="eastAsia"/>
        </w:rPr>
        <w:t>主题教育，深刻领会“两个确立”决定性意义，做到“两个维护”，深入贯彻落实上级部门的重要指示批示精神，坚持以习近平新时代中国特色社会主义思想、习近平文化思想和习近平总书记关于文艺工作重要论述为指导，充分发挥“团结引导、联络协调、服务管理、自律维权”职能，着力推动新时代怀化文艺高质量发展。</w:t>
      </w:r>
    </w:p>
    <w:p w14:paraId="129D058C">
      <w:pPr>
        <w:pStyle w:val="22"/>
        <w:ind w:firstLine="480"/>
      </w:pPr>
      <w:r>
        <w:t>（二）评价指标分析（或综合评价情况）。</w:t>
      </w:r>
    </w:p>
    <w:p w14:paraId="6D3F0860">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20" w:firstLineChars="200"/>
        <w:jc w:val="both"/>
        <w:textAlignment w:val="auto"/>
        <w:rPr>
          <w:rFonts w:hint="eastAsia" w:cs="Times New Roman" w:asciiTheme="minorHAnsi" w:hAnsiTheme="minorHAnsi" w:eastAsiaTheme="minorEastAsia"/>
          <w:sz w:val="24"/>
          <w:szCs w:val="18"/>
          <w:shd w:val="clear" w:color="auto" w:fill="FFFFFF"/>
          <w:lang w:val="en-US" w:eastAsia="zh-CN" w:bidi="ar-SA"/>
        </w:rPr>
      </w:pPr>
      <w:r>
        <w:rPr>
          <w:rFonts w:ascii="Calibri" w:hAnsi="Calibri" w:eastAsia="楷体_GB2312" w:cs="楷体_GB2312"/>
          <w:lang w:val="en-US"/>
        </w:rPr>
        <w:t>2024</w:t>
      </w:r>
      <w:r>
        <w:rPr>
          <w:rFonts w:hint="eastAsia"/>
        </w:rPr>
        <w:t>年，</w:t>
      </w:r>
      <w:r>
        <w:rPr>
          <w:rFonts w:hint="eastAsia" w:cs="Times New Roman" w:asciiTheme="minorHAnsi" w:hAnsiTheme="minorHAnsi" w:eastAsiaTheme="minorEastAsia"/>
          <w:sz w:val="24"/>
          <w:szCs w:val="18"/>
          <w:shd w:val="clear" w:color="auto" w:fill="FFFFFF"/>
          <w:lang w:val="en-US" w:eastAsia="zh-CN" w:bidi="ar-SA"/>
        </w:rPr>
        <w:t>聚焦主责主业，业务工作取得成效</w:t>
      </w:r>
      <w:r>
        <w:rPr>
          <w:rFonts w:hint="eastAsia" w:cs="Times New Roman"/>
          <w:sz w:val="24"/>
          <w:szCs w:val="18"/>
          <w:shd w:val="clear" w:color="auto" w:fill="FFFFFF"/>
          <w:lang w:val="en-US" w:eastAsia="zh-CN" w:bidi="ar-SA"/>
        </w:rPr>
        <w:t>。</w:t>
      </w:r>
      <w:r>
        <w:rPr>
          <w:rFonts w:hint="eastAsia" w:cs="Times New Roman" w:asciiTheme="minorHAnsi" w:hAnsiTheme="minorHAnsi" w:eastAsiaTheme="minorEastAsia"/>
          <w:sz w:val="24"/>
          <w:szCs w:val="18"/>
          <w:shd w:val="clear" w:color="auto" w:fill="FFFFFF"/>
          <w:lang w:val="en-US" w:eastAsia="zh-CN" w:bidi="ar-SA"/>
        </w:rPr>
        <w:t>一是扎实服务中心大局。编撰</w:t>
      </w:r>
      <w:r>
        <w:rPr>
          <w:rFonts w:hint="default" w:cs="Times New Roman" w:asciiTheme="minorHAnsi" w:hAnsiTheme="minorHAnsi" w:eastAsiaTheme="minorEastAsia"/>
          <w:sz w:val="24"/>
          <w:szCs w:val="18"/>
          <w:shd w:val="clear" w:color="auto" w:fill="FFFFFF"/>
          <w:lang w:val="en-US" w:eastAsia="zh-CN" w:bidi="ar-SA"/>
        </w:rPr>
        <w:t>、出版</w:t>
      </w:r>
      <w:r>
        <w:rPr>
          <w:rFonts w:hint="eastAsia" w:cs="Times New Roman" w:asciiTheme="minorHAnsi" w:hAnsiTheme="minorHAnsi" w:eastAsiaTheme="minorEastAsia"/>
          <w:sz w:val="24"/>
          <w:szCs w:val="18"/>
          <w:shd w:val="clear" w:color="auto" w:fill="FFFFFF"/>
          <w:lang w:val="en-US" w:eastAsia="zh-CN" w:bidi="ar-SA"/>
        </w:rPr>
        <w:t>《福地怀化诗文选》</w:t>
      </w:r>
      <w:r>
        <w:rPr>
          <w:rFonts w:hint="default" w:cs="Times New Roman" w:asciiTheme="minorHAnsi" w:hAnsiTheme="minorHAnsi" w:eastAsiaTheme="minorEastAsia"/>
          <w:sz w:val="24"/>
          <w:szCs w:val="18"/>
          <w:shd w:val="clear" w:color="auto" w:fill="FFFFFF"/>
          <w:lang w:val="en-US" w:eastAsia="zh-CN" w:bidi="ar-SA"/>
        </w:rPr>
        <w:t>，成为第十一届全球湘商大会、第三届怀化旅游发展大会重要外宣文化精品。</w:t>
      </w:r>
      <w:r>
        <w:rPr>
          <w:rFonts w:hint="eastAsia" w:cs="Times New Roman" w:asciiTheme="minorHAnsi" w:hAnsiTheme="minorHAnsi" w:eastAsiaTheme="minorEastAsia"/>
          <w:sz w:val="24"/>
          <w:szCs w:val="18"/>
          <w:shd w:val="clear" w:color="auto" w:fill="FFFFFF"/>
          <w:lang w:val="en-US" w:eastAsia="zh-CN" w:bidi="ar-SA"/>
        </w:rPr>
        <w:t>以举办“屈子行吟·诗歌之源”2024中国·怀化首届屈原爱国怀乡诗歌节活动</w:t>
      </w:r>
      <w:r>
        <w:rPr>
          <w:rFonts w:hint="default" w:cs="Times New Roman" w:asciiTheme="minorHAnsi" w:hAnsiTheme="minorHAnsi" w:eastAsiaTheme="minorEastAsia"/>
          <w:sz w:val="24"/>
          <w:szCs w:val="18"/>
          <w:shd w:val="clear" w:color="auto" w:fill="FFFFFF"/>
          <w:lang w:val="en-US" w:eastAsia="zh-CN" w:bidi="ar-SA"/>
        </w:rPr>
        <w:t>为契机</w:t>
      </w:r>
      <w:r>
        <w:rPr>
          <w:rFonts w:hint="eastAsia" w:cs="Times New Roman" w:asciiTheme="minorHAnsi" w:hAnsiTheme="minorHAnsi" w:eastAsiaTheme="minorEastAsia"/>
          <w:sz w:val="24"/>
          <w:szCs w:val="18"/>
          <w:shd w:val="clear" w:color="auto" w:fill="FFFFFF"/>
          <w:lang w:val="en-US" w:eastAsia="zh-CN" w:bidi="ar-SA"/>
        </w:rPr>
        <w:t>，组织60名省内外诗歌学者开展“福地怀化”采风活动。</w:t>
      </w:r>
      <w:r>
        <w:rPr>
          <w:rFonts w:hint="default" w:cs="Times New Roman" w:asciiTheme="minorHAnsi" w:hAnsiTheme="minorHAnsi" w:eastAsiaTheme="minorEastAsia"/>
          <w:sz w:val="24"/>
          <w:szCs w:val="18"/>
          <w:shd w:val="clear" w:color="auto" w:fill="FFFFFF"/>
          <w:lang w:val="en-US" w:eastAsia="zh-CN" w:bidi="ar-SA"/>
        </w:rPr>
        <w:t>组织“福地怀化——庆祝新中国成立75周年暨迎接第十一届全球湘商大会优秀文艺作品展”“一粒种子改变世界·福地怀化”美术书法篆刻名家作品邀请展、</w:t>
      </w:r>
      <w:r>
        <w:rPr>
          <w:rFonts w:hint="eastAsia" w:cs="Times New Roman" w:asciiTheme="minorHAnsi" w:hAnsiTheme="minorHAnsi" w:eastAsiaTheme="minorEastAsia"/>
          <w:sz w:val="24"/>
          <w:szCs w:val="18"/>
          <w:shd w:val="clear" w:color="auto" w:fill="FFFFFF"/>
          <w:lang w:val="en-US" w:eastAsia="zh-CN" w:bidi="ar-SA"/>
        </w:rPr>
        <w:t>“艺心向党”优秀文艺作品展</w:t>
      </w:r>
      <w:r>
        <w:rPr>
          <w:rFonts w:hint="default" w:cs="Times New Roman" w:asciiTheme="minorHAnsi" w:hAnsiTheme="minorHAnsi" w:eastAsiaTheme="minorEastAsia"/>
          <w:sz w:val="24"/>
          <w:szCs w:val="18"/>
          <w:shd w:val="clear" w:color="auto" w:fill="FFFFFF"/>
          <w:lang w:val="en-US" w:eastAsia="zh-CN" w:bidi="ar-SA"/>
        </w:rPr>
        <w:t>等系列活动。</w:t>
      </w:r>
      <w:r>
        <w:rPr>
          <w:rFonts w:hint="eastAsia" w:cs="Times New Roman" w:asciiTheme="minorHAnsi" w:hAnsiTheme="minorHAnsi" w:eastAsiaTheme="minorEastAsia"/>
          <w:sz w:val="24"/>
          <w:szCs w:val="18"/>
          <w:shd w:val="clear" w:color="auto" w:fill="FFFFFF"/>
          <w:lang w:val="en-US" w:eastAsia="zh-CN" w:bidi="ar-SA"/>
        </w:rPr>
        <w:t>积极开展主题文艺活动，如围绕中华人民共和国成立75周年等重要时间节点，组织了一系列文艺创作和展览展示活动，用文艺的形式生动诠释了党的光辉历程和伟大成就，激发了广大群众的爱国热情和民族自豪感。组织召开鹤中一体化发展“文艺先行”座谈会</w:t>
      </w:r>
      <w:r>
        <w:rPr>
          <w:rFonts w:hint="default" w:cs="Times New Roman" w:asciiTheme="minorHAnsi" w:hAnsiTheme="minorHAnsi" w:eastAsiaTheme="minorEastAsia"/>
          <w:sz w:val="24"/>
          <w:szCs w:val="18"/>
          <w:shd w:val="clear" w:color="auto" w:fill="FFFFFF"/>
          <w:lang w:val="en-US" w:eastAsia="zh-CN" w:bidi="ar-SA"/>
        </w:rPr>
        <w:t>，达成文艺活动联办、文艺创作共推等10项共识，开展创作、交流、展示等文艺活动30多场，用文艺之火点燃</w:t>
      </w:r>
      <w:r>
        <w:rPr>
          <w:rFonts w:hint="eastAsia" w:cs="Times New Roman" w:asciiTheme="minorHAnsi" w:hAnsiTheme="minorHAnsi" w:eastAsiaTheme="minorEastAsia"/>
          <w:sz w:val="24"/>
          <w:szCs w:val="18"/>
          <w:shd w:val="clear" w:color="auto" w:fill="FFFFFF"/>
          <w:lang w:val="en-US" w:eastAsia="zh-CN" w:bidi="ar-SA"/>
        </w:rPr>
        <w:t>市委、市政府推动鹤中一体化发展</w:t>
      </w:r>
      <w:r>
        <w:rPr>
          <w:rFonts w:hint="default" w:cs="Times New Roman" w:asciiTheme="minorHAnsi" w:hAnsiTheme="minorHAnsi" w:eastAsiaTheme="minorEastAsia"/>
          <w:sz w:val="24"/>
          <w:szCs w:val="18"/>
          <w:shd w:val="clear" w:color="auto" w:fill="FFFFFF"/>
          <w:lang w:val="en-US" w:eastAsia="zh-CN" w:bidi="ar-SA"/>
        </w:rPr>
        <w:t>进程。</w:t>
      </w:r>
      <w:r>
        <w:rPr>
          <w:rFonts w:hint="eastAsia" w:cs="Times New Roman" w:asciiTheme="minorHAnsi" w:hAnsiTheme="minorHAnsi" w:eastAsiaTheme="minorEastAsia"/>
          <w:sz w:val="24"/>
          <w:szCs w:val="18"/>
          <w:shd w:val="clear" w:color="auto" w:fill="FFFFFF"/>
          <w:lang w:val="en-US" w:eastAsia="zh-CN" w:bidi="ar-SA"/>
        </w:rPr>
        <w:t>7月，</w:t>
      </w:r>
      <w:r>
        <w:rPr>
          <w:rFonts w:hint="default" w:cs="Times New Roman" w:asciiTheme="minorHAnsi" w:hAnsiTheme="minorHAnsi" w:eastAsiaTheme="minorEastAsia"/>
          <w:sz w:val="24"/>
          <w:szCs w:val="18"/>
          <w:shd w:val="clear" w:color="auto" w:fill="FFFFFF"/>
          <w:lang w:val="en-US" w:eastAsia="zh-CN" w:bidi="ar-SA"/>
        </w:rPr>
        <w:t>赴云南昆明参加</w:t>
      </w:r>
      <w:r>
        <w:rPr>
          <w:rFonts w:hint="eastAsia" w:cs="Times New Roman" w:asciiTheme="minorHAnsi" w:hAnsiTheme="minorHAnsi" w:eastAsiaTheme="minorEastAsia"/>
          <w:sz w:val="24"/>
          <w:szCs w:val="18"/>
          <w:shd w:val="clear" w:color="auto" w:fill="FFFFFF"/>
          <w:lang w:val="en-US" w:eastAsia="zh-CN" w:bidi="ar-SA"/>
        </w:rPr>
        <w:t>第二届西部陆海新通道文联工作联席</w:t>
      </w:r>
      <w:r>
        <w:rPr>
          <w:rFonts w:hint="default" w:cs="Times New Roman" w:asciiTheme="minorHAnsi" w:hAnsiTheme="minorHAnsi" w:eastAsiaTheme="minorEastAsia"/>
          <w:sz w:val="24"/>
          <w:szCs w:val="18"/>
          <w:shd w:val="clear" w:color="auto" w:fill="FFFFFF"/>
          <w:lang w:val="en-US" w:eastAsia="zh-CN" w:bidi="ar-SA"/>
        </w:rPr>
        <w:t>会议，市文联主席江月卫、市美协主席祁璐分别作交流发言，</w:t>
      </w:r>
      <w:r>
        <w:rPr>
          <w:rFonts w:hint="eastAsia" w:cs="Times New Roman" w:asciiTheme="minorHAnsi" w:hAnsiTheme="minorHAnsi" w:eastAsiaTheme="minorEastAsia"/>
          <w:sz w:val="24"/>
          <w:szCs w:val="18"/>
          <w:shd w:val="clear" w:color="auto" w:fill="FFFFFF"/>
          <w:lang w:val="en-US" w:eastAsia="zh-CN" w:bidi="ar-SA"/>
        </w:rPr>
        <w:t>我市</w:t>
      </w:r>
      <w:r>
        <w:rPr>
          <w:rFonts w:hint="default" w:cs="Times New Roman" w:asciiTheme="minorHAnsi" w:hAnsiTheme="minorHAnsi" w:eastAsiaTheme="minorEastAsia"/>
          <w:sz w:val="24"/>
          <w:szCs w:val="18"/>
          <w:shd w:val="clear" w:color="auto" w:fill="FFFFFF"/>
          <w:lang w:val="en-US" w:eastAsia="zh-CN" w:bidi="ar-SA"/>
        </w:rPr>
        <w:t>10件美术、书法作品入展“彩云之约”优秀文艺作品展。</w:t>
      </w:r>
      <w:r>
        <w:rPr>
          <w:rFonts w:hint="eastAsia" w:cs="Times New Roman" w:asciiTheme="minorHAnsi" w:hAnsiTheme="minorHAnsi" w:eastAsiaTheme="minorEastAsia"/>
          <w:sz w:val="24"/>
          <w:szCs w:val="18"/>
          <w:shd w:val="clear" w:color="auto" w:fill="FFFFFF"/>
          <w:lang w:val="en-US" w:eastAsia="zh-CN" w:bidi="ar-SA"/>
        </w:rPr>
        <w:t>11月，赴重庆秀山参加首届书法艺术季暨书法大家写群众文化活动，促进接边地区文艺交流共同发展，推动不同地域文艺创作互鉴互融。二是深入开展文艺惠民。广泛开展“书画进乡村”志愿服务活动和春联艺术“百千万”光大工程，树立“强基工程——送福送联润民心”“文艺助力乡村振兴”等文艺志愿服务品牌。市文联和市各文艺家协会积极组织文艺志愿者深入基层、社区、农村、学校等开展各类文艺惠民活动</w:t>
      </w:r>
      <w:r>
        <w:rPr>
          <w:rFonts w:hint="default" w:cs="Times New Roman" w:asciiTheme="minorHAnsi" w:hAnsiTheme="minorHAnsi" w:eastAsiaTheme="minorEastAsia"/>
          <w:sz w:val="24"/>
          <w:szCs w:val="18"/>
          <w:shd w:val="clear" w:color="auto" w:fill="FFFFFF"/>
          <w:lang w:val="en-US" w:eastAsia="zh-CN" w:bidi="ar-SA"/>
        </w:rPr>
        <w:t>100余场</w:t>
      </w:r>
      <w:r>
        <w:rPr>
          <w:rFonts w:hint="eastAsia" w:cs="Times New Roman" w:asciiTheme="minorHAnsi" w:hAnsiTheme="minorHAnsi" w:eastAsiaTheme="minorEastAsia"/>
          <w:sz w:val="24"/>
          <w:szCs w:val="18"/>
          <w:shd w:val="clear" w:color="auto" w:fill="FFFFFF"/>
          <w:lang w:val="en-US" w:eastAsia="zh-CN" w:bidi="ar-SA"/>
        </w:rPr>
        <w:t>，为广大群众送去丰富多彩的文艺节目和文化服务。三是抓实文联自身建设。召开市文联四届二次全会，完成所有届满协会的换届工作，举办市文联行业党委支部书记述职评议会，命名授牌10家“怀化市文艺创作实践基地”，评选表彰市文联年度四类“十佳”先进单位和先进个人，创建“怀化文联”微信公众号。</w:t>
      </w:r>
      <w:r>
        <w:rPr>
          <w:rFonts w:hint="default" w:cs="Times New Roman" w:asciiTheme="minorHAnsi" w:hAnsiTheme="minorHAnsi" w:eastAsiaTheme="minorEastAsia"/>
          <w:sz w:val="24"/>
          <w:szCs w:val="18"/>
          <w:shd w:val="clear" w:color="auto" w:fill="FFFFFF"/>
          <w:lang w:val="en-US" w:eastAsia="zh-CN" w:bidi="ar-SA"/>
        </w:rPr>
        <w:t>邀请《民族文学》杂志社主编陈亚军、</w:t>
      </w:r>
      <w:r>
        <w:rPr>
          <w:rFonts w:hint="eastAsia" w:cs="Times New Roman" w:asciiTheme="minorHAnsi" w:hAnsiTheme="minorHAnsi" w:eastAsiaTheme="minorEastAsia"/>
          <w:sz w:val="24"/>
          <w:szCs w:val="18"/>
          <w:shd w:val="clear" w:color="auto" w:fill="FFFFFF"/>
          <w:lang w:val="en-US" w:eastAsia="zh-CN" w:bidi="ar-SA"/>
        </w:rPr>
        <w:t>《诗刊》主编李少君</w:t>
      </w:r>
      <w:r>
        <w:rPr>
          <w:rFonts w:hint="default" w:cs="Times New Roman" w:asciiTheme="minorHAnsi" w:hAnsiTheme="minorHAnsi" w:eastAsiaTheme="minorEastAsia"/>
          <w:sz w:val="24"/>
          <w:szCs w:val="18"/>
          <w:shd w:val="clear" w:color="auto" w:fill="FFFFFF"/>
          <w:lang w:val="en-US" w:eastAsia="zh-CN" w:bidi="ar-SA"/>
        </w:rPr>
        <w:t>、中国作协诗歌委员会主任吉狄马加、</w:t>
      </w:r>
      <w:r>
        <w:rPr>
          <w:rFonts w:hint="eastAsia" w:cs="Times New Roman" w:asciiTheme="minorHAnsi" w:hAnsiTheme="minorHAnsi" w:eastAsiaTheme="minorEastAsia"/>
          <w:sz w:val="24"/>
          <w:szCs w:val="18"/>
          <w:shd w:val="clear" w:color="auto" w:fill="FFFFFF"/>
          <w:lang w:val="en-US" w:eastAsia="zh-CN" w:bidi="ar-SA"/>
        </w:rPr>
        <w:t>《文艺报》副主编刘颋、</w:t>
      </w:r>
      <w:r>
        <w:rPr>
          <w:rFonts w:hint="default" w:cs="Times New Roman" w:asciiTheme="minorHAnsi" w:hAnsiTheme="minorHAnsi" w:eastAsiaTheme="minorEastAsia"/>
          <w:sz w:val="24"/>
          <w:szCs w:val="18"/>
          <w:shd w:val="clear" w:color="auto" w:fill="FFFFFF"/>
          <w:lang w:val="en-US" w:eastAsia="zh-CN" w:bidi="ar-SA"/>
        </w:rPr>
        <w:t>著名作家彭学明等来怀培训讲座。加强国家级、省级会员培育，现有国家级会员266人、省级1345人，今年仅市作协就有9人加入中国作协，创历史新高。选派吴辉等“文艺两新”骨干外出学习。我市蒋晖鹏、潘伟2人的书法作品入选第八届中国书法兰亭奖。</w:t>
      </w:r>
      <w:r>
        <w:rPr>
          <w:rFonts w:hint="eastAsia" w:cs="Times New Roman" w:asciiTheme="minorHAnsi" w:hAnsiTheme="minorHAnsi" w:eastAsiaTheme="minorEastAsia"/>
          <w:sz w:val="24"/>
          <w:szCs w:val="18"/>
          <w:shd w:val="clear" w:color="auto" w:fill="FFFFFF"/>
          <w:lang w:val="en-US" w:eastAsia="zh-CN" w:bidi="ar-SA"/>
        </w:rPr>
        <w:t>组织</w:t>
      </w:r>
      <w:r>
        <w:rPr>
          <w:rFonts w:hint="default" w:cs="Times New Roman" w:asciiTheme="minorHAnsi" w:hAnsiTheme="minorHAnsi" w:eastAsiaTheme="minorEastAsia"/>
          <w:sz w:val="24"/>
          <w:szCs w:val="18"/>
          <w:shd w:val="clear" w:color="auto" w:fill="FFFFFF"/>
          <w:lang w:val="en-US" w:eastAsia="zh-CN" w:bidi="ar-SA"/>
        </w:rPr>
        <w:t>“潇湘风采·湖南美术创作工程暨选送优秀美术作品参加第十四届全国美术作品展，36幅作品获得国展选送资格，3幅美术作品选送第十四届全国美展。</w:t>
      </w:r>
      <w:r>
        <w:rPr>
          <w:rFonts w:hint="eastAsia" w:cs="Times New Roman" w:asciiTheme="minorHAnsi" w:hAnsiTheme="minorHAnsi" w:eastAsiaTheme="minorEastAsia"/>
          <w:sz w:val="24"/>
          <w:szCs w:val="18"/>
          <w:shd w:val="clear" w:color="auto" w:fill="FFFFFF"/>
          <w:lang w:val="en-US" w:eastAsia="zh-CN" w:bidi="ar-SA"/>
        </w:rPr>
        <w:t>进一步加强了文联组织的建设和管理，完善了各项规章制度，提高了工作效率和服务水平。</w:t>
      </w:r>
      <w:r>
        <w:rPr>
          <w:rFonts w:hint="default" w:cs="Times New Roman" w:asciiTheme="minorHAnsi" w:hAnsiTheme="minorHAnsi" w:eastAsiaTheme="minorEastAsia"/>
          <w:sz w:val="24"/>
          <w:szCs w:val="18"/>
          <w:shd w:val="clear" w:color="auto" w:fill="FFFFFF"/>
          <w:lang w:val="en-US" w:eastAsia="zh-CN" w:bidi="ar-SA"/>
        </w:rPr>
        <w:t>激发全市广大文艺工作者的创作激情与工作热情，自觉承担起举旗帜、聚民心、育新人、兴文化、展形象的使命任务，进一步推动我市文艺事业繁荣发展。</w:t>
      </w:r>
    </w:p>
    <w:p w14:paraId="308C92CE">
      <w:pPr>
        <w:pStyle w:val="22"/>
        <w:ind w:firstLine="480"/>
      </w:pPr>
      <w:r>
        <w:rPr>
          <w:rFonts w:hint="eastAsia"/>
        </w:rPr>
        <w:t>七、存在的问题及原因分析</w:t>
      </w:r>
    </w:p>
    <w:p w14:paraId="0938ECC5">
      <w:pPr>
        <w:pStyle w:val="22"/>
        <w:ind w:firstLine="480"/>
      </w:pPr>
      <w:r>
        <w:rPr>
          <w:rFonts w:hint="eastAsia"/>
        </w:rPr>
        <w:t>1、全面预算绩效管理工作经验不太丰富，绩效管理专业人员匮乏，规范管理尚有盲点。</w:t>
      </w:r>
    </w:p>
    <w:p w14:paraId="75E3AB78">
      <w:pPr>
        <w:pStyle w:val="22"/>
        <w:ind w:firstLine="480"/>
      </w:pPr>
      <w:r>
        <w:rPr>
          <w:rFonts w:hint="eastAsia"/>
        </w:rPr>
        <w:t>2、部门预算编制的科学化、精细化有待提高。目前，预算编制要求经济科目细化到款级，但在实际编制过程中，由于有的预算支出项目具有预测性和不确定性等特点，造成实际支出与预算编制不符。</w:t>
      </w:r>
    </w:p>
    <w:p w14:paraId="270AAFB9">
      <w:pPr>
        <w:pStyle w:val="22"/>
        <w:ind w:firstLine="480"/>
      </w:pPr>
      <w:r>
        <w:rPr>
          <w:rFonts w:hint="eastAsia"/>
        </w:rPr>
        <w:t>八、下一步改进措施</w:t>
      </w:r>
    </w:p>
    <w:p w14:paraId="23406025">
      <w:pPr>
        <w:pStyle w:val="22"/>
        <w:ind w:firstLine="480"/>
      </w:pPr>
      <w:r>
        <w:rPr>
          <w:rFonts w:hint="eastAsia"/>
        </w:rPr>
        <w:t>1、我们将更加全面、细致地制定绩效目标，进一步严肃财经纪律，在实施过程中遵循“实事求是、尊重客观、力求精准”的原则，努力使项目资金落到实处。</w:t>
      </w:r>
    </w:p>
    <w:p w14:paraId="0CCC825A">
      <w:pPr>
        <w:pStyle w:val="22"/>
        <w:ind w:firstLine="480"/>
      </w:pPr>
      <w:r>
        <w:rPr>
          <w:rFonts w:hint="eastAsia"/>
        </w:rPr>
        <w:t>2、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14:paraId="7D1FC54A">
      <w:pPr>
        <w:pStyle w:val="22"/>
        <w:ind w:firstLine="480"/>
      </w:pPr>
      <w:r>
        <w:rPr>
          <w:rFonts w:hint="eastAsia"/>
        </w:rPr>
        <w:t>3、加强对财政资金的拨付和使用管理，加强对财务干部职工的业务培训，强化预算管理意识，严格执行预算，做到专账核算，确保专款专用。</w:t>
      </w:r>
    </w:p>
    <w:p w14:paraId="32BFA272">
      <w:pPr>
        <w:pStyle w:val="22"/>
        <w:ind w:firstLine="480"/>
      </w:pPr>
      <w:r>
        <w:rPr>
          <w:rFonts w:hint="eastAsia"/>
        </w:rPr>
        <w:t>九、其他需要说明的情况</w:t>
      </w:r>
    </w:p>
    <w:p w14:paraId="2977E08F">
      <w:pPr>
        <w:pStyle w:val="22"/>
        <w:ind w:firstLine="480"/>
      </w:pPr>
      <w:r>
        <w:rPr>
          <w:rFonts w:hint="eastAsia"/>
        </w:rPr>
        <w:t>我单位</w:t>
      </w:r>
      <w:r>
        <w:rPr>
          <w:rFonts w:hint="default"/>
          <w:lang w:val="en-US"/>
        </w:rPr>
        <w:t>2024</w:t>
      </w:r>
      <w:r>
        <w:rPr>
          <w:rFonts w:hint="eastAsia"/>
        </w:rPr>
        <w:t>年无其他需要说明的情况。</w:t>
      </w:r>
    </w:p>
    <w:p w14:paraId="78CF7C9C">
      <w:pPr>
        <w:pStyle w:val="22"/>
        <w:ind w:firstLine="480"/>
      </w:pPr>
      <w:r>
        <w:t>报告包括以下附件：</w:t>
      </w:r>
    </w:p>
    <w:p w14:paraId="7BE5F86A">
      <w:pPr>
        <w:pStyle w:val="22"/>
        <w:ind w:firstLine="480"/>
      </w:pPr>
      <w:r>
        <w:rPr>
          <w:rFonts w:hint="eastAsia"/>
        </w:rPr>
        <w:t>1.</w:t>
      </w:r>
      <w:r>
        <w:t>部门整体支出绩效评价基础数据表</w:t>
      </w:r>
      <w:r>
        <w:rPr>
          <w:rFonts w:hint="eastAsia"/>
        </w:rPr>
        <w:t xml:space="preserve"> </w:t>
      </w:r>
    </w:p>
    <w:p w14:paraId="729BEF5F">
      <w:pPr>
        <w:pStyle w:val="22"/>
        <w:ind w:firstLine="480"/>
      </w:pPr>
      <w:r>
        <w:rPr>
          <w:rFonts w:hint="eastAsia"/>
        </w:rPr>
        <w:t>2.</w:t>
      </w:r>
      <w:r>
        <w:t>部门整体支出绩效自评表</w:t>
      </w:r>
    </w:p>
    <w:p w14:paraId="3CAB8C65">
      <w:pPr>
        <w:pStyle w:val="9"/>
      </w:pPr>
      <w:r>
        <w:drawing>
          <wp:inline distT="0" distB="0" distL="114300" distR="114300">
            <wp:extent cx="5915025" cy="85058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5915025" cy="8505825"/>
                    </a:xfrm>
                    <a:prstGeom prst="rect">
                      <a:avLst/>
                    </a:prstGeom>
                    <a:noFill/>
                    <a:ln>
                      <a:noFill/>
                    </a:ln>
                  </pic:spPr>
                </pic:pic>
              </a:graphicData>
            </a:graphic>
          </wp:inline>
        </w:drawing>
      </w:r>
    </w:p>
    <w:p w14:paraId="3CFC2547">
      <w:pPr>
        <w:pStyle w:val="9"/>
      </w:pPr>
    </w:p>
    <w:p w14:paraId="0C29A1BB">
      <w:pPr>
        <w:pStyle w:val="9"/>
      </w:pPr>
    </w:p>
    <w:p w14:paraId="79A8B182">
      <w:pPr>
        <w:pStyle w:val="9"/>
      </w:pPr>
    </w:p>
    <w:p w14:paraId="2CE46ADC">
      <w:pPr>
        <w:pStyle w:val="9"/>
        <w:rPr>
          <w:sz w:val="72"/>
          <w:szCs w:val="72"/>
        </w:rPr>
      </w:pPr>
      <w:r>
        <w:drawing>
          <wp:inline distT="0" distB="0" distL="114300" distR="114300">
            <wp:extent cx="6640830" cy="10114915"/>
            <wp:effectExtent l="0" t="0" r="7620"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6640830" cy="10114915"/>
                    </a:xfrm>
                    <a:prstGeom prst="rect">
                      <a:avLst/>
                    </a:prstGeom>
                    <a:noFill/>
                    <a:ln>
                      <a:noFill/>
                    </a:ln>
                  </pic:spPr>
                </pic:pic>
              </a:graphicData>
            </a:graphic>
          </wp:inline>
        </w:drawing>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EC6C69"/>
    <w:multiLevelType w:val="singleLevel"/>
    <w:tmpl w:val="FBEC6C69"/>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443E1"/>
    <w:rsid w:val="00055DAA"/>
    <w:rsid w:val="00061F7B"/>
    <w:rsid w:val="000658A3"/>
    <w:rsid w:val="00074155"/>
    <w:rsid w:val="000A3F69"/>
    <w:rsid w:val="000C6167"/>
    <w:rsid w:val="00103957"/>
    <w:rsid w:val="00150363"/>
    <w:rsid w:val="00152C6D"/>
    <w:rsid w:val="00162D39"/>
    <w:rsid w:val="001678BD"/>
    <w:rsid w:val="00173FA5"/>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9566D"/>
    <w:rsid w:val="002E0A30"/>
    <w:rsid w:val="00302C38"/>
    <w:rsid w:val="003130C4"/>
    <w:rsid w:val="00316C4B"/>
    <w:rsid w:val="0032192B"/>
    <w:rsid w:val="003479BD"/>
    <w:rsid w:val="0037197D"/>
    <w:rsid w:val="003768D5"/>
    <w:rsid w:val="003926B9"/>
    <w:rsid w:val="003C47E6"/>
    <w:rsid w:val="003C4FC2"/>
    <w:rsid w:val="003F4103"/>
    <w:rsid w:val="00410400"/>
    <w:rsid w:val="00416E61"/>
    <w:rsid w:val="0042790C"/>
    <w:rsid w:val="004506F9"/>
    <w:rsid w:val="00465905"/>
    <w:rsid w:val="004717A2"/>
    <w:rsid w:val="00473DF3"/>
    <w:rsid w:val="00487911"/>
    <w:rsid w:val="00491741"/>
    <w:rsid w:val="004B0CEE"/>
    <w:rsid w:val="004C3F57"/>
    <w:rsid w:val="004F5A05"/>
    <w:rsid w:val="00500E5F"/>
    <w:rsid w:val="005122EF"/>
    <w:rsid w:val="0051441A"/>
    <w:rsid w:val="00517C33"/>
    <w:rsid w:val="00517D5F"/>
    <w:rsid w:val="00523644"/>
    <w:rsid w:val="0054069E"/>
    <w:rsid w:val="00544866"/>
    <w:rsid w:val="005767CC"/>
    <w:rsid w:val="00590D9F"/>
    <w:rsid w:val="00595D26"/>
    <w:rsid w:val="005A74E6"/>
    <w:rsid w:val="005B404E"/>
    <w:rsid w:val="005C7F19"/>
    <w:rsid w:val="005D4D55"/>
    <w:rsid w:val="005E2CFB"/>
    <w:rsid w:val="005F2103"/>
    <w:rsid w:val="005F3D1C"/>
    <w:rsid w:val="0062378F"/>
    <w:rsid w:val="00641842"/>
    <w:rsid w:val="006435AD"/>
    <w:rsid w:val="00651EEC"/>
    <w:rsid w:val="00671152"/>
    <w:rsid w:val="00686673"/>
    <w:rsid w:val="00691E8C"/>
    <w:rsid w:val="006A22C4"/>
    <w:rsid w:val="006A351B"/>
    <w:rsid w:val="006B0422"/>
    <w:rsid w:val="006C1B53"/>
    <w:rsid w:val="006C2087"/>
    <w:rsid w:val="006C4FAF"/>
    <w:rsid w:val="006D7730"/>
    <w:rsid w:val="006E5284"/>
    <w:rsid w:val="006E793D"/>
    <w:rsid w:val="006F3EB5"/>
    <w:rsid w:val="00702E34"/>
    <w:rsid w:val="00704395"/>
    <w:rsid w:val="00710FE7"/>
    <w:rsid w:val="00717621"/>
    <w:rsid w:val="00720FF1"/>
    <w:rsid w:val="00727A53"/>
    <w:rsid w:val="007642E9"/>
    <w:rsid w:val="00787B42"/>
    <w:rsid w:val="00790CE4"/>
    <w:rsid w:val="007C4539"/>
    <w:rsid w:val="007D3C67"/>
    <w:rsid w:val="007F3657"/>
    <w:rsid w:val="00812ED5"/>
    <w:rsid w:val="008277D9"/>
    <w:rsid w:val="0084478C"/>
    <w:rsid w:val="0086638C"/>
    <w:rsid w:val="008A3E8D"/>
    <w:rsid w:val="008C14A4"/>
    <w:rsid w:val="008C51CC"/>
    <w:rsid w:val="009237C4"/>
    <w:rsid w:val="00937E72"/>
    <w:rsid w:val="00944C48"/>
    <w:rsid w:val="00950022"/>
    <w:rsid w:val="00950252"/>
    <w:rsid w:val="00967F5D"/>
    <w:rsid w:val="00980D66"/>
    <w:rsid w:val="009A0F95"/>
    <w:rsid w:val="009B3ADF"/>
    <w:rsid w:val="009C3B52"/>
    <w:rsid w:val="009E6817"/>
    <w:rsid w:val="009E6E9A"/>
    <w:rsid w:val="00A01D2B"/>
    <w:rsid w:val="00A42218"/>
    <w:rsid w:val="00A70249"/>
    <w:rsid w:val="00A70B02"/>
    <w:rsid w:val="00A71D9F"/>
    <w:rsid w:val="00A92E9F"/>
    <w:rsid w:val="00AB18FF"/>
    <w:rsid w:val="00B3388C"/>
    <w:rsid w:val="00B33BEA"/>
    <w:rsid w:val="00B57C9F"/>
    <w:rsid w:val="00B6341F"/>
    <w:rsid w:val="00B63572"/>
    <w:rsid w:val="00B845B3"/>
    <w:rsid w:val="00B85D8B"/>
    <w:rsid w:val="00BB4A40"/>
    <w:rsid w:val="00BD6C3E"/>
    <w:rsid w:val="00BE3674"/>
    <w:rsid w:val="00C10681"/>
    <w:rsid w:val="00C3049A"/>
    <w:rsid w:val="00C31B1E"/>
    <w:rsid w:val="00C55FD5"/>
    <w:rsid w:val="00C77645"/>
    <w:rsid w:val="00CE04C3"/>
    <w:rsid w:val="00CE76A0"/>
    <w:rsid w:val="00D148C6"/>
    <w:rsid w:val="00D17A8A"/>
    <w:rsid w:val="00D415BA"/>
    <w:rsid w:val="00D63780"/>
    <w:rsid w:val="00D644EE"/>
    <w:rsid w:val="00DD06FF"/>
    <w:rsid w:val="00DD5FE9"/>
    <w:rsid w:val="00E00C7A"/>
    <w:rsid w:val="00E36A54"/>
    <w:rsid w:val="00E37D6C"/>
    <w:rsid w:val="00E55B68"/>
    <w:rsid w:val="00E561AE"/>
    <w:rsid w:val="00E609FA"/>
    <w:rsid w:val="00E67BE6"/>
    <w:rsid w:val="00E71336"/>
    <w:rsid w:val="00E8683C"/>
    <w:rsid w:val="00EA2B72"/>
    <w:rsid w:val="00F27995"/>
    <w:rsid w:val="00F46C89"/>
    <w:rsid w:val="00F74360"/>
    <w:rsid w:val="00F820A7"/>
    <w:rsid w:val="00FB462F"/>
    <w:rsid w:val="00FE16FA"/>
    <w:rsid w:val="00FE328A"/>
    <w:rsid w:val="00FE6269"/>
    <w:rsid w:val="00FF5CD6"/>
    <w:rsid w:val="03FFAE12"/>
    <w:rsid w:val="079F7A2D"/>
    <w:rsid w:val="07DFC68C"/>
    <w:rsid w:val="0FBBBE26"/>
    <w:rsid w:val="0FEB2525"/>
    <w:rsid w:val="1D97DEFF"/>
    <w:rsid w:val="1D9D7568"/>
    <w:rsid w:val="1DE4A31D"/>
    <w:rsid w:val="1DFF72E5"/>
    <w:rsid w:val="1EF5386D"/>
    <w:rsid w:val="1EFC6F07"/>
    <w:rsid w:val="1F796279"/>
    <w:rsid w:val="1F7BBD08"/>
    <w:rsid w:val="1FF7164F"/>
    <w:rsid w:val="1FFF8317"/>
    <w:rsid w:val="2DDF4B05"/>
    <w:rsid w:val="2EBF4721"/>
    <w:rsid w:val="2F3BAF4F"/>
    <w:rsid w:val="2F79DB98"/>
    <w:rsid w:val="2FAF67C2"/>
    <w:rsid w:val="2FDF85B8"/>
    <w:rsid w:val="2FFFEE04"/>
    <w:rsid w:val="33A6DD69"/>
    <w:rsid w:val="33A7CDDC"/>
    <w:rsid w:val="34DF85B0"/>
    <w:rsid w:val="34F79F63"/>
    <w:rsid w:val="35A50256"/>
    <w:rsid w:val="36AF225B"/>
    <w:rsid w:val="36DF1B45"/>
    <w:rsid w:val="371E34D3"/>
    <w:rsid w:val="373E8BA7"/>
    <w:rsid w:val="37EED69C"/>
    <w:rsid w:val="37FE07AF"/>
    <w:rsid w:val="3B1C979C"/>
    <w:rsid w:val="3B3D2313"/>
    <w:rsid w:val="3B8F36BC"/>
    <w:rsid w:val="3BE88FD7"/>
    <w:rsid w:val="3BF6B378"/>
    <w:rsid w:val="3DAE23FA"/>
    <w:rsid w:val="3DB6C48B"/>
    <w:rsid w:val="3DBE1870"/>
    <w:rsid w:val="3DDBDE10"/>
    <w:rsid w:val="3DFBABCB"/>
    <w:rsid w:val="3EA66CC9"/>
    <w:rsid w:val="3EF51887"/>
    <w:rsid w:val="3EFF6DDD"/>
    <w:rsid w:val="3F1788E7"/>
    <w:rsid w:val="3F5C959C"/>
    <w:rsid w:val="3FDF1BAC"/>
    <w:rsid w:val="491FF225"/>
    <w:rsid w:val="49EF150F"/>
    <w:rsid w:val="4FEB77E3"/>
    <w:rsid w:val="4FF6980B"/>
    <w:rsid w:val="4FFD214C"/>
    <w:rsid w:val="537D4B49"/>
    <w:rsid w:val="56279340"/>
    <w:rsid w:val="56B56D82"/>
    <w:rsid w:val="5777D4F5"/>
    <w:rsid w:val="577D47DC"/>
    <w:rsid w:val="595B2E93"/>
    <w:rsid w:val="59DD8326"/>
    <w:rsid w:val="5A7CB913"/>
    <w:rsid w:val="5D78A3C1"/>
    <w:rsid w:val="5DDD5FE5"/>
    <w:rsid w:val="5DEF592A"/>
    <w:rsid w:val="5DFD6A9C"/>
    <w:rsid w:val="5F662F95"/>
    <w:rsid w:val="5FB6FD21"/>
    <w:rsid w:val="5FC6BB1E"/>
    <w:rsid w:val="5FD3892E"/>
    <w:rsid w:val="5FDCA6E1"/>
    <w:rsid w:val="5FEE523D"/>
    <w:rsid w:val="5FF720F1"/>
    <w:rsid w:val="5FFD445B"/>
    <w:rsid w:val="5FFFC88C"/>
    <w:rsid w:val="62F26963"/>
    <w:rsid w:val="63FD2634"/>
    <w:rsid w:val="65FDC76C"/>
    <w:rsid w:val="6637BED8"/>
    <w:rsid w:val="66BED5F5"/>
    <w:rsid w:val="66FD7B6D"/>
    <w:rsid w:val="67AB88C0"/>
    <w:rsid w:val="67FB84DD"/>
    <w:rsid w:val="67FDF964"/>
    <w:rsid w:val="67FF5C0B"/>
    <w:rsid w:val="6A7691B0"/>
    <w:rsid w:val="6BE7ACFC"/>
    <w:rsid w:val="6C6E55A4"/>
    <w:rsid w:val="6DB6F6D6"/>
    <w:rsid w:val="6DDF683E"/>
    <w:rsid w:val="6DFFEFE0"/>
    <w:rsid w:val="6E3F319D"/>
    <w:rsid w:val="6EE7AF4E"/>
    <w:rsid w:val="6EFC0924"/>
    <w:rsid w:val="6F7B60DF"/>
    <w:rsid w:val="6FB74722"/>
    <w:rsid w:val="6FBF20F1"/>
    <w:rsid w:val="6FBFDD96"/>
    <w:rsid w:val="6FEF8B7E"/>
    <w:rsid w:val="6FEFFC26"/>
    <w:rsid w:val="71A6591B"/>
    <w:rsid w:val="71D6CEE5"/>
    <w:rsid w:val="737D59BA"/>
    <w:rsid w:val="73E63369"/>
    <w:rsid w:val="73EDB087"/>
    <w:rsid w:val="73F961B4"/>
    <w:rsid w:val="75FF7B3F"/>
    <w:rsid w:val="75FFA276"/>
    <w:rsid w:val="76F56E64"/>
    <w:rsid w:val="7777CE89"/>
    <w:rsid w:val="777DAAEE"/>
    <w:rsid w:val="77C37683"/>
    <w:rsid w:val="77DC5DC0"/>
    <w:rsid w:val="77DF0E7C"/>
    <w:rsid w:val="77F7BB05"/>
    <w:rsid w:val="77FB6CCE"/>
    <w:rsid w:val="79AD50FF"/>
    <w:rsid w:val="79CBB99C"/>
    <w:rsid w:val="79ECE7BA"/>
    <w:rsid w:val="79FBBEE2"/>
    <w:rsid w:val="79FD1DD8"/>
    <w:rsid w:val="79FD494B"/>
    <w:rsid w:val="79FF515B"/>
    <w:rsid w:val="7AFEA208"/>
    <w:rsid w:val="7B9D6ABC"/>
    <w:rsid w:val="7BAF07F8"/>
    <w:rsid w:val="7BBF785B"/>
    <w:rsid w:val="7BFE25CC"/>
    <w:rsid w:val="7D053F9A"/>
    <w:rsid w:val="7D7D33AE"/>
    <w:rsid w:val="7D7D5FF0"/>
    <w:rsid w:val="7DEF48A1"/>
    <w:rsid w:val="7DFB28FA"/>
    <w:rsid w:val="7DFE8106"/>
    <w:rsid w:val="7E9E1962"/>
    <w:rsid w:val="7E9E60EC"/>
    <w:rsid w:val="7E9F11B4"/>
    <w:rsid w:val="7EB579F1"/>
    <w:rsid w:val="7EBB6C7D"/>
    <w:rsid w:val="7EF88393"/>
    <w:rsid w:val="7F1C1942"/>
    <w:rsid w:val="7F2FF895"/>
    <w:rsid w:val="7F37EC1E"/>
    <w:rsid w:val="7F3D2D7C"/>
    <w:rsid w:val="7F4EE752"/>
    <w:rsid w:val="7F4F7F5D"/>
    <w:rsid w:val="7F57D803"/>
    <w:rsid w:val="7F7DCD9D"/>
    <w:rsid w:val="7F970A6F"/>
    <w:rsid w:val="7F9EE015"/>
    <w:rsid w:val="7F9FDA1C"/>
    <w:rsid w:val="7FBB5695"/>
    <w:rsid w:val="7FBF35C3"/>
    <w:rsid w:val="7FBFBDB8"/>
    <w:rsid w:val="7FC1FFF3"/>
    <w:rsid w:val="7FC3BD67"/>
    <w:rsid w:val="7FC69637"/>
    <w:rsid w:val="7FC7AB6F"/>
    <w:rsid w:val="7FDB4A24"/>
    <w:rsid w:val="7FDDF63D"/>
    <w:rsid w:val="7FDE64A1"/>
    <w:rsid w:val="7FDF8620"/>
    <w:rsid w:val="7FDF978F"/>
    <w:rsid w:val="7FE3C2E9"/>
    <w:rsid w:val="7FE717FD"/>
    <w:rsid w:val="7FF3FD68"/>
    <w:rsid w:val="7FF75DA9"/>
    <w:rsid w:val="7FFB242F"/>
    <w:rsid w:val="7FFD9B42"/>
    <w:rsid w:val="7FFDB408"/>
    <w:rsid w:val="7FFE49D2"/>
    <w:rsid w:val="7FFE4EEB"/>
    <w:rsid w:val="7FFFB78E"/>
    <w:rsid w:val="83E70D71"/>
    <w:rsid w:val="8FFF0F78"/>
    <w:rsid w:val="93F65494"/>
    <w:rsid w:val="95F5F413"/>
    <w:rsid w:val="95FB2B98"/>
    <w:rsid w:val="97635ADE"/>
    <w:rsid w:val="97ADE3E2"/>
    <w:rsid w:val="9A639BC2"/>
    <w:rsid w:val="9BA55330"/>
    <w:rsid w:val="9BFABD84"/>
    <w:rsid w:val="9F7B9DB3"/>
    <w:rsid w:val="9F7F3200"/>
    <w:rsid w:val="9F9FA5D5"/>
    <w:rsid w:val="9FF5DE01"/>
    <w:rsid w:val="9FF7D786"/>
    <w:rsid w:val="A67DF639"/>
    <w:rsid w:val="A7BF7980"/>
    <w:rsid w:val="AB3DA5D7"/>
    <w:rsid w:val="ABBFB23D"/>
    <w:rsid w:val="AF7E8E1B"/>
    <w:rsid w:val="AFD8F876"/>
    <w:rsid w:val="AFEF7735"/>
    <w:rsid w:val="B4576AD2"/>
    <w:rsid w:val="B59F868E"/>
    <w:rsid w:val="B65F2C24"/>
    <w:rsid w:val="B7D39F64"/>
    <w:rsid w:val="B9FB344B"/>
    <w:rsid w:val="BAFBA3DD"/>
    <w:rsid w:val="BB5E22BB"/>
    <w:rsid w:val="BBEFE32C"/>
    <w:rsid w:val="BBFA9B5E"/>
    <w:rsid w:val="BC7F240D"/>
    <w:rsid w:val="BDDD0940"/>
    <w:rsid w:val="BDDF4B13"/>
    <w:rsid w:val="BDFFABCA"/>
    <w:rsid w:val="BEAB2A9E"/>
    <w:rsid w:val="BEB64EE1"/>
    <w:rsid w:val="BEFFE22E"/>
    <w:rsid w:val="BF6FF36D"/>
    <w:rsid w:val="BF895D3E"/>
    <w:rsid w:val="BFFE7243"/>
    <w:rsid w:val="BFFF357D"/>
    <w:rsid w:val="C3B4DA5A"/>
    <w:rsid w:val="C7BCCB13"/>
    <w:rsid w:val="CB56647C"/>
    <w:rsid w:val="CBF868DA"/>
    <w:rsid w:val="CBFF3D9F"/>
    <w:rsid w:val="CBFF70E0"/>
    <w:rsid w:val="CE5F044D"/>
    <w:rsid w:val="CFBB1ABC"/>
    <w:rsid w:val="CFF50B82"/>
    <w:rsid w:val="CFF7DAC0"/>
    <w:rsid w:val="CFFFAD89"/>
    <w:rsid w:val="D79E4358"/>
    <w:rsid w:val="D87DAAD5"/>
    <w:rsid w:val="D9FBBF9C"/>
    <w:rsid w:val="DA9A115C"/>
    <w:rsid w:val="DBE51C66"/>
    <w:rsid w:val="DBF25BF2"/>
    <w:rsid w:val="DBF322B9"/>
    <w:rsid w:val="DBFF0116"/>
    <w:rsid w:val="DF2B1FAF"/>
    <w:rsid w:val="DFAF4A73"/>
    <w:rsid w:val="DFDA3472"/>
    <w:rsid w:val="DFEF9DE0"/>
    <w:rsid w:val="DFF748C1"/>
    <w:rsid w:val="DFFE359E"/>
    <w:rsid w:val="DFFE4FFD"/>
    <w:rsid w:val="DFFF5C95"/>
    <w:rsid w:val="DFFF8660"/>
    <w:rsid w:val="E37783F0"/>
    <w:rsid w:val="E57FA5B1"/>
    <w:rsid w:val="E5C9EC1D"/>
    <w:rsid w:val="E6FD0194"/>
    <w:rsid w:val="E7EB73E1"/>
    <w:rsid w:val="EBE154C1"/>
    <w:rsid w:val="ECE31073"/>
    <w:rsid w:val="EDCF32E9"/>
    <w:rsid w:val="EDDF6674"/>
    <w:rsid w:val="EEABED75"/>
    <w:rsid w:val="EF3B511F"/>
    <w:rsid w:val="EF87C589"/>
    <w:rsid w:val="EFBF1F6B"/>
    <w:rsid w:val="EFF66F78"/>
    <w:rsid w:val="EFF71382"/>
    <w:rsid w:val="F1F7E36D"/>
    <w:rsid w:val="F2DE8EFE"/>
    <w:rsid w:val="F3BFAD9F"/>
    <w:rsid w:val="F3FF72CF"/>
    <w:rsid w:val="F56FDF51"/>
    <w:rsid w:val="F57348C7"/>
    <w:rsid w:val="F59E65DA"/>
    <w:rsid w:val="F5CA4E6A"/>
    <w:rsid w:val="F5FF3572"/>
    <w:rsid w:val="F6B69F17"/>
    <w:rsid w:val="F6DBF6EA"/>
    <w:rsid w:val="F6DFEE81"/>
    <w:rsid w:val="F6FE8B78"/>
    <w:rsid w:val="F73FF432"/>
    <w:rsid w:val="F7472A7D"/>
    <w:rsid w:val="F76F741F"/>
    <w:rsid w:val="F77F1D61"/>
    <w:rsid w:val="F7AD4BE1"/>
    <w:rsid w:val="F7B73182"/>
    <w:rsid w:val="F7BF658A"/>
    <w:rsid w:val="F7F91857"/>
    <w:rsid w:val="F7FED3A9"/>
    <w:rsid w:val="F87FE4C0"/>
    <w:rsid w:val="F8C9DB26"/>
    <w:rsid w:val="F97E8EAE"/>
    <w:rsid w:val="F9BB0D27"/>
    <w:rsid w:val="FAFF0FCB"/>
    <w:rsid w:val="FB36E1A6"/>
    <w:rsid w:val="FB3BE134"/>
    <w:rsid w:val="FB7F0CEE"/>
    <w:rsid w:val="FB9C6CDC"/>
    <w:rsid w:val="FBA8B0B4"/>
    <w:rsid w:val="FBCD4138"/>
    <w:rsid w:val="FBDDF5C0"/>
    <w:rsid w:val="FBE74AA6"/>
    <w:rsid w:val="FBEC799E"/>
    <w:rsid w:val="FBEF3C56"/>
    <w:rsid w:val="FBFB4438"/>
    <w:rsid w:val="FBFDF3FD"/>
    <w:rsid w:val="FCE51A82"/>
    <w:rsid w:val="FCE7CE65"/>
    <w:rsid w:val="FCFF4275"/>
    <w:rsid w:val="FD137091"/>
    <w:rsid w:val="FD5C551D"/>
    <w:rsid w:val="FD6F8B59"/>
    <w:rsid w:val="FD758372"/>
    <w:rsid w:val="FD7FEEEA"/>
    <w:rsid w:val="FDB9E947"/>
    <w:rsid w:val="FDD772FA"/>
    <w:rsid w:val="FDDF1E06"/>
    <w:rsid w:val="FDF74758"/>
    <w:rsid w:val="FDFFB577"/>
    <w:rsid w:val="FDFFCA5E"/>
    <w:rsid w:val="FDFFFB66"/>
    <w:rsid w:val="FE5FB90A"/>
    <w:rsid w:val="FEBBD211"/>
    <w:rsid w:val="FEEA50FE"/>
    <w:rsid w:val="FEEF91EE"/>
    <w:rsid w:val="FEF699DF"/>
    <w:rsid w:val="FEFA48D2"/>
    <w:rsid w:val="FF232C7C"/>
    <w:rsid w:val="FF253BEB"/>
    <w:rsid w:val="FF679CF3"/>
    <w:rsid w:val="FF77F127"/>
    <w:rsid w:val="FF7CF1E0"/>
    <w:rsid w:val="FF7D47A9"/>
    <w:rsid w:val="FF7F6F4F"/>
    <w:rsid w:val="FF8ED138"/>
    <w:rsid w:val="FFBC22D0"/>
    <w:rsid w:val="FFBF5419"/>
    <w:rsid w:val="FFBF75EE"/>
    <w:rsid w:val="FFCD06A4"/>
    <w:rsid w:val="FFCF21CB"/>
    <w:rsid w:val="FFD63096"/>
    <w:rsid w:val="FFDBC055"/>
    <w:rsid w:val="FFEB4030"/>
    <w:rsid w:val="FFEF37FF"/>
    <w:rsid w:val="FFFB4531"/>
    <w:rsid w:val="FFFF1C8B"/>
    <w:rsid w:val="FFFFA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link w:val="24"/>
    <w:qFormat/>
    <w:uiPriority w:val="0"/>
    <w:pPr>
      <w:spacing w:beforeAutospacing="1" w:afterAutospacing="1"/>
      <w:jc w:val="left"/>
    </w:pPr>
  </w:style>
  <w:style w:type="character" w:styleId="12">
    <w:name w:val="Strong"/>
    <w:basedOn w:val="11"/>
    <w:qFormat/>
    <w:uiPriority w:val="0"/>
    <w:rPr>
      <w:b/>
    </w:rPr>
  </w:style>
  <w:style w:type="paragraph" w:customStyle="1" w:styleId="13">
    <w:name w:val="UserStyle_0"/>
    <w:basedOn w:val="1"/>
    <w:qFormat/>
    <w:uiPriority w:val="0"/>
    <w:pPr>
      <w:spacing w:after="120" w:afterLines="0"/>
      <w:textAlignment w:val="baseline"/>
    </w:pPr>
    <w:rPr>
      <w:rFonts w:ascii="Times New Roman" w:hAnsi="Times New Roman" w:eastAsia="宋体" w:cs="Times New Roman"/>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字符"/>
    <w:basedOn w:val="11"/>
    <w:link w:val="5"/>
    <w:semiHidden/>
    <w:qFormat/>
    <w:uiPriority w:val="99"/>
    <w:rPr>
      <w:sz w:val="18"/>
      <w:szCs w:val="18"/>
    </w:rPr>
  </w:style>
  <w:style w:type="character" w:customStyle="1" w:styleId="19">
    <w:name w:val="font01"/>
    <w:basedOn w:val="11"/>
    <w:qFormat/>
    <w:uiPriority w:val="0"/>
    <w:rPr>
      <w:rFonts w:hint="eastAsia" w:ascii="宋体" w:hAnsi="宋体" w:eastAsia="宋体" w:cs="宋体"/>
      <w:color w:val="000000"/>
      <w:sz w:val="22"/>
      <w:szCs w:val="22"/>
      <w:u w:val="none"/>
    </w:rPr>
  </w:style>
  <w:style w:type="character" w:customStyle="1" w:styleId="20">
    <w:name w:val="font2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4"/>
      <w:szCs w:val="24"/>
      <w:u w:val="none"/>
    </w:rPr>
  </w:style>
  <w:style w:type="paragraph" w:customStyle="1" w:styleId="22">
    <w:name w:val="正文2"/>
    <w:basedOn w:val="9"/>
    <w:link w:val="23"/>
    <w:qFormat/>
    <w:uiPriority w:val="0"/>
    <w:pPr>
      <w:spacing w:beforeAutospacing="0" w:afterAutospacing="0" w:line="440" w:lineRule="exact"/>
      <w:ind w:firstLine="200"/>
      <w:jc w:val="both"/>
    </w:pPr>
  </w:style>
  <w:style w:type="character" w:customStyle="1" w:styleId="23">
    <w:name w:val="正文2 字符"/>
    <w:basedOn w:val="24"/>
    <w:link w:val="22"/>
    <w:qFormat/>
    <w:uiPriority w:val="0"/>
  </w:style>
  <w:style w:type="character" w:customStyle="1" w:styleId="24">
    <w:name w:val="普通(网站) 字符"/>
    <w:basedOn w:val="11"/>
    <w:link w:val="9"/>
    <w:qFormat/>
    <w:uiPriority w:val="0"/>
  </w:style>
  <w:style w:type="paragraph" w:customStyle="1" w:styleId="25">
    <w:name w:val="列出段落"/>
    <w:basedOn w:val="1"/>
    <w:qFormat/>
    <w:uiPriority w:val="0"/>
    <w:pPr>
      <w:widowControl w:val="0"/>
      <w:spacing w:line="240" w:lineRule="auto"/>
      <w:ind w:firstLine="200"/>
    </w:pPr>
    <w:rPr>
      <w:rFonts w:ascii="Calibri" w:hAnsi="Calibri" w:eastAsia="宋体"/>
      <w:sz w:val="21"/>
      <w:szCs w:val="22"/>
    </w:rPr>
  </w:style>
  <w:style w:type="paragraph" w:customStyle="1" w:styleId="26">
    <w:name w:val="正文表格内"/>
    <w:basedOn w:val="1"/>
    <w:qFormat/>
    <w:uiPriority w:val="0"/>
    <w:pPr>
      <w:spacing w:line="440" w:lineRule="exact"/>
      <w:ind w:firstLine="0" w:firstLineChars="0"/>
      <w:jc w:val="center"/>
    </w:pPr>
    <w:rPr>
      <w:sz w:val="21"/>
      <w:szCs w:val="21"/>
    </w:rPr>
  </w:style>
  <w:style w:type="paragraph" w:customStyle="1" w:styleId="27">
    <w:name w:val="正文表格"/>
    <w:basedOn w:val="26"/>
    <w:qFormat/>
    <w:uiPriority w:val="0"/>
    <w:pPr>
      <w:jc w:val="both"/>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738</Words>
  <Characters>4207</Characters>
  <Lines>35</Lines>
  <Paragraphs>9</Paragraphs>
  <TotalTime>14</TotalTime>
  <ScaleCrop>false</ScaleCrop>
  <LinksUpToDate>false</LinksUpToDate>
  <CharactersWithSpaces>4936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2020-07-11T10:32:00Z</dcterms:created>
  <dc:creator>李航 null</dc:creator>
  <cp:lastModifiedBy>greatwall</cp:lastModifiedBy>
  <cp:lastPrinted>2024-08-11T18:20:00Z</cp:lastPrinted>
  <dcterms:modified xsi:type="dcterms:W3CDTF">2025-09-19T09:59:12Z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BCEB5A4035F72555F138C2685D3EC037_42</vt:lpwstr>
  </property>
</Properties>
</file>