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sz w:val="56"/>
          <w:szCs w:val="56"/>
        </w:rPr>
      </w:pPr>
    </w:p>
    <w:p>
      <w:pPr>
        <w:pStyle w:val="14"/>
        <w:jc w:val="center"/>
        <w:rPr>
          <w:sz w:val="56"/>
          <w:szCs w:val="56"/>
        </w:rPr>
      </w:pPr>
    </w:p>
    <w:p>
      <w:pPr>
        <w:pStyle w:val="14"/>
        <w:jc w:val="center"/>
        <w:rPr>
          <w:sz w:val="84"/>
          <w:szCs w:val="84"/>
        </w:rPr>
      </w:pPr>
    </w:p>
    <w:p>
      <w:pPr>
        <w:pStyle w:val="14"/>
        <w:jc w:val="center"/>
        <w:rPr>
          <w:sz w:val="84"/>
          <w:szCs w:val="84"/>
        </w:rPr>
      </w:pPr>
    </w:p>
    <w:p>
      <w:pPr>
        <w:pStyle w:val="14"/>
        <w:jc w:val="center"/>
        <w:rPr>
          <w:sz w:val="84"/>
          <w:szCs w:val="84"/>
        </w:rPr>
      </w:pPr>
      <w:r>
        <w:rPr>
          <w:rFonts w:hint="eastAsia"/>
          <w:sz w:val="84"/>
          <w:szCs w:val="84"/>
        </w:rPr>
        <w:t>2021年度</w:t>
      </w:r>
    </w:p>
    <w:p>
      <w:pPr>
        <w:pStyle w:val="14"/>
        <w:jc w:val="center"/>
        <w:rPr>
          <w:sz w:val="84"/>
          <w:szCs w:val="84"/>
        </w:rPr>
      </w:pPr>
      <w:r>
        <w:rPr>
          <w:rFonts w:hint="eastAsia"/>
          <w:sz w:val="84"/>
          <w:szCs w:val="84"/>
        </w:rPr>
        <w:t>怀化市档案馆部门决算</w:t>
      </w: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spacing w:line="540" w:lineRule="exact"/>
        <w:jc w:val="center"/>
        <w:rPr>
          <w:sz w:val="56"/>
          <w:szCs w:val="56"/>
        </w:rPr>
      </w:pPr>
    </w:p>
    <w:p>
      <w:pPr>
        <w:pStyle w:val="14"/>
        <w:spacing w:line="500" w:lineRule="exact"/>
        <w:jc w:val="center"/>
        <w:rPr>
          <w:b/>
          <w:sz w:val="36"/>
          <w:szCs w:val="28"/>
        </w:rPr>
      </w:pPr>
    </w:p>
    <w:p>
      <w:pPr>
        <w:pStyle w:val="14"/>
        <w:spacing w:line="500" w:lineRule="exact"/>
        <w:jc w:val="center"/>
        <w:rPr>
          <w:b/>
          <w:sz w:val="36"/>
          <w:szCs w:val="28"/>
        </w:rPr>
      </w:pPr>
    </w:p>
    <w:p>
      <w:pPr>
        <w:pStyle w:val="14"/>
        <w:spacing w:line="500" w:lineRule="exact"/>
        <w:jc w:val="center"/>
        <w:rPr>
          <w:b/>
          <w:sz w:val="36"/>
          <w:szCs w:val="28"/>
        </w:rPr>
      </w:pPr>
      <w:r>
        <w:rPr>
          <w:rFonts w:hint="eastAsia"/>
          <w:b/>
          <w:sz w:val="36"/>
          <w:szCs w:val="28"/>
        </w:rPr>
        <w:t>目录</w:t>
      </w:r>
    </w:p>
    <w:p>
      <w:pPr>
        <w:pStyle w:val="14"/>
        <w:spacing w:line="500" w:lineRule="exact"/>
        <w:ind w:firstLine="562" w:firstLineChars="200"/>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 xml:space="preserve"> </w:t>
      </w:r>
      <w:r>
        <w:rPr>
          <w:rFonts w:hint="eastAsia"/>
          <w:b/>
          <w:sz w:val="28"/>
          <w:szCs w:val="28"/>
        </w:rPr>
        <w:t>怀化市档案馆</w:t>
      </w:r>
      <w:r>
        <w:rPr>
          <w:rFonts w:hint="eastAsia"/>
          <w:b/>
          <w:sz w:val="28"/>
          <w:szCs w:val="28"/>
          <w:lang w:eastAsia="zh-CN"/>
        </w:rPr>
        <w:t>部门</w:t>
      </w:r>
      <w:r>
        <w:rPr>
          <w:rFonts w:hint="eastAsia"/>
          <w:b/>
          <w:sz w:val="28"/>
          <w:szCs w:val="28"/>
        </w:rPr>
        <w:t>概况</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一、部门职责</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二、机构设置</w:t>
      </w:r>
    </w:p>
    <w:p>
      <w:pPr>
        <w:pStyle w:val="14"/>
        <w:spacing w:line="500" w:lineRule="exact"/>
        <w:ind w:firstLine="562" w:firstLineChars="200"/>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二、收入决算表</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三、支出决算表</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14"/>
        <w:spacing w:line="500" w:lineRule="exact"/>
        <w:ind w:firstLine="703" w:firstLineChars="250"/>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pPr>
        <w:pStyle w:val="14"/>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spacing w:line="500"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rPr>
        <w:t>二、收入决算情况说明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八、政府性基金预算收入支出决算情况</w:t>
      </w:r>
    </w:p>
    <w:p>
      <w:pPr>
        <w:pStyle w:val="14"/>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highlight w:val="none"/>
          <w:lang w:val="en-US" w:eastAsia="zh-CN"/>
        </w:rPr>
      </w:pPr>
      <w:r>
        <w:rPr>
          <w:rFonts w:hint="eastAsia" w:ascii="仿宋" w:hAnsi="仿宋" w:eastAsia="仿宋" w:cs="仿宋"/>
          <w:color w:val="000000"/>
          <w:kern w:val="0"/>
          <w:sz w:val="32"/>
          <w:szCs w:val="32"/>
        </w:rPr>
        <w:t>九、</w:t>
      </w:r>
      <w:r>
        <w:rPr>
          <w:rFonts w:hint="eastAsia" w:ascii="仿宋" w:hAnsi="仿宋" w:eastAsia="仿宋" w:cs="仿宋"/>
          <w:sz w:val="32"/>
          <w:szCs w:val="32"/>
          <w:highlight w:val="none"/>
          <w:lang w:val="en-US" w:eastAsia="zh-CN"/>
        </w:rPr>
        <w:t>国有资本经营预算财政拨款支出</w:t>
      </w:r>
      <w:r>
        <w:rPr>
          <w:rFonts w:hint="eastAsia" w:ascii="仿宋" w:hAnsi="仿宋" w:eastAsia="仿宋" w:cs="仿宋"/>
          <w:sz w:val="32"/>
          <w:szCs w:val="32"/>
          <w:highlight w:val="none"/>
        </w:rPr>
        <w:t>决算情况</w:t>
      </w:r>
      <w:r>
        <w:rPr>
          <w:rFonts w:hint="eastAsia" w:ascii="仿宋" w:hAnsi="仿宋" w:eastAsia="仿宋" w:cs="仿宋"/>
          <w:sz w:val="32"/>
          <w:szCs w:val="32"/>
          <w:highlight w:val="none"/>
          <w:lang w:val="en-US" w:eastAsia="zh-CN"/>
        </w:rPr>
        <w:t>说明</w:t>
      </w:r>
    </w:p>
    <w:p>
      <w:pPr>
        <w:pStyle w:val="14"/>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lang w:val="en-US" w:eastAsia="zh-CN"/>
        </w:rPr>
        <w:t>十</w:t>
      </w:r>
      <w:r>
        <w:rPr>
          <w:rFonts w:hint="eastAsia" w:ascii="仿宋" w:hAnsi="仿宋" w:eastAsia="仿宋" w:cs="仿宋"/>
          <w:i w:val="0"/>
          <w:iCs w:val="0"/>
          <w:caps w:val="0"/>
          <w:color w:val="333333"/>
          <w:spacing w:val="0"/>
          <w:sz w:val="32"/>
          <w:szCs w:val="32"/>
          <w:highlight w:val="none"/>
          <w:shd w:val="clear" w:color="auto" w:fill="FFFFFF"/>
        </w:rPr>
        <w:t>、关于机关运行经费支出说明</w:t>
      </w:r>
    </w:p>
    <w:p>
      <w:pPr>
        <w:pStyle w:val="14"/>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i w:val="0"/>
          <w:iCs w:val="0"/>
          <w:caps w:val="0"/>
          <w:color w:val="333333"/>
          <w:spacing w:val="0"/>
          <w:sz w:val="32"/>
          <w:szCs w:val="32"/>
          <w:highlight w:val="none"/>
          <w:shd w:val="clear" w:color="auto" w:fill="FFFFFF"/>
          <w:lang w:val="en-US" w:eastAsia="zh-CN"/>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一</w:t>
      </w:r>
      <w:r>
        <w:rPr>
          <w:rFonts w:hint="eastAsia" w:ascii="仿宋" w:hAnsi="仿宋" w:eastAsia="仿宋" w:cs="仿宋"/>
          <w:i w:val="0"/>
          <w:iCs w:val="0"/>
          <w:caps w:val="0"/>
          <w:color w:val="333333"/>
          <w:spacing w:val="0"/>
          <w:sz w:val="32"/>
          <w:szCs w:val="32"/>
          <w:highlight w:val="none"/>
          <w:shd w:val="clear" w:color="auto" w:fill="FFFFFF"/>
        </w:rPr>
        <w:t>、一般性支出情况</w:t>
      </w:r>
      <w:r>
        <w:rPr>
          <w:rFonts w:hint="eastAsia" w:ascii="仿宋" w:hAnsi="仿宋" w:eastAsia="仿宋" w:cs="仿宋"/>
          <w:i w:val="0"/>
          <w:iCs w:val="0"/>
          <w:caps w:val="0"/>
          <w:color w:val="333333"/>
          <w:spacing w:val="0"/>
          <w:sz w:val="32"/>
          <w:szCs w:val="32"/>
          <w:highlight w:val="none"/>
          <w:shd w:val="clear" w:color="auto" w:fill="FFFFFF"/>
          <w:lang w:val="en-US" w:eastAsia="zh-CN"/>
        </w:rPr>
        <w:t>说明</w:t>
      </w:r>
    </w:p>
    <w:p>
      <w:pPr>
        <w:pStyle w:val="14"/>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二</w:t>
      </w:r>
      <w:r>
        <w:rPr>
          <w:rFonts w:hint="eastAsia" w:ascii="仿宋" w:hAnsi="仿宋" w:eastAsia="仿宋" w:cs="仿宋"/>
          <w:i w:val="0"/>
          <w:iCs w:val="0"/>
          <w:caps w:val="0"/>
          <w:color w:val="333333"/>
          <w:spacing w:val="0"/>
          <w:sz w:val="32"/>
          <w:szCs w:val="32"/>
          <w:highlight w:val="none"/>
          <w:shd w:val="clear" w:color="auto" w:fill="FFFFFF"/>
        </w:rPr>
        <w:t>、关于政府采购支出说明</w:t>
      </w:r>
    </w:p>
    <w:p>
      <w:pPr>
        <w:pStyle w:val="14"/>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三</w:t>
      </w:r>
      <w:r>
        <w:rPr>
          <w:rFonts w:hint="eastAsia" w:ascii="仿宋" w:hAnsi="仿宋" w:eastAsia="仿宋" w:cs="仿宋"/>
          <w:i w:val="0"/>
          <w:iCs w:val="0"/>
          <w:caps w:val="0"/>
          <w:color w:val="333333"/>
          <w:spacing w:val="0"/>
          <w:sz w:val="32"/>
          <w:szCs w:val="32"/>
          <w:highlight w:val="none"/>
          <w:shd w:val="clear" w:color="auto" w:fill="FFFFFF"/>
        </w:rPr>
        <w:t>、关于国有资产占用情况说明</w:t>
      </w:r>
    </w:p>
    <w:p>
      <w:pPr>
        <w:pStyle w:val="14"/>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i w:val="0"/>
          <w:iCs w:val="0"/>
          <w:caps w:val="0"/>
          <w:color w:val="333333"/>
          <w:spacing w:val="0"/>
          <w:sz w:val="32"/>
          <w:szCs w:val="32"/>
          <w:highlight w:val="none"/>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四</w:t>
      </w:r>
      <w:r>
        <w:rPr>
          <w:rFonts w:hint="eastAsia" w:ascii="仿宋" w:hAnsi="仿宋" w:eastAsia="仿宋" w:cs="仿宋"/>
          <w:i w:val="0"/>
          <w:iCs w:val="0"/>
          <w:caps w:val="0"/>
          <w:color w:val="333333"/>
          <w:spacing w:val="0"/>
          <w:sz w:val="32"/>
          <w:szCs w:val="32"/>
          <w:highlight w:val="none"/>
          <w:shd w:val="clear" w:color="auto" w:fill="FFFFFF"/>
        </w:rPr>
        <w:t>、关于2021年度预算绩效情况的说明</w:t>
      </w:r>
    </w:p>
    <w:p>
      <w:pPr>
        <w:autoSpaceDE w:val="0"/>
        <w:autoSpaceDN w:val="0"/>
        <w:adjustRightInd w:val="0"/>
        <w:spacing w:line="500" w:lineRule="exact"/>
        <w:ind w:firstLine="803" w:firstLineChars="250"/>
        <w:jc w:val="left"/>
        <w:rPr>
          <w:rFonts w:ascii="黑体" w:hAnsi="黑体" w:eastAsia="黑体" w:cs="黑体"/>
          <w:b/>
          <w:color w:val="000000"/>
          <w:kern w:val="0"/>
          <w:sz w:val="32"/>
          <w:szCs w:val="32"/>
        </w:rPr>
      </w:pPr>
      <w:r>
        <w:rPr>
          <w:rFonts w:ascii="黑体" w:hAnsi="黑体" w:eastAsia="黑体" w:cs="黑体"/>
          <w:b/>
          <w:color w:val="000000"/>
          <w:kern w:val="0"/>
          <w:sz w:val="32"/>
          <w:szCs w:val="32"/>
        </w:rPr>
        <w:t>第四部分名词解释</w:t>
      </w:r>
    </w:p>
    <w:p>
      <w:pPr>
        <w:autoSpaceDE w:val="0"/>
        <w:autoSpaceDN w:val="0"/>
        <w:adjustRightInd w:val="0"/>
        <w:spacing w:line="500" w:lineRule="exact"/>
        <w:ind w:firstLine="803" w:firstLineChars="250"/>
        <w:jc w:val="left"/>
        <w:rPr>
          <w:rFonts w:ascii="黑体" w:hAnsi="黑体" w:eastAsia="黑体" w:cs="仿宋_GB2312"/>
          <w:b/>
          <w:color w:val="000000"/>
          <w:kern w:val="0"/>
          <w:sz w:val="32"/>
          <w:szCs w:val="32"/>
        </w:rPr>
      </w:pPr>
      <w:r>
        <w:rPr>
          <w:rFonts w:hint="eastAsia" w:ascii="黑体" w:hAnsi="黑体" w:eastAsia="黑体" w:cs="黑体"/>
          <w:b/>
          <w:color w:val="000000"/>
          <w:kern w:val="0"/>
          <w:sz w:val="32"/>
          <w:szCs w:val="32"/>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both"/>
        <w:rPr>
          <w:sz w:val="72"/>
          <w:szCs w:val="72"/>
        </w:rPr>
      </w:pPr>
    </w:p>
    <w:p>
      <w:pPr>
        <w:rPr>
          <w:sz w:val="72"/>
          <w:szCs w:val="72"/>
        </w:rPr>
      </w:pPr>
    </w:p>
    <w:p>
      <w:pPr>
        <w:pStyle w:val="14"/>
        <w:jc w:val="center"/>
        <w:rPr>
          <w:sz w:val="84"/>
          <w:szCs w:val="84"/>
        </w:rPr>
      </w:pPr>
      <w:r>
        <w:rPr>
          <w:rFonts w:hint="eastAsia"/>
          <w:sz w:val="84"/>
          <w:szCs w:val="84"/>
        </w:rPr>
        <w:t>第一部分</w:t>
      </w:r>
      <w:r>
        <w:rPr>
          <w:sz w:val="84"/>
          <w:szCs w:val="84"/>
        </w:rPr>
        <w:t xml:space="preserve"> </w:t>
      </w:r>
    </w:p>
    <w:p>
      <w:pPr>
        <w:pStyle w:val="14"/>
        <w:jc w:val="center"/>
        <w:rPr>
          <w:sz w:val="84"/>
          <w:szCs w:val="84"/>
        </w:rPr>
      </w:pPr>
    </w:p>
    <w:p>
      <w:pPr>
        <w:pStyle w:val="14"/>
        <w:jc w:val="center"/>
        <w:rPr>
          <w:rFonts w:hint="eastAsia"/>
          <w:sz w:val="84"/>
          <w:szCs w:val="84"/>
        </w:rPr>
      </w:pPr>
      <w:r>
        <w:rPr>
          <w:rFonts w:hint="eastAsia"/>
          <w:sz w:val="84"/>
          <w:szCs w:val="84"/>
        </w:rPr>
        <w:t>怀化市档案馆概况</w:t>
      </w:r>
    </w:p>
    <w:p>
      <w:pPr>
        <w:pStyle w:val="14"/>
        <w:jc w:val="center"/>
        <w:rPr>
          <w:rFonts w:hint="eastAsia"/>
          <w:sz w:val="84"/>
          <w:szCs w:val="84"/>
        </w:rPr>
      </w:pPr>
    </w:p>
    <w:p>
      <w:pPr>
        <w:pStyle w:val="14"/>
        <w:jc w:val="center"/>
        <w:rPr>
          <w:rFonts w:hint="eastAsia"/>
          <w:sz w:val="84"/>
          <w:szCs w:val="84"/>
        </w:rPr>
      </w:pPr>
    </w:p>
    <w:p>
      <w:pPr>
        <w:pStyle w:val="14"/>
        <w:jc w:val="center"/>
        <w:rPr>
          <w:rFonts w:hint="eastAsia"/>
          <w:sz w:val="84"/>
          <w:szCs w:val="84"/>
        </w:rPr>
      </w:pPr>
    </w:p>
    <w:p>
      <w:pPr>
        <w:pStyle w:val="14"/>
        <w:jc w:val="center"/>
        <w:rPr>
          <w:rFonts w:hint="eastAsia"/>
          <w:sz w:val="84"/>
          <w:szCs w:val="84"/>
        </w:rPr>
      </w:pPr>
    </w:p>
    <w:p>
      <w:pPr>
        <w:pStyle w:val="14"/>
        <w:jc w:val="center"/>
        <w:rPr>
          <w:rFonts w:hint="eastAsia"/>
          <w:sz w:val="84"/>
          <w:szCs w:val="84"/>
        </w:rPr>
      </w:pPr>
    </w:p>
    <w:p>
      <w:pPr>
        <w:pStyle w:val="14"/>
        <w:jc w:val="center"/>
        <w:rPr>
          <w:rFonts w:hint="eastAsia"/>
          <w:sz w:val="84"/>
          <w:szCs w:val="84"/>
        </w:rPr>
      </w:pPr>
    </w:p>
    <w:p>
      <w:pPr>
        <w:pStyle w:val="14"/>
        <w:jc w:val="both"/>
        <w:rPr>
          <w:rFonts w:hint="eastAsia"/>
          <w:sz w:val="84"/>
          <w:szCs w:val="84"/>
        </w:rPr>
      </w:pPr>
    </w:p>
    <w:p>
      <w:pPr>
        <w:pStyle w:val="14"/>
        <w:jc w:val="center"/>
        <w:rPr>
          <w:rFonts w:hint="eastAsia"/>
          <w:sz w:val="84"/>
          <w:szCs w:val="84"/>
        </w:rPr>
      </w:pPr>
    </w:p>
    <w:p>
      <w:pPr>
        <w:pStyle w:val="14"/>
        <w:jc w:val="center"/>
        <w:rPr>
          <w:rFonts w:hint="eastAsia"/>
          <w:sz w:val="84"/>
          <w:szCs w:val="84"/>
        </w:rPr>
      </w:pPr>
    </w:p>
    <w:p>
      <w:pPr>
        <w:pStyle w:val="15"/>
        <w:ind w:left="720" w:firstLine="0" w:firstLineChars="0"/>
        <w:jc w:val="left"/>
        <w:rPr>
          <w:rFonts w:ascii="黑体" w:hAnsi="黑体" w:eastAsia="黑体"/>
          <w:sz w:val="32"/>
          <w:szCs w:val="32"/>
        </w:rPr>
      </w:pPr>
      <w:r>
        <w:rPr>
          <w:rFonts w:hint="eastAsia" w:ascii="黑体" w:hAnsi="黑体" w:eastAsia="黑体"/>
          <w:sz w:val="32"/>
          <w:szCs w:val="32"/>
        </w:rPr>
        <w:t xml:space="preserve">     一、 </w:t>
      </w:r>
      <w:r>
        <w:rPr>
          <w:rFonts w:ascii="黑体" w:hAnsi="黑体" w:eastAsia="黑体"/>
          <w:sz w:val="32"/>
          <w:szCs w:val="32"/>
        </w:rPr>
        <w:t>部门职责</w:t>
      </w:r>
    </w:p>
    <w:p>
      <w:pPr>
        <w:pStyle w:val="8"/>
        <w:widowControl/>
        <w:spacing w:beforeAutospacing="0" w:after="76" w:afterAutospacing="0" w:line="510" w:lineRule="atLeast"/>
        <w:ind w:left="720" w:firstLine="480" w:firstLineChars="150"/>
        <w:jc w:val="both"/>
        <w:rPr>
          <w:rFonts w:ascii="仿宋" w:hAnsi="仿宋" w:eastAsia="仿宋" w:cstheme="minorBidi"/>
          <w:bCs/>
          <w:sz w:val="32"/>
          <w:szCs w:val="32"/>
        </w:rPr>
      </w:pPr>
      <w:r>
        <w:rPr>
          <w:rFonts w:ascii="仿宋" w:hAnsi="仿宋" w:eastAsia="仿宋" w:cstheme="minorBidi"/>
          <w:bCs/>
          <w:sz w:val="32"/>
          <w:szCs w:val="32"/>
        </w:rPr>
        <w:t>（一）负责本馆日常运转工作和内外联系、综合协调；负责制定档案馆各项内部管理制度，起草有关文件和综合性文字材料；负责会议组织、文电处理、统计年报、信访、保密、国有资产管理及其他行政事务管理工作；负责财务、人事、劳动工资、计生、绩效考核、综合治理、安全保卫、后勤服务、综合信息上报工作；负责全市档案专业技术资格申报审查工作。</w:t>
      </w:r>
    </w:p>
    <w:p>
      <w:pPr>
        <w:pStyle w:val="8"/>
        <w:widowControl/>
        <w:spacing w:beforeAutospacing="0" w:after="76" w:afterAutospacing="0" w:line="510" w:lineRule="atLeast"/>
        <w:ind w:left="720" w:firstLine="640" w:firstLineChars="200"/>
        <w:jc w:val="both"/>
        <w:rPr>
          <w:rFonts w:ascii="仿宋" w:hAnsi="仿宋" w:eastAsia="仿宋" w:cstheme="minorBidi"/>
          <w:bCs/>
          <w:sz w:val="32"/>
          <w:szCs w:val="32"/>
        </w:rPr>
      </w:pPr>
      <w:r>
        <w:rPr>
          <w:rFonts w:ascii="仿宋" w:hAnsi="仿宋" w:eastAsia="仿宋" w:cstheme="minorBidi"/>
          <w:bCs/>
          <w:sz w:val="32"/>
          <w:szCs w:val="32"/>
        </w:rPr>
        <w:t>（二）负责应用先进技术和方法对馆藏档案资料进行科学保管工作，维护档案安全；对馆藏档案资料进行整理、销毁、统计和编制检索工具、全宗介绍等；负责馆藏档案资料、市政府公开信息及现行文件的预约和来馆查阅服务；负责本馆查阅利用情况综合和统计；负责档案利用效果的收集和典型经验总结上报；负责档案馆库房设施设备运行、维护管理和库房保洁工作。</w:t>
      </w:r>
    </w:p>
    <w:p>
      <w:pPr>
        <w:pStyle w:val="8"/>
        <w:widowControl/>
        <w:spacing w:beforeAutospacing="0" w:after="76" w:afterAutospacing="0" w:line="510" w:lineRule="atLeast"/>
        <w:ind w:left="720" w:firstLine="640" w:firstLineChars="200"/>
        <w:jc w:val="both"/>
        <w:rPr>
          <w:rFonts w:ascii="仿宋" w:hAnsi="仿宋" w:eastAsia="仿宋" w:cstheme="minorBidi"/>
          <w:bCs/>
          <w:sz w:val="32"/>
          <w:szCs w:val="32"/>
        </w:rPr>
      </w:pPr>
      <w:r>
        <w:rPr>
          <w:rFonts w:ascii="仿宋" w:hAnsi="仿宋" w:eastAsia="仿宋" w:cstheme="minorBidi"/>
          <w:bCs/>
          <w:sz w:val="32"/>
          <w:szCs w:val="32"/>
        </w:rPr>
        <w:t>（三）负责公布档案史料，并开展馆藏档案史料的开发、编研和发行工作；负责开展档案学术理论研究和科研工作，组织全市档案编研优秀成果的评审与申报； 负责开展档案宣传和档案文化建设，围绕市委市政府中心工作和社会重点、热点问题举办档案展览；负责爱国主义教育基地的建设、管理和对外开放；负责接收市直单位和其他组织按规定移交进馆的档案资料；负责市政府公开信息和现行文件的征集接收；负责调查、征集散存在社会上的珍贵档案资料；负责馆藏档案开放鉴定，定期向社会公布开放档案目录；负责对馆藏档案资料进行技术抢救和保护修复工作。</w:t>
      </w:r>
    </w:p>
    <w:p>
      <w:pPr>
        <w:pStyle w:val="8"/>
        <w:widowControl/>
        <w:spacing w:beforeAutospacing="0" w:after="76" w:afterAutospacing="0" w:line="510" w:lineRule="atLeast"/>
        <w:ind w:firstLine="1280" w:firstLineChars="400"/>
        <w:jc w:val="both"/>
        <w:rPr>
          <w:rFonts w:ascii="仿宋" w:hAnsi="仿宋" w:eastAsia="仿宋" w:cstheme="minorBidi"/>
          <w:bCs/>
          <w:sz w:val="32"/>
          <w:szCs w:val="32"/>
        </w:rPr>
      </w:pPr>
      <w:r>
        <w:rPr>
          <w:rFonts w:ascii="仿宋" w:hAnsi="仿宋" w:eastAsia="仿宋" w:cstheme="minorBidi"/>
          <w:bCs/>
          <w:sz w:val="32"/>
          <w:szCs w:val="32"/>
        </w:rPr>
        <w:t>（四）</w:t>
      </w:r>
      <w:r>
        <w:rPr>
          <w:rFonts w:hint="eastAsia" w:ascii="仿宋" w:hAnsi="仿宋" w:eastAsia="仿宋" w:cstheme="minorBidi"/>
          <w:bCs/>
          <w:sz w:val="32"/>
          <w:szCs w:val="32"/>
        </w:rPr>
        <w:t xml:space="preserve"> </w:t>
      </w:r>
      <w:r>
        <w:rPr>
          <w:rFonts w:ascii="仿宋" w:hAnsi="仿宋" w:eastAsia="仿宋" w:cstheme="minorBidi"/>
          <w:bCs/>
          <w:sz w:val="32"/>
          <w:szCs w:val="32"/>
        </w:rPr>
        <w:t>负责市直单位和其他组织电子、声像档案的接收、存储工作；负责开展馆藏档案资料缩微、数字化、模数转换、复制等工作；负责馆藏档案目录、全文和多媒体数据库建设工作。负责本馆计算机网络、门户网站、办公自动化、数字化设备等信息化基础设施建设及管理与运行维护工作，保障计算机信息系统安全；负责档案数字资源的日常维护及安全保管、统计分析、备份迁移、共享发布等工作。负责承担党和国家领导人、省领导、重要人物来怀化及外事接待活动中形成的照片、录音、录像档案的采集及其接收、整理；承担市领导公务活动及本市重要人物的照片、录音、录像档案的采集及其接收、整理；承担市内重要会议、重大活动、重大事件的照片、录音、录像档案的采集及其接收、整理；定点、定时采集市内记录城乡建设与发展的声像档案 ；负责市内非物质文化遗产和重要名胜档案资料的采集与整理；组织市本级口述档案的采集与整理；提供照片、录音、录像档案资料的开发利用。</w:t>
      </w:r>
    </w:p>
    <w:p>
      <w:pPr>
        <w:pStyle w:val="8"/>
        <w:widowControl/>
        <w:spacing w:beforeAutospacing="0" w:after="76" w:afterAutospacing="0" w:line="510" w:lineRule="atLeast"/>
        <w:ind w:left="720"/>
        <w:jc w:val="both"/>
        <w:rPr>
          <w:rFonts w:ascii="仿宋" w:hAnsi="仿宋" w:eastAsia="仿宋" w:cstheme="minorBidi"/>
          <w:bCs/>
          <w:sz w:val="32"/>
          <w:szCs w:val="32"/>
        </w:rPr>
      </w:pPr>
      <w:r>
        <w:rPr>
          <w:rFonts w:ascii="仿宋" w:hAnsi="仿宋" w:eastAsia="仿宋" w:cstheme="minorBidi"/>
          <w:bCs/>
          <w:sz w:val="32"/>
          <w:szCs w:val="32"/>
        </w:rPr>
        <w:t>(五)承办市委、市政府交办的其他事项。</w:t>
      </w:r>
    </w:p>
    <w:p>
      <w:pPr>
        <w:widowControl/>
        <w:spacing w:line="600" w:lineRule="exact"/>
        <w:ind w:firstLine="640" w:firstLineChars="200"/>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pStyle w:val="8"/>
        <w:widowControl/>
        <w:spacing w:beforeAutospacing="0" w:after="76" w:afterAutospacing="0" w:line="510" w:lineRule="atLeast"/>
        <w:ind w:firstLine="420"/>
        <w:jc w:val="both"/>
        <w:rPr>
          <w:rFonts w:ascii="仿宋" w:hAnsi="仿宋" w:eastAsia="仿宋"/>
          <w:color w:val="3D3D3D"/>
          <w:sz w:val="32"/>
          <w:szCs w:val="32"/>
        </w:rPr>
      </w:pPr>
      <w:r>
        <w:rPr>
          <w:rFonts w:hint="eastAsia" w:ascii="仿宋" w:hAnsi="仿宋" w:eastAsia="仿宋"/>
          <w:bCs/>
          <w:sz w:val="32"/>
          <w:szCs w:val="32"/>
        </w:rPr>
        <w:t>（一）内设机构设置。</w:t>
      </w:r>
      <w:r>
        <w:rPr>
          <w:rFonts w:ascii="仿宋" w:hAnsi="仿宋" w:eastAsia="仿宋" w:cstheme="minorBidi"/>
          <w:bCs/>
          <w:sz w:val="32"/>
          <w:szCs w:val="32"/>
        </w:rPr>
        <w:t>市档案馆内设4个职能部(室)：怀化市档案馆办公室；怀化市档案馆管理利用部；怀化市档案馆编研和征收鉴定部；怀化市档案馆科技信息部（电子档案部）</w:t>
      </w:r>
      <w:r>
        <w:rPr>
          <w:rFonts w:ascii="仿宋" w:hAnsi="仿宋" w:eastAsia="仿宋"/>
          <w:color w:val="3D3D3D"/>
          <w:sz w:val="32"/>
          <w:szCs w:val="32"/>
        </w:rPr>
        <w:t>。</w:t>
      </w:r>
    </w:p>
    <w:p>
      <w:pPr>
        <w:pStyle w:val="8"/>
        <w:widowControl/>
        <w:spacing w:beforeAutospacing="0" w:after="76" w:afterAutospacing="0" w:line="510" w:lineRule="atLeast"/>
        <w:ind w:firstLine="420"/>
        <w:jc w:val="both"/>
        <w:rPr>
          <w:rFonts w:ascii="仿宋" w:hAnsi="仿宋" w:eastAsia="仿宋" w:cstheme="minorBidi"/>
          <w:bCs/>
          <w:sz w:val="32"/>
          <w:szCs w:val="32"/>
        </w:rPr>
      </w:pPr>
      <w:r>
        <w:rPr>
          <w:rFonts w:hint="eastAsia" w:ascii="仿宋" w:hAnsi="仿宋" w:eastAsia="仿宋"/>
          <w:bCs/>
          <w:sz w:val="32"/>
          <w:szCs w:val="32"/>
        </w:rPr>
        <w:t>（二）决算单位构成。</w:t>
      </w:r>
      <w:r>
        <w:rPr>
          <w:rFonts w:ascii="仿宋" w:hAnsi="仿宋" w:eastAsia="仿宋" w:cstheme="minorBidi"/>
          <w:bCs/>
          <w:sz w:val="32"/>
          <w:szCs w:val="32"/>
        </w:rPr>
        <w:t>市档案馆为一级部门预算单位， 202</w:t>
      </w:r>
      <w:r>
        <w:rPr>
          <w:rFonts w:hint="eastAsia" w:ascii="仿宋" w:hAnsi="仿宋" w:eastAsia="仿宋" w:cstheme="minorBidi"/>
          <w:bCs/>
          <w:sz w:val="32"/>
          <w:szCs w:val="32"/>
        </w:rPr>
        <w:t>1</w:t>
      </w:r>
      <w:r>
        <w:rPr>
          <w:rFonts w:ascii="仿宋" w:hAnsi="仿宋" w:eastAsia="仿宋" w:cstheme="minorBidi"/>
          <w:bCs/>
          <w:sz w:val="32"/>
          <w:szCs w:val="32"/>
        </w:rPr>
        <w:t>年部门决算汇总公开单位构成就是市档案馆本级。</w:t>
      </w:r>
    </w:p>
    <w:p>
      <w:pPr>
        <w:widowControl/>
        <w:spacing w:line="600" w:lineRule="exact"/>
        <w:rPr>
          <w:rFonts w:ascii="仿宋" w:hAnsi="仿宋" w:eastAsia="仿宋"/>
          <w:bCs/>
          <w:kern w:val="0"/>
          <w:sz w:val="32"/>
          <w:szCs w:val="32"/>
        </w:rPr>
      </w:pPr>
    </w:p>
    <w:p>
      <w:pPr>
        <w:jc w:val="center"/>
        <w:rPr>
          <w:rFonts w:ascii="仿宋" w:hAnsi="仿宋" w:eastAsia="仿宋"/>
          <w:sz w:val="32"/>
          <w:szCs w:val="32"/>
        </w:rPr>
      </w:pPr>
    </w:p>
    <w:p>
      <w:pPr>
        <w:jc w:val="center"/>
        <w:rPr>
          <w:rFonts w:ascii="仿宋" w:hAnsi="仿宋" w:eastAsia="仿宋"/>
          <w:sz w:val="32"/>
          <w:szCs w:val="32"/>
        </w:rPr>
      </w:pPr>
    </w:p>
    <w:p>
      <w:pPr>
        <w:jc w:val="center"/>
        <w:rPr>
          <w:rFonts w:ascii="黑体" w:hAnsi="黑体" w:eastAsia="黑体"/>
          <w:sz w:val="28"/>
          <w:szCs w:val="28"/>
        </w:rPr>
      </w:pPr>
    </w:p>
    <w:p>
      <w:pPr>
        <w:rPr>
          <w:sz w:val="72"/>
          <w:szCs w:val="72"/>
        </w:rPr>
      </w:pPr>
    </w:p>
    <w:p>
      <w:pPr>
        <w:jc w:val="center"/>
        <w:rPr>
          <w:sz w:val="72"/>
          <w:szCs w:val="72"/>
        </w:rPr>
      </w:pPr>
    </w:p>
    <w:p>
      <w:pPr>
        <w:jc w:val="center"/>
        <w:rPr>
          <w:rFonts w:hint="eastAsia" w:ascii="黑体" w:hAnsi="黑体" w:eastAsia="黑体"/>
          <w:sz w:val="84"/>
          <w:szCs w:val="84"/>
        </w:rPr>
      </w:pPr>
      <w:r>
        <w:rPr>
          <w:rFonts w:hint="eastAsia" w:ascii="黑体" w:hAnsi="黑体" w:eastAsia="黑体"/>
          <w:sz w:val="84"/>
          <w:szCs w:val="84"/>
        </w:rPr>
        <w:t xml:space="preserve">第二部分 </w:t>
      </w:r>
    </w:p>
    <w:p>
      <w:pPr>
        <w:jc w:val="center"/>
        <w:rPr>
          <w:rFonts w:hint="eastAsia" w:ascii="黑体" w:hAnsi="黑体" w:eastAsia="黑体"/>
          <w:sz w:val="84"/>
          <w:szCs w:val="84"/>
        </w:rPr>
      </w:pPr>
      <w:r>
        <w:rPr>
          <w:rFonts w:hint="eastAsia" w:ascii="黑体" w:hAnsi="黑体" w:eastAsia="黑体"/>
          <w:sz w:val="84"/>
          <w:szCs w:val="84"/>
        </w:rPr>
        <w:t xml:space="preserve"> 部门决算表</w:t>
      </w:r>
    </w:p>
    <w:p>
      <w:pPr>
        <w:jc w:val="center"/>
        <w:rPr>
          <w:sz w:val="72"/>
          <w:szCs w:val="72"/>
        </w:rPr>
      </w:pPr>
    </w:p>
    <w:p>
      <w:pPr>
        <w:jc w:val="center"/>
        <w:rPr>
          <w:rFonts w:ascii="仿宋" w:hAnsi="仿宋" w:eastAsia="仿宋"/>
          <w:bCs/>
          <w:kern w:val="0"/>
          <w:sz w:val="32"/>
          <w:szCs w:val="32"/>
        </w:rPr>
      </w:pPr>
      <w:r>
        <w:rPr>
          <w:rFonts w:hint="eastAsia" w:asciiTheme="minorEastAsia" w:hAnsiTheme="minorEastAsia"/>
          <w:bCs/>
          <w:kern w:val="0"/>
          <w:sz w:val="32"/>
          <w:szCs w:val="32"/>
        </w:rPr>
        <w:t xml:space="preserve"> </w:t>
      </w:r>
      <w:r>
        <w:rPr>
          <w:rFonts w:asciiTheme="minorEastAsia" w:hAnsiTheme="minorEastAsia"/>
          <w:bCs/>
          <w:kern w:val="0"/>
          <w:sz w:val="32"/>
          <w:szCs w:val="32"/>
        </w:rPr>
        <w:t xml:space="preserve">  </w:t>
      </w:r>
      <w:r>
        <w:rPr>
          <w:rFonts w:ascii="仿宋" w:hAnsi="仿宋" w:eastAsia="仿宋"/>
          <w:bCs/>
          <w:kern w:val="0"/>
          <w:sz w:val="32"/>
          <w:szCs w:val="32"/>
        </w:rPr>
        <w:t xml:space="preserve"> </w:t>
      </w:r>
      <w:r>
        <w:rPr>
          <w:rFonts w:hint="eastAsia" w:ascii="仿宋" w:hAnsi="仿宋" w:eastAsia="仿宋"/>
          <w:bCs/>
          <w:kern w:val="0"/>
          <w:sz w:val="32"/>
          <w:szCs w:val="32"/>
        </w:rPr>
        <w:t>部门决算表共9张决算表，包括：收支总表3张，即：《收入支出决算总表》《收入决算表》《支出决算表》；财政拨款收支表6张，即《财政拨款收入支出决算总表》《一般公共预算财政拨款支出决算表》《一般公共预算财政拨款基本支出决算表》《一般公共预算财政拨款“三公”经费支出决算表》《政府性基金预算财政拨款收入支出决算表》</w:t>
      </w:r>
      <w:r>
        <w:rPr>
          <w:rFonts w:hint="eastAsia" w:ascii="仿宋" w:hAnsi="仿宋" w:eastAsia="仿宋"/>
          <w:color w:val="3D3D3D"/>
          <w:sz w:val="32"/>
          <w:szCs w:val="32"/>
          <w:shd w:val="clear" w:color="auto" w:fill="FFFFFF"/>
        </w:rPr>
        <w:t>《</w:t>
      </w:r>
      <w:r>
        <w:rPr>
          <w:rFonts w:hint="eastAsia" w:ascii="仿宋" w:hAnsi="仿宋" w:eastAsia="仿宋"/>
          <w:bCs/>
          <w:kern w:val="0"/>
          <w:sz w:val="32"/>
          <w:szCs w:val="32"/>
        </w:rPr>
        <w:t>国有资本经营预算财政拨款支出决算表》。（公开表格附后）</w:t>
      </w:r>
    </w:p>
    <w:p>
      <w:pPr>
        <w:jc w:val="left"/>
        <w:rPr>
          <w:rFonts w:ascii="仿宋" w:hAnsi="仿宋" w:eastAsia="仿宋"/>
          <w:sz w:val="32"/>
          <w:szCs w:val="32"/>
        </w:rPr>
        <w:sectPr>
          <w:pgSz w:w="11906" w:h="16838"/>
          <w:pgMar w:top="720" w:right="720" w:bottom="720" w:left="720" w:header="851" w:footer="992" w:gutter="0"/>
          <w:cols w:space="425" w:num="1"/>
          <w:docGrid w:type="lines" w:linePitch="312" w:charSpace="0"/>
        </w:sectPr>
      </w:pPr>
    </w:p>
    <w:p>
      <w:pPr>
        <w:autoSpaceDE w:val="0"/>
        <w:autoSpaceDN w:val="0"/>
        <w:adjustRightInd w:val="0"/>
        <w:ind w:left="315" w:leftChars="150"/>
        <w:jc w:val="left"/>
        <w:rPr>
          <w:rFonts w:ascii="宋体" w:eastAsia="宋体" w:cs="宋体"/>
          <w:kern w:val="0"/>
          <w:sz w:val="24"/>
          <w:szCs w:val="24"/>
        </w:rPr>
      </w:pPr>
    </w:p>
    <w:p>
      <w:pPr>
        <w:pStyle w:val="14"/>
        <w:rPr>
          <w:sz w:val="72"/>
          <w:szCs w:val="72"/>
        </w:rPr>
      </w:pPr>
    </w:p>
    <w:p>
      <w:pPr>
        <w:pStyle w:val="14"/>
        <w:rPr>
          <w:sz w:val="72"/>
          <w:szCs w:val="72"/>
        </w:rPr>
      </w:pPr>
    </w:p>
    <w:p>
      <w:pPr>
        <w:pStyle w:val="14"/>
        <w:rPr>
          <w:sz w:val="72"/>
          <w:szCs w:val="72"/>
        </w:rPr>
      </w:pPr>
    </w:p>
    <w:p>
      <w:pPr>
        <w:pStyle w:val="14"/>
        <w:rPr>
          <w:sz w:val="72"/>
          <w:szCs w:val="72"/>
        </w:rPr>
      </w:pPr>
    </w:p>
    <w:p>
      <w:pPr>
        <w:pStyle w:val="14"/>
        <w:jc w:val="center"/>
        <w:rPr>
          <w:sz w:val="72"/>
          <w:szCs w:val="72"/>
        </w:rPr>
      </w:pPr>
    </w:p>
    <w:p>
      <w:pPr>
        <w:pStyle w:val="14"/>
        <w:jc w:val="center"/>
        <w:rPr>
          <w:sz w:val="72"/>
          <w:szCs w:val="72"/>
        </w:rPr>
      </w:pPr>
    </w:p>
    <w:p>
      <w:pPr>
        <w:pStyle w:val="14"/>
        <w:jc w:val="center"/>
        <w:rPr>
          <w:sz w:val="84"/>
          <w:szCs w:val="84"/>
        </w:rPr>
      </w:pPr>
      <w:r>
        <w:rPr>
          <w:rFonts w:hint="eastAsia"/>
          <w:sz w:val="84"/>
          <w:szCs w:val="84"/>
        </w:rPr>
        <w:t>第三部分</w:t>
      </w:r>
    </w:p>
    <w:p>
      <w:pPr>
        <w:pStyle w:val="14"/>
        <w:jc w:val="center"/>
        <w:rPr>
          <w:sz w:val="84"/>
          <w:szCs w:val="84"/>
        </w:rPr>
      </w:pPr>
    </w:p>
    <w:p>
      <w:pPr>
        <w:pStyle w:val="14"/>
        <w:jc w:val="center"/>
        <w:rPr>
          <w:sz w:val="84"/>
          <w:szCs w:val="84"/>
        </w:rPr>
      </w:pPr>
      <w:r>
        <w:rPr>
          <w:sz w:val="84"/>
          <w:szCs w:val="84"/>
        </w:rPr>
        <w:t>20</w:t>
      </w:r>
      <w:r>
        <w:rPr>
          <w:rFonts w:hint="eastAsia"/>
          <w:sz w:val="84"/>
          <w:szCs w:val="84"/>
        </w:rPr>
        <w:t>21年度部门决算情况说明</w:t>
      </w:r>
    </w:p>
    <w:p>
      <w:pPr>
        <w:widowControl/>
        <w:jc w:val="left"/>
        <w:rPr>
          <w:rFonts w:ascii="黑体" w:eastAsia="黑体" w:cs="黑体"/>
          <w:color w:val="000000"/>
          <w:kern w:val="0"/>
          <w:sz w:val="70"/>
          <w:szCs w:val="70"/>
        </w:rPr>
      </w:pPr>
      <w:r>
        <w:rPr>
          <w:sz w:val="70"/>
          <w:szCs w:val="70"/>
        </w:rPr>
        <w:br w:type="page"/>
      </w:r>
    </w:p>
    <w:p>
      <w:pPr>
        <w:pStyle w:val="14"/>
        <w:rPr>
          <w:rFonts w:asciiTheme="minorEastAsia" w:hAnsiTheme="minorEastAsia" w:eastAsiaTheme="minorEastAsia"/>
          <w:sz w:val="32"/>
          <w:szCs w:val="32"/>
        </w:rPr>
      </w:pPr>
    </w:p>
    <w:p>
      <w:pPr>
        <w:pStyle w:val="14"/>
        <w:ind w:firstLine="640" w:firstLineChars="200"/>
        <w:rPr>
          <w:rFonts w:hAnsi="黑体"/>
          <w:b/>
          <w:sz w:val="32"/>
          <w:szCs w:val="32"/>
        </w:rPr>
      </w:pPr>
      <w:r>
        <w:rPr>
          <w:rFonts w:hint="eastAsia" w:hAnsi="黑体"/>
          <w:b/>
          <w:sz w:val="32"/>
          <w:szCs w:val="32"/>
        </w:rPr>
        <w:t>一、收入支出决算总体情况说明</w:t>
      </w:r>
    </w:p>
    <w:p>
      <w:pPr>
        <w:pStyle w:val="14"/>
        <w:ind w:firstLine="640" w:firstLineChars="200"/>
        <w:rPr>
          <w:rFonts w:ascii="仿宋" w:hAnsi="仿宋" w:eastAsia="仿宋"/>
          <w:sz w:val="32"/>
          <w:szCs w:val="32"/>
        </w:rPr>
      </w:pPr>
      <w:r>
        <w:rPr>
          <w:rFonts w:hint="eastAsia" w:ascii="仿宋" w:hAnsi="仿宋" w:eastAsia="仿宋"/>
          <w:sz w:val="32"/>
          <w:szCs w:val="32"/>
        </w:rPr>
        <w:t>2021年度收、支总计</w:t>
      </w:r>
      <w:r>
        <w:rPr>
          <w:rFonts w:ascii="仿宋" w:hAnsi="仿宋" w:eastAsia="仿宋"/>
          <w:sz w:val="32"/>
          <w:szCs w:val="32"/>
        </w:rPr>
        <w:t>375.77</w:t>
      </w:r>
      <w:r>
        <w:rPr>
          <w:rFonts w:hint="eastAsia" w:ascii="仿宋" w:hAnsi="仿宋" w:eastAsia="仿宋"/>
          <w:sz w:val="32"/>
          <w:szCs w:val="32"/>
        </w:rPr>
        <w:t>万元。与上年相比，增加1</w:t>
      </w:r>
      <w:r>
        <w:rPr>
          <w:rFonts w:ascii="仿宋" w:hAnsi="仿宋" w:eastAsia="仿宋"/>
          <w:sz w:val="32"/>
          <w:szCs w:val="32"/>
        </w:rPr>
        <w:t>5.62</w:t>
      </w:r>
      <w:r>
        <w:rPr>
          <w:rFonts w:hint="eastAsia" w:ascii="仿宋" w:hAnsi="仿宋" w:eastAsia="仿宋"/>
          <w:sz w:val="32"/>
          <w:szCs w:val="32"/>
        </w:rPr>
        <w:t>万元，增长4</w:t>
      </w:r>
      <w:r>
        <w:rPr>
          <w:rFonts w:ascii="仿宋" w:hAnsi="仿宋" w:eastAsia="仿宋"/>
          <w:sz w:val="32"/>
          <w:szCs w:val="32"/>
        </w:rPr>
        <w:t>.33</w:t>
      </w:r>
      <w:r>
        <w:rPr>
          <w:rFonts w:hint="eastAsia" w:ascii="仿宋" w:hAnsi="仿宋" w:eastAsia="仿宋"/>
          <w:sz w:val="32"/>
          <w:szCs w:val="32"/>
        </w:rPr>
        <w:t>%，</w:t>
      </w:r>
      <w:bookmarkStart w:id="0" w:name="_Hlk112756587"/>
      <w:bookmarkStart w:id="1" w:name="_Hlk112756644"/>
      <w:r>
        <w:rPr>
          <w:rFonts w:hint="eastAsia" w:ascii="仿宋" w:hAnsi="仿宋" w:eastAsia="仿宋"/>
          <w:sz w:val="32"/>
          <w:szCs w:val="32"/>
        </w:rPr>
        <w:t>主要是因为</w:t>
      </w:r>
      <w:bookmarkStart w:id="2" w:name="_Hlk112755979"/>
      <w:r>
        <w:rPr>
          <w:rFonts w:hint="eastAsia" w:ascii="仿宋" w:hAnsi="仿宋" w:eastAsia="仿宋"/>
          <w:sz w:val="32"/>
          <w:szCs w:val="32"/>
        </w:rPr>
        <w:t>增加了</w:t>
      </w:r>
      <w:bookmarkEnd w:id="2"/>
      <w:r>
        <w:rPr>
          <w:rFonts w:hint="eastAsia" w:ascii="仿宋" w:hAnsi="仿宋" w:eastAsia="仿宋"/>
          <w:sz w:val="32"/>
          <w:szCs w:val="32"/>
        </w:rPr>
        <w:t>档案专题数据库全文数字化扫描专项经费及库房配套设施建设经费。</w:t>
      </w:r>
      <w:bookmarkEnd w:id="0"/>
    </w:p>
    <w:bookmarkEnd w:id="1"/>
    <w:p>
      <w:pPr>
        <w:pStyle w:val="14"/>
        <w:ind w:firstLine="640" w:firstLineChars="200"/>
        <w:rPr>
          <w:rFonts w:hAnsi="黑体"/>
          <w:b/>
          <w:sz w:val="32"/>
          <w:szCs w:val="32"/>
        </w:rPr>
      </w:pPr>
      <w:r>
        <w:rPr>
          <w:rFonts w:hint="eastAsia" w:hAnsi="黑体"/>
          <w:b/>
          <w:sz w:val="32"/>
          <w:szCs w:val="32"/>
        </w:rPr>
        <w:t>二、收入决算情况说明</w:t>
      </w:r>
    </w:p>
    <w:p>
      <w:pPr>
        <w:pStyle w:val="14"/>
        <w:ind w:firstLine="640" w:firstLineChars="200"/>
        <w:rPr>
          <w:rFonts w:ascii="仿宋" w:hAnsi="仿宋" w:eastAsia="仿宋"/>
          <w:sz w:val="32"/>
          <w:szCs w:val="32"/>
        </w:rPr>
      </w:pPr>
      <w:r>
        <w:rPr>
          <w:rFonts w:hint="eastAsia" w:ascii="仿宋" w:hAnsi="仿宋" w:eastAsia="仿宋"/>
          <w:sz w:val="32"/>
          <w:szCs w:val="32"/>
        </w:rPr>
        <w:t>2021年度收入合计</w:t>
      </w:r>
      <w:r>
        <w:rPr>
          <w:rFonts w:ascii="仿宋" w:hAnsi="仿宋" w:eastAsia="仿宋"/>
          <w:sz w:val="32"/>
          <w:szCs w:val="32"/>
        </w:rPr>
        <w:t>354.28</w:t>
      </w:r>
      <w:r>
        <w:rPr>
          <w:rFonts w:hint="eastAsia" w:ascii="仿宋" w:hAnsi="仿宋" w:eastAsia="仿宋"/>
          <w:sz w:val="32"/>
          <w:szCs w:val="32"/>
        </w:rPr>
        <w:t>万元，其中：财政拨款收入</w:t>
      </w:r>
      <w:r>
        <w:rPr>
          <w:rFonts w:ascii="仿宋" w:hAnsi="仿宋" w:eastAsia="仿宋"/>
          <w:sz w:val="32"/>
          <w:szCs w:val="32"/>
        </w:rPr>
        <w:t>353.78</w:t>
      </w:r>
      <w:r>
        <w:rPr>
          <w:rFonts w:hint="eastAsia" w:ascii="仿宋" w:hAnsi="仿宋" w:eastAsia="仿宋"/>
          <w:sz w:val="32"/>
          <w:szCs w:val="32"/>
        </w:rPr>
        <w:t>万元，占</w:t>
      </w:r>
      <w:r>
        <w:rPr>
          <w:rFonts w:ascii="仿宋" w:hAnsi="仿宋" w:eastAsia="仿宋"/>
          <w:sz w:val="32"/>
          <w:szCs w:val="32"/>
        </w:rPr>
        <w:t>99.86</w:t>
      </w:r>
      <w:r>
        <w:rPr>
          <w:rFonts w:hint="eastAsia" w:ascii="仿宋" w:hAnsi="仿宋" w:eastAsia="仿宋"/>
          <w:sz w:val="32"/>
          <w:szCs w:val="32"/>
        </w:rPr>
        <w:t>%；上级补助收入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%；经营收入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%；附属单位上缴收入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%；其他收入</w:t>
      </w:r>
      <w:r>
        <w:rPr>
          <w:rFonts w:ascii="仿宋" w:hAnsi="仿宋" w:eastAsia="仿宋"/>
          <w:sz w:val="32"/>
          <w:szCs w:val="32"/>
        </w:rPr>
        <w:t>0.50</w:t>
      </w:r>
      <w:r>
        <w:rPr>
          <w:rFonts w:hint="eastAsia" w:ascii="仿宋" w:hAnsi="仿宋" w:eastAsia="仿宋"/>
          <w:sz w:val="32"/>
          <w:szCs w:val="32"/>
        </w:rPr>
        <w:t>万元，占</w:t>
      </w:r>
      <w:r>
        <w:rPr>
          <w:rFonts w:ascii="仿宋" w:hAnsi="仿宋" w:eastAsia="仿宋"/>
          <w:sz w:val="32"/>
          <w:szCs w:val="32"/>
        </w:rPr>
        <w:t>0.14</w:t>
      </w:r>
      <w:r>
        <w:rPr>
          <w:rFonts w:hint="eastAsia" w:ascii="仿宋" w:hAnsi="仿宋" w:eastAsia="仿宋"/>
          <w:sz w:val="32"/>
          <w:szCs w:val="32"/>
        </w:rPr>
        <w:t>%。</w:t>
      </w:r>
    </w:p>
    <w:p>
      <w:pPr>
        <w:pStyle w:val="14"/>
        <w:ind w:firstLine="640" w:firstLineChars="200"/>
        <w:rPr>
          <w:rFonts w:hAnsi="黑体"/>
          <w:b/>
          <w:sz w:val="32"/>
          <w:szCs w:val="32"/>
        </w:rPr>
      </w:pPr>
      <w:r>
        <w:rPr>
          <w:rFonts w:hint="eastAsia" w:hAnsi="黑体"/>
          <w:b/>
          <w:sz w:val="32"/>
          <w:szCs w:val="32"/>
        </w:rPr>
        <w:t>三、支出决算情况说明</w:t>
      </w:r>
    </w:p>
    <w:p>
      <w:pPr>
        <w:pStyle w:val="14"/>
        <w:ind w:firstLine="640" w:firstLineChars="200"/>
        <w:rPr>
          <w:rFonts w:ascii="仿宋" w:hAnsi="仿宋" w:eastAsia="仿宋"/>
          <w:sz w:val="32"/>
          <w:szCs w:val="32"/>
        </w:rPr>
      </w:pPr>
      <w:r>
        <w:rPr>
          <w:rFonts w:hint="eastAsia" w:ascii="仿宋" w:hAnsi="仿宋" w:eastAsia="仿宋"/>
          <w:sz w:val="32"/>
          <w:szCs w:val="32"/>
        </w:rPr>
        <w:t>2021年度支出合计</w:t>
      </w:r>
      <w:r>
        <w:rPr>
          <w:rFonts w:ascii="仿宋" w:hAnsi="仿宋" w:eastAsia="仿宋"/>
          <w:sz w:val="32"/>
          <w:szCs w:val="32"/>
        </w:rPr>
        <w:t>375.77</w:t>
      </w:r>
      <w:r>
        <w:rPr>
          <w:rFonts w:hint="eastAsia" w:ascii="仿宋" w:hAnsi="仿宋" w:eastAsia="仿宋"/>
          <w:sz w:val="32"/>
          <w:szCs w:val="32"/>
        </w:rPr>
        <w:t>万元，其中：基本支出</w:t>
      </w:r>
      <w:r>
        <w:rPr>
          <w:rFonts w:ascii="仿宋" w:hAnsi="仿宋" w:eastAsia="仿宋"/>
          <w:sz w:val="32"/>
          <w:szCs w:val="32"/>
        </w:rPr>
        <w:t>312.67</w:t>
      </w:r>
      <w:r>
        <w:rPr>
          <w:rFonts w:hint="eastAsia" w:ascii="仿宋" w:hAnsi="仿宋" w:eastAsia="仿宋"/>
          <w:sz w:val="32"/>
          <w:szCs w:val="32"/>
        </w:rPr>
        <w:t>万元，占</w:t>
      </w:r>
      <w:r>
        <w:rPr>
          <w:rFonts w:ascii="仿宋" w:hAnsi="仿宋" w:eastAsia="仿宋"/>
          <w:sz w:val="32"/>
          <w:szCs w:val="32"/>
        </w:rPr>
        <w:t>83.20</w:t>
      </w:r>
      <w:r>
        <w:rPr>
          <w:rFonts w:hint="eastAsia" w:ascii="仿宋" w:hAnsi="仿宋" w:eastAsia="仿宋"/>
          <w:sz w:val="32"/>
          <w:szCs w:val="32"/>
        </w:rPr>
        <w:t>%；项目支出</w:t>
      </w:r>
      <w:r>
        <w:rPr>
          <w:rFonts w:ascii="仿宋" w:hAnsi="仿宋" w:eastAsia="仿宋"/>
          <w:sz w:val="32"/>
          <w:szCs w:val="32"/>
        </w:rPr>
        <w:t>63.10</w:t>
      </w:r>
      <w:r>
        <w:rPr>
          <w:rFonts w:hint="eastAsia" w:ascii="仿宋" w:hAnsi="仿宋" w:eastAsia="仿宋"/>
          <w:sz w:val="32"/>
          <w:szCs w:val="32"/>
        </w:rPr>
        <w:t>万元，占</w:t>
      </w:r>
      <w:r>
        <w:rPr>
          <w:rFonts w:ascii="仿宋" w:hAnsi="仿宋" w:eastAsia="仿宋"/>
          <w:sz w:val="32"/>
          <w:szCs w:val="32"/>
        </w:rPr>
        <w:t>16.80</w:t>
      </w:r>
      <w:r>
        <w:rPr>
          <w:rFonts w:hint="eastAsia" w:ascii="仿宋" w:hAnsi="仿宋" w:eastAsia="仿宋"/>
          <w:sz w:val="32"/>
          <w:szCs w:val="32"/>
        </w:rPr>
        <w:t>%；上缴上级支出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%；经营支出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%；对附属单位补助支出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w:t>
      </w:r>
    </w:p>
    <w:p>
      <w:pPr>
        <w:pStyle w:val="14"/>
        <w:ind w:firstLine="640" w:firstLineChars="200"/>
        <w:rPr>
          <w:rFonts w:hAnsi="黑体"/>
          <w:b/>
          <w:sz w:val="32"/>
          <w:szCs w:val="32"/>
        </w:rPr>
      </w:pPr>
      <w:r>
        <w:rPr>
          <w:rFonts w:hint="eastAsia" w:hAnsi="黑体"/>
          <w:b/>
          <w:sz w:val="32"/>
          <w:szCs w:val="32"/>
        </w:rPr>
        <w:t>四、财政拨款收入支出决算总体情况说明</w:t>
      </w:r>
    </w:p>
    <w:p>
      <w:pPr>
        <w:pStyle w:val="14"/>
        <w:ind w:firstLine="640" w:firstLineChars="200"/>
        <w:rPr>
          <w:rFonts w:ascii="仿宋" w:hAnsi="仿宋" w:eastAsia="仿宋"/>
          <w:sz w:val="32"/>
          <w:szCs w:val="32"/>
        </w:rPr>
      </w:pPr>
      <w:r>
        <w:rPr>
          <w:rFonts w:hint="eastAsia" w:ascii="仿宋" w:hAnsi="仿宋" w:eastAsia="仿宋"/>
          <w:sz w:val="32"/>
          <w:szCs w:val="32"/>
        </w:rPr>
        <w:t>2021年度财政拨款收、支总计</w:t>
      </w:r>
      <w:r>
        <w:rPr>
          <w:rFonts w:ascii="仿宋" w:hAnsi="仿宋" w:eastAsia="仿宋"/>
          <w:sz w:val="32"/>
          <w:szCs w:val="32"/>
        </w:rPr>
        <w:t>375.27</w:t>
      </w:r>
      <w:r>
        <w:rPr>
          <w:rFonts w:hint="eastAsia" w:ascii="仿宋" w:hAnsi="仿宋" w:eastAsia="仿宋"/>
          <w:sz w:val="32"/>
          <w:szCs w:val="32"/>
        </w:rPr>
        <w:t>万元，与上年相比，增加1</w:t>
      </w:r>
      <w:r>
        <w:rPr>
          <w:rFonts w:ascii="仿宋" w:hAnsi="仿宋" w:eastAsia="仿宋"/>
          <w:sz w:val="32"/>
          <w:szCs w:val="32"/>
        </w:rPr>
        <w:t>5.12</w:t>
      </w:r>
      <w:r>
        <w:rPr>
          <w:rFonts w:hint="eastAsia" w:ascii="仿宋" w:hAnsi="仿宋" w:eastAsia="仿宋"/>
          <w:sz w:val="32"/>
          <w:szCs w:val="32"/>
        </w:rPr>
        <w:t>万元,增长4</w:t>
      </w:r>
      <w:r>
        <w:rPr>
          <w:rFonts w:ascii="仿宋" w:hAnsi="仿宋" w:eastAsia="仿宋"/>
          <w:sz w:val="32"/>
          <w:szCs w:val="32"/>
        </w:rPr>
        <w:t>.20</w:t>
      </w:r>
      <w:r>
        <w:rPr>
          <w:rFonts w:hint="eastAsia" w:ascii="仿宋" w:hAnsi="仿宋" w:eastAsia="仿宋"/>
          <w:sz w:val="32"/>
          <w:szCs w:val="32"/>
        </w:rPr>
        <w:t>%，主要是因为增加了档案专题数据库全文数字化扫描专项经费及库房配套设施建设经费。</w:t>
      </w:r>
    </w:p>
    <w:p>
      <w:pPr>
        <w:pStyle w:val="14"/>
        <w:ind w:firstLine="640" w:firstLineChars="200"/>
        <w:rPr>
          <w:rFonts w:hAnsi="黑体"/>
          <w:b/>
          <w:sz w:val="32"/>
          <w:szCs w:val="32"/>
        </w:rPr>
      </w:pPr>
      <w:r>
        <w:rPr>
          <w:rFonts w:hint="eastAsia" w:hAnsi="黑体"/>
          <w:b/>
          <w:sz w:val="32"/>
          <w:szCs w:val="32"/>
        </w:rPr>
        <w:t>五、一般公共预算财政拨款支出决算情况说明</w:t>
      </w:r>
    </w:p>
    <w:p>
      <w:pPr>
        <w:pStyle w:val="14"/>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4"/>
        <w:ind w:firstLine="800" w:firstLineChars="250"/>
        <w:rPr>
          <w:rFonts w:ascii="仿宋" w:hAnsi="仿宋" w:eastAsia="仿宋"/>
          <w:sz w:val="32"/>
          <w:szCs w:val="32"/>
        </w:rPr>
      </w:pPr>
      <w:r>
        <w:rPr>
          <w:rFonts w:hint="eastAsia" w:ascii="仿宋" w:hAnsi="仿宋" w:eastAsia="仿宋"/>
          <w:sz w:val="32"/>
          <w:szCs w:val="32"/>
        </w:rPr>
        <w:t>2021年度财政拨款支出</w:t>
      </w:r>
      <w:r>
        <w:rPr>
          <w:rFonts w:ascii="仿宋" w:hAnsi="仿宋" w:eastAsia="仿宋"/>
          <w:sz w:val="32"/>
          <w:szCs w:val="32"/>
        </w:rPr>
        <w:t>375.27</w:t>
      </w:r>
      <w:r>
        <w:rPr>
          <w:rFonts w:hint="eastAsia" w:ascii="仿宋" w:hAnsi="仿宋" w:eastAsia="仿宋"/>
          <w:sz w:val="32"/>
          <w:szCs w:val="32"/>
        </w:rPr>
        <w:t>万元，占本年支出合计的</w:t>
      </w:r>
      <w:r>
        <w:rPr>
          <w:rFonts w:ascii="仿宋" w:hAnsi="仿宋" w:eastAsia="仿宋"/>
          <w:sz w:val="32"/>
          <w:szCs w:val="32"/>
        </w:rPr>
        <w:t>99.87</w:t>
      </w:r>
      <w:r>
        <w:rPr>
          <w:rFonts w:hint="eastAsia" w:ascii="仿宋" w:hAnsi="仿宋" w:eastAsia="仿宋"/>
          <w:sz w:val="32"/>
          <w:szCs w:val="32"/>
        </w:rPr>
        <w:t>%，与上年相比，财政拨款支出增加4</w:t>
      </w:r>
      <w:r>
        <w:rPr>
          <w:rFonts w:ascii="仿宋" w:hAnsi="仿宋" w:eastAsia="仿宋"/>
          <w:sz w:val="32"/>
          <w:szCs w:val="32"/>
        </w:rPr>
        <w:t>3.77</w:t>
      </w:r>
      <w:r>
        <w:rPr>
          <w:rFonts w:hint="eastAsia" w:ascii="仿宋" w:hAnsi="仿宋" w:eastAsia="仿宋"/>
          <w:sz w:val="32"/>
          <w:szCs w:val="32"/>
        </w:rPr>
        <w:t>万元，增长1</w:t>
      </w:r>
      <w:r>
        <w:rPr>
          <w:rFonts w:ascii="仿宋" w:hAnsi="仿宋" w:eastAsia="仿宋"/>
          <w:sz w:val="32"/>
          <w:szCs w:val="32"/>
        </w:rPr>
        <w:t>3.20</w:t>
      </w:r>
      <w:r>
        <w:rPr>
          <w:rFonts w:hint="eastAsia" w:ascii="仿宋" w:hAnsi="仿宋" w:eastAsia="仿宋"/>
          <w:sz w:val="32"/>
          <w:szCs w:val="32"/>
        </w:rPr>
        <w:t>%，主要是因为主要是因为增加了档案专题数据库全文数字化扫描专项经费及库房配套设施建设经费支出。</w:t>
      </w:r>
    </w:p>
    <w:p>
      <w:pPr>
        <w:pStyle w:val="14"/>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4"/>
        <w:ind w:firstLine="640" w:firstLineChars="200"/>
        <w:rPr>
          <w:rFonts w:ascii="仿宋" w:hAnsi="仿宋" w:eastAsia="仿宋"/>
          <w:sz w:val="32"/>
          <w:szCs w:val="32"/>
        </w:rPr>
      </w:pPr>
      <w:r>
        <w:rPr>
          <w:rFonts w:hint="eastAsia" w:ascii="仿宋" w:hAnsi="仿宋" w:eastAsia="仿宋"/>
          <w:sz w:val="32"/>
          <w:szCs w:val="32"/>
        </w:rPr>
        <w:t>2021年度财政拨款支出</w:t>
      </w:r>
      <w:r>
        <w:rPr>
          <w:rFonts w:ascii="仿宋" w:hAnsi="仿宋" w:eastAsia="仿宋"/>
          <w:sz w:val="32"/>
          <w:szCs w:val="32"/>
        </w:rPr>
        <w:t>375.27</w:t>
      </w:r>
      <w:r>
        <w:rPr>
          <w:rFonts w:hint="eastAsia" w:ascii="仿宋" w:hAnsi="仿宋" w:eastAsia="仿宋"/>
          <w:sz w:val="32"/>
          <w:szCs w:val="32"/>
        </w:rPr>
        <w:t>万元，主要用于以下方面：一般公共服务（类）支出</w:t>
      </w:r>
      <w:r>
        <w:rPr>
          <w:rFonts w:ascii="仿宋" w:hAnsi="仿宋" w:eastAsia="仿宋"/>
          <w:sz w:val="32"/>
          <w:szCs w:val="32"/>
        </w:rPr>
        <w:t>317.27</w:t>
      </w:r>
      <w:r>
        <w:rPr>
          <w:rFonts w:hint="eastAsia" w:ascii="仿宋" w:hAnsi="仿宋" w:eastAsia="仿宋"/>
          <w:sz w:val="32"/>
          <w:szCs w:val="32"/>
        </w:rPr>
        <w:t>万元，占</w:t>
      </w:r>
      <w:r>
        <w:rPr>
          <w:rFonts w:ascii="仿宋" w:hAnsi="仿宋" w:eastAsia="仿宋"/>
          <w:sz w:val="32"/>
          <w:szCs w:val="32"/>
        </w:rPr>
        <w:t>84.54</w:t>
      </w:r>
      <w:r>
        <w:rPr>
          <w:rFonts w:hint="eastAsia" w:ascii="仿宋" w:hAnsi="仿宋" w:eastAsia="仿宋"/>
          <w:sz w:val="32"/>
          <w:szCs w:val="32"/>
        </w:rPr>
        <w:t>%；社会保障和就业支出（类）</w:t>
      </w:r>
      <w:r>
        <w:rPr>
          <w:rFonts w:ascii="仿宋" w:hAnsi="仿宋" w:eastAsia="仿宋"/>
          <w:sz w:val="32"/>
          <w:szCs w:val="32"/>
        </w:rPr>
        <w:t>45.44</w:t>
      </w:r>
      <w:r>
        <w:rPr>
          <w:rFonts w:hint="eastAsia" w:ascii="仿宋" w:hAnsi="仿宋" w:eastAsia="仿宋"/>
          <w:sz w:val="32"/>
          <w:szCs w:val="32"/>
        </w:rPr>
        <w:t>万元，占</w:t>
      </w:r>
      <w:r>
        <w:rPr>
          <w:rFonts w:ascii="仿宋" w:hAnsi="仿宋" w:eastAsia="仿宋"/>
          <w:sz w:val="32"/>
          <w:szCs w:val="32"/>
        </w:rPr>
        <w:t>12.10</w:t>
      </w:r>
      <w:r>
        <w:rPr>
          <w:rFonts w:hint="eastAsia" w:ascii="仿宋" w:hAnsi="仿宋" w:eastAsia="仿宋"/>
          <w:sz w:val="32"/>
          <w:szCs w:val="32"/>
        </w:rPr>
        <w:t>%；卫生健康支出（类）1</w:t>
      </w:r>
      <w:r>
        <w:rPr>
          <w:rFonts w:ascii="仿宋" w:hAnsi="仿宋" w:eastAsia="仿宋"/>
          <w:sz w:val="32"/>
          <w:szCs w:val="32"/>
        </w:rPr>
        <w:t>2.56</w:t>
      </w:r>
      <w:r>
        <w:rPr>
          <w:rFonts w:hint="eastAsia" w:ascii="仿宋" w:hAnsi="仿宋" w:eastAsia="仿宋"/>
          <w:sz w:val="32"/>
          <w:szCs w:val="32"/>
        </w:rPr>
        <w:t>万元，占</w:t>
      </w:r>
      <w:r>
        <w:rPr>
          <w:rFonts w:ascii="仿宋" w:hAnsi="仿宋" w:eastAsia="仿宋"/>
          <w:sz w:val="32"/>
          <w:szCs w:val="32"/>
        </w:rPr>
        <w:t>3.36</w:t>
      </w:r>
      <w:r>
        <w:rPr>
          <w:rFonts w:hint="eastAsia" w:ascii="仿宋" w:hAnsi="仿宋" w:eastAsia="仿宋"/>
          <w:sz w:val="32"/>
          <w:szCs w:val="32"/>
        </w:rPr>
        <w:t>%。</w:t>
      </w:r>
    </w:p>
    <w:p>
      <w:pPr>
        <w:pStyle w:val="14"/>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4"/>
        <w:ind w:firstLine="800" w:firstLineChars="250"/>
        <w:rPr>
          <w:rFonts w:ascii="仿宋" w:hAnsi="仿宋" w:eastAsia="仿宋"/>
          <w:sz w:val="32"/>
          <w:szCs w:val="32"/>
        </w:rPr>
      </w:pPr>
      <w:r>
        <w:rPr>
          <w:rFonts w:hint="eastAsia" w:ascii="仿宋" w:hAnsi="仿宋" w:eastAsia="仿宋"/>
          <w:sz w:val="32"/>
          <w:szCs w:val="32"/>
        </w:rPr>
        <w:t>2021年度财政拨款支出年初预算数为</w:t>
      </w:r>
      <w:r>
        <w:rPr>
          <w:rFonts w:ascii="仿宋" w:hAnsi="仿宋" w:eastAsia="仿宋"/>
          <w:sz w:val="32"/>
          <w:szCs w:val="32"/>
        </w:rPr>
        <w:t>232.73</w:t>
      </w:r>
      <w:r>
        <w:rPr>
          <w:rFonts w:hint="eastAsia" w:ascii="仿宋" w:hAnsi="仿宋" w:eastAsia="仿宋"/>
          <w:sz w:val="32"/>
          <w:szCs w:val="32"/>
        </w:rPr>
        <w:t>万元，支出决算数为</w:t>
      </w:r>
      <w:r>
        <w:rPr>
          <w:rFonts w:ascii="仿宋" w:hAnsi="仿宋" w:eastAsia="仿宋"/>
          <w:sz w:val="32"/>
          <w:szCs w:val="32"/>
        </w:rPr>
        <w:t>375.27</w:t>
      </w:r>
      <w:r>
        <w:rPr>
          <w:rFonts w:hint="eastAsia" w:ascii="仿宋" w:hAnsi="仿宋" w:eastAsia="仿宋"/>
          <w:sz w:val="32"/>
          <w:szCs w:val="32"/>
        </w:rPr>
        <w:t>万元，完成年初预算的</w:t>
      </w:r>
      <w:r>
        <w:rPr>
          <w:rFonts w:ascii="仿宋" w:hAnsi="仿宋" w:eastAsia="仿宋"/>
          <w:sz w:val="32"/>
          <w:szCs w:val="32"/>
        </w:rPr>
        <w:t>161.25</w:t>
      </w:r>
      <w:r>
        <w:rPr>
          <w:rFonts w:hint="eastAsia" w:ascii="仿宋" w:hAnsi="仿宋" w:eastAsia="仿宋"/>
          <w:sz w:val="32"/>
          <w:szCs w:val="32"/>
        </w:rPr>
        <w:t>%，其中：</w:t>
      </w:r>
    </w:p>
    <w:p>
      <w:pPr>
        <w:pStyle w:val="14"/>
        <w:ind w:firstLine="800" w:firstLineChars="250"/>
        <w:rPr>
          <w:rFonts w:ascii="仿宋" w:hAnsi="仿宋" w:eastAsia="仿宋"/>
          <w:sz w:val="32"/>
          <w:szCs w:val="32"/>
        </w:rPr>
      </w:pPr>
      <w:r>
        <w:rPr>
          <w:rFonts w:hint="eastAsia" w:ascii="仿宋" w:hAnsi="仿宋" w:eastAsia="仿宋"/>
          <w:sz w:val="32"/>
          <w:szCs w:val="32"/>
        </w:rPr>
        <w:t>1、一般公共服务支出（类）档案事务（款）行政运行（项）。</w:t>
      </w:r>
    </w:p>
    <w:p>
      <w:pPr>
        <w:pStyle w:val="14"/>
        <w:ind w:firstLine="800" w:firstLineChars="250"/>
        <w:rPr>
          <w:rFonts w:ascii="仿宋" w:hAnsi="仿宋" w:eastAsia="仿宋"/>
          <w:sz w:val="32"/>
          <w:szCs w:val="32"/>
        </w:rPr>
      </w:pPr>
      <w:bookmarkStart w:id="3" w:name="_Hlk112758002"/>
      <w:r>
        <w:rPr>
          <w:rFonts w:hint="eastAsia" w:ascii="仿宋" w:hAnsi="仿宋" w:eastAsia="仿宋"/>
          <w:sz w:val="32"/>
          <w:szCs w:val="32"/>
        </w:rPr>
        <w:t>年初预算为</w:t>
      </w:r>
      <w:r>
        <w:rPr>
          <w:rFonts w:ascii="仿宋" w:hAnsi="仿宋" w:eastAsia="仿宋"/>
          <w:sz w:val="32"/>
          <w:szCs w:val="32"/>
        </w:rPr>
        <w:t>179.15</w:t>
      </w:r>
      <w:r>
        <w:rPr>
          <w:rFonts w:hint="eastAsia" w:ascii="仿宋" w:hAnsi="仿宋" w:eastAsia="仿宋"/>
          <w:sz w:val="32"/>
          <w:szCs w:val="32"/>
        </w:rPr>
        <w:t>万元，支出决算为</w:t>
      </w:r>
      <w:r>
        <w:rPr>
          <w:rFonts w:ascii="仿宋" w:hAnsi="仿宋" w:eastAsia="仿宋"/>
          <w:sz w:val="32"/>
          <w:szCs w:val="32"/>
        </w:rPr>
        <w:t>233.32</w:t>
      </w:r>
      <w:r>
        <w:rPr>
          <w:rFonts w:hint="eastAsia" w:ascii="仿宋" w:hAnsi="仿宋" w:eastAsia="仿宋"/>
          <w:sz w:val="32"/>
          <w:szCs w:val="32"/>
        </w:rPr>
        <w:t>万元，完成年初预算的</w:t>
      </w:r>
      <w:r>
        <w:rPr>
          <w:rFonts w:ascii="仿宋" w:hAnsi="仿宋" w:eastAsia="仿宋"/>
          <w:sz w:val="32"/>
          <w:szCs w:val="32"/>
        </w:rPr>
        <w:t>130.24</w:t>
      </w:r>
      <w:r>
        <w:rPr>
          <w:rFonts w:hint="eastAsia" w:ascii="仿宋" w:hAnsi="仿宋" w:eastAsia="仿宋"/>
          <w:sz w:val="32"/>
          <w:szCs w:val="32"/>
        </w:rPr>
        <w:t>%，决算数大于年初预算数的主要原因是： 2021年发放在职人员2020年度奖金未纳入年初预算，年中调整预算。</w:t>
      </w:r>
    </w:p>
    <w:bookmarkEnd w:id="3"/>
    <w:p>
      <w:pPr>
        <w:pStyle w:val="14"/>
        <w:ind w:firstLine="800" w:firstLineChars="250"/>
        <w:rPr>
          <w:rFonts w:ascii="仿宋" w:hAnsi="仿宋" w:eastAsia="仿宋"/>
          <w:sz w:val="32"/>
          <w:szCs w:val="32"/>
        </w:rPr>
      </w:pPr>
      <w:r>
        <w:rPr>
          <w:rFonts w:hint="eastAsia" w:ascii="仿宋" w:hAnsi="仿宋" w:eastAsia="仿宋"/>
          <w:sz w:val="32"/>
          <w:szCs w:val="32"/>
        </w:rPr>
        <w:t>2、一般公共服务支出（类）档案事务（款）档案馆（项）。</w:t>
      </w:r>
    </w:p>
    <w:p>
      <w:pPr>
        <w:pStyle w:val="14"/>
        <w:ind w:firstLine="800" w:firstLineChars="25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36.60</w:t>
      </w:r>
      <w:r>
        <w:rPr>
          <w:rFonts w:hint="eastAsia" w:ascii="仿宋" w:hAnsi="仿宋" w:eastAsia="仿宋"/>
          <w:sz w:val="32"/>
          <w:szCs w:val="32"/>
        </w:rPr>
        <w:t>万元，支出决算为</w:t>
      </w:r>
      <w:r>
        <w:rPr>
          <w:rFonts w:ascii="仿宋" w:hAnsi="仿宋" w:eastAsia="仿宋"/>
          <w:sz w:val="32"/>
          <w:szCs w:val="32"/>
        </w:rPr>
        <w:t>83.96</w:t>
      </w:r>
      <w:r>
        <w:rPr>
          <w:rFonts w:hint="eastAsia" w:ascii="仿宋" w:hAnsi="仿宋" w:eastAsia="仿宋"/>
          <w:sz w:val="32"/>
          <w:szCs w:val="32"/>
        </w:rPr>
        <w:t>万元，完成年初预算的</w:t>
      </w:r>
      <w:r>
        <w:rPr>
          <w:rFonts w:ascii="仿宋" w:hAnsi="仿宋" w:eastAsia="仿宋"/>
          <w:sz w:val="32"/>
          <w:szCs w:val="32"/>
        </w:rPr>
        <w:t>229.40</w:t>
      </w:r>
      <w:r>
        <w:rPr>
          <w:rFonts w:hint="eastAsia" w:ascii="仿宋" w:hAnsi="仿宋" w:eastAsia="仿宋"/>
          <w:sz w:val="32"/>
          <w:szCs w:val="32"/>
        </w:rPr>
        <w:t>%，决算数大于年初预算数的主要原因是：增加了档案专题数据库全文数字化扫描专项经费及库房配套设施建设经费。</w:t>
      </w:r>
    </w:p>
    <w:p>
      <w:pPr>
        <w:pStyle w:val="14"/>
        <w:ind w:firstLine="800" w:firstLineChars="250"/>
        <w:rPr>
          <w:rFonts w:ascii="仿宋" w:hAnsi="仿宋" w:eastAsia="仿宋"/>
          <w:sz w:val="32"/>
          <w:szCs w:val="32"/>
        </w:rPr>
      </w:pPr>
      <w:r>
        <w:rPr>
          <w:rFonts w:hint="eastAsia" w:ascii="仿宋" w:hAnsi="仿宋" w:eastAsia="仿宋"/>
          <w:sz w:val="32"/>
          <w:szCs w:val="32"/>
        </w:rPr>
        <w:t>3、社会保障和就业支出（类）行政事业单位养老支出（款）行政事业单位离退休（项）。</w:t>
      </w:r>
    </w:p>
    <w:p>
      <w:pPr>
        <w:pStyle w:val="14"/>
        <w:ind w:firstLine="800" w:firstLineChars="250"/>
        <w:rPr>
          <w:rFonts w:ascii="仿宋" w:hAnsi="仿宋" w:eastAsia="仿宋"/>
          <w:sz w:val="32"/>
          <w:szCs w:val="32"/>
        </w:rPr>
      </w:pPr>
      <w:bookmarkStart w:id="4" w:name="_Hlk112758242"/>
      <w:r>
        <w:rPr>
          <w:rFonts w:hint="eastAsia" w:ascii="仿宋" w:hAnsi="仿宋" w:eastAsia="仿宋"/>
          <w:sz w:val="32"/>
          <w:szCs w:val="32"/>
        </w:rPr>
        <w:t>年初预算为</w:t>
      </w:r>
      <w:r>
        <w:rPr>
          <w:rFonts w:ascii="仿宋" w:hAnsi="仿宋" w:eastAsia="仿宋"/>
          <w:sz w:val="32"/>
          <w:szCs w:val="32"/>
        </w:rPr>
        <w:t>14.23</w:t>
      </w:r>
      <w:r>
        <w:rPr>
          <w:rFonts w:hint="eastAsia" w:ascii="仿宋" w:hAnsi="仿宋" w:eastAsia="仿宋"/>
          <w:sz w:val="32"/>
          <w:szCs w:val="32"/>
        </w:rPr>
        <w:t>万元，支出决算为</w:t>
      </w:r>
      <w:r>
        <w:rPr>
          <w:rFonts w:ascii="仿宋" w:hAnsi="仿宋" w:eastAsia="仿宋"/>
          <w:sz w:val="32"/>
          <w:szCs w:val="32"/>
        </w:rPr>
        <w:t>1.97</w:t>
      </w:r>
      <w:r>
        <w:rPr>
          <w:rFonts w:hint="eastAsia" w:ascii="仿宋" w:hAnsi="仿宋" w:eastAsia="仿宋"/>
          <w:sz w:val="32"/>
          <w:szCs w:val="32"/>
        </w:rPr>
        <w:t>万元，完成年初预算的</w:t>
      </w:r>
      <w:r>
        <w:rPr>
          <w:rFonts w:ascii="仿宋" w:hAnsi="仿宋" w:eastAsia="仿宋"/>
          <w:sz w:val="32"/>
          <w:szCs w:val="32"/>
        </w:rPr>
        <w:t>13.84</w:t>
      </w:r>
      <w:r>
        <w:rPr>
          <w:rFonts w:hint="eastAsia" w:ascii="仿宋" w:hAnsi="仿宋" w:eastAsia="仿宋"/>
          <w:sz w:val="32"/>
          <w:szCs w:val="32"/>
        </w:rPr>
        <w:t>%，决算数小于年初预算数的主要原因是：</w:t>
      </w:r>
      <w:bookmarkEnd w:id="4"/>
      <w:r>
        <w:rPr>
          <w:rFonts w:hint="eastAsia" w:ascii="仿宋" w:hAnsi="仿宋" w:eastAsia="仿宋"/>
          <w:sz w:val="32"/>
          <w:szCs w:val="32"/>
        </w:rPr>
        <w:t>预算欠精准。</w:t>
      </w:r>
    </w:p>
    <w:p>
      <w:pPr>
        <w:pStyle w:val="14"/>
        <w:ind w:firstLine="800" w:firstLineChars="250"/>
        <w:rPr>
          <w:rFonts w:ascii="仿宋" w:hAnsi="仿宋" w:eastAsia="仿宋"/>
          <w:sz w:val="32"/>
          <w:szCs w:val="32"/>
        </w:rPr>
      </w:pPr>
      <w:r>
        <w:rPr>
          <w:rFonts w:hint="eastAsia" w:ascii="仿宋" w:hAnsi="仿宋" w:eastAsia="仿宋"/>
          <w:sz w:val="32"/>
          <w:szCs w:val="32"/>
        </w:rPr>
        <w:t>4</w:t>
      </w:r>
      <w:bookmarkStart w:id="5" w:name="_Hlk112758447"/>
      <w:r>
        <w:rPr>
          <w:rFonts w:hint="eastAsia" w:ascii="仿宋" w:hAnsi="仿宋" w:eastAsia="仿宋"/>
          <w:sz w:val="32"/>
          <w:szCs w:val="32"/>
        </w:rPr>
        <w:t>、社会保障和就业支出（类）行政事业单位养老支出（款）机关事业单位基本养老保险缴费支出（项）</w:t>
      </w:r>
      <w:bookmarkEnd w:id="5"/>
      <w:r>
        <w:rPr>
          <w:rFonts w:hint="eastAsia" w:ascii="仿宋" w:hAnsi="仿宋" w:eastAsia="仿宋"/>
          <w:sz w:val="32"/>
          <w:szCs w:val="32"/>
        </w:rPr>
        <w:t>。</w:t>
      </w:r>
    </w:p>
    <w:p>
      <w:pPr>
        <w:pStyle w:val="14"/>
        <w:ind w:firstLine="800" w:firstLineChars="25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w:t>
      </w:r>
      <w:r>
        <w:rPr>
          <w:rFonts w:hint="eastAsia" w:ascii="仿宋" w:hAnsi="仿宋" w:eastAsia="仿宋"/>
          <w:sz w:val="32"/>
          <w:szCs w:val="32"/>
        </w:rPr>
        <w:t>万元，支出决算为</w:t>
      </w:r>
      <w:r>
        <w:rPr>
          <w:rFonts w:ascii="仿宋" w:hAnsi="仿宋" w:eastAsia="仿宋"/>
          <w:sz w:val="32"/>
          <w:szCs w:val="32"/>
        </w:rPr>
        <w:t>25.11</w:t>
      </w:r>
      <w:r>
        <w:rPr>
          <w:rFonts w:hint="eastAsia" w:ascii="仿宋" w:hAnsi="仿宋" w:eastAsia="仿宋"/>
          <w:sz w:val="32"/>
          <w:szCs w:val="32"/>
        </w:rPr>
        <w:t>万元，决算数大于年初预算数的主要原因是：机关事业单位养老保险费支出未纳入年初预算，为财政追加预算支出项目，年中调整预算。</w:t>
      </w:r>
    </w:p>
    <w:p>
      <w:pPr>
        <w:pStyle w:val="14"/>
        <w:ind w:firstLine="800" w:firstLineChars="250"/>
        <w:rPr>
          <w:rFonts w:ascii="仿宋" w:hAnsi="仿宋" w:eastAsia="仿宋"/>
          <w:sz w:val="32"/>
          <w:szCs w:val="32"/>
        </w:rPr>
      </w:pPr>
      <w:r>
        <w:rPr>
          <w:rFonts w:hint="eastAsia" w:ascii="仿宋" w:hAnsi="仿宋" w:eastAsia="仿宋"/>
          <w:sz w:val="32"/>
          <w:szCs w:val="32"/>
        </w:rPr>
        <w:t>5、社会保障和就业支出（类）行政事业单位养老支出（款）</w:t>
      </w:r>
      <w:bookmarkStart w:id="6" w:name="_Hlk112758531"/>
      <w:r>
        <w:rPr>
          <w:rFonts w:hint="eastAsia" w:ascii="仿宋" w:hAnsi="仿宋" w:eastAsia="仿宋"/>
          <w:sz w:val="32"/>
          <w:szCs w:val="32"/>
        </w:rPr>
        <w:t>基他行政事业单位养老支出</w:t>
      </w:r>
      <w:bookmarkEnd w:id="6"/>
      <w:r>
        <w:rPr>
          <w:rFonts w:hint="eastAsia" w:ascii="仿宋" w:hAnsi="仿宋" w:eastAsia="仿宋"/>
          <w:sz w:val="32"/>
          <w:szCs w:val="32"/>
        </w:rPr>
        <w:t>（项）。</w:t>
      </w:r>
    </w:p>
    <w:p>
      <w:pPr>
        <w:pStyle w:val="14"/>
        <w:ind w:firstLine="800" w:firstLineChars="25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w:t>
      </w:r>
      <w:r>
        <w:rPr>
          <w:rFonts w:hint="eastAsia" w:ascii="仿宋" w:hAnsi="仿宋" w:eastAsia="仿宋"/>
          <w:sz w:val="32"/>
          <w:szCs w:val="32"/>
        </w:rPr>
        <w:t>万元，支出决算为</w:t>
      </w:r>
      <w:r>
        <w:rPr>
          <w:rFonts w:ascii="仿宋" w:hAnsi="仿宋" w:eastAsia="仿宋"/>
          <w:sz w:val="32"/>
          <w:szCs w:val="32"/>
        </w:rPr>
        <w:t>18.36</w:t>
      </w:r>
      <w:r>
        <w:rPr>
          <w:rFonts w:hint="eastAsia" w:ascii="仿宋" w:hAnsi="仿宋" w:eastAsia="仿宋"/>
          <w:sz w:val="32"/>
          <w:szCs w:val="32"/>
        </w:rPr>
        <w:t>万元，决算数大于年初预算数的主要原因是：基他行政事业单位养老支出未纳入年初预算，为财政追加预算支出项目，年中调整预算。</w:t>
      </w:r>
    </w:p>
    <w:p>
      <w:pPr>
        <w:pStyle w:val="14"/>
        <w:ind w:firstLine="800" w:firstLineChars="250"/>
        <w:rPr>
          <w:rFonts w:ascii="仿宋" w:hAnsi="仿宋" w:eastAsia="仿宋"/>
          <w:sz w:val="32"/>
          <w:szCs w:val="32"/>
        </w:rPr>
      </w:pPr>
      <w:r>
        <w:rPr>
          <w:rFonts w:hint="eastAsia" w:ascii="仿宋" w:hAnsi="仿宋" w:eastAsia="仿宋"/>
          <w:sz w:val="32"/>
          <w:szCs w:val="32"/>
        </w:rPr>
        <w:t>6、卫生健康支出（类）行政事业单位医疗（款）行政单位医疗（项）。</w:t>
      </w:r>
    </w:p>
    <w:p>
      <w:pPr>
        <w:pStyle w:val="8"/>
        <w:widowControl/>
        <w:spacing w:beforeAutospacing="0" w:after="76" w:afterAutospacing="0" w:line="510" w:lineRule="atLeast"/>
        <w:ind w:firstLine="420"/>
        <w:jc w:val="both"/>
        <w:rPr>
          <w:rFonts w:ascii="仿宋" w:hAnsi="仿宋" w:eastAsia="仿宋" w:cs="黑体"/>
          <w:color w:val="000000"/>
          <w:sz w:val="32"/>
          <w:szCs w:val="32"/>
        </w:rPr>
      </w:pPr>
      <w:bookmarkStart w:id="7" w:name="_Hlk112758748"/>
      <w:r>
        <w:rPr>
          <w:rFonts w:hint="eastAsia" w:ascii="仿宋" w:hAnsi="仿宋" w:eastAsia="仿宋"/>
          <w:sz w:val="32"/>
          <w:szCs w:val="32"/>
        </w:rPr>
        <w:t>年初预算为</w:t>
      </w:r>
      <w:r>
        <w:rPr>
          <w:rFonts w:ascii="仿宋" w:hAnsi="仿宋" w:eastAsia="仿宋"/>
          <w:sz w:val="32"/>
          <w:szCs w:val="32"/>
        </w:rPr>
        <w:t>0</w:t>
      </w:r>
      <w:r>
        <w:rPr>
          <w:rFonts w:hint="eastAsia" w:ascii="仿宋" w:hAnsi="仿宋" w:eastAsia="仿宋"/>
          <w:sz w:val="32"/>
          <w:szCs w:val="32"/>
        </w:rPr>
        <w:t>万元，支出决算为</w:t>
      </w:r>
      <w:r>
        <w:rPr>
          <w:rFonts w:ascii="仿宋" w:hAnsi="仿宋" w:eastAsia="仿宋"/>
          <w:sz w:val="32"/>
          <w:szCs w:val="32"/>
        </w:rPr>
        <w:t>11.43</w:t>
      </w:r>
      <w:r>
        <w:rPr>
          <w:rFonts w:hint="eastAsia" w:ascii="仿宋" w:hAnsi="仿宋" w:eastAsia="仿宋"/>
          <w:sz w:val="32"/>
          <w:szCs w:val="32"/>
        </w:rPr>
        <w:t>万元，决算数大于年初预算数的主要原因是：行政事业单位医疗支出</w:t>
      </w:r>
      <w:r>
        <w:rPr>
          <w:rFonts w:hint="eastAsia" w:ascii="仿宋" w:hAnsi="仿宋" w:eastAsia="仿宋" w:cs="黑体"/>
          <w:color w:val="000000"/>
          <w:sz w:val="32"/>
          <w:szCs w:val="32"/>
        </w:rPr>
        <w:t>未纳入年初预算，为财政追加预算支出项目，年中调整预算。</w:t>
      </w:r>
    </w:p>
    <w:bookmarkEnd w:id="7"/>
    <w:p>
      <w:pPr>
        <w:pStyle w:val="14"/>
        <w:ind w:firstLine="800" w:firstLineChars="250"/>
        <w:rPr>
          <w:rFonts w:ascii="仿宋" w:hAnsi="仿宋" w:eastAsia="仿宋"/>
          <w:sz w:val="32"/>
          <w:szCs w:val="32"/>
        </w:rPr>
      </w:pPr>
      <w:r>
        <w:rPr>
          <w:rFonts w:hint="eastAsia" w:ascii="仿宋" w:hAnsi="仿宋" w:eastAsia="仿宋"/>
          <w:sz w:val="32"/>
          <w:szCs w:val="32"/>
        </w:rPr>
        <w:t>7、卫生健康支出（类）行政事业单位医疗（款）</w:t>
      </w:r>
      <w:bookmarkStart w:id="8" w:name="_Hlk112758765"/>
      <w:r>
        <w:rPr>
          <w:rFonts w:hint="eastAsia" w:ascii="仿宋" w:hAnsi="仿宋" w:eastAsia="仿宋"/>
          <w:sz w:val="32"/>
          <w:szCs w:val="32"/>
        </w:rPr>
        <w:t>其他行政事业单位医疗支出</w:t>
      </w:r>
      <w:bookmarkEnd w:id="8"/>
      <w:r>
        <w:rPr>
          <w:rFonts w:hint="eastAsia" w:ascii="仿宋" w:hAnsi="仿宋" w:eastAsia="仿宋"/>
          <w:sz w:val="32"/>
          <w:szCs w:val="32"/>
        </w:rPr>
        <w:t>（项）。</w:t>
      </w:r>
    </w:p>
    <w:p>
      <w:pPr>
        <w:pStyle w:val="8"/>
        <w:widowControl/>
        <w:spacing w:beforeAutospacing="0" w:after="76" w:afterAutospacing="0" w:line="510" w:lineRule="atLeast"/>
        <w:ind w:firstLine="420"/>
        <w:jc w:val="both"/>
        <w:rPr>
          <w:rFonts w:ascii="仿宋" w:hAnsi="仿宋" w:eastAsia="仿宋" w:cs="黑体"/>
          <w:color w:val="000000"/>
          <w:sz w:val="32"/>
          <w:szCs w:val="32"/>
        </w:rPr>
      </w:pPr>
      <w:r>
        <w:rPr>
          <w:rFonts w:hint="eastAsia" w:ascii="仿宋" w:hAnsi="仿宋" w:eastAsia="仿宋"/>
          <w:sz w:val="32"/>
          <w:szCs w:val="32"/>
        </w:rPr>
        <w:t>年初预算为</w:t>
      </w:r>
      <w:r>
        <w:rPr>
          <w:rFonts w:ascii="仿宋" w:hAnsi="仿宋" w:eastAsia="仿宋"/>
          <w:sz w:val="32"/>
          <w:szCs w:val="32"/>
        </w:rPr>
        <w:t>0</w:t>
      </w:r>
      <w:r>
        <w:rPr>
          <w:rFonts w:hint="eastAsia" w:ascii="仿宋" w:hAnsi="仿宋" w:eastAsia="仿宋"/>
          <w:sz w:val="32"/>
          <w:szCs w:val="32"/>
        </w:rPr>
        <w:t>万元，支出决算为</w:t>
      </w:r>
      <w:r>
        <w:rPr>
          <w:rFonts w:ascii="仿宋" w:hAnsi="仿宋" w:eastAsia="仿宋"/>
          <w:sz w:val="32"/>
          <w:szCs w:val="32"/>
        </w:rPr>
        <w:t>1.12</w:t>
      </w:r>
      <w:r>
        <w:rPr>
          <w:rFonts w:hint="eastAsia" w:ascii="仿宋" w:hAnsi="仿宋" w:eastAsia="仿宋"/>
          <w:sz w:val="32"/>
          <w:szCs w:val="32"/>
        </w:rPr>
        <w:t>万元，决算数大于年初预算数的主要原因是：其他行政事业单位医疗支出</w:t>
      </w:r>
      <w:r>
        <w:rPr>
          <w:rFonts w:hint="eastAsia" w:ascii="仿宋" w:hAnsi="仿宋" w:eastAsia="仿宋" w:cs="黑体"/>
          <w:color w:val="000000"/>
          <w:sz w:val="32"/>
          <w:szCs w:val="32"/>
        </w:rPr>
        <w:t>未纳入年初预算，为财政追加预算支出项目，年中调整预算。</w:t>
      </w:r>
    </w:p>
    <w:p>
      <w:pPr>
        <w:pStyle w:val="14"/>
        <w:ind w:firstLine="800" w:firstLineChars="250"/>
        <w:rPr>
          <w:rFonts w:hAnsi="黑体"/>
          <w:b/>
          <w:sz w:val="32"/>
          <w:szCs w:val="32"/>
        </w:rPr>
      </w:pPr>
      <w:r>
        <w:rPr>
          <w:rFonts w:hint="eastAsia" w:hAnsi="黑体"/>
          <w:b/>
          <w:sz w:val="32"/>
          <w:szCs w:val="32"/>
        </w:rPr>
        <w:t>六、一般公共预算财政拨款基本支出决算情况说明</w:t>
      </w:r>
    </w:p>
    <w:p>
      <w:pPr>
        <w:pStyle w:val="14"/>
        <w:ind w:firstLine="640" w:firstLineChars="200"/>
        <w:rPr>
          <w:rFonts w:ascii="仿宋" w:hAnsi="仿宋" w:eastAsia="仿宋"/>
          <w:i/>
          <w:color w:val="FF0000"/>
          <w:sz w:val="32"/>
          <w:szCs w:val="32"/>
        </w:rPr>
      </w:pPr>
      <w:r>
        <w:rPr>
          <w:rFonts w:hint="eastAsia" w:ascii="仿宋" w:hAnsi="仿宋" w:eastAsia="仿宋"/>
          <w:sz w:val="32"/>
          <w:szCs w:val="32"/>
        </w:rPr>
        <w:t>2021年度财政拨款基本支出</w:t>
      </w:r>
      <w:r>
        <w:rPr>
          <w:rFonts w:ascii="仿宋" w:hAnsi="仿宋" w:eastAsia="仿宋"/>
          <w:sz w:val="32"/>
          <w:szCs w:val="32"/>
        </w:rPr>
        <w:t>312.67</w:t>
      </w:r>
      <w:r>
        <w:rPr>
          <w:rFonts w:hint="eastAsia" w:ascii="仿宋" w:hAnsi="仿宋" w:eastAsia="仿宋"/>
          <w:sz w:val="32"/>
          <w:szCs w:val="32"/>
        </w:rPr>
        <w:t>万元，其中：人员经费</w:t>
      </w:r>
      <w:r>
        <w:rPr>
          <w:rFonts w:ascii="仿宋" w:hAnsi="仿宋" w:eastAsia="仿宋"/>
          <w:sz w:val="32"/>
          <w:szCs w:val="32"/>
        </w:rPr>
        <w:t>262.27</w:t>
      </w:r>
      <w:r>
        <w:rPr>
          <w:rFonts w:hint="eastAsia" w:ascii="仿宋" w:hAnsi="仿宋" w:eastAsia="仿宋"/>
          <w:sz w:val="32"/>
          <w:szCs w:val="32"/>
        </w:rPr>
        <w:t>万元，占基本支出的</w:t>
      </w:r>
      <w:r>
        <w:rPr>
          <w:rFonts w:ascii="仿宋" w:hAnsi="仿宋" w:eastAsia="仿宋"/>
          <w:sz w:val="32"/>
          <w:szCs w:val="32"/>
        </w:rPr>
        <w:t>83.88</w:t>
      </w:r>
      <w:r>
        <w:rPr>
          <w:rFonts w:hint="eastAsia" w:ascii="仿宋" w:hAnsi="仿宋" w:eastAsia="仿宋"/>
          <w:sz w:val="32"/>
          <w:szCs w:val="32"/>
        </w:rPr>
        <w:t>%,主要包括基本工资、津贴补贴、奖金、基本养老保险、基本医疗保险、生活补助等；公用经费</w:t>
      </w:r>
      <w:r>
        <w:rPr>
          <w:rFonts w:ascii="仿宋" w:hAnsi="仿宋" w:eastAsia="仿宋"/>
          <w:sz w:val="32"/>
          <w:szCs w:val="32"/>
        </w:rPr>
        <w:t>50.40</w:t>
      </w:r>
      <w:r>
        <w:rPr>
          <w:rFonts w:hint="eastAsia" w:ascii="仿宋" w:hAnsi="仿宋" w:eastAsia="仿宋"/>
          <w:sz w:val="32"/>
          <w:szCs w:val="32"/>
        </w:rPr>
        <w:t>万元，占基本支出的</w:t>
      </w:r>
      <w:r>
        <w:rPr>
          <w:rFonts w:ascii="仿宋" w:hAnsi="仿宋" w:eastAsia="仿宋"/>
          <w:sz w:val="32"/>
          <w:szCs w:val="32"/>
        </w:rPr>
        <w:t>16.12</w:t>
      </w:r>
      <w:r>
        <w:rPr>
          <w:rFonts w:hint="eastAsia" w:ascii="仿宋" w:hAnsi="仿宋" w:eastAsia="仿宋"/>
          <w:sz w:val="32"/>
          <w:szCs w:val="32"/>
        </w:rPr>
        <w:t>%，主要包括办公费、印刷费、咨询费、邮电费、劳务费、差旅费、公务用车运行维护费、其他商品和服务支出等。</w:t>
      </w:r>
    </w:p>
    <w:p>
      <w:pPr>
        <w:pStyle w:val="14"/>
        <w:ind w:firstLine="640" w:firstLineChars="200"/>
        <w:rPr>
          <w:rFonts w:hAnsi="黑体"/>
          <w:b/>
          <w:sz w:val="32"/>
          <w:szCs w:val="32"/>
        </w:rPr>
      </w:pPr>
      <w:r>
        <w:rPr>
          <w:rFonts w:hint="eastAsia" w:hAnsi="黑体"/>
          <w:b/>
          <w:sz w:val="32"/>
          <w:szCs w:val="32"/>
        </w:rPr>
        <w:t>七、一般公共预算财政拨款“三公”经费支出决算情况说明</w:t>
      </w:r>
    </w:p>
    <w:p>
      <w:pPr>
        <w:pStyle w:val="14"/>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4"/>
        <w:ind w:firstLine="800" w:firstLineChars="250"/>
        <w:rPr>
          <w:rFonts w:ascii="仿宋" w:hAnsi="仿宋" w:eastAsia="仿宋"/>
          <w:sz w:val="32"/>
          <w:szCs w:val="32"/>
        </w:rPr>
      </w:pPr>
      <w:r>
        <w:rPr>
          <w:rFonts w:hint="eastAsia" w:ascii="仿宋" w:hAnsi="仿宋" w:eastAsia="仿宋"/>
          <w:sz w:val="32"/>
          <w:szCs w:val="32"/>
        </w:rPr>
        <w:t>2021年度“三公”经费财政拨款支出预算为</w:t>
      </w:r>
      <w:r>
        <w:rPr>
          <w:rFonts w:ascii="仿宋" w:hAnsi="仿宋" w:eastAsia="仿宋"/>
          <w:sz w:val="32"/>
          <w:szCs w:val="32"/>
        </w:rPr>
        <w:t>5.27</w:t>
      </w:r>
      <w:r>
        <w:rPr>
          <w:rFonts w:hint="eastAsia" w:ascii="仿宋" w:hAnsi="仿宋" w:eastAsia="仿宋"/>
          <w:sz w:val="32"/>
          <w:szCs w:val="32"/>
        </w:rPr>
        <w:t>万元，支出决算为</w:t>
      </w:r>
      <w:r>
        <w:rPr>
          <w:rFonts w:ascii="仿宋" w:hAnsi="仿宋" w:eastAsia="仿宋"/>
          <w:sz w:val="32"/>
          <w:szCs w:val="32"/>
        </w:rPr>
        <w:t>4.40</w:t>
      </w:r>
      <w:r>
        <w:rPr>
          <w:rFonts w:hint="eastAsia" w:ascii="仿宋" w:hAnsi="仿宋" w:eastAsia="仿宋"/>
          <w:sz w:val="32"/>
          <w:szCs w:val="32"/>
        </w:rPr>
        <w:t>万元，完成预算的</w:t>
      </w:r>
      <w:r>
        <w:rPr>
          <w:rFonts w:ascii="仿宋" w:hAnsi="仿宋" w:eastAsia="仿宋"/>
          <w:sz w:val="32"/>
          <w:szCs w:val="32"/>
        </w:rPr>
        <w:t>83.49</w:t>
      </w:r>
      <w:r>
        <w:rPr>
          <w:rFonts w:hint="eastAsia" w:ascii="仿宋" w:hAnsi="仿宋" w:eastAsia="仿宋"/>
          <w:sz w:val="32"/>
          <w:szCs w:val="32"/>
        </w:rPr>
        <w:t>%，其中：因公出国（境）费支出预算为</w:t>
      </w:r>
      <w:r>
        <w:rPr>
          <w:rFonts w:ascii="仿宋" w:hAnsi="仿宋" w:eastAsia="仿宋"/>
          <w:sz w:val="32"/>
          <w:szCs w:val="32"/>
        </w:rPr>
        <w:t>0</w:t>
      </w:r>
      <w:r>
        <w:rPr>
          <w:rFonts w:hint="eastAsia" w:ascii="仿宋" w:hAnsi="仿宋" w:eastAsia="仿宋"/>
          <w:sz w:val="32"/>
          <w:szCs w:val="32"/>
        </w:rPr>
        <w:t>万元，支出决算为</w:t>
      </w:r>
      <w:r>
        <w:rPr>
          <w:rFonts w:ascii="仿宋" w:hAnsi="仿宋" w:eastAsia="仿宋"/>
          <w:sz w:val="32"/>
          <w:szCs w:val="32"/>
        </w:rPr>
        <w:t>0</w:t>
      </w:r>
      <w:r>
        <w:rPr>
          <w:rFonts w:hint="eastAsia" w:ascii="仿宋" w:hAnsi="仿宋" w:eastAsia="仿宋"/>
          <w:sz w:val="32"/>
          <w:szCs w:val="32"/>
        </w:rPr>
        <w:t>万元，完成预算的</w:t>
      </w:r>
      <w:r>
        <w:rPr>
          <w:rFonts w:asciiTheme="minorEastAsia" w:hAnsiTheme="minorEastAsia" w:eastAsiaTheme="minorEastAsia"/>
          <w:sz w:val="32"/>
          <w:szCs w:val="32"/>
        </w:rPr>
        <w:t>0</w:t>
      </w:r>
      <w:r>
        <w:rPr>
          <w:rFonts w:hint="eastAsia" w:asciiTheme="minorEastAsia" w:hAnsiTheme="minorEastAsia" w:eastAsiaTheme="minorEastAsia"/>
          <w:sz w:val="32"/>
          <w:szCs w:val="32"/>
        </w:rPr>
        <w:t>%。</w:t>
      </w:r>
    </w:p>
    <w:p>
      <w:pPr>
        <w:pStyle w:val="14"/>
        <w:ind w:firstLine="800" w:firstLineChars="250"/>
        <w:rPr>
          <w:rFonts w:ascii="仿宋" w:hAnsi="仿宋" w:eastAsia="仿宋"/>
          <w:sz w:val="32"/>
          <w:szCs w:val="32"/>
        </w:rPr>
      </w:pPr>
      <w:r>
        <w:rPr>
          <w:rFonts w:hint="eastAsia" w:ascii="仿宋" w:hAnsi="仿宋" w:eastAsia="仿宋"/>
          <w:sz w:val="32"/>
          <w:szCs w:val="32"/>
        </w:rPr>
        <w:t>公务接待费支出预算为</w:t>
      </w:r>
      <w:r>
        <w:rPr>
          <w:rFonts w:ascii="仿宋" w:hAnsi="仿宋" w:eastAsia="仿宋"/>
          <w:sz w:val="32"/>
          <w:szCs w:val="32"/>
        </w:rPr>
        <w:t>1.50</w:t>
      </w:r>
      <w:r>
        <w:rPr>
          <w:rFonts w:hint="eastAsia" w:ascii="仿宋" w:hAnsi="仿宋" w:eastAsia="仿宋"/>
          <w:sz w:val="32"/>
          <w:szCs w:val="32"/>
        </w:rPr>
        <w:t>万元，支出决算为</w:t>
      </w:r>
      <w:r>
        <w:rPr>
          <w:rFonts w:ascii="仿宋" w:hAnsi="仿宋" w:eastAsia="仿宋"/>
          <w:sz w:val="32"/>
          <w:szCs w:val="32"/>
        </w:rPr>
        <w:t>0.78</w:t>
      </w:r>
      <w:r>
        <w:rPr>
          <w:rFonts w:hint="eastAsia" w:ascii="仿宋" w:hAnsi="仿宋" w:eastAsia="仿宋"/>
          <w:sz w:val="32"/>
          <w:szCs w:val="32"/>
        </w:rPr>
        <w:t>万元，完成预算的</w:t>
      </w:r>
      <w:r>
        <w:rPr>
          <w:rFonts w:ascii="仿宋" w:hAnsi="仿宋" w:eastAsia="仿宋"/>
          <w:sz w:val="32"/>
          <w:szCs w:val="32"/>
        </w:rPr>
        <w:t>52</w:t>
      </w:r>
      <w:r>
        <w:rPr>
          <w:rFonts w:hint="eastAsia" w:ascii="仿宋" w:hAnsi="仿宋" w:eastAsia="仿宋"/>
          <w:sz w:val="32"/>
          <w:szCs w:val="32"/>
        </w:rPr>
        <w:t>%，决算数预算数的主要原因是</w:t>
      </w:r>
      <w:r>
        <w:rPr>
          <w:rFonts w:ascii="仿宋" w:hAnsi="仿宋" w:eastAsia="仿宋"/>
          <w:sz w:val="32"/>
          <w:szCs w:val="32"/>
        </w:rPr>
        <w:t>严格遵照中央八项规定以及省、市有关规定，加强“三公”经费管理，压缩了“三公”经费支出。</w:t>
      </w:r>
      <w:r>
        <w:rPr>
          <w:rFonts w:hint="eastAsia" w:ascii="仿宋" w:hAnsi="仿宋" w:eastAsia="仿宋"/>
          <w:sz w:val="32"/>
          <w:szCs w:val="32"/>
        </w:rPr>
        <w:t>与上年相比增加</w:t>
      </w:r>
      <w:r>
        <w:rPr>
          <w:rFonts w:ascii="仿宋" w:hAnsi="仿宋" w:eastAsia="仿宋"/>
          <w:sz w:val="32"/>
          <w:szCs w:val="32"/>
        </w:rPr>
        <w:t>0.30</w:t>
      </w:r>
      <w:r>
        <w:rPr>
          <w:rFonts w:hint="eastAsia" w:ascii="仿宋" w:hAnsi="仿宋" w:eastAsia="仿宋"/>
          <w:sz w:val="32"/>
          <w:szCs w:val="32"/>
        </w:rPr>
        <w:t>万元，增长</w:t>
      </w:r>
      <w:r>
        <w:rPr>
          <w:rFonts w:ascii="仿宋" w:hAnsi="仿宋" w:eastAsia="仿宋"/>
          <w:sz w:val="32"/>
          <w:szCs w:val="32"/>
        </w:rPr>
        <w:t>62.50</w:t>
      </w:r>
      <w:r>
        <w:rPr>
          <w:rFonts w:hint="eastAsia" w:ascii="仿宋" w:hAnsi="仿宋" w:eastAsia="仿宋"/>
          <w:sz w:val="32"/>
          <w:szCs w:val="32"/>
        </w:rPr>
        <w:t>%,增长的主要原因是接待上级来人次数增加。</w:t>
      </w:r>
    </w:p>
    <w:p>
      <w:pPr>
        <w:pStyle w:val="14"/>
        <w:ind w:firstLine="640" w:firstLineChars="200"/>
        <w:rPr>
          <w:rFonts w:ascii="仿宋" w:hAnsi="仿宋" w:eastAsia="仿宋"/>
          <w:sz w:val="32"/>
          <w:szCs w:val="32"/>
        </w:rPr>
      </w:pPr>
      <w:r>
        <w:rPr>
          <w:rFonts w:hint="eastAsia" w:ascii="仿宋" w:hAnsi="仿宋" w:eastAsia="仿宋"/>
          <w:sz w:val="32"/>
          <w:szCs w:val="32"/>
        </w:rPr>
        <w:t>公务用车购置费支出预算为</w:t>
      </w:r>
      <w:r>
        <w:rPr>
          <w:rFonts w:ascii="仿宋" w:hAnsi="仿宋" w:eastAsia="仿宋"/>
          <w:sz w:val="32"/>
          <w:szCs w:val="32"/>
        </w:rPr>
        <w:t>0</w:t>
      </w:r>
      <w:r>
        <w:rPr>
          <w:rFonts w:hint="eastAsia" w:ascii="仿宋" w:hAnsi="仿宋" w:eastAsia="仿宋"/>
          <w:sz w:val="32"/>
          <w:szCs w:val="32"/>
        </w:rPr>
        <w:t>万元，支出决算为</w:t>
      </w:r>
      <w:r>
        <w:rPr>
          <w:rFonts w:ascii="仿宋" w:hAnsi="仿宋" w:eastAsia="仿宋"/>
          <w:sz w:val="32"/>
          <w:szCs w:val="32"/>
        </w:rPr>
        <w:t>0</w:t>
      </w:r>
      <w:r>
        <w:rPr>
          <w:rFonts w:hint="eastAsia" w:ascii="仿宋" w:hAnsi="仿宋" w:eastAsia="仿宋"/>
          <w:sz w:val="32"/>
          <w:szCs w:val="32"/>
        </w:rPr>
        <w:t>万元，完成预算的</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 xml:space="preserve"> </w:t>
      </w:r>
    </w:p>
    <w:p>
      <w:pPr>
        <w:pStyle w:val="14"/>
        <w:spacing w:line="360" w:lineRule="auto"/>
        <w:rPr>
          <w:rFonts w:ascii="仿宋" w:hAnsi="仿宋" w:eastAsia="仿宋"/>
          <w:sz w:val="32"/>
          <w:szCs w:val="32"/>
        </w:rPr>
      </w:pPr>
      <w:r>
        <w:rPr>
          <w:rFonts w:hint="eastAsia" w:ascii="仿宋" w:hAnsi="仿宋" w:eastAsia="仿宋"/>
          <w:sz w:val="32"/>
          <w:szCs w:val="32"/>
        </w:rPr>
        <w:t>公务用车运行维护费支出预算为</w:t>
      </w:r>
      <w:r>
        <w:rPr>
          <w:rFonts w:ascii="仿宋" w:hAnsi="仿宋" w:eastAsia="仿宋"/>
          <w:sz w:val="32"/>
          <w:szCs w:val="32"/>
        </w:rPr>
        <w:t>3.77万元</w:t>
      </w:r>
      <w:r>
        <w:rPr>
          <w:rFonts w:hint="eastAsia" w:ascii="仿宋" w:hAnsi="仿宋" w:eastAsia="仿宋"/>
          <w:sz w:val="32"/>
          <w:szCs w:val="32"/>
        </w:rPr>
        <w:t>，决算为</w:t>
      </w:r>
      <w:r>
        <w:rPr>
          <w:rFonts w:ascii="仿宋" w:hAnsi="仿宋" w:eastAsia="仿宋"/>
          <w:sz w:val="32"/>
          <w:szCs w:val="32"/>
        </w:rPr>
        <w:t>3.62</w:t>
      </w:r>
      <w:r>
        <w:rPr>
          <w:rFonts w:hint="eastAsia" w:ascii="仿宋" w:hAnsi="仿宋" w:eastAsia="仿宋"/>
          <w:sz w:val="32"/>
          <w:szCs w:val="32"/>
        </w:rPr>
        <w:t>万元，完成预算的</w:t>
      </w:r>
      <w:r>
        <w:rPr>
          <w:rFonts w:ascii="仿宋" w:hAnsi="仿宋" w:eastAsia="仿宋"/>
          <w:sz w:val="32"/>
          <w:szCs w:val="32"/>
        </w:rPr>
        <w:t>96.02</w:t>
      </w:r>
      <w:r>
        <w:rPr>
          <w:rFonts w:hint="eastAsia" w:ascii="仿宋" w:hAnsi="仿宋" w:eastAsia="仿宋"/>
          <w:sz w:val="32"/>
          <w:szCs w:val="32"/>
        </w:rPr>
        <w:t>%，决算数小于预算数的主要原因是决算数小于预算数的主要原因是</w:t>
      </w:r>
      <w:r>
        <w:rPr>
          <w:rFonts w:ascii="仿宋" w:hAnsi="仿宋" w:eastAsia="仿宋"/>
          <w:sz w:val="32"/>
          <w:szCs w:val="32"/>
        </w:rPr>
        <w:t>严格遵照中央八项规定以及省、市有关规定，加强“三公”经费管理，压缩了“三公”经费支出，减少公务用车次数</w:t>
      </w:r>
      <w:r>
        <w:rPr>
          <w:rFonts w:hint="eastAsia" w:ascii="仿宋" w:hAnsi="仿宋" w:eastAsia="仿宋"/>
          <w:sz w:val="32"/>
          <w:szCs w:val="32"/>
        </w:rPr>
        <w:t>，与上年相比增加2</w:t>
      </w:r>
      <w:r>
        <w:rPr>
          <w:rFonts w:ascii="仿宋" w:hAnsi="仿宋" w:eastAsia="仿宋"/>
          <w:sz w:val="32"/>
          <w:szCs w:val="32"/>
        </w:rPr>
        <w:t>.17</w:t>
      </w:r>
      <w:r>
        <w:rPr>
          <w:rFonts w:hint="eastAsia" w:ascii="仿宋" w:hAnsi="仿宋" w:eastAsia="仿宋"/>
          <w:sz w:val="32"/>
          <w:szCs w:val="32"/>
        </w:rPr>
        <w:t>万元，增长</w:t>
      </w:r>
      <w:r>
        <w:rPr>
          <w:rFonts w:ascii="仿宋" w:hAnsi="仿宋" w:eastAsia="仿宋"/>
          <w:sz w:val="32"/>
          <w:szCs w:val="32"/>
        </w:rPr>
        <w:t>149.66</w:t>
      </w:r>
      <w:r>
        <w:rPr>
          <w:rFonts w:hint="eastAsia" w:ascii="仿宋" w:hAnsi="仿宋" w:eastAsia="仿宋"/>
          <w:sz w:val="32"/>
          <w:szCs w:val="32"/>
        </w:rPr>
        <w:t>%,增长的主要原因是</w:t>
      </w:r>
      <w:r>
        <w:rPr>
          <w:rFonts w:ascii="仿宋" w:hAnsi="仿宋" w:eastAsia="仿宋"/>
          <w:sz w:val="32"/>
          <w:szCs w:val="32"/>
        </w:rPr>
        <w:t>车辆老化</w:t>
      </w:r>
      <w:r>
        <w:rPr>
          <w:rFonts w:hint="eastAsia" w:ascii="仿宋" w:hAnsi="仿宋" w:eastAsia="仿宋"/>
          <w:sz w:val="32"/>
          <w:szCs w:val="32"/>
        </w:rPr>
        <w:t>，</w:t>
      </w:r>
      <w:r>
        <w:rPr>
          <w:rFonts w:ascii="仿宋" w:hAnsi="仿宋" w:eastAsia="仿宋"/>
          <w:sz w:val="32"/>
          <w:szCs w:val="32"/>
        </w:rPr>
        <w:t>维修费增加</w:t>
      </w:r>
      <w:r>
        <w:rPr>
          <w:rFonts w:hint="eastAsia" w:ascii="仿宋" w:hAnsi="仿宋" w:eastAsia="仿宋"/>
          <w:sz w:val="32"/>
          <w:szCs w:val="32"/>
        </w:rPr>
        <w:t>。</w:t>
      </w:r>
    </w:p>
    <w:p>
      <w:pPr>
        <w:pStyle w:val="14"/>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4"/>
        <w:ind w:firstLine="640" w:firstLineChars="200"/>
        <w:rPr>
          <w:rFonts w:ascii="仿宋" w:hAnsi="仿宋" w:eastAsia="仿宋"/>
          <w:sz w:val="32"/>
          <w:szCs w:val="32"/>
        </w:rPr>
      </w:pPr>
      <w:r>
        <w:rPr>
          <w:rFonts w:hint="eastAsia" w:ascii="仿宋" w:hAnsi="仿宋" w:eastAsia="仿宋"/>
          <w:sz w:val="32"/>
          <w:szCs w:val="32"/>
        </w:rPr>
        <w:t>2021年度“三公”经费财政拨款支出决算中，公务接待费支出决算</w:t>
      </w:r>
      <w:r>
        <w:rPr>
          <w:rFonts w:ascii="仿宋" w:hAnsi="仿宋" w:eastAsia="仿宋"/>
          <w:sz w:val="32"/>
          <w:szCs w:val="32"/>
        </w:rPr>
        <w:t>0.78</w:t>
      </w:r>
      <w:r>
        <w:rPr>
          <w:rFonts w:hint="eastAsia" w:ascii="仿宋" w:hAnsi="仿宋" w:eastAsia="仿宋"/>
          <w:sz w:val="32"/>
          <w:szCs w:val="32"/>
        </w:rPr>
        <w:t>万元，占</w:t>
      </w:r>
      <w:r>
        <w:rPr>
          <w:rFonts w:ascii="仿宋" w:hAnsi="仿宋" w:eastAsia="仿宋"/>
          <w:sz w:val="32"/>
          <w:szCs w:val="32"/>
        </w:rPr>
        <w:t>17.73</w:t>
      </w:r>
      <w:r>
        <w:rPr>
          <w:rFonts w:hint="eastAsia" w:ascii="仿宋" w:hAnsi="仿宋" w:eastAsia="仿宋"/>
          <w:sz w:val="32"/>
          <w:szCs w:val="32"/>
        </w:rPr>
        <w:t>%,因公出国（境）费支出决算</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%,公务用车购置费及运行维护费支出决算</w:t>
      </w:r>
      <w:r>
        <w:rPr>
          <w:rFonts w:ascii="仿宋" w:hAnsi="仿宋" w:eastAsia="仿宋"/>
          <w:sz w:val="32"/>
          <w:szCs w:val="32"/>
        </w:rPr>
        <w:t>3.62</w:t>
      </w:r>
      <w:r>
        <w:rPr>
          <w:rFonts w:hint="eastAsia" w:ascii="仿宋" w:hAnsi="仿宋" w:eastAsia="仿宋"/>
          <w:sz w:val="32"/>
          <w:szCs w:val="32"/>
        </w:rPr>
        <w:t>万元，占</w:t>
      </w:r>
      <w:r>
        <w:rPr>
          <w:rFonts w:ascii="仿宋" w:hAnsi="仿宋" w:eastAsia="仿宋"/>
          <w:sz w:val="32"/>
          <w:szCs w:val="32"/>
        </w:rPr>
        <w:t>82.27</w:t>
      </w:r>
      <w:r>
        <w:rPr>
          <w:rFonts w:hint="eastAsia" w:ascii="仿宋" w:hAnsi="仿宋" w:eastAsia="仿宋"/>
          <w:sz w:val="32"/>
          <w:szCs w:val="32"/>
        </w:rPr>
        <w:t>%。其中：</w:t>
      </w:r>
    </w:p>
    <w:p>
      <w:pPr>
        <w:pStyle w:val="14"/>
        <w:ind w:firstLine="640" w:firstLineChars="200"/>
        <w:rPr>
          <w:rFonts w:ascii="仿宋" w:hAnsi="仿宋" w:eastAsia="仿宋"/>
          <w:sz w:val="32"/>
          <w:szCs w:val="32"/>
        </w:rPr>
      </w:pPr>
      <w:r>
        <w:rPr>
          <w:rFonts w:hint="eastAsia" w:ascii="仿宋" w:hAnsi="仿宋" w:eastAsia="仿宋"/>
          <w:sz w:val="32"/>
          <w:szCs w:val="32"/>
        </w:rPr>
        <w:t>1、因公出国（境）费支出决算为</w:t>
      </w:r>
      <w:r>
        <w:rPr>
          <w:rFonts w:ascii="仿宋" w:hAnsi="仿宋" w:eastAsia="仿宋"/>
          <w:sz w:val="32"/>
          <w:szCs w:val="32"/>
        </w:rPr>
        <w:t>0</w:t>
      </w:r>
      <w:r>
        <w:rPr>
          <w:rFonts w:hint="eastAsia" w:ascii="仿宋" w:hAnsi="仿宋" w:eastAsia="仿宋"/>
          <w:sz w:val="32"/>
          <w:szCs w:val="32"/>
        </w:rPr>
        <w:t>万元，全年安排因公出国（境）团组</w:t>
      </w:r>
      <w:r>
        <w:rPr>
          <w:rFonts w:ascii="仿宋" w:hAnsi="仿宋" w:eastAsia="仿宋"/>
          <w:sz w:val="32"/>
          <w:szCs w:val="32"/>
        </w:rPr>
        <w:t>0</w:t>
      </w:r>
      <w:r>
        <w:rPr>
          <w:rFonts w:hint="eastAsia" w:ascii="仿宋" w:hAnsi="仿宋" w:eastAsia="仿宋"/>
          <w:sz w:val="32"/>
          <w:szCs w:val="32"/>
        </w:rPr>
        <w:t>个，累计</w:t>
      </w:r>
      <w:r>
        <w:rPr>
          <w:rFonts w:ascii="仿宋" w:hAnsi="仿宋" w:eastAsia="仿宋"/>
          <w:sz w:val="32"/>
          <w:szCs w:val="32"/>
        </w:rPr>
        <w:t>0</w:t>
      </w:r>
      <w:r>
        <w:rPr>
          <w:rFonts w:hint="eastAsia" w:ascii="仿宋" w:hAnsi="仿宋" w:eastAsia="仿宋"/>
          <w:sz w:val="32"/>
          <w:szCs w:val="32"/>
        </w:rPr>
        <w:t>人次。</w:t>
      </w:r>
    </w:p>
    <w:p>
      <w:pPr>
        <w:pStyle w:val="14"/>
        <w:ind w:firstLine="640" w:firstLineChars="200"/>
        <w:rPr>
          <w:rFonts w:ascii="仿宋" w:hAnsi="仿宋" w:eastAsia="仿宋"/>
          <w:sz w:val="32"/>
          <w:szCs w:val="32"/>
        </w:rPr>
      </w:pPr>
      <w:r>
        <w:rPr>
          <w:rFonts w:hint="eastAsia" w:ascii="仿宋" w:hAnsi="仿宋" w:eastAsia="仿宋"/>
          <w:sz w:val="32"/>
          <w:szCs w:val="32"/>
        </w:rPr>
        <w:t>2、公务接待费支出决算为0.78万元，全年共接待来访团组12个、来宾78人次，主要是档案业务单位来人发生的接待支出。</w:t>
      </w:r>
    </w:p>
    <w:p>
      <w:pPr>
        <w:pStyle w:val="14"/>
        <w:ind w:firstLine="640" w:firstLineChars="200"/>
        <w:rPr>
          <w:rFonts w:ascii="仿宋" w:hAnsi="仿宋" w:eastAsia="仿宋"/>
          <w:sz w:val="32"/>
          <w:szCs w:val="32"/>
        </w:rPr>
      </w:pPr>
      <w:r>
        <w:rPr>
          <w:rFonts w:hint="eastAsia" w:ascii="仿宋" w:hAnsi="仿宋" w:eastAsia="仿宋"/>
          <w:sz w:val="32"/>
          <w:szCs w:val="32"/>
        </w:rPr>
        <w:t>3、公务用车购置费及运行维护费支出决算为3.62万元，其中：公务用车购置费0万元，0更新公务用车0辆。公务用车运行维护费3.62万元，主要是车辆油料、车辆通行费、维修费支出，截止2021年12月31日，我单位开支财政拨款的公务用车保有量为1辆。</w:t>
      </w:r>
    </w:p>
    <w:p>
      <w:pPr>
        <w:pStyle w:val="14"/>
        <w:ind w:firstLine="640" w:firstLineChars="200"/>
        <w:rPr>
          <w:rFonts w:hAnsi="黑体"/>
          <w:b/>
          <w:sz w:val="32"/>
          <w:szCs w:val="32"/>
        </w:rPr>
      </w:pPr>
      <w:r>
        <w:rPr>
          <w:rFonts w:hint="eastAsia" w:hAnsi="黑体"/>
          <w:b/>
          <w:sz w:val="32"/>
          <w:szCs w:val="32"/>
        </w:rPr>
        <w:t>八、政府性基金预算收入支出决算情况</w:t>
      </w:r>
    </w:p>
    <w:p>
      <w:pPr>
        <w:pStyle w:val="8"/>
        <w:widowControl/>
        <w:spacing w:beforeAutospacing="0" w:after="76" w:afterAutospacing="0" w:line="510" w:lineRule="atLeast"/>
        <w:ind w:firstLine="420"/>
        <w:jc w:val="both"/>
        <w:rPr>
          <w:rFonts w:ascii="仿宋" w:hAnsi="仿宋" w:eastAsia="仿宋"/>
          <w:color w:val="3D3D3D"/>
          <w:szCs w:val="24"/>
        </w:rPr>
      </w:pPr>
      <w:r>
        <w:rPr>
          <w:rFonts w:hint="eastAsia" w:ascii="仿宋" w:hAnsi="仿宋" w:eastAsia="仿宋"/>
          <w:sz w:val="32"/>
          <w:szCs w:val="32"/>
        </w:rPr>
        <w:t xml:space="preserve">  </w:t>
      </w:r>
      <w:r>
        <w:rPr>
          <w:rFonts w:hint="eastAsia" w:ascii="仿宋" w:hAnsi="仿宋" w:eastAsia="仿宋" w:cstheme="minorBidi"/>
          <w:kern w:val="2"/>
          <w:sz w:val="32"/>
          <w:szCs w:val="32"/>
        </w:rPr>
        <w:t>202</w:t>
      </w:r>
      <w:r>
        <w:rPr>
          <w:rFonts w:ascii="仿宋" w:hAnsi="仿宋" w:eastAsia="仿宋" w:cstheme="minorBidi"/>
          <w:kern w:val="2"/>
          <w:sz w:val="32"/>
          <w:szCs w:val="32"/>
        </w:rPr>
        <w:t>1</w:t>
      </w:r>
      <w:r>
        <w:rPr>
          <w:rFonts w:hint="eastAsia" w:ascii="仿宋" w:hAnsi="仿宋" w:eastAsia="仿宋" w:cstheme="minorBidi"/>
          <w:kern w:val="2"/>
          <w:sz w:val="32"/>
          <w:szCs w:val="32"/>
        </w:rPr>
        <w:t>年度本单位无国有资本经营预算财政拨款收支。</w:t>
      </w:r>
    </w:p>
    <w:p>
      <w:pPr>
        <w:pStyle w:val="14"/>
        <w:keepNext w:val="0"/>
        <w:keepLines w:val="0"/>
        <w:pageBreakBefore w:val="0"/>
        <w:kinsoku/>
        <w:wordWrap/>
        <w:overflowPunct/>
        <w:topLinePunct w:val="0"/>
        <w:bidi w:val="0"/>
        <w:snapToGrid/>
        <w:spacing w:line="600" w:lineRule="exact"/>
        <w:ind w:firstLine="640" w:firstLineChars="200"/>
        <w:textAlignment w:val="auto"/>
        <w:rPr>
          <w:rFonts w:hint="eastAsia" w:ascii="黑体" w:hAnsi="黑体" w:eastAsia="黑体" w:cs="黑体"/>
          <w:sz w:val="32"/>
          <w:szCs w:val="32"/>
          <w:highlight w:val="none"/>
          <w:lang w:val="en-US" w:eastAsia="zh-CN"/>
        </w:rPr>
      </w:pPr>
      <w:r>
        <w:rPr>
          <w:rFonts w:hint="eastAsia" w:hAnsi="黑体"/>
          <w:b/>
          <w:sz w:val="32"/>
          <w:szCs w:val="32"/>
          <w:lang w:eastAsia="zh-CN"/>
        </w:rPr>
        <w:t>九</w:t>
      </w:r>
      <w:r>
        <w:rPr>
          <w:rFonts w:hint="eastAsia" w:ascii="仿宋" w:hAnsi="仿宋" w:eastAsia="仿宋" w:cs="仿宋"/>
          <w:color w:val="000000"/>
          <w:kern w:val="0"/>
          <w:sz w:val="32"/>
          <w:szCs w:val="32"/>
        </w:rPr>
        <w:t>、</w:t>
      </w:r>
      <w:r>
        <w:rPr>
          <w:rFonts w:hint="eastAsia" w:ascii="黑体" w:hAnsi="黑体" w:eastAsia="黑体" w:cs="黑体"/>
          <w:sz w:val="32"/>
          <w:szCs w:val="32"/>
          <w:highlight w:val="none"/>
          <w:lang w:val="en-US" w:eastAsia="zh-CN"/>
        </w:rPr>
        <w:t>国有资本经营预算财政拨款支出</w:t>
      </w:r>
      <w:r>
        <w:rPr>
          <w:rFonts w:hint="eastAsia" w:ascii="黑体" w:hAnsi="黑体" w:eastAsia="黑体" w:cs="黑体"/>
          <w:sz w:val="32"/>
          <w:szCs w:val="32"/>
          <w:highlight w:val="none"/>
        </w:rPr>
        <w:t>决算情况</w:t>
      </w:r>
      <w:r>
        <w:rPr>
          <w:rFonts w:hint="eastAsia" w:ascii="黑体" w:hAnsi="黑体" w:eastAsia="黑体" w:cs="黑体"/>
          <w:sz w:val="32"/>
          <w:szCs w:val="32"/>
          <w:highlight w:val="none"/>
          <w:lang w:val="en-US" w:eastAsia="zh-CN"/>
        </w:rPr>
        <w:t>说明</w:t>
      </w:r>
    </w:p>
    <w:p>
      <w:pPr>
        <w:pStyle w:val="14"/>
        <w:keepNext w:val="0"/>
        <w:keepLines w:val="0"/>
        <w:pageBreakBefore w:val="0"/>
        <w:numPr>
          <w:ilvl w:val="0"/>
          <w:numId w:val="0"/>
        </w:numPr>
        <w:kinsoku/>
        <w:wordWrap/>
        <w:overflowPunct/>
        <w:topLinePunct w:val="0"/>
        <w:bidi w:val="0"/>
        <w:snapToGrid/>
        <w:spacing w:line="600" w:lineRule="exact"/>
        <w:ind w:firstLine="1296" w:firstLineChars="405"/>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本单位无</w:t>
      </w:r>
      <w:r>
        <w:rPr>
          <w:rFonts w:hint="eastAsia" w:ascii="仿宋" w:hAnsi="仿宋" w:eastAsia="仿宋" w:cs="仿宋"/>
          <w:b/>
          <w:bCs/>
          <w:sz w:val="32"/>
          <w:szCs w:val="32"/>
          <w:highlight w:val="none"/>
          <w:lang w:val="en-US" w:eastAsia="zh-CN"/>
        </w:rPr>
        <w:t>国有资本经营预算财政拨款支出</w:t>
      </w:r>
    </w:p>
    <w:p>
      <w:pPr>
        <w:pStyle w:val="14"/>
        <w:ind w:firstLine="640" w:firstLineChars="200"/>
        <w:rPr>
          <w:rFonts w:hAnsi="黑体"/>
          <w:b/>
          <w:sz w:val="32"/>
          <w:szCs w:val="32"/>
        </w:rPr>
      </w:pPr>
      <w:r>
        <w:rPr>
          <w:rFonts w:hint="eastAsia" w:hAnsi="黑体"/>
          <w:b/>
          <w:sz w:val="32"/>
          <w:szCs w:val="32"/>
          <w:lang w:eastAsia="zh-CN"/>
        </w:rPr>
        <w:t>十</w:t>
      </w:r>
      <w:r>
        <w:rPr>
          <w:rFonts w:hint="eastAsia" w:hAnsi="黑体"/>
          <w:b/>
          <w:sz w:val="32"/>
          <w:szCs w:val="32"/>
        </w:rPr>
        <w:t>、机关运行经费支出说明</w:t>
      </w:r>
    </w:p>
    <w:p>
      <w:pPr>
        <w:pStyle w:val="14"/>
        <w:ind w:firstLine="640" w:firstLineChars="200"/>
        <w:rPr>
          <w:rFonts w:ascii="仿宋" w:hAnsi="仿宋" w:eastAsia="仿宋"/>
          <w:sz w:val="32"/>
          <w:szCs w:val="32"/>
        </w:rPr>
      </w:pPr>
      <w:r>
        <w:rPr>
          <w:rFonts w:hint="eastAsia" w:ascii="仿宋" w:hAnsi="仿宋" w:eastAsia="仿宋"/>
          <w:sz w:val="32"/>
          <w:szCs w:val="32"/>
        </w:rPr>
        <w:t>本部门2021年度机关运行经费支出</w:t>
      </w:r>
      <w:r>
        <w:rPr>
          <w:rFonts w:ascii="仿宋" w:hAnsi="仿宋" w:eastAsia="仿宋"/>
          <w:sz w:val="32"/>
          <w:szCs w:val="32"/>
        </w:rPr>
        <w:t>50.40</w:t>
      </w:r>
      <w:r>
        <w:rPr>
          <w:rFonts w:hint="eastAsia" w:ascii="仿宋" w:hAnsi="仿宋" w:eastAsia="仿宋"/>
          <w:sz w:val="32"/>
          <w:szCs w:val="32"/>
        </w:rPr>
        <w:t>万元，与上年相比减少</w:t>
      </w:r>
      <w:r>
        <w:rPr>
          <w:rFonts w:ascii="仿宋" w:hAnsi="仿宋" w:eastAsia="仿宋"/>
          <w:sz w:val="32"/>
          <w:szCs w:val="32"/>
        </w:rPr>
        <w:t>9.71</w:t>
      </w:r>
      <w:r>
        <w:rPr>
          <w:rFonts w:hint="eastAsia" w:ascii="仿宋" w:hAnsi="仿宋" w:eastAsia="仿宋"/>
          <w:sz w:val="32"/>
          <w:szCs w:val="32"/>
        </w:rPr>
        <w:t>万元，降低</w:t>
      </w:r>
      <w:r>
        <w:rPr>
          <w:rFonts w:ascii="仿宋" w:hAnsi="仿宋" w:eastAsia="仿宋"/>
          <w:sz w:val="32"/>
          <w:szCs w:val="32"/>
        </w:rPr>
        <w:t>16.15</w:t>
      </w:r>
      <w:r>
        <w:rPr>
          <w:rFonts w:hint="eastAsia" w:ascii="仿宋" w:hAnsi="仿宋" w:eastAsia="仿宋"/>
          <w:sz w:val="32"/>
          <w:szCs w:val="32"/>
        </w:rPr>
        <w:t>%。主要原因是：根据中央、省以及市委市政府的相关要求，要牢固树立过“紧日子”思想，厉行勤俭节约，继续压减一般性支出</w:t>
      </w:r>
      <w:r>
        <w:rPr>
          <w:rFonts w:hint="eastAsia" w:ascii="仿宋" w:hAnsi="仿宋" w:eastAsia="仿宋" w:cs="微软雅黑"/>
          <w:color w:val="3D3D3D"/>
          <w:sz w:val="32"/>
          <w:szCs w:val="32"/>
        </w:rPr>
        <w:t>。</w:t>
      </w:r>
    </w:p>
    <w:p>
      <w:pPr>
        <w:pStyle w:val="14"/>
        <w:ind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一</w:t>
      </w:r>
      <w:r>
        <w:rPr>
          <w:rFonts w:hint="eastAsia" w:hAnsi="黑体"/>
          <w:b/>
          <w:sz w:val="32"/>
          <w:szCs w:val="32"/>
        </w:rPr>
        <w:t>、一般性支出情况说明</w:t>
      </w:r>
    </w:p>
    <w:p>
      <w:pPr>
        <w:pStyle w:val="14"/>
        <w:ind w:firstLine="640" w:firstLineChars="200"/>
        <w:rPr>
          <w:rFonts w:ascii="仿宋" w:hAnsi="仿宋" w:eastAsia="仿宋"/>
          <w:sz w:val="32"/>
          <w:szCs w:val="32"/>
        </w:rPr>
      </w:pPr>
      <w:r>
        <w:rPr>
          <w:rFonts w:hint="eastAsia" w:ascii="仿宋" w:hAnsi="仿宋" w:eastAsia="仿宋"/>
          <w:sz w:val="32"/>
          <w:szCs w:val="32"/>
        </w:rPr>
        <w:t>2021年本部门开支会议费</w:t>
      </w:r>
      <w:r>
        <w:rPr>
          <w:rFonts w:ascii="仿宋" w:hAnsi="仿宋" w:eastAsia="仿宋"/>
          <w:sz w:val="32"/>
          <w:szCs w:val="32"/>
        </w:rPr>
        <w:t>0</w:t>
      </w:r>
      <w:r>
        <w:rPr>
          <w:rFonts w:hint="eastAsia" w:ascii="仿宋" w:hAnsi="仿宋" w:eastAsia="仿宋"/>
          <w:sz w:val="32"/>
          <w:szCs w:val="32"/>
        </w:rPr>
        <w:t>万元；开支业务培训费</w:t>
      </w:r>
      <w:r>
        <w:rPr>
          <w:rFonts w:ascii="仿宋" w:hAnsi="仿宋" w:eastAsia="仿宋"/>
          <w:sz w:val="32"/>
          <w:szCs w:val="32"/>
        </w:rPr>
        <w:t>0.08</w:t>
      </w:r>
      <w:r>
        <w:rPr>
          <w:rFonts w:hint="eastAsia" w:ascii="仿宋" w:hAnsi="仿宋" w:eastAsia="仿宋"/>
          <w:sz w:val="32"/>
          <w:szCs w:val="32"/>
        </w:rPr>
        <w:t>万元，用于开展业务培训，人数1人，内容为档案业务培训。</w:t>
      </w:r>
    </w:p>
    <w:p>
      <w:pPr>
        <w:pStyle w:val="14"/>
        <w:ind w:firstLine="640" w:firstLineChars="200"/>
        <w:rPr>
          <w:rFonts w:ascii="仿宋" w:hAnsi="仿宋" w:eastAsia="仿宋"/>
          <w:sz w:val="32"/>
          <w:szCs w:val="32"/>
        </w:rPr>
      </w:pPr>
      <w:r>
        <w:rPr>
          <w:rFonts w:hint="eastAsia" w:ascii="仿宋" w:hAnsi="仿宋" w:eastAsia="仿宋"/>
          <w:sz w:val="32"/>
          <w:szCs w:val="32"/>
        </w:rPr>
        <w:t>本部门2021年度政府采购支出总额</w:t>
      </w:r>
      <w:r>
        <w:rPr>
          <w:rFonts w:ascii="仿宋" w:hAnsi="仿宋" w:eastAsia="仿宋"/>
          <w:sz w:val="32"/>
          <w:szCs w:val="32"/>
        </w:rPr>
        <w:t>0</w:t>
      </w:r>
      <w:r>
        <w:rPr>
          <w:rFonts w:hint="eastAsia" w:ascii="仿宋" w:hAnsi="仿宋" w:eastAsia="仿宋"/>
          <w:sz w:val="32"/>
          <w:szCs w:val="32"/>
        </w:rPr>
        <w:t>万元，其中：政府采购货物支出</w:t>
      </w:r>
      <w:r>
        <w:rPr>
          <w:rFonts w:ascii="仿宋" w:hAnsi="仿宋" w:eastAsia="仿宋"/>
          <w:sz w:val="32"/>
          <w:szCs w:val="32"/>
        </w:rPr>
        <w:t>0</w:t>
      </w:r>
      <w:r>
        <w:rPr>
          <w:rFonts w:hint="eastAsia" w:ascii="仿宋" w:hAnsi="仿宋" w:eastAsia="仿宋"/>
          <w:sz w:val="32"/>
          <w:szCs w:val="32"/>
        </w:rPr>
        <w:t>万元、政府采购工程支出</w:t>
      </w:r>
      <w:r>
        <w:rPr>
          <w:rFonts w:ascii="仿宋" w:hAnsi="仿宋" w:eastAsia="仿宋"/>
          <w:sz w:val="32"/>
          <w:szCs w:val="32"/>
        </w:rPr>
        <w:t>0</w:t>
      </w:r>
      <w:r>
        <w:rPr>
          <w:rFonts w:hint="eastAsia" w:ascii="仿宋" w:hAnsi="仿宋" w:eastAsia="仿宋"/>
          <w:sz w:val="32"/>
          <w:szCs w:val="32"/>
        </w:rPr>
        <w:t>万元、政府采购服务支出</w:t>
      </w:r>
      <w:r>
        <w:rPr>
          <w:rFonts w:ascii="仿宋" w:hAnsi="仿宋" w:eastAsia="仿宋"/>
          <w:sz w:val="32"/>
          <w:szCs w:val="32"/>
        </w:rPr>
        <w:t>0</w:t>
      </w:r>
      <w:r>
        <w:rPr>
          <w:rFonts w:hint="eastAsia" w:ascii="仿宋" w:hAnsi="仿宋" w:eastAsia="仿宋"/>
          <w:sz w:val="32"/>
          <w:szCs w:val="32"/>
        </w:rPr>
        <w:t>万元。授予中小企业合同金额</w:t>
      </w:r>
      <w:r>
        <w:rPr>
          <w:rFonts w:ascii="仿宋" w:hAnsi="仿宋" w:eastAsia="仿宋"/>
          <w:sz w:val="32"/>
          <w:szCs w:val="32"/>
        </w:rPr>
        <w:t>0</w:t>
      </w:r>
      <w:r>
        <w:rPr>
          <w:rFonts w:hint="eastAsia" w:ascii="仿宋" w:hAnsi="仿宋" w:eastAsia="仿宋"/>
          <w:sz w:val="32"/>
          <w:szCs w:val="32"/>
        </w:rPr>
        <w:t>万元，占政府采购支出总额的</w:t>
      </w:r>
      <w:r>
        <w:rPr>
          <w:rFonts w:ascii="仿宋" w:hAnsi="仿宋" w:eastAsia="仿宋"/>
          <w:sz w:val="32"/>
          <w:szCs w:val="32"/>
        </w:rPr>
        <w:t>0</w:t>
      </w:r>
      <w:r>
        <w:rPr>
          <w:rFonts w:hint="eastAsia" w:ascii="仿宋" w:hAnsi="仿宋" w:eastAsia="仿宋"/>
          <w:sz w:val="32"/>
          <w:szCs w:val="32"/>
        </w:rPr>
        <w:t>%，其中：授予小微企业合同金额</w:t>
      </w:r>
      <w:r>
        <w:rPr>
          <w:rFonts w:ascii="仿宋" w:hAnsi="仿宋" w:eastAsia="仿宋"/>
          <w:sz w:val="32"/>
          <w:szCs w:val="32"/>
        </w:rPr>
        <w:t>0</w:t>
      </w:r>
      <w:r>
        <w:rPr>
          <w:rFonts w:hint="eastAsia" w:ascii="仿宋" w:hAnsi="仿宋" w:eastAsia="仿宋"/>
          <w:sz w:val="32"/>
          <w:szCs w:val="32"/>
        </w:rPr>
        <w:t>万元，占授予中小企业合同金额的</w:t>
      </w:r>
      <w:r>
        <w:rPr>
          <w:rFonts w:ascii="仿宋" w:hAnsi="仿宋" w:eastAsia="仿宋"/>
          <w:sz w:val="32"/>
          <w:szCs w:val="32"/>
        </w:rPr>
        <w:t>0</w:t>
      </w:r>
      <w:r>
        <w:rPr>
          <w:rFonts w:hint="eastAsia" w:ascii="仿宋" w:hAnsi="仿宋" w:eastAsia="仿宋"/>
          <w:sz w:val="32"/>
          <w:szCs w:val="32"/>
        </w:rPr>
        <w:t>%；货物采购授予中小企业合同金额占货物支出金额的</w:t>
      </w:r>
      <w:r>
        <w:rPr>
          <w:rFonts w:ascii="仿宋" w:hAnsi="仿宋" w:eastAsia="仿宋"/>
          <w:sz w:val="32"/>
          <w:szCs w:val="32"/>
        </w:rPr>
        <w:t>0</w:t>
      </w:r>
      <w:r>
        <w:rPr>
          <w:rFonts w:hint="eastAsia" w:ascii="仿宋" w:hAnsi="仿宋" w:eastAsia="仿宋"/>
          <w:sz w:val="32"/>
          <w:szCs w:val="32"/>
        </w:rPr>
        <w:t>%，工程采购授予中小企业合同金额占工程支出金额的</w:t>
      </w:r>
      <w:r>
        <w:rPr>
          <w:rFonts w:ascii="仿宋" w:hAnsi="仿宋" w:eastAsia="仿宋"/>
          <w:sz w:val="32"/>
          <w:szCs w:val="32"/>
        </w:rPr>
        <w:t>0</w:t>
      </w:r>
      <w:r>
        <w:rPr>
          <w:rFonts w:hint="eastAsia" w:ascii="仿宋" w:hAnsi="仿宋" w:eastAsia="仿宋"/>
          <w:sz w:val="32"/>
          <w:szCs w:val="32"/>
        </w:rPr>
        <w:t>%，服务采购授予中小企业合同金额占服务支出金额的</w:t>
      </w:r>
      <w:r>
        <w:rPr>
          <w:rFonts w:ascii="仿宋" w:hAnsi="仿宋" w:eastAsia="仿宋"/>
          <w:sz w:val="32"/>
          <w:szCs w:val="32"/>
        </w:rPr>
        <w:t>0</w:t>
      </w:r>
      <w:r>
        <w:rPr>
          <w:rFonts w:hint="eastAsia" w:ascii="仿宋" w:hAnsi="仿宋" w:eastAsia="仿宋"/>
          <w:sz w:val="32"/>
          <w:szCs w:val="32"/>
        </w:rPr>
        <w:t>%。</w:t>
      </w:r>
    </w:p>
    <w:p>
      <w:pPr>
        <w:pStyle w:val="14"/>
        <w:numPr>
          <w:ilvl w:val="0"/>
          <w:numId w:val="1"/>
        </w:numPr>
        <w:ind w:firstLine="640" w:firstLineChars="200"/>
        <w:rPr>
          <w:rFonts w:hint="eastAsia" w:hAnsi="黑体"/>
          <w:b/>
          <w:sz w:val="32"/>
          <w:szCs w:val="32"/>
        </w:rPr>
      </w:pPr>
      <w:r>
        <w:rPr>
          <w:rFonts w:hint="eastAsia" w:hAnsi="黑体"/>
          <w:b/>
          <w:sz w:val="32"/>
          <w:szCs w:val="32"/>
        </w:rPr>
        <w:t>政府采购支出说明</w:t>
      </w:r>
    </w:p>
    <w:p>
      <w:pPr>
        <w:pStyle w:val="14"/>
        <w:ind w:firstLine="640" w:firstLineChars="200"/>
        <w:rPr>
          <w:rFonts w:ascii="仿宋" w:hAnsi="仿宋" w:eastAsia="仿宋"/>
          <w:sz w:val="32"/>
          <w:szCs w:val="32"/>
        </w:rPr>
      </w:pPr>
      <w:r>
        <w:rPr>
          <w:rFonts w:hint="eastAsia" w:ascii="仿宋" w:hAnsi="仿宋" w:eastAsia="仿宋"/>
          <w:sz w:val="32"/>
          <w:szCs w:val="32"/>
        </w:rPr>
        <w:t>本部门2021年度政府采购支出总额0万元，其中：政府采购货物支出</w:t>
      </w:r>
      <w:r>
        <w:rPr>
          <w:rFonts w:ascii="仿宋" w:hAnsi="仿宋" w:eastAsia="仿宋"/>
          <w:sz w:val="32"/>
          <w:szCs w:val="32"/>
        </w:rPr>
        <w:t>0</w:t>
      </w:r>
      <w:r>
        <w:rPr>
          <w:rFonts w:hint="eastAsia" w:ascii="仿宋" w:hAnsi="仿宋" w:eastAsia="仿宋"/>
          <w:sz w:val="32"/>
          <w:szCs w:val="32"/>
        </w:rPr>
        <w:t>万元、政府采购工程支出</w:t>
      </w:r>
      <w:r>
        <w:rPr>
          <w:rFonts w:ascii="仿宋" w:hAnsi="仿宋" w:eastAsia="仿宋"/>
          <w:sz w:val="32"/>
          <w:szCs w:val="32"/>
        </w:rPr>
        <w:t>0</w:t>
      </w:r>
      <w:r>
        <w:rPr>
          <w:rFonts w:hint="eastAsia" w:ascii="仿宋" w:hAnsi="仿宋" w:eastAsia="仿宋"/>
          <w:sz w:val="32"/>
          <w:szCs w:val="32"/>
        </w:rPr>
        <w:t>万元、政府采购服务支出</w:t>
      </w:r>
      <w:r>
        <w:rPr>
          <w:rFonts w:ascii="仿宋" w:hAnsi="仿宋" w:eastAsia="仿宋"/>
          <w:sz w:val="32"/>
          <w:szCs w:val="32"/>
        </w:rPr>
        <w:t>0</w:t>
      </w:r>
      <w:r>
        <w:rPr>
          <w:rFonts w:hint="eastAsia" w:ascii="仿宋" w:hAnsi="仿宋" w:eastAsia="仿宋"/>
          <w:sz w:val="32"/>
          <w:szCs w:val="32"/>
        </w:rPr>
        <w:t>万元。授予中小企业合同金额</w:t>
      </w:r>
      <w:r>
        <w:rPr>
          <w:rFonts w:ascii="仿宋" w:hAnsi="仿宋" w:eastAsia="仿宋"/>
          <w:sz w:val="32"/>
          <w:szCs w:val="32"/>
        </w:rPr>
        <w:t>0</w:t>
      </w:r>
      <w:r>
        <w:rPr>
          <w:rFonts w:hint="eastAsia" w:ascii="仿宋" w:hAnsi="仿宋" w:eastAsia="仿宋"/>
          <w:sz w:val="32"/>
          <w:szCs w:val="32"/>
        </w:rPr>
        <w:t>万元，占政府采购支出总额的</w:t>
      </w:r>
      <w:r>
        <w:rPr>
          <w:rFonts w:ascii="仿宋" w:hAnsi="仿宋" w:eastAsia="仿宋"/>
          <w:sz w:val="32"/>
          <w:szCs w:val="32"/>
        </w:rPr>
        <w:t>0</w:t>
      </w:r>
      <w:r>
        <w:rPr>
          <w:rFonts w:hint="eastAsia" w:ascii="仿宋" w:hAnsi="仿宋" w:eastAsia="仿宋"/>
          <w:sz w:val="32"/>
          <w:szCs w:val="32"/>
        </w:rPr>
        <w:t>%，其中：授予小微企业合同金额</w:t>
      </w:r>
      <w:r>
        <w:rPr>
          <w:rFonts w:ascii="仿宋" w:hAnsi="仿宋" w:eastAsia="仿宋"/>
          <w:sz w:val="32"/>
          <w:szCs w:val="32"/>
        </w:rPr>
        <w:t>0</w:t>
      </w:r>
      <w:r>
        <w:rPr>
          <w:rFonts w:hint="eastAsia" w:ascii="仿宋" w:hAnsi="仿宋" w:eastAsia="仿宋"/>
          <w:sz w:val="32"/>
          <w:szCs w:val="32"/>
        </w:rPr>
        <w:t>万元，占授予中小企业合同金额的</w:t>
      </w:r>
      <w:r>
        <w:rPr>
          <w:rFonts w:ascii="仿宋" w:hAnsi="仿宋" w:eastAsia="仿宋"/>
          <w:sz w:val="32"/>
          <w:szCs w:val="32"/>
        </w:rPr>
        <w:t>0</w:t>
      </w:r>
      <w:r>
        <w:rPr>
          <w:rFonts w:hint="eastAsia" w:ascii="仿宋" w:hAnsi="仿宋" w:eastAsia="仿宋"/>
          <w:sz w:val="32"/>
          <w:szCs w:val="32"/>
        </w:rPr>
        <w:t>%；货物采购授予中小企业合同金额占货物支出金额的</w:t>
      </w:r>
      <w:r>
        <w:rPr>
          <w:rFonts w:ascii="仿宋" w:hAnsi="仿宋" w:eastAsia="仿宋"/>
          <w:sz w:val="32"/>
          <w:szCs w:val="32"/>
        </w:rPr>
        <w:t>0</w:t>
      </w:r>
      <w:r>
        <w:rPr>
          <w:rFonts w:hint="eastAsia" w:ascii="仿宋" w:hAnsi="仿宋" w:eastAsia="仿宋"/>
          <w:sz w:val="32"/>
          <w:szCs w:val="32"/>
        </w:rPr>
        <w:t>%，工程采购授予中小企业合同金额占工程支出金额的</w:t>
      </w:r>
      <w:r>
        <w:rPr>
          <w:rFonts w:ascii="仿宋" w:hAnsi="仿宋" w:eastAsia="仿宋"/>
          <w:sz w:val="32"/>
          <w:szCs w:val="32"/>
        </w:rPr>
        <w:t>0</w:t>
      </w:r>
      <w:r>
        <w:rPr>
          <w:rFonts w:hint="eastAsia" w:ascii="仿宋" w:hAnsi="仿宋" w:eastAsia="仿宋"/>
          <w:sz w:val="32"/>
          <w:szCs w:val="32"/>
        </w:rPr>
        <w:t>%，服务采购授予中小企业合同金额占服务支出金额的</w:t>
      </w:r>
      <w:r>
        <w:rPr>
          <w:rFonts w:ascii="仿宋" w:hAnsi="仿宋" w:eastAsia="仿宋"/>
          <w:sz w:val="32"/>
          <w:szCs w:val="32"/>
        </w:rPr>
        <w:t>0</w:t>
      </w:r>
      <w:r>
        <w:rPr>
          <w:rFonts w:hint="eastAsia" w:ascii="仿宋" w:hAnsi="仿宋" w:eastAsia="仿宋"/>
          <w:sz w:val="32"/>
          <w:szCs w:val="32"/>
        </w:rPr>
        <w:t>%。</w:t>
      </w:r>
    </w:p>
    <w:p>
      <w:pPr>
        <w:pStyle w:val="14"/>
        <w:ind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、国有资产占用情况说明</w:t>
      </w:r>
    </w:p>
    <w:p>
      <w:pPr>
        <w:pStyle w:val="14"/>
        <w:ind w:firstLine="640" w:firstLineChars="200"/>
        <w:rPr>
          <w:rFonts w:ascii="仿宋" w:hAnsi="仿宋" w:eastAsia="仿宋"/>
          <w:sz w:val="32"/>
          <w:szCs w:val="32"/>
        </w:rPr>
      </w:pPr>
      <w:r>
        <w:rPr>
          <w:rFonts w:hint="eastAsia" w:ascii="仿宋" w:hAnsi="仿宋" w:eastAsia="仿宋"/>
          <w:sz w:val="32"/>
          <w:szCs w:val="32"/>
        </w:rPr>
        <w:t>截至2021年12月31日，部门（单位）共有车辆</w:t>
      </w:r>
      <w:r>
        <w:rPr>
          <w:rFonts w:ascii="仿宋" w:hAnsi="仿宋" w:eastAsia="仿宋"/>
          <w:sz w:val="32"/>
          <w:szCs w:val="32"/>
        </w:rPr>
        <w:t>1</w:t>
      </w:r>
      <w:r>
        <w:rPr>
          <w:rFonts w:hint="eastAsia" w:ascii="仿宋" w:hAnsi="仿宋" w:eastAsia="仿宋"/>
          <w:sz w:val="32"/>
          <w:szCs w:val="32"/>
        </w:rPr>
        <w:t>辆，其中，主要领导干部用车</w:t>
      </w:r>
      <w:r>
        <w:rPr>
          <w:rFonts w:ascii="仿宋" w:hAnsi="仿宋" w:eastAsia="仿宋"/>
          <w:sz w:val="32"/>
          <w:szCs w:val="32"/>
        </w:rPr>
        <w:t>0</w:t>
      </w:r>
      <w:r>
        <w:rPr>
          <w:rFonts w:hint="eastAsia" w:ascii="仿宋" w:hAnsi="仿宋" w:eastAsia="仿宋"/>
          <w:sz w:val="32"/>
          <w:szCs w:val="32"/>
        </w:rPr>
        <w:t>辆，机要通信用车</w:t>
      </w:r>
      <w:r>
        <w:rPr>
          <w:rFonts w:ascii="仿宋" w:hAnsi="仿宋" w:eastAsia="仿宋"/>
          <w:sz w:val="32"/>
          <w:szCs w:val="32"/>
        </w:rPr>
        <w:t>0</w:t>
      </w:r>
      <w:r>
        <w:rPr>
          <w:rFonts w:hint="eastAsia" w:ascii="仿宋" w:hAnsi="仿宋" w:eastAsia="仿宋"/>
          <w:sz w:val="32"/>
          <w:szCs w:val="32"/>
        </w:rPr>
        <w:t>辆、应急保障用车</w:t>
      </w:r>
      <w:r>
        <w:rPr>
          <w:rFonts w:ascii="仿宋" w:hAnsi="仿宋" w:eastAsia="仿宋"/>
          <w:sz w:val="32"/>
          <w:szCs w:val="32"/>
        </w:rPr>
        <w:t>0</w:t>
      </w:r>
      <w:r>
        <w:rPr>
          <w:rFonts w:hint="eastAsia" w:ascii="仿宋" w:hAnsi="仿宋" w:eastAsia="仿宋"/>
          <w:sz w:val="32"/>
          <w:szCs w:val="32"/>
        </w:rPr>
        <w:t>辆、执法执勤用车</w:t>
      </w:r>
      <w:r>
        <w:rPr>
          <w:rFonts w:ascii="仿宋" w:hAnsi="仿宋" w:eastAsia="仿宋"/>
          <w:sz w:val="32"/>
          <w:szCs w:val="32"/>
        </w:rPr>
        <w:t>0</w:t>
      </w:r>
      <w:r>
        <w:rPr>
          <w:rFonts w:hint="eastAsia" w:ascii="仿宋" w:hAnsi="仿宋" w:eastAsia="仿宋"/>
          <w:sz w:val="32"/>
          <w:szCs w:val="32"/>
        </w:rPr>
        <w:t>辆、特种专业技术用车</w:t>
      </w:r>
      <w:r>
        <w:rPr>
          <w:rFonts w:ascii="仿宋" w:hAnsi="仿宋" w:eastAsia="仿宋"/>
          <w:sz w:val="32"/>
          <w:szCs w:val="32"/>
        </w:rPr>
        <w:t>0</w:t>
      </w:r>
      <w:r>
        <w:rPr>
          <w:rFonts w:hint="eastAsia" w:ascii="仿宋" w:hAnsi="仿宋" w:eastAsia="仿宋"/>
          <w:sz w:val="32"/>
          <w:szCs w:val="32"/>
        </w:rPr>
        <w:t>辆、其他用车1辆，其他用车主要是单位公务用车；单位价值50万元以上通用设备</w:t>
      </w:r>
      <w:r>
        <w:rPr>
          <w:rFonts w:ascii="仿宋" w:hAnsi="仿宋" w:eastAsia="仿宋"/>
          <w:sz w:val="32"/>
          <w:szCs w:val="32"/>
        </w:rPr>
        <w:t>0</w:t>
      </w:r>
      <w:r>
        <w:rPr>
          <w:rFonts w:hint="eastAsia" w:ascii="仿宋" w:hAnsi="仿宋" w:eastAsia="仿宋"/>
          <w:sz w:val="32"/>
          <w:szCs w:val="32"/>
        </w:rPr>
        <w:t>台（套）；单位价值100万元以上专用设备</w:t>
      </w:r>
      <w:r>
        <w:rPr>
          <w:rFonts w:ascii="仿宋" w:hAnsi="仿宋" w:eastAsia="仿宋"/>
          <w:sz w:val="32"/>
          <w:szCs w:val="32"/>
        </w:rPr>
        <w:t>0</w:t>
      </w:r>
      <w:r>
        <w:rPr>
          <w:rFonts w:hint="eastAsia" w:ascii="仿宋" w:hAnsi="仿宋" w:eastAsia="仿宋"/>
          <w:sz w:val="32"/>
          <w:szCs w:val="32"/>
        </w:rPr>
        <w:t>台（套）。</w:t>
      </w:r>
    </w:p>
    <w:p>
      <w:pPr>
        <w:pStyle w:val="14"/>
        <w:ind w:firstLine="640" w:firstLineChars="20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、2021年度预算绩效情况说明</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pStyle w:val="14"/>
        <w:ind w:firstLine="800" w:firstLineChars="250"/>
        <w:rPr>
          <w:rFonts w:ascii="仿宋" w:hAnsi="仿宋" w:eastAsia="仿宋"/>
          <w:sz w:val="32"/>
          <w:szCs w:val="32"/>
        </w:rPr>
      </w:pPr>
      <w:r>
        <w:rPr>
          <w:rFonts w:hint="eastAsia" w:ascii="仿宋" w:hAnsi="仿宋" w:eastAsia="仿宋"/>
          <w:sz w:val="32"/>
          <w:szCs w:val="32"/>
        </w:rPr>
        <w:t>根据预算绩效管理要求，我部门组织对2021 年度一般公共预算项目支出全面开展绩效自评，共涉及资金36.60万元，占一般公共预算项目支出总额的100%。2021年度无政府性基金预算项目支出，无国有资本经营预算项目支出。</w:t>
      </w:r>
    </w:p>
    <w:p>
      <w:pPr>
        <w:pStyle w:val="14"/>
        <w:ind w:firstLine="800" w:firstLineChars="250"/>
        <w:rPr>
          <w:rFonts w:ascii="仿宋" w:hAnsi="仿宋" w:eastAsia="仿宋"/>
          <w:sz w:val="32"/>
          <w:szCs w:val="32"/>
        </w:rPr>
      </w:pPr>
      <w:r>
        <w:rPr>
          <w:rFonts w:hint="eastAsia" w:ascii="仿宋" w:hAnsi="仿宋" w:eastAsia="仿宋"/>
          <w:sz w:val="32"/>
          <w:szCs w:val="32"/>
        </w:rPr>
        <w:t>组织对怀化市档案馆（本级）单位开展整体支出绩效评价，涉及一般公共预算支出232.73 万元，政府性基金预算支出0万元。从评价情况来看，评价形成了客观、准确、全面、完整的绩效自评报告。</w:t>
      </w:r>
    </w:p>
    <w:p>
      <w:pPr>
        <w:pStyle w:val="14"/>
        <w:ind w:firstLine="800" w:firstLineChars="250"/>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（2）部门决算中项目绩效自评结果。</w:t>
      </w:r>
    </w:p>
    <w:p>
      <w:pPr>
        <w:pStyle w:val="14"/>
        <w:ind w:firstLine="800" w:firstLineChars="250"/>
        <w:rPr>
          <w:rFonts w:ascii="仿宋" w:hAnsi="仿宋" w:eastAsia="仿宋"/>
          <w:sz w:val="32"/>
          <w:szCs w:val="32"/>
        </w:rPr>
      </w:pPr>
      <w:r>
        <w:rPr>
          <w:rFonts w:hint="eastAsia" w:ascii="仿宋" w:hAnsi="仿宋" w:eastAsia="仿宋"/>
          <w:sz w:val="32"/>
          <w:szCs w:val="32"/>
        </w:rPr>
        <w:t>根据年初设定的绩效目标，项目绩效自评得分为98分。项目全年预算数为36.60万元，执行数为36.60万元，完成预算的100%。项目绩效目标完成情况：检查维修库房设施每月1次，每周一、三、五定期对档案库房进行安全检查，认真做好库房温湿度记录和防火、防盗、防霉、防虫等十防工作，确保档案资料万无一失。为规范、合理、安全、有效使用专项资金，我单位制定了《财务管理制度》、《专项资金管理办法》等相关制度，专项资金的管理和使用，遵循公开、公平、公正和统筹兼顾、突出重点、讲求效益的原则，确保专项资金使用的规范、安全和高效。为规范项目建设管理，我单位切实对项目实行跟踪式服务，从项目资金的下拨、项目跟进、资金投入等环节设置专门科室负责监督和管理，确保项目的实施和建设。下一步改进措施：预算编制进一步准确、完整。</w:t>
      </w:r>
    </w:p>
    <w:p>
      <w:pPr>
        <w:pStyle w:val="14"/>
        <w:ind w:firstLine="800" w:firstLineChars="250"/>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（3）部门评价项目绩效评价结果。</w:t>
      </w:r>
    </w:p>
    <w:p>
      <w:pPr>
        <w:pStyle w:val="14"/>
        <w:ind w:firstLine="800" w:firstLineChars="250"/>
        <w:rPr>
          <w:rFonts w:hint="eastAsia" w:ascii="仿宋" w:hAnsi="仿宋" w:eastAsia="仿宋" w:cs="仿宋"/>
          <w:sz w:val="32"/>
          <w:szCs w:val="32"/>
          <w:lang w:eastAsia="zh-CN"/>
        </w:rPr>
      </w:pPr>
      <w:r>
        <w:rPr>
          <w:rFonts w:hint="eastAsia" w:ascii="仿宋" w:hAnsi="仿宋" w:eastAsia="仿宋" w:cs="仿宋"/>
          <w:sz w:val="32"/>
          <w:szCs w:val="32"/>
        </w:rPr>
        <w:t>部门评价项目绩效评价结果</w:t>
      </w:r>
      <w:r>
        <w:rPr>
          <w:rFonts w:hint="eastAsia" w:ascii="仿宋" w:hAnsi="仿宋" w:eastAsia="仿宋" w:cs="仿宋"/>
          <w:sz w:val="32"/>
          <w:szCs w:val="32"/>
          <w:lang w:eastAsia="zh-CN"/>
        </w:rPr>
        <w:t>已在网上公开。（详情见附件）</w:t>
      </w:r>
    </w:p>
    <w:p>
      <w:pPr>
        <w:pStyle w:val="14"/>
        <w:ind w:firstLine="800" w:firstLineChars="250"/>
        <w:rPr>
          <w:rFonts w:hint="eastAsia" w:ascii="仿宋" w:hAnsi="仿宋" w:eastAsia="仿宋" w:cs="仿宋"/>
          <w:color w:val="FF0000"/>
          <w:sz w:val="32"/>
          <w:szCs w:val="32"/>
          <w:lang w:val="en-US" w:eastAsia="zh-CN"/>
        </w:rPr>
      </w:pPr>
      <w:r>
        <w:rPr>
          <w:rFonts w:hint="eastAsia" w:ascii="仿宋" w:hAnsi="仿宋" w:eastAsia="仿宋" w:cs="仿宋"/>
          <w:sz w:val="32"/>
          <w:szCs w:val="32"/>
          <w:lang w:eastAsia="zh-CN"/>
        </w:rPr>
        <w:t>本单位无重点项目，因此无重点项目绩效报告。</w:t>
      </w: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rPr>
          <w:sz w:val="72"/>
          <w:szCs w:val="72"/>
        </w:rPr>
      </w:pPr>
    </w:p>
    <w:p>
      <w:pPr>
        <w:pStyle w:val="14"/>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rFonts w:hint="eastAsia"/>
          <w:sz w:val="72"/>
          <w:szCs w:val="72"/>
        </w:rPr>
      </w:pPr>
    </w:p>
    <w:p>
      <w:pPr>
        <w:pStyle w:val="14"/>
        <w:jc w:val="center"/>
        <w:rPr>
          <w:rFonts w:hint="eastAsia"/>
          <w:sz w:val="72"/>
          <w:szCs w:val="72"/>
        </w:rPr>
      </w:pPr>
    </w:p>
    <w:p>
      <w:pPr>
        <w:pStyle w:val="14"/>
        <w:jc w:val="center"/>
        <w:rPr>
          <w:rFonts w:hint="eastAsia"/>
          <w:sz w:val="72"/>
          <w:szCs w:val="72"/>
        </w:rPr>
      </w:pPr>
    </w:p>
    <w:p>
      <w:pPr>
        <w:pStyle w:val="14"/>
        <w:jc w:val="center"/>
        <w:rPr>
          <w:rFonts w:hint="eastAsia"/>
          <w:sz w:val="72"/>
          <w:szCs w:val="72"/>
        </w:rPr>
      </w:pPr>
    </w:p>
    <w:p>
      <w:pPr>
        <w:pStyle w:val="14"/>
        <w:jc w:val="center"/>
        <w:rPr>
          <w:rFonts w:hint="eastAsia"/>
          <w:sz w:val="72"/>
          <w:szCs w:val="72"/>
        </w:rPr>
      </w:pPr>
    </w:p>
    <w:p>
      <w:pPr>
        <w:pStyle w:val="14"/>
        <w:jc w:val="center"/>
        <w:rPr>
          <w:rFonts w:hint="eastAsia"/>
          <w:sz w:val="72"/>
          <w:szCs w:val="72"/>
        </w:rPr>
      </w:pPr>
    </w:p>
    <w:p>
      <w:pPr>
        <w:pStyle w:val="14"/>
        <w:jc w:val="center"/>
        <w:rPr>
          <w:sz w:val="84"/>
          <w:szCs w:val="84"/>
        </w:rPr>
      </w:pPr>
      <w:r>
        <w:rPr>
          <w:rFonts w:hint="eastAsia"/>
          <w:sz w:val="84"/>
          <w:szCs w:val="84"/>
        </w:rPr>
        <w:t>第四部分</w:t>
      </w:r>
    </w:p>
    <w:p>
      <w:pPr>
        <w:jc w:val="center"/>
        <w:rPr>
          <w:rFonts w:ascii="黑体" w:eastAsia="黑体" w:cs="黑体"/>
          <w:color w:val="000000"/>
          <w:kern w:val="0"/>
          <w:sz w:val="84"/>
          <w:szCs w:val="84"/>
        </w:rPr>
      </w:pPr>
    </w:p>
    <w:p>
      <w:pPr>
        <w:jc w:val="center"/>
        <w:rPr>
          <w:rFonts w:ascii="黑体" w:eastAsia="黑体" w:cs="黑体"/>
          <w:color w:val="000000"/>
          <w:kern w:val="0"/>
          <w:sz w:val="84"/>
          <w:szCs w:val="84"/>
        </w:rPr>
      </w:pPr>
      <w:r>
        <w:rPr>
          <w:rFonts w:hint="eastAsia" w:ascii="黑体" w:eastAsia="黑体" w:cs="黑体"/>
          <w:color w:val="000000"/>
          <w:kern w:val="0"/>
          <w:sz w:val="84"/>
          <w:szCs w:val="84"/>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pStyle w:val="8"/>
        <w:widowControl/>
        <w:spacing w:beforeAutospacing="0" w:after="76" w:afterAutospacing="0" w:line="510" w:lineRule="atLeast"/>
        <w:ind w:firstLine="800" w:firstLineChars="250"/>
        <w:jc w:val="both"/>
        <w:rPr>
          <w:rFonts w:ascii="仿宋" w:hAnsi="仿宋" w:eastAsia="仿宋" w:cs="黑体"/>
          <w:color w:val="000000"/>
          <w:sz w:val="32"/>
          <w:szCs w:val="32"/>
        </w:rPr>
      </w:pPr>
      <w:r>
        <w:rPr>
          <w:rFonts w:hint="eastAsia" w:ascii="仿宋" w:hAnsi="仿宋" w:eastAsia="仿宋" w:cs="微软雅黑"/>
          <w:color w:val="3D3D3D"/>
          <w:sz w:val="32"/>
          <w:szCs w:val="32"/>
        </w:rPr>
        <w:t>一</w:t>
      </w:r>
      <w:r>
        <w:rPr>
          <w:rFonts w:hint="eastAsia" w:ascii="仿宋" w:hAnsi="仿宋" w:eastAsia="仿宋" w:cs="黑体"/>
          <w:color w:val="000000"/>
          <w:sz w:val="32"/>
          <w:szCs w:val="32"/>
        </w:rPr>
        <w:t>、财政拨款收入：指单位本年度从市级财政部门取得的财政拨款。</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二、上级补助收入：指事业单位从主管部门和上级单位取得的非财政补助收入。</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三、事业收入：指事业单位开展专业业务活动及其辅助活动取得的收入，事业单位收到的财政专户实际核拨的教育收费等资金在此反映。</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四、经营收入：指事业单位在专业业务活动及其辅助活动之外开展非独立核算经营活动取得的收入。</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五、附属单位缴款：指事业单位附属独立核算单位按照有关规定上缴的收入。</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六、其他收入：指单位取得的除上述“财政拨款收入”、“事业收入”、“经营收入”等以外的各项收入。</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七、用事业基金弥补收支差额：指事业单位用事业基金弥补当年收支差额的数额。</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八、年初结转和结余：指单位上年结转本年使用的基本支出结转、项目支出结转和结余和经营结余。</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九、一般公共服务（类）人大事务（款）行政运行（项）：指人大常委会办公厅用于保障机构正常运行、开展日常工作的基本支出。</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十、结余分配：指事业单位按规定对非财政补助结余资金提取的职工福利基金、事业基金和缴纳的所得税，以及减少单位按规定应缴回的基本建设竣工项目结余资金。</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十一、年末结转和结余资金：指本年度或以前年度预算安排、因客观条件发生变化无法按原计划实施，需要延迟到以后年度按有关规定继续使用的资金。</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十二、基本支出：指为保障机构正常运转、完成日常工作任务而发生的人员支出和公用支出。</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十三、项目支出：指在基本支出之外为完成特定的行政任务或事业发展目标所发生的支出。</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十四、上缴上级支出：指事业单位按照财政部门和主管部门的规定上缴上级单位的支出。</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十五、经营支出：指事业单位在专业业务活动及其辅助活动之外开展非独立核算经营活动发生的支出。</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十六、对附属单位补助支出：指事业单位用财政补助收入之外的收入对附属单位补助发生的支出。</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8"/>
        <w:widowControl/>
        <w:spacing w:beforeAutospacing="0" w:after="76" w:afterAutospacing="0" w:line="510" w:lineRule="atLeast"/>
        <w:ind w:firstLine="640" w:firstLineChars="200"/>
        <w:jc w:val="both"/>
        <w:rPr>
          <w:rFonts w:ascii="仿宋" w:hAnsi="仿宋" w:eastAsia="仿宋" w:cs="黑体"/>
          <w:color w:val="000000"/>
          <w:sz w:val="32"/>
          <w:szCs w:val="32"/>
        </w:rPr>
      </w:pPr>
      <w:r>
        <w:rPr>
          <w:rFonts w:hint="eastAsia" w:ascii="仿宋" w:hAnsi="仿宋" w:eastAsia="仿宋" w:cs="黑体"/>
          <w:color w:val="000000"/>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指一般公共预算安排的基本支出中的“商品和服务支出”经费。</w:t>
      </w:r>
    </w:p>
    <w:p>
      <w:pPr>
        <w:pStyle w:val="14"/>
        <w:jc w:val="center"/>
        <w:rPr>
          <w:rFonts w:ascii="仿宋" w:hAnsi="仿宋" w:eastAsia="仿宋"/>
          <w:sz w:val="32"/>
          <w:szCs w:val="32"/>
        </w:rPr>
      </w:pPr>
    </w:p>
    <w:p>
      <w:pPr>
        <w:pStyle w:val="14"/>
        <w:jc w:val="center"/>
        <w:rPr>
          <w:rFonts w:ascii="仿宋" w:hAnsi="仿宋" w:eastAsia="仿宋"/>
          <w:sz w:val="32"/>
          <w:szCs w:val="32"/>
        </w:rPr>
      </w:pPr>
    </w:p>
    <w:p>
      <w:pPr>
        <w:pStyle w:val="14"/>
        <w:jc w:val="center"/>
        <w:rPr>
          <w:rFonts w:ascii="仿宋" w:hAnsi="仿宋" w:eastAsia="仿宋"/>
          <w:sz w:val="32"/>
          <w:szCs w:val="32"/>
        </w:rPr>
      </w:pPr>
    </w:p>
    <w:p>
      <w:pPr>
        <w:pStyle w:val="14"/>
        <w:jc w:val="center"/>
        <w:rPr>
          <w:rFonts w:ascii="仿宋" w:hAnsi="仿宋" w:eastAsia="仿宋"/>
          <w:sz w:val="32"/>
          <w:szCs w:val="32"/>
        </w:rPr>
      </w:pPr>
    </w:p>
    <w:p>
      <w:pPr>
        <w:pStyle w:val="14"/>
        <w:jc w:val="center"/>
        <w:rPr>
          <w:rFonts w:ascii="仿宋" w:hAnsi="仿宋" w:eastAsia="仿宋"/>
          <w:sz w:val="32"/>
          <w:szCs w:val="32"/>
        </w:rPr>
      </w:pPr>
    </w:p>
    <w:p>
      <w:pPr>
        <w:pStyle w:val="14"/>
        <w:jc w:val="center"/>
        <w:rPr>
          <w:rFonts w:ascii="仿宋" w:hAnsi="仿宋" w:eastAsia="仿宋"/>
          <w:sz w:val="32"/>
          <w:szCs w:val="3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84"/>
          <w:szCs w:val="84"/>
        </w:rPr>
      </w:pPr>
      <w:r>
        <w:rPr>
          <w:rFonts w:hint="eastAsia"/>
          <w:sz w:val="84"/>
          <w:szCs w:val="84"/>
        </w:rPr>
        <w:t>第五部分</w:t>
      </w:r>
    </w:p>
    <w:p>
      <w:pPr>
        <w:jc w:val="center"/>
        <w:rPr>
          <w:rFonts w:ascii="黑体" w:eastAsia="黑体" w:cs="黑体"/>
          <w:color w:val="000000"/>
          <w:kern w:val="0"/>
          <w:sz w:val="84"/>
          <w:szCs w:val="84"/>
        </w:rPr>
      </w:pPr>
    </w:p>
    <w:p>
      <w:pPr>
        <w:jc w:val="center"/>
        <w:rPr>
          <w:rFonts w:ascii="黑体" w:eastAsia="黑体" w:cs="黑体"/>
          <w:color w:val="000000"/>
          <w:kern w:val="0"/>
          <w:sz w:val="84"/>
          <w:szCs w:val="84"/>
        </w:rPr>
      </w:pPr>
      <w:r>
        <w:rPr>
          <w:rFonts w:hint="eastAsia" w:ascii="黑体" w:eastAsia="黑体" w:cs="黑体"/>
          <w:color w:val="000000"/>
          <w:kern w:val="0"/>
          <w:sz w:val="84"/>
          <w:szCs w:val="84"/>
        </w:rPr>
        <w:t>附件</w:t>
      </w:r>
    </w:p>
    <w:p>
      <w:pPr>
        <w:jc w:val="center"/>
        <w:rPr>
          <w:rFonts w:ascii="仿宋" w:hAnsi="仿宋" w:eastAsia="仿宋" w:cs="黑体"/>
          <w:color w:val="000000"/>
          <w:kern w:val="0"/>
          <w:sz w:val="84"/>
          <w:szCs w:val="84"/>
        </w:rPr>
      </w:pPr>
    </w:p>
    <w:p>
      <w:pPr>
        <w:ind w:firstLine="960" w:firstLineChars="300"/>
        <w:rPr>
          <w:rFonts w:hint="eastAsia" w:ascii="仿宋" w:hAnsi="仿宋" w:eastAsia="仿宋" w:cs="黑体"/>
          <w:color w:val="000000"/>
          <w:kern w:val="0"/>
          <w:sz w:val="32"/>
          <w:szCs w:val="32"/>
        </w:rPr>
      </w:pPr>
      <w:r>
        <w:rPr>
          <w:rFonts w:hint="eastAsia" w:ascii="仿宋" w:hAnsi="仿宋" w:eastAsia="仿宋" w:cs="黑体"/>
          <w:color w:val="000000"/>
          <w:kern w:val="0"/>
          <w:sz w:val="32"/>
          <w:szCs w:val="32"/>
        </w:rPr>
        <w:t>附件一  2021年度怀化市档案馆决算公开表</w:t>
      </w:r>
    </w:p>
    <w:p>
      <w:pPr>
        <w:ind w:firstLine="960" w:firstLineChars="300"/>
        <w:rPr>
          <w:rFonts w:ascii="仿宋" w:hAnsi="仿宋" w:eastAsia="仿宋" w:cs="黑体"/>
          <w:color w:val="000000"/>
          <w:kern w:val="0"/>
          <w:sz w:val="32"/>
          <w:szCs w:val="32"/>
        </w:rPr>
      </w:pPr>
      <w:r>
        <w:rPr>
          <w:rFonts w:hint="eastAsia" w:ascii="仿宋" w:hAnsi="仿宋" w:eastAsia="仿宋" w:cs="黑体"/>
          <w:color w:val="000000"/>
          <w:kern w:val="0"/>
          <w:sz w:val="32"/>
          <w:szCs w:val="32"/>
        </w:rPr>
        <w:t xml:space="preserve">附件二  2021年度部门整体支出绩效评价报告 </w:t>
      </w:r>
    </w:p>
    <w:p>
      <w:pPr>
        <w:ind w:firstLine="960" w:firstLineChars="300"/>
        <w:jc w:val="both"/>
        <w:rPr>
          <w:rFonts w:hint="eastAsia" w:ascii="仿宋" w:hAnsi="仿宋" w:eastAsia="仿宋" w:cs="仿宋"/>
          <w:sz w:val="32"/>
          <w:szCs w:val="32"/>
        </w:rPr>
      </w:pPr>
      <w:r>
        <w:rPr>
          <w:rFonts w:hint="eastAsia" w:ascii="仿宋" w:hAnsi="仿宋" w:eastAsia="仿宋"/>
          <w:sz w:val="32"/>
          <w:szCs w:val="32"/>
          <w:lang w:eastAsia="zh-CN"/>
        </w:rPr>
        <w:t>附件三</w:t>
      </w:r>
      <w:r>
        <w:rPr>
          <w:rFonts w:hint="eastAsia" w:ascii="仿宋" w:hAnsi="仿宋" w:eastAsia="仿宋"/>
          <w:sz w:val="32"/>
          <w:szCs w:val="32"/>
          <w:lang w:val="en-US" w:eastAsia="zh-CN"/>
        </w:rPr>
        <w:t xml:space="preserve">  </w:t>
      </w:r>
      <w:r>
        <w:rPr>
          <w:rFonts w:hint="eastAsia" w:ascii="仿宋" w:hAnsi="仿宋" w:eastAsia="仿宋" w:cs="仿宋"/>
          <w:sz w:val="32"/>
          <w:szCs w:val="32"/>
        </w:rPr>
        <w:t>2021年度档案日常管理和征集费绩效自评报告</w:t>
      </w:r>
    </w:p>
    <w:p>
      <w:pPr>
        <w:spacing w:line="600" w:lineRule="exact"/>
        <w:ind w:firstLine="960" w:firstLineChars="300"/>
        <w:rPr>
          <w:rFonts w:hint="default" w:ascii="仿宋" w:hAnsi="仿宋" w:eastAsia="仿宋"/>
          <w:sz w:val="32"/>
          <w:szCs w:val="32"/>
          <w:lang w:val="en-US" w:eastAsia="zh-CN"/>
        </w:rPr>
      </w:pPr>
    </w:p>
    <w:p>
      <w:pPr>
        <w:jc w:val="center"/>
        <w:rPr>
          <w:rFonts w:eastAsia="黑体"/>
          <w:sz w:val="32"/>
          <w:szCs w:val="32"/>
        </w:rPr>
      </w:pPr>
    </w:p>
    <w:p>
      <w:pPr>
        <w:widowControl/>
        <w:jc w:val="left"/>
        <w:rPr>
          <w:rFonts w:hint="eastAsia" w:ascii="黑体" w:eastAsia="黑体" w:cs="黑体"/>
          <w:color w:val="000000"/>
          <w:kern w:val="0"/>
          <w:sz w:val="70"/>
          <w:szCs w:val="70"/>
        </w:rPr>
      </w:pPr>
    </w:p>
    <w:p>
      <w:pPr>
        <w:pStyle w:val="2"/>
        <w:rPr>
          <w:rFonts w:hint="eastAsia"/>
        </w:rPr>
      </w:pPr>
    </w:p>
    <w:p>
      <w:pPr>
        <w:widowControl/>
        <w:jc w:val="left"/>
        <w:rPr>
          <w:rFonts w:hint="eastAsia" w:ascii="黑体" w:eastAsia="黑体" w:cs="黑体"/>
          <w:color w:val="000000"/>
          <w:kern w:val="0"/>
          <w:sz w:val="70"/>
          <w:szCs w:val="70"/>
        </w:rPr>
      </w:pPr>
    </w:p>
    <w:p>
      <w:pPr>
        <w:widowControl/>
        <w:jc w:val="left"/>
        <w:rPr>
          <w:rFonts w:hint="eastAsia" w:ascii="黑体" w:eastAsia="黑体" w:cs="黑体"/>
          <w:color w:val="000000"/>
          <w:kern w:val="0"/>
          <w:sz w:val="70"/>
          <w:szCs w:val="70"/>
        </w:rPr>
      </w:pPr>
    </w:p>
    <w:p>
      <w:pPr>
        <w:widowControl/>
        <w:jc w:val="left"/>
        <w:rPr>
          <w:rFonts w:hint="eastAsia" w:ascii="黑体" w:eastAsia="黑体" w:cs="黑体"/>
          <w:color w:val="000000"/>
          <w:kern w:val="0"/>
          <w:sz w:val="70"/>
          <w:szCs w:val="70"/>
        </w:rPr>
      </w:pPr>
    </w:p>
    <w:p>
      <w:pPr>
        <w:widowControl/>
        <w:jc w:val="left"/>
        <w:rPr>
          <w:rFonts w:hint="eastAsia" w:ascii="黑体" w:eastAsia="黑体" w:cs="黑体"/>
          <w:color w:val="000000"/>
          <w:kern w:val="0"/>
          <w:sz w:val="70"/>
          <w:szCs w:val="70"/>
        </w:rPr>
      </w:pPr>
    </w:p>
    <w:p>
      <w:pPr>
        <w:widowControl/>
        <w:jc w:val="left"/>
        <w:rPr>
          <w:rFonts w:hint="eastAsia" w:ascii="黑体" w:eastAsia="黑体" w:cs="黑体"/>
          <w:color w:val="000000"/>
          <w:kern w:val="0"/>
          <w:sz w:val="70"/>
          <w:szCs w:val="70"/>
        </w:rPr>
      </w:pPr>
    </w:p>
    <w:p>
      <w:pPr>
        <w:widowControl/>
        <w:jc w:val="left"/>
        <w:rPr>
          <w:rFonts w:hint="eastAsia" w:ascii="黑体" w:eastAsia="黑体" w:cs="黑体"/>
          <w:color w:val="000000"/>
          <w:kern w:val="0"/>
          <w:sz w:val="70"/>
          <w:szCs w:val="70"/>
        </w:rPr>
      </w:pPr>
    </w:p>
    <w:p>
      <w:pPr>
        <w:widowControl/>
        <w:jc w:val="left"/>
        <w:rPr>
          <w:rFonts w:hint="eastAsia" w:ascii="黑体" w:eastAsia="黑体" w:cs="黑体"/>
          <w:color w:val="000000"/>
          <w:kern w:val="0"/>
          <w:sz w:val="70"/>
          <w:szCs w:val="70"/>
        </w:rPr>
      </w:pPr>
    </w:p>
    <w:p>
      <w:pPr>
        <w:rPr>
          <w:rFonts w:hint="eastAsia" w:ascii="黑体" w:hAnsi="黑体" w:eastAsia="黑体" w:cs="Times New Roman"/>
          <w:sz w:val="44"/>
          <w:szCs w:val="44"/>
        </w:rPr>
      </w:pPr>
      <w:r>
        <w:rPr>
          <w:rFonts w:hint="eastAsia" w:ascii="黑体" w:hAnsi="黑体" w:eastAsia="黑体" w:cs="Times New Roman"/>
          <w:sz w:val="44"/>
          <w:szCs w:val="44"/>
        </w:rPr>
        <w:t>附件</w:t>
      </w:r>
      <w:r>
        <w:rPr>
          <w:rFonts w:hint="eastAsia" w:ascii="黑体" w:hAnsi="黑体" w:eastAsia="黑体" w:cs="Times New Roman"/>
          <w:sz w:val="44"/>
          <w:szCs w:val="44"/>
          <w:lang w:eastAsia="zh-CN"/>
        </w:rPr>
        <w:t>二</w:t>
      </w:r>
      <w:r>
        <w:rPr>
          <w:rFonts w:hint="eastAsia" w:ascii="黑体" w:hAnsi="黑体" w:eastAsia="黑体" w:cs="Times New Roman"/>
          <w:sz w:val="44"/>
          <w:szCs w:val="44"/>
        </w:rPr>
        <w:t>：</w:t>
      </w:r>
    </w:p>
    <w:p>
      <w:pPr>
        <w:jc w:val="center"/>
        <w:rPr>
          <w:rFonts w:hint="eastAsia" w:ascii="Times New Roman" w:hAnsi="Times New Roman" w:eastAsia="方正小标宋_GBK" w:cs="Times New Roman"/>
          <w:sz w:val="52"/>
          <w:szCs w:val="52"/>
        </w:rPr>
      </w:pPr>
      <w:r>
        <w:rPr>
          <w:rFonts w:ascii="Times New Roman" w:hAnsi="Times New Roman" w:eastAsia="方正小标宋_GBK" w:cs="Times New Roman"/>
          <w:sz w:val="52"/>
          <w:szCs w:val="52"/>
        </w:rPr>
        <w:t>2021年度</w:t>
      </w:r>
      <w:r>
        <w:rPr>
          <w:rFonts w:hint="eastAsia" w:ascii="Times New Roman" w:hAnsi="Times New Roman" w:eastAsia="方正小标宋_GBK" w:cs="Times New Roman"/>
          <w:sz w:val="52"/>
          <w:szCs w:val="52"/>
        </w:rPr>
        <w:t>怀化市档案馆</w:t>
      </w:r>
      <w:r>
        <w:rPr>
          <w:rFonts w:ascii="Times New Roman" w:hAnsi="Times New Roman" w:eastAsia="方正小标宋_GBK" w:cs="Times New Roman"/>
          <w:sz w:val="52"/>
          <w:szCs w:val="52"/>
        </w:rPr>
        <w:t>部门</w:t>
      </w: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整体支出绩效自评报告</w:t>
      </w:r>
    </w:p>
    <w:p>
      <w:pPr>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rPr>
          <w:rFonts w:hint="eastAsia" w:ascii="Times New Roman" w:hAnsi="Times New Roman" w:eastAsia="黑体" w:cs="Times New Roman"/>
          <w:sz w:val="32"/>
          <w:szCs w:val="32"/>
        </w:rPr>
      </w:pPr>
    </w:p>
    <w:p>
      <w:pPr>
        <w:rPr>
          <w:rFonts w:ascii="Times New Roman" w:hAnsi="Times New Roman" w:eastAsia="黑体" w:cs="Times New Roman"/>
          <w:sz w:val="32"/>
          <w:szCs w:val="32"/>
        </w:rPr>
      </w:pPr>
    </w:p>
    <w:p>
      <w:pPr>
        <w:spacing w:line="600" w:lineRule="exact"/>
        <w:rPr>
          <w:rFonts w:ascii="Times New Roman" w:hAnsi="Times New Roman" w:eastAsia="仿宋_GB2312" w:cs="Times New Roman"/>
          <w:sz w:val="32"/>
          <w:szCs w:val="32"/>
        </w:rPr>
      </w:pPr>
    </w:p>
    <w:p>
      <w:pPr>
        <w:spacing w:line="600" w:lineRule="exact"/>
        <w:jc w:val="center"/>
        <w:rPr>
          <w:rFonts w:ascii="Times New Roman" w:hAnsi="Times New Roman" w:eastAsia="仿宋_GB2312" w:cs="Times New Roman"/>
          <w:sz w:val="32"/>
          <w:szCs w:val="32"/>
        </w:rPr>
      </w:pPr>
    </w:p>
    <w:p>
      <w:pPr>
        <w:spacing w:line="600" w:lineRule="exact"/>
        <w:jc w:val="center"/>
        <w:rPr>
          <w:rFonts w:ascii="Times New Roman" w:hAnsi="Times New Roman" w:eastAsia="仿宋_GB2312" w:cs="Times New Roman"/>
          <w:sz w:val="32"/>
          <w:szCs w:val="32"/>
        </w:rPr>
      </w:pPr>
    </w:p>
    <w:p>
      <w:pPr>
        <w:spacing w:line="600" w:lineRule="exact"/>
        <w:jc w:val="center"/>
        <w:rPr>
          <w:rFonts w:ascii="Times New Roman" w:hAnsi="Times New Roman" w:eastAsia="仿宋_GB2312" w:cs="Times New Roman"/>
          <w:sz w:val="32"/>
          <w:szCs w:val="32"/>
        </w:rPr>
      </w:pPr>
    </w:p>
    <w:p>
      <w:pPr>
        <w:spacing w:line="600" w:lineRule="exact"/>
        <w:jc w:val="center"/>
        <w:rPr>
          <w:rFonts w:ascii="Times New Roman" w:hAnsi="Times New Roman" w:eastAsia="仿宋_GB2312" w:cs="Times New Roman"/>
          <w:sz w:val="32"/>
          <w:szCs w:val="32"/>
        </w:rPr>
      </w:pPr>
    </w:p>
    <w:p>
      <w:pPr>
        <w:spacing w:line="600" w:lineRule="exact"/>
        <w:jc w:val="center"/>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单位名称：</w:t>
      </w:r>
      <w:r>
        <w:rPr>
          <w:rFonts w:hint="eastAsia" w:ascii="Times New Roman" w:hAnsi="Times New Roman" w:eastAsia="仿宋_GB2312" w:cs="Times New Roman"/>
          <w:sz w:val="32"/>
          <w:szCs w:val="32"/>
        </w:rPr>
        <w:t>怀化市档案馆</w:t>
      </w:r>
    </w:p>
    <w:p>
      <w:pPr>
        <w:spacing w:line="600" w:lineRule="exact"/>
        <w:jc w:val="center"/>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2022</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rPr>
        <w:t>6</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rPr>
        <w:t>28</w:t>
      </w:r>
      <w:r>
        <w:rPr>
          <w:rFonts w:ascii="Times New Roman" w:hAnsi="Times New Roman" w:eastAsia="楷体_GB2312" w:cs="Times New Roman"/>
          <w:sz w:val="32"/>
          <w:szCs w:val="32"/>
        </w:rPr>
        <w:t>日</w:t>
      </w:r>
    </w:p>
    <w:p>
      <w:pPr>
        <w:widowControl/>
        <w:shd w:val="clear" w:color="auto" w:fill="FFFFFF"/>
        <w:spacing w:line="600" w:lineRule="atLeast"/>
        <w:jc w:val="center"/>
        <w:rPr>
          <w:rFonts w:hint="eastAsia" w:ascii="Times New Roman" w:hAnsi="Times New Roman" w:eastAsia="仿宋_GB2312" w:cs="Times New Roman"/>
          <w:b/>
          <w:spacing w:val="-2"/>
          <w:sz w:val="44"/>
          <w:szCs w:val="56"/>
        </w:rPr>
      </w:pPr>
    </w:p>
    <w:p>
      <w:pPr>
        <w:widowControl/>
        <w:shd w:val="clear" w:color="auto" w:fill="FFFFFF"/>
        <w:spacing w:line="600" w:lineRule="atLeast"/>
        <w:jc w:val="center"/>
        <w:rPr>
          <w:rFonts w:hint="eastAsia" w:ascii="Times New Roman" w:hAnsi="Times New Roman" w:eastAsia="仿宋_GB2312" w:cs="Times New Roman"/>
          <w:b/>
          <w:spacing w:val="-2"/>
          <w:sz w:val="44"/>
          <w:szCs w:val="56"/>
        </w:rPr>
      </w:pPr>
    </w:p>
    <w:p>
      <w:pPr>
        <w:widowControl/>
        <w:shd w:val="clear" w:color="auto" w:fill="FFFFFF"/>
        <w:spacing w:line="600" w:lineRule="atLeast"/>
        <w:jc w:val="center"/>
        <w:rPr>
          <w:rFonts w:hint="eastAsia" w:ascii="Times New Roman" w:hAnsi="Times New Roman" w:eastAsia="仿宋_GB2312" w:cs="Times New Roman"/>
          <w:b/>
          <w:spacing w:val="-2"/>
          <w:sz w:val="44"/>
          <w:szCs w:val="56"/>
        </w:rPr>
      </w:pPr>
    </w:p>
    <w:p>
      <w:pPr>
        <w:widowControl/>
        <w:shd w:val="clear" w:color="auto" w:fill="FFFFFF"/>
        <w:spacing w:line="600" w:lineRule="atLeast"/>
        <w:jc w:val="center"/>
        <w:rPr>
          <w:rFonts w:hint="eastAsia" w:ascii="Times New Roman" w:hAnsi="Times New Roman" w:eastAsia="仿宋_GB2312" w:cs="Times New Roman"/>
          <w:b/>
          <w:spacing w:val="-2"/>
          <w:sz w:val="44"/>
          <w:szCs w:val="56"/>
        </w:rPr>
      </w:pPr>
    </w:p>
    <w:p>
      <w:pPr>
        <w:widowControl/>
        <w:shd w:val="clear" w:color="auto" w:fill="FFFFFF"/>
        <w:spacing w:line="600" w:lineRule="atLeast"/>
        <w:jc w:val="center"/>
        <w:rPr>
          <w:rFonts w:hint="eastAsia" w:ascii="Times New Roman" w:hAnsi="Times New Roman" w:eastAsia="仿宋_GB2312" w:cs="Times New Roman"/>
          <w:b/>
          <w:spacing w:val="-2"/>
          <w:sz w:val="44"/>
          <w:szCs w:val="56"/>
        </w:rPr>
      </w:pPr>
    </w:p>
    <w:p>
      <w:pPr>
        <w:widowControl/>
        <w:shd w:val="clear" w:color="auto" w:fill="FFFFFF"/>
        <w:spacing w:line="600" w:lineRule="atLeast"/>
        <w:jc w:val="center"/>
        <w:rPr>
          <w:rFonts w:hint="eastAsia" w:ascii="Times New Roman" w:hAnsi="Times New Roman" w:eastAsia="仿宋_GB2312" w:cs="Times New Roman"/>
          <w:b/>
          <w:spacing w:val="-2"/>
          <w:sz w:val="44"/>
          <w:szCs w:val="56"/>
        </w:rPr>
      </w:pPr>
    </w:p>
    <w:p>
      <w:pPr>
        <w:widowControl/>
        <w:shd w:val="clear" w:color="auto" w:fill="FFFFFF"/>
        <w:spacing w:line="600" w:lineRule="atLeast"/>
        <w:jc w:val="center"/>
        <w:rPr>
          <w:rFonts w:hint="eastAsia" w:ascii="Times New Roman" w:hAnsi="Times New Roman" w:eastAsia="仿宋_GB2312" w:cs="Times New Roman"/>
          <w:b/>
          <w:spacing w:val="-2"/>
          <w:sz w:val="44"/>
          <w:szCs w:val="56"/>
        </w:rPr>
      </w:pPr>
      <w:r>
        <w:rPr>
          <w:rFonts w:hint="eastAsia" w:ascii="Times New Roman" w:hAnsi="Times New Roman" w:eastAsia="仿宋_GB2312" w:cs="Times New Roman"/>
          <w:b/>
          <w:spacing w:val="-2"/>
          <w:sz w:val="44"/>
          <w:szCs w:val="56"/>
        </w:rPr>
        <w:t>怀化市档案馆</w:t>
      </w:r>
    </w:p>
    <w:p>
      <w:pPr>
        <w:widowControl/>
        <w:shd w:val="clear" w:color="auto" w:fill="FFFFFF"/>
        <w:spacing w:line="600" w:lineRule="atLeast"/>
        <w:jc w:val="center"/>
        <w:rPr>
          <w:rFonts w:eastAsia="仿宋_GB2312"/>
          <w:b/>
          <w:spacing w:val="-2"/>
          <w:sz w:val="44"/>
          <w:szCs w:val="56"/>
        </w:rPr>
      </w:pPr>
      <w:r>
        <w:rPr>
          <w:rFonts w:ascii="Times New Roman" w:hAnsi="Times New Roman" w:eastAsia="仿宋_GB2312" w:cs="Times New Roman"/>
          <w:b/>
          <w:spacing w:val="-2"/>
          <w:sz w:val="44"/>
          <w:szCs w:val="56"/>
        </w:rPr>
        <w:t>部门整</w:t>
      </w:r>
      <w:r>
        <w:rPr>
          <w:rFonts w:eastAsia="仿宋_GB2312"/>
          <w:b/>
          <w:spacing w:val="-2"/>
          <w:sz w:val="44"/>
          <w:szCs w:val="56"/>
        </w:rPr>
        <w:t>体支出绩效</w:t>
      </w:r>
      <w:r>
        <w:rPr>
          <w:rFonts w:hint="eastAsia" w:eastAsia="仿宋_GB2312"/>
          <w:b/>
          <w:spacing w:val="-2"/>
          <w:sz w:val="44"/>
          <w:szCs w:val="56"/>
        </w:rPr>
        <w:t>评价</w:t>
      </w:r>
      <w:r>
        <w:rPr>
          <w:rFonts w:eastAsia="仿宋_GB2312"/>
          <w:b/>
          <w:spacing w:val="-2"/>
          <w:sz w:val="44"/>
          <w:szCs w:val="56"/>
        </w:rPr>
        <w:t>报告</w:t>
      </w:r>
    </w:p>
    <w:p>
      <w:pPr>
        <w:widowControl/>
        <w:shd w:val="clear" w:color="auto" w:fill="FFFFFF"/>
        <w:spacing w:line="600" w:lineRule="atLeast"/>
        <w:jc w:val="center"/>
        <w:rPr>
          <w:rFonts w:hint="eastAsia" w:eastAsia="仿宋_GB2312"/>
          <w:b/>
          <w:spacing w:val="-2"/>
          <w:sz w:val="40"/>
          <w:szCs w:val="52"/>
        </w:rPr>
      </w:pPr>
    </w:p>
    <w:p>
      <w:pPr>
        <w:widowControl/>
        <w:shd w:val="clear" w:color="auto" w:fill="FFFFFF"/>
        <w:spacing w:line="600" w:lineRule="atLeast"/>
        <w:ind w:firstLine="640"/>
        <w:rPr>
          <w:rFonts w:hint="eastAsia" w:ascii="黑体" w:hAnsi="黑体" w:eastAsia="黑体" w:cs="黑体"/>
          <w:bCs/>
          <w:spacing w:val="-2"/>
          <w:sz w:val="32"/>
          <w:szCs w:val="21"/>
        </w:rPr>
      </w:pPr>
      <w:r>
        <w:rPr>
          <w:rFonts w:hint="eastAsia" w:ascii="黑体" w:hAnsi="黑体" w:eastAsia="黑体" w:cs="黑体"/>
          <w:bCs/>
          <w:spacing w:val="-2"/>
          <w:sz w:val="32"/>
          <w:szCs w:val="32"/>
        </w:rPr>
        <w:t>一、部门概况</w:t>
      </w:r>
    </w:p>
    <w:p>
      <w:pPr>
        <w:widowControl/>
        <w:shd w:val="clear" w:color="auto" w:fill="FFFFFF"/>
        <w:spacing w:line="600" w:lineRule="atLeas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（一）部门基本情况</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1、在职人员情况</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我单位2021年人员编制数18人，年末在职在编人员18人。</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2、机构设置</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怀化市档案馆作为一级部门预算单位，内设科室为：办公室；管理利用部；编研和征收鉴定部；科技信息部。</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3、部门职能</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根据2019年怀化市机构改革要求，由原来的怀化市档案局参照公务员管理、财政全额拨款的正处级事业单位，改为怀化市档案馆，系中共怀化市委办公室所属财政全额拨款的正处级公益一类事业单位。担负着收集、征集和接收本馆保管范围内按规定移交进馆的各类档案资料，以及对全市30万余卷（册）档案资料的保管保护、对馆藏档案严格按照规定进行科学整理、编目、鉴定、数字化、技术保护及开发利用等职能。</w:t>
      </w:r>
    </w:p>
    <w:p>
      <w:pPr>
        <w:widowControl/>
        <w:numPr>
          <w:ilvl w:val="0"/>
          <w:numId w:val="2"/>
        </w:numPr>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主要任务</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（1）深入贯彻落实习近平总书记对档案工作的重要批示精神，抓好新修订档案法的学习贯彻。</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（2）抓紧抓实党史学习教育。</w:t>
      </w:r>
    </w:p>
    <w:p>
      <w:pPr>
        <w:widowControl/>
        <w:shd w:val="clear" w:color="auto" w:fill="FFFFFF"/>
        <w:spacing w:line="600" w:lineRule="atLeast"/>
        <w:ind w:firstLine="640"/>
        <w:rPr>
          <w:rFonts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（3）扩容提质，强化档案资源建设。</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（4）抓实档案保管利用服务。</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（5）着力推进档案信息化建设。</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（6）抓实抓好档案征集编研和学会工作。</w:t>
      </w:r>
    </w:p>
    <w:p>
      <w:pPr>
        <w:widowControl/>
        <w:shd w:val="clear" w:color="auto" w:fill="FFFFFF"/>
        <w:spacing w:line="600" w:lineRule="atLeas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（二）部门整体支出情况</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1、收入预算，2021年年初预算数232.73万元，均为一般公共预算拨款。收入较去年减少8.07万元，主要原因是公用经费减压30%和专项经费减压40%。</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2、支出预算，2021年年初预算数232.73万元，其中工资福利支出141.71万元，商品和服务支出77.96万元，对个人和家庭的补助13.06万元。支出较去年减少8.07万元，主要原因是公用经费减压30%和专项经费减压40%</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3、支出决算，2021年决算支出数375.77万元，其中，一般公共服务支出317.27万元、社会保障和就业支出45.44万元、卫生健康支出12.56万元、其他支出0.5万元。</w:t>
      </w:r>
    </w:p>
    <w:p>
      <w:pPr>
        <w:widowControl/>
        <w:shd w:val="clear" w:color="auto" w:fill="FFFFFF"/>
        <w:spacing w:line="600" w:lineRule="atLeast"/>
        <w:ind w:firstLine="640"/>
        <w:rPr>
          <w:rFonts w:hint="eastAsia" w:ascii="黑体" w:hAnsi="黑体" w:eastAsia="黑体" w:cs="黑体"/>
          <w:bCs/>
          <w:spacing w:val="-2"/>
          <w:sz w:val="32"/>
          <w:szCs w:val="21"/>
        </w:rPr>
      </w:pPr>
      <w:r>
        <w:rPr>
          <w:rFonts w:hint="eastAsia" w:ascii="黑体" w:hAnsi="黑体" w:eastAsia="黑体" w:cs="黑体"/>
          <w:bCs/>
          <w:spacing w:val="-2"/>
          <w:sz w:val="32"/>
          <w:szCs w:val="32"/>
        </w:rPr>
        <w:t>二、部门整体支出管理及使用情况</w:t>
      </w:r>
    </w:p>
    <w:p>
      <w:pPr>
        <w:widowControl/>
        <w:shd w:val="clear" w:color="auto" w:fill="FFFFFF"/>
        <w:spacing w:line="600" w:lineRule="atLeas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（一）基本支出</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1．基本支出总体情况</w:t>
      </w:r>
    </w:p>
    <w:p>
      <w:pPr>
        <w:widowControl/>
        <w:shd w:val="clear" w:color="auto" w:fill="FFFFFF"/>
        <w:spacing w:line="600" w:lineRule="atLeast"/>
        <w:ind w:firstLine="640"/>
        <w:rPr>
          <w:rFonts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2021年部门预算总收入196.13万元，均为一般公共预算拨款</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2021</w:t>
      </w:r>
      <w:r>
        <w:rPr>
          <w:rFonts w:eastAsia="仿宋_GB2312"/>
          <w:sz w:val="32"/>
          <w:szCs w:val="32"/>
        </w:rPr>
        <w:t>年部门决算</w:t>
      </w:r>
      <w:r>
        <w:rPr>
          <w:rFonts w:ascii="Times New Roman" w:hAnsi="Times New Roman" w:eastAsia="仿宋_GB2312" w:cs="Times New Roman"/>
          <w:sz w:val="32"/>
          <w:szCs w:val="32"/>
        </w:rPr>
        <w:t>总</w:t>
      </w:r>
      <w:r>
        <w:rPr>
          <w:rFonts w:hint="eastAsia" w:ascii="Times New Roman" w:hAnsi="Times New Roman" w:eastAsia="仿宋_GB2312" w:cs="Times New Roman"/>
          <w:sz w:val="32"/>
          <w:szCs w:val="32"/>
        </w:rPr>
        <w:t>支出312.67</w:t>
      </w:r>
      <w:r>
        <w:rPr>
          <w:rFonts w:ascii="Times New Roman" w:hAnsi="Times New Roman" w:eastAsia="仿宋_GB2312" w:cs="Times New Roman"/>
          <w:sz w:val="32"/>
          <w:szCs w:val="32"/>
        </w:rPr>
        <w:t>万元，</w:t>
      </w:r>
      <w:r>
        <w:rPr>
          <w:rFonts w:hint="eastAsia" w:ascii="Times New Roman" w:hAnsi="Times New Roman" w:eastAsia="仿宋_GB2312" w:cs="仿宋_GB2312"/>
          <w:spacing w:val="-2"/>
          <w:sz w:val="32"/>
          <w:szCs w:val="32"/>
        </w:rPr>
        <w:t>均为一般公共预算拨款</w:t>
      </w:r>
      <w:r>
        <w:rPr>
          <w:rFonts w:hint="eastAsia" w:ascii="Times New Roman" w:hAnsi="Times New Roman" w:eastAsia="仿宋_GB2312" w:cs="Times New Roman"/>
          <w:sz w:val="32"/>
          <w:szCs w:val="32"/>
        </w:rPr>
        <w:t>。</w:t>
      </w:r>
    </w:p>
    <w:p>
      <w:pPr>
        <w:widowControl/>
        <w:shd w:val="clear" w:color="auto" w:fill="FFFFFF"/>
        <w:spacing w:line="600" w:lineRule="atLeas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2021年部门决算总支出</w:t>
      </w:r>
      <w:r>
        <w:rPr>
          <w:rFonts w:hint="eastAsia" w:ascii="Times New Roman" w:hAnsi="Times New Roman" w:eastAsia="仿宋_GB2312" w:cs="Times New Roman"/>
          <w:sz w:val="32"/>
          <w:szCs w:val="32"/>
        </w:rPr>
        <w:t>312.67</w:t>
      </w:r>
      <w:r>
        <w:rPr>
          <w:rFonts w:hint="eastAsia" w:ascii="Times New Roman" w:hAnsi="Times New Roman" w:eastAsia="仿宋_GB2312" w:cs="仿宋_GB2312"/>
          <w:spacing w:val="-2"/>
          <w:sz w:val="32"/>
          <w:szCs w:val="32"/>
        </w:rPr>
        <w:t>万元，其中：</w:t>
      </w:r>
      <w:r>
        <w:rPr>
          <w:rFonts w:hint="eastAsia" w:ascii="Times New Roman" w:hAnsi="Times New Roman" w:eastAsia="仿宋_GB2312" w:cs="Times New Roman"/>
          <w:sz w:val="32"/>
          <w:szCs w:val="32"/>
        </w:rPr>
        <w:t>人员经费262.27万元、公用经费50.40万元</w:t>
      </w:r>
      <w:r>
        <w:rPr>
          <w:rFonts w:hint="eastAsia" w:ascii="Times New Roman" w:hAnsi="Times New Roman" w:eastAsia="仿宋_GB2312" w:cs="仿宋_GB2312"/>
          <w:spacing w:val="-2"/>
          <w:sz w:val="32"/>
          <w:szCs w:val="32"/>
        </w:rPr>
        <w:t>。</w:t>
      </w:r>
    </w:p>
    <w:p>
      <w:pPr>
        <w:pStyle w:val="15"/>
        <w:widowControl/>
        <w:spacing w:line="56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w:t>
      </w:r>
      <w:r>
        <w:rPr>
          <w:rFonts w:ascii="Times New Roman" w:hAnsi="Times New Roman" w:eastAsia="仿宋_GB2312"/>
          <w:sz w:val="32"/>
          <w:szCs w:val="32"/>
        </w:rPr>
        <w:t>“三公经费”支出使用和管理情况</w:t>
      </w:r>
    </w:p>
    <w:p>
      <w:pPr>
        <w:pStyle w:val="15"/>
        <w:widowControl/>
        <w:spacing w:line="56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（1）20</w:t>
      </w:r>
      <w:r>
        <w:rPr>
          <w:rFonts w:hint="eastAsia" w:ascii="Times New Roman" w:hAnsi="Times New Roman" w:eastAsia="仿宋_GB2312"/>
          <w:sz w:val="32"/>
          <w:szCs w:val="32"/>
        </w:rPr>
        <w:t>21</w:t>
      </w:r>
      <w:r>
        <w:rPr>
          <w:rFonts w:ascii="Times New Roman" w:hAnsi="Times New Roman" w:eastAsia="仿宋_GB2312"/>
          <w:sz w:val="32"/>
          <w:szCs w:val="32"/>
        </w:rPr>
        <w:t>年“三公经费支出情况”</w:t>
      </w:r>
    </w:p>
    <w:p>
      <w:pPr>
        <w:pStyle w:val="15"/>
        <w:widowControl/>
        <w:spacing w:line="560" w:lineRule="exact"/>
        <w:ind w:left="210" w:leftChars="100"/>
        <w:jc w:val="right"/>
        <w:rPr>
          <w:rFonts w:ascii="Times New Roman" w:hAnsi="Times New Roman"/>
          <w:szCs w:val="21"/>
        </w:rPr>
      </w:pPr>
      <w:r>
        <w:rPr>
          <w:rFonts w:ascii="Times New Roman" w:hAnsi="Times New Roman"/>
          <w:szCs w:val="21"/>
        </w:rPr>
        <w:t>单位：万元</w:t>
      </w:r>
    </w:p>
    <w:tbl>
      <w:tblPr>
        <w:tblStyle w:val="9"/>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3"/>
        <w:gridCol w:w="2083"/>
        <w:gridCol w:w="2083"/>
        <w:gridCol w:w="2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vAlign w:val="center"/>
          </w:tcPr>
          <w:p>
            <w:pPr>
              <w:spacing w:line="360" w:lineRule="auto"/>
              <w:ind w:firstLine="420" w:firstLineChars="200"/>
              <w:jc w:val="center"/>
              <w:rPr>
                <w:b/>
                <w:szCs w:val="21"/>
              </w:rPr>
            </w:pPr>
            <w:r>
              <w:rPr>
                <w:b/>
                <w:szCs w:val="21"/>
              </w:rPr>
              <w:t>费用项目</w:t>
            </w:r>
          </w:p>
        </w:tc>
        <w:tc>
          <w:tcPr>
            <w:tcW w:w="2083" w:type="dxa"/>
            <w:vAlign w:val="center"/>
          </w:tcPr>
          <w:p>
            <w:pPr>
              <w:spacing w:line="360" w:lineRule="auto"/>
              <w:jc w:val="center"/>
              <w:rPr>
                <w:b/>
                <w:szCs w:val="21"/>
              </w:rPr>
            </w:pPr>
            <w:r>
              <w:rPr>
                <w:b/>
                <w:szCs w:val="21"/>
              </w:rPr>
              <w:t>本年预算金额</w:t>
            </w:r>
          </w:p>
        </w:tc>
        <w:tc>
          <w:tcPr>
            <w:tcW w:w="2083" w:type="dxa"/>
            <w:vAlign w:val="center"/>
          </w:tcPr>
          <w:p>
            <w:pPr>
              <w:spacing w:line="360" w:lineRule="auto"/>
              <w:jc w:val="center"/>
              <w:rPr>
                <w:b/>
                <w:szCs w:val="21"/>
              </w:rPr>
            </w:pPr>
            <w:r>
              <w:rPr>
                <w:b/>
                <w:szCs w:val="21"/>
              </w:rPr>
              <w:t>本年决算金额</w:t>
            </w:r>
          </w:p>
        </w:tc>
        <w:tc>
          <w:tcPr>
            <w:tcW w:w="2083" w:type="dxa"/>
            <w:vAlign w:val="center"/>
          </w:tcPr>
          <w:p>
            <w:pPr>
              <w:spacing w:line="360" w:lineRule="auto"/>
              <w:jc w:val="center"/>
              <w:rPr>
                <w:b/>
                <w:szCs w:val="21"/>
              </w:rPr>
            </w:pPr>
            <w:r>
              <w:rPr>
                <w:b/>
                <w:szCs w:val="21"/>
              </w:rPr>
              <w:t>结余“-”/超支“+”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083" w:type="dxa"/>
            <w:vAlign w:val="center"/>
          </w:tcPr>
          <w:p>
            <w:pPr>
              <w:widowControl/>
              <w:jc w:val="center"/>
              <w:textAlignment w:val="center"/>
              <w:rPr>
                <w:szCs w:val="21"/>
              </w:rPr>
            </w:pPr>
            <w:r>
              <w:rPr>
                <w:rFonts w:hint="eastAsia" w:ascii="宋体" w:hAnsi="宋体" w:eastAsia="宋体" w:cs="宋体"/>
                <w:color w:val="000000"/>
                <w:kern w:val="0"/>
                <w:szCs w:val="21"/>
              </w:rPr>
              <w:t>公务接待费</w:t>
            </w:r>
          </w:p>
        </w:tc>
        <w:tc>
          <w:tcPr>
            <w:tcW w:w="2083" w:type="dxa"/>
            <w:vAlign w:val="center"/>
          </w:tcPr>
          <w:p>
            <w:pPr>
              <w:widowControl/>
              <w:jc w:val="right"/>
              <w:textAlignment w:val="center"/>
              <w:rPr>
                <w:rFonts w:eastAsia="宋体"/>
                <w:szCs w:val="21"/>
              </w:rPr>
            </w:pPr>
            <w:r>
              <w:rPr>
                <w:rFonts w:ascii="Times New Roman" w:hAnsi="Times New Roman" w:eastAsia="宋体" w:cs="Times New Roman"/>
                <w:color w:val="000000"/>
                <w:kern w:val="0"/>
                <w:szCs w:val="21"/>
              </w:rPr>
              <w:t xml:space="preserve">1.50 </w:t>
            </w:r>
          </w:p>
        </w:tc>
        <w:tc>
          <w:tcPr>
            <w:tcW w:w="2083" w:type="dxa"/>
            <w:vAlign w:val="center"/>
          </w:tcPr>
          <w:p>
            <w:pPr>
              <w:widowControl/>
              <w:jc w:val="right"/>
              <w:textAlignment w:val="center"/>
              <w:rPr>
                <w:rFonts w:eastAsia="宋体"/>
                <w:szCs w:val="21"/>
              </w:rPr>
            </w:pPr>
            <w:r>
              <w:rPr>
                <w:rFonts w:ascii="Times New Roman" w:hAnsi="Times New Roman" w:eastAsia="宋体" w:cs="Times New Roman"/>
                <w:color w:val="000000"/>
                <w:kern w:val="0"/>
                <w:szCs w:val="21"/>
              </w:rPr>
              <w:t xml:space="preserve">0.78 </w:t>
            </w:r>
          </w:p>
        </w:tc>
        <w:tc>
          <w:tcPr>
            <w:tcW w:w="2083" w:type="dxa"/>
            <w:vAlign w:val="center"/>
          </w:tcPr>
          <w:p>
            <w:pPr>
              <w:widowControl/>
              <w:jc w:val="right"/>
              <w:textAlignment w:val="center"/>
              <w:rPr>
                <w:rFonts w:eastAsia="宋体"/>
                <w:szCs w:val="21"/>
              </w:rPr>
            </w:pP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 xml:space="preserve">0.72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vAlign w:val="center"/>
          </w:tcPr>
          <w:p>
            <w:pPr>
              <w:widowControl/>
              <w:jc w:val="center"/>
              <w:textAlignment w:val="center"/>
              <w:rPr>
                <w:szCs w:val="21"/>
              </w:rPr>
            </w:pPr>
            <w:r>
              <w:rPr>
                <w:rFonts w:hint="eastAsia" w:ascii="宋体" w:hAnsi="宋体" w:eastAsia="宋体" w:cs="宋体"/>
                <w:color w:val="000000"/>
                <w:kern w:val="0"/>
                <w:szCs w:val="21"/>
              </w:rPr>
              <w:t>公务用车购置及运行维护费</w:t>
            </w:r>
          </w:p>
        </w:tc>
        <w:tc>
          <w:tcPr>
            <w:tcW w:w="2083" w:type="dxa"/>
            <w:vAlign w:val="center"/>
          </w:tcPr>
          <w:p>
            <w:pPr>
              <w:widowControl/>
              <w:jc w:val="right"/>
              <w:textAlignment w:val="center"/>
              <w:rPr>
                <w:rFonts w:eastAsia="宋体"/>
                <w:szCs w:val="21"/>
              </w:rPr>
            </w:pPr>
            <w:r>
              <w:rPr>
                <w:rFonts w:ascii="Times New Roman" w:hAnsi="Times New Roman" w:eastAsia="宋体" w:cs="Times New Roman"/>
                <w:color w:val="000000"/>
                <w:kern w:val="0"/>
                <w:szCs w:val="21"/>
              </w:rPr>
              <w:t xml:space="preserve">3.77 </w:t>
            </w:r>
          </w:p>
        </w:tc>
        <w:tc>
          <w:tcPr>
            <w:tcW w:w="2083" w:type="dxa"/>
            <w:vAlign w:val="center"/>
          </w:tcPr>
          <w:p>
            <w:pPr>
              <w:widowControl/>
              <w:jc w:val="right"/>
              <w:textAlignment w:val="center"/>
              <w:rPr>
                <w:rFonts w:eastAsia="宋体"/>
                <w:szCs w:val="21"/>
              </w:rPr>
            </w:pPr>
            <w:r>
              <w:rPr>
                <w:rFonts w:ascii="Times New Roman" w:hAnsi="Times New Roman" w:eastAsia="宋体" w:cs="Times New Roman"/>
                <w:color w:val="000000"/>
                <w:kern w:val="0"/>
                <w:szCs w:val="21"/>
              </w:rPr>
              <w:t xml:space="preserve">3.62 </w:t>
            </w:r>
          </w:p>
        </w:tc>
        <w:tc>
          <w:tcPr>
            <w:tcW w:w="2083" w:type="dxa"/>
            <w:vAlign w:val="center"/>
          </w:tcPr>
          <w:p>
            <w:pPr>
              <w:widowControl/>
              <w:jc w:val="right"/>
              <w:textAlignment w:val="center"/>
              <w:rPr>
                <w:rFonts w:eastAsia="宋体"/>
                <w:szCs w:val="21"/>
              </w:rPr>
            </w:pP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 xml:space="preserve">0.15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2083" w:type="dxa"/>
            <w:vAlign w:val="center"/>
          </w:tcPr>
          <w:p>
            <w:pPr>
              <w:widowControl/>
              <w:jc w:val="center"/>
              <w:textAlignment w:val="center"/>
              <w:rPr>
                <w:szCs w:val="21"/>
              </w:rPr>
            </w:pPr>
            <w:r>
              <w:rPr>
                <w:rFonts w:hint="eastAsia" w:ascii="宋体" w:hAnsi="宋体" w:eastAsia="宋体" w:cs="宋体"/>
                <w:color w:val="000000"/>
                <w:kern w:val="0"/>
                <w:szCs w:val="21"/>
              </w:rPr>
              <w:t>因公出国费用</w:t>
            </w:r>
          </w:p>
        </w:tc>
        <w:tc>
          <w:tcPr>
            <w:tcW w:w="2083" w:type="dxa"/>
            <w:vAlign w:val="center"/>
          </w:tcPr>
          <w:p>
            <w:pPr>
              <w:jc w:val="right"/>
              <w:rPr>
                <w:rFonts w:eastAsia="宋体"/>
                <w:szCs w:val="21"/>
              </w:rPr>
            </w:pPr>
            <w:r>
              <w:rPr>
                <w:rFonts w:hint="eastAsia" w:eastAsia="宋体"/>
                <w:szCs w:val="21"/>
              </w:rPr>
              <w:t>0.00</w:t>
            </w:r>
          </w:p>
        </w:tc>
        <w:tc>
          <w:tcPr>
            <w:tcW w:w="2083" w:type="dxa"/>
            <w:vAlign w:val="center"/>
          </w:tcPr>
          <w:p>
            <w:pPr>
              <w:jc w:val="right"/>
              <w:rPr>
                <w:szCs w:val="21"/>
              </w:rPr>
            </w:pPr>
            <w:r>
              <w:rPr>
                <w:rFonts w:hint="eastAsia" w:eastAsia="宋体"/>
                <w:szCs w:val="21"/>
              </w:rPr>
              <w:t>0.00</w:t>
            </w:r>
          </w:p>
        </w:tc>
        <w:tc>
          <w:tcPr>
            <w:tcW w:w="2083" w:type="dxa"/>
            <w:vAlign w:val="center"/>
          </w:tcPr>
          <w:p>
            <w:pPr>
              <w:jc w:val="right"/>
              <w:rPr>
                <w:szCs w:val="21"/>
              </w:rPr>
            </w:pPr>
            <w:r>
              <w:rPr>
                <w:rFonts w:hint="eastAsia" w:eastAsia="宋体"/>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2083" w:type="dxa"/>
            <w:vAlign w:val="bottom"/>
          </w:tcPr>
          <w:p>
            <w:pPr>
              <w:jc w:val="center"/>
              <w:rPr>
                <w:rFonts w:hint="eastAsia" w:eastAsia="宋体"/>
                <w:b/>
                <w:szCs w:val="21"/>
              </w:rPr>
            </w:pPr>
            <w:r>
              <w:rPr>
                <w:rFonts w:hint="eastAsia"/>
                <w:b/>
                <w:szCs w:val="21"/>
              </w:rPr>
              <w:t>合计</w:t>
            </w:r>
          </w:p>
        </w:tc>
        <w:tc>
          <w:tcPr>
            <w:tcW w:w="2083" w:type="dxa"/>
            <w:vAlign w:val="center"/>
          </w:tcPr>
          <w:p>
            <w:pPr>
              <w:widowControl/>
              <w:jc w:val="right"/>
              <w:textAlignment w:val="center"/>
              <w:rPr>
                <w:rFonts w:eastAsia="宋体"/>
                <w:b/>
                <w:szCs w:val="21"/>
              </w:rPr>
            </w:pPr>
            <w:r>
              <w:rPr>
                <w:rFonts w:ascii="Times New Roman" w:hAnsi="Times New Roman" w:eastAsia="宋体" w:cs="Times New Roman"/>
                <w:color w:val="000000"/>
                <w:kern w:val="0"/>
                <w:szCs w:val="21"/>
              </w:rPr>
              <w:t xml:space="preserve">5.27 </w:t>
            </w:r>
          </w:p>
        </w:tc>
        <w:tc>
          <w:tcPr>
            <w:tcW w:w="2083" w:type="dxa"/>
            <w:vAlign w:val="center"/>
          </w:tcPr>
          <w:p>
            <w:pPr>
              <w:widowControl/>
              <w:jc w:val="right"/>
              <w:textAlignment w:val="center"/>
              <w:rPr>
                <w:rFonts w:ascii="Times New Roman" w:hAnsi="Times New Roman" w:eastAsia="宋体" w:cs="Times New Roman"/>
                <w:b/>
                <w:szCs w:val="21"/>
              </w:rPr>
            </w:pPr>
            <w:r>
              <w:rPr>
                <w:rFonts w:ascii="Times New Roman" w:hAnsi="Times New Roman" w:eastAsia="宋体" w:cs="Times New Roman"/>
                <w:color w:val="000000"/>
                <w:kern w:val="0"/>
                <w:szCs w:val="21"/>
              </w:rPr>
              <w:t xml:space="preserve">4.40 </w:t>
            </w:r>
          </w:p>
        </w:tc>
        <w:tc>
          <w:tcPr>
            <w:tcW w:w="2083" w:type="dxa"/>
            <w:vAlign w:val="center"/>
          </w:tcPr>
          <w:p>
            <w:pPr>
              <w:widowControl/>
              <w:jc w:val="right"/>
              <w:textAlignment w:val="center"/>
              <w:rPr>
                <w:rFonts w:ascii="Times New Roman" w:hAnsi="Times New Roman" w:eastAsia="宋体" w:cs="Times New Roman"/>
                <w:b/>
                <w:szCs w:val="21"/>
              </w:rPr>
            </w:pP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 xml:space="preserve">0.87 </w:t>
            </w:r>
          </w:p>
        </w:tc>
      </w:tr>
    </w:tbl>
    <w:p>
      <w:pPr>
        <w:pStyle w:val="15"/>
        <w:widowControl/>
        <w:spacing w:line="360" w:lineRule="auto"/>
        <w:ind w:left="210" w:leftChars="100" w:firstLine="640"/>
        <w:rPr>
          <w:rFonts w:ascii="Times New Roman" w:hAnsi="Times New Roman" w:eastAsia="仿宋_GB2312"/>
          <w:sz w:val="32"/>
          <w:szCs w:val="32"/>
        </w:rPr>
      </w:pPr>
      <w:r>
        <w:rPr>
          <w:rFonts w:ascii="Times New Roman" w:hAnsi="Times New Roman" w:eastAsia="仿宋_GB2312"/>
          <w:sz w:val="32"/>
          <w:szCs w:val="32"/>
        </w:rPr>
        <w:t>从上表分析，20</w:t>
      </w:r>
      <w:r>
        <w:rPr>
          <w:rFonts w:hint="eastAsia" w:ascii="Times New Roman" w:hAnsi="Times New Roman" w:eastAsia="仿宋_GB2312"/>
          <w:sz w:val="32"/>
          <w:szCs w:val="32"/>
        </w:rPr>
        <w:t>21</w:t>
      </w:r>
      <w:r>
        <w:rPr>
          <w:rFonts w:ascii="Times New Roman" w:hAnsi="Times New Roman" w:eastAsia="仿宋_GB2312"/>
          <w:sz w:val="32"/>
          <w:szCs w:val="32"/>
        </w:rPr>
        <w:t>年三公经费预算支出</w:t>
      </w:r>
      <w:r>
        <w:rPr>
          <w:rFonts w:hint="eastAsia" w:ascii="Times New Roman" w:hAnsi="Times New Roman" w:eastAsia="仿宋_GB2312"/>
          <w:sz w:val="32"/>
          <w:szCs w:val="32"/>
        </w:rPr>
        <w:t>5.27</w:t>
      </w:r>
      <w:r>
        <w:rPr>
          <w:rFonts w:ascii="Times New Roman" w:hAnsi="Times New Roman" w:eastAsia="仿宋_GB2312"/>
          <w:sz w:val="32"/>
          <w:szCs w:val="32"/>
        </w:rPr>
        <w:t>万元，决算支出</w:t>
      </w:r>
      <w:r>
        <w:rPr>
          <w:rFonts w:hint="eastAsia" w:ascii="Times New Roman" w:hAnsi="Times New Roman" w:eastAsia="仿宋_GB2312"/>
          <w:sz w:val="32"/>
          <w:szCs w:val="32"/>
        </w:rPr>
        <w:t>4.40</w:t>
      </w:r>
      <w:r>
        <w:rPr>
          <w:rFonts w:ascii="Times New Roman" w:hAnsi="Times New Roman" w:eastAsia="仿宋_GB2312"/>
          <w:sz w:val="32"/>
          <w:szCs w:val="32"/>
        </w:rPr>
        <w:t>万元，结余</w:t>
      </w:r>
      <w:r>
        <w:rPr>
          <w:rFonts w:hint="eastAsia" w:ascii="Times New Roman" w:hAnsi="Times New Roman" w:eastAsia="仿宋_GB2312"/>
          <w:sz w:val="32"/>
          <w:szCs w:val="32"/>
        </w:rPr>
        <w:t>0.87</w:t>
      </w:r>
      <w:r>
        <w:rPr>
          <w:rFonts w:ascii="Times New Roman" w:hAnsi="Times New Roman" w:eastAsia="仿宋_GB2312"/>
          <w:sz w:val="32"/>
          <w:szCs w:val="32"/>
        </w:rPr>
        <w:t>万元，三公经费总额控制在预算范围内。</w:t>
      </w:r>
    </w:p>
    <w:p>
      <w:pPr>
        <w:pStyle w:val="15"/>
        <w:widowControl/>
        <w:spacing w:line="360" w:lineRule="auto"/>
        <w:ind w:left="210" w:leftChars="100" w:firstLine="640"/>
        <w:rPr>
          <w:rFonts w:ascii="Times New Roman" w:hAnsi="Times New Roman" w:eastAsia="仿宋_GB2312"/>
          <w:sz w:val="32"/>
          <w:szCs w:val="32"/>
          <w:highlight w:val="yellow"/>
        </w:rPr>
      </w:pPr>
      <w:r>
        <w:rPr>
          <w:rFonts w:ascii="Times New Roman" w:hAnsi="Times New Roman" w:eastAsia="仿宋_GB2312"/>
          <w:sz w:val="32"/>
          <w:szCs w:val="32"/>
        </w:rPr>
        <w:t>从三公经费的支出明细项目分析，公务接待费支出</w:t>
      </w:r>
      <w:r>
        <w:rPr>
          <w:rFonts w:hint="eastAsia" w:ascii="Times New Roman" w:hAnsi="Times New Roman" w:eastAsia="仿宋_GB2312"/>
          <w:sz w:val="32"/>
          <w:szCs w:val="32"/>
        </w:rPr>
        <w:t>0.78</w:t>
      </w:r>
      <w:r>
        <w:rPr>
          <w:rFonts w:ascii="Times New Roman" w:hAnsi="Times New Roman" w:eastAsia="仿宋_GB2312"/>
          <w:sz w:val="32"/>
          <w:szCs w:val="32"/>
        </w:rPr>
        <w:t>万元，结余</w:t>
      </w:r>
      <w:r>
        <w:rPr>
          <w:rFonts w:hint="eastAsia" w:ascii="Times New Roman" w:hAnsi="Times New Roman" w:eastAsia="仿宋_GB2312"/>
          <w:sz w:val="32"/>
          <w:szCs w:val="32"/>
        </w:rPr>
        <w:t>0.72</w:t>
      </w:r>
      <w:r>
        <w:rPr>
          <w:rFonts w:ascii="Times New Roman" w:hAnsi="Times New Roman" w:eastAsia="仿宋_GB2312"/>
          <w:sz w:val="32"/>
          <w:szCs w:val="32"/>
        </w:rPr>
        <w:t>万元；</w:t>
      </w:r>
      <w:r>
        <w:rPr>
          <w:rFonts w:hint="eastAsia" w:ascii="Times New Roman" w:hAnsi="Times New Roman" w:eastAsia="仿宋_GB2312"/>
          <w:sz w:val="32"/>
          <w:szCs w:val="32"/>
        </w:rPr>
        <w:t>公务用车购置及运行维护费</w:t>
      </w:r>
      <w:r>
        <w:rPr>
          <w:rFonts w:ascii="Times New Roman" w:hAnsi="Times New Roman" w:eastAsia="仿宋_GB2312"/>
          <w:sz w:val="32"/>
          <w:szCs w:val="32"/>
        </w:rPr>
        <w:t>支出</w:t>
      </w:r>
      <w:r>
        <w:rPr>
          <w:rFonts w:hint="eastAsia" w:ascii="Times New Roman" w:hAnsi="Times New Roman" w:eastAsia="仿宋_GB2312"/>
          <w:sz w:val="32"/>
          <w:szCs w:val="32"/>
        </w:rPr>
        <w:t>3.62</w:t>
      </w:r>
      <w:r>
        <w:rPr>
          <w:rFonts w:ascii="Times New Roman" w:hAnsi="Times New Roman" w:eastAsia="仿宋_GB2312"/>
          <w:sz w:val="32"/>
          <w:szCs w:val="32"/>
        </w:rPr>
        <w:t>万元，结余</w:t>
      </w:r>
      <w:r>
        <w:rPr>
          <w:rFonts w:hint="eastAsia" w:ascii="Times New Roman" w:hAnsi="Times New Roman" w:eastAsia="仿宋_GB2312"/>
          <w:sz w:val="32"/>
          <w:szCs w:val="32"/>
        </w:rPr>
        <w:t>0.15</w:t>
      </w:r>
      <w:r>
        <w:rPr>
          <w:rFonts w:ascii="Times New Roman" w:hAnsi="Times New Roman" w:eastAsia="仿宋_GB2312"/>
          <w:sz w:val="32"/>
          <w:szCs w:val="32"/>
        </w:rPr>
        <w:t>万元；因公出国费用支出</w:t>
      </w:r>
      <w:r>
        <w:rPr>
          <w:rFonts w:hint="eastAsia" w:ascii="Times New Roman" w:hAnsi="Times New Roman" w:eastAsia="仿宋_GB2312"/>
          <w:sz w:val="32"/>
          <w:szCs w:val="32"/>
        </w:rPr>
        <w:t>0.00</w:t>
      </w:r>
      <w:r>
        <w:rPr>
          <w:rFonts w:ascii="Times New Roman" w:hAnsi="Times New Roman" w:eastAsia="仿宋_GB2312"/>
          <w:sz w:val="32"/>
          <w:szCs w:val="32"/>
        </w:rPr>
        <w:t>万元，</w:t>
      </w:r>
      <w:r>
        <w:rPr>
          <w:rFonts w:hint="eastAsia" w:ascii="Times New Roman" w:hAnsi="Times New Roman" w:eastAsia="仿宋_GB2312"/>
          <w:sz w:val="32"/>
          <w:szCs w:val="32"/>
        </w:rPr>
        <w:t>未超支结余，</w:t>
      </w:r>
      <w:r>
        <w:rPr>
          <w:rFonts w:ascii="Times New Roman" w:hAnsi="Times New Roman" w:eastAsia="仿宋_GB2312"/>
          <w:sz w:val="32"/>
          <w:szCs w:val="32"/>
        </w:rPr>
        <w:t>三公经费明细均在</w:t>
      </w:r>
      <w:r>
        <w:rPr>
          <w:rFonts w:hint="eastAsia" w:ascii="Times New Roman" w:hAnsi="Times New Roman" w:eastAsia="仿宋_GB2312"/>
          <w:sz w:val="32"/>
          <w:szCs w:val="32"/>
        </w:rPr>
        <w:t>预算</w:t>
      </w:r>
      <w:r>
        <w:rPr>
          <w:rFonts w:ascii="Times New Roman" w:hAnsi="Times New Roman" w:eastAsia="仿宋_GB2312"/>
          <w:sz w:val="32"/>
          <w:szCs w:val="32"/>
        </w:rPr>
        <w:t>控制</w:t>
      </w:r>
      <w:r>
        <w:rPr>
          <w:rFonts w:hint="eastAsia" w:ascii="Times New Roman" w:hAnsi="Times New Roman" w:eastAsia="仿宋_GB2312"/>
          <w:sz w:val="32"/>
          <w:szCs w:val="32"/>
        </w:rPr>
        <w:t>内</w:t>
      </w:r>
      <w:r>
        <w:rPr>
          <w:rFonts w:ascii="Times New Roman" w:hAnsi="Times New Roman" w:eastAsia="仿宋_GB2312"/>
          <w:sz w:val="32"/>
          <w:szCs w:val="32"/>
        </w:rPr>
        <w:t>。</w:t>
      </w:r>
    </w:p>
    <w:p>
      <w:pPr>
        <w:pStyle w:val="15"/>
        <w:widowControl/>
        <w:spacing w:line="56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（2）与上年度比较“三公经费”控制情况</w:t>
      </w:r>
    </w:p>
    <w:p>
      <w:pPr>
        <w:widowControl/>
        <w:shd w:val="clear" w:color="auto" w:fill="FFFFFF"/>
        <w:spacing w:line="600" w:lineRule="atLeast"/>
        <w:ind w:firstLine="643"/>
      </w:pPr>
      <w:r>
        <w:rPr>
          <w:rFonts w:hint="eastAsia" w:ascii="Times New Roman" w:hAnsi="Times New Roman" w:eastAsia="仿宋_GB2312" w:cs="Times New Roman"/>
          <w:sz w:val="32"/>
          <w:szCs w:val="32"/>
        </w:rPr>
        <w:t>我馆较2020年度三公经费支出增加56.14%，主要系公务接待和公务用车运行维护费支出有所增加。</w:t>
      </w:r>
    </w:p>
    <w:p>
      <w:pPr>
        <w:widowControl/>
        <w:shd w:val="clear" w:color="auto" w:fill="FFFFFF"/>
        <w:spacing w:line="600" w:lineRule="atLeast"/>
        <w:ind w:firstLine="643"/>
        <w:rPr>
          <w:rFonts w:hint="eastAsia" w:ascii="楷体_GB2312" w:hAnsi="楷体_GB2312" w:eastAsia="楷体_GB2312" w:cs="楷体_GB2312"/>
          <w:bCs/>
          <w:spacing w:val="-2"/>
          <w:sz w:val="32"/>
          <w:szCs w:val="21"/>
        </w:rPr>
      </w:pPr>
      <w:r>
        <w:rPr>
          <w:rFonts w:hint="eastAsia" w:ascii="楷体_GB2312" w:hAnsi="楷体_GB2312" w:eastAsia="楷体_GB2312" w:cs="楷体_GB2312"/>
          <w:bCs/>
          <w:spacing w:val="-2"/>
          <w:sz w:val="32"/>
          <w:szCs w:val="32"/>
        </w:rPr>
        <w:t>（二）专项支出</w:t>
      </w:r>
    </w:p>
    <w:p>
      <w:pPr>
        <w:pStyle w:val="8"/>
        <w:shd w:val="clear" w:color="auto" w:fill="FFFFFF"/>
        <w:spacing w:beforeAutospacing="0" w:afterAutospacing="0" w:line="360" w:lineRule="auto"/>
        <w:ind w:firstLine="707" w:firstLineChars="221"/>
        <w:jc w:val="both"/>
        <w:rPr>
          <w:rFonts w:ascii="Times New Roman" w:hAnsi="Times New Roman" w:eastAsia="仿宋_GB2312"/>
          <w:sz w:val="32"/>
          <w:szCs w:val="32"/>
        </w:rPr>
      </w:pPr>
      <w:r>
        <w:rPr>
          <w:rFonts w:ascii="Times New Roman" w:hAnsi="Times New Roman" w:eastAsia="仿宋_GB2312"/>
          <w:sz w:val="32"/>
          <w:szCs w:val="32"/>
        </w:rPr>
        <w:t>项目</w:t>
      </w:r>
      <w:r>
        <w:rPr>
          <w:rFonts w:hint="eastAsia" w:ascii="Times New Roman" w:hAnsi="Times New Roman" w:eastAsia="仿宋_GB2312"/>
          <w:sz w:val="32"/>
          <w:szCs w:val="32"/>
        </w:rPr>
        <w:t>专项</w:t>
      </w:r>
      <w:r>
        <w:rPr>
          <w:rFonts w:ascii="Times New Roman" w:hAnsi="Times New Roman" w:eastAsia="仿宋_GB2312"/>
          <w:sz w:val="32"/>
          <w:szCs w:val="32"/>
        </w:rPr>
        <w:t>支出是在基本支出之外为完成其特定的工作任务而发生的支出</w:t>
      </w:r>
      <w:r>
        <w:rPr>
          <w:rFonts w:hint="eastAsia" w:ascii="Times New Roman" w:hAnsi="Times New Roman" w:eastAsia="仿宋_GB2312"/>
          <w:sz w:val="32"/>
          <w:szCs w:val="32"/>
        </w:rPr>
        <w:t>。</w:t>
      </w:r>
      <w:r>
        <w:rPr>
          <w:rFonts w:ascii="Times New Roman" w:hAnsi="Times New Roman" w:eastAsia="仿宋_GB2312"/>
          <w:sz w:val="32"/>
          <w:szCs w:val="32"/>
        </w:rPr>
        <w:t>我</w:t>
      </w:r>
      <w:r>
        <w:rPr>
          <w:rFonts w:hint="eastAsia" w:ascii="Times New Roman" w:hAnsi="Times New Roman" w:eastAsia="仿宋_GB2312"/>
          <w:sz w:val="32"/>
          <w:szCs w:val="32"/>
        </w:rPr>
        <w:t>馆</w:t>
      </w:r>
      <w:r>
        <w:rPr>
          <w:rFonts w:ascii="Times New Roman" w:hAnsi="Times New Roman" w:eastAsia="仿宋_GB2312"/>
          <w:sz w:val="32"/>
          <w:szCs w:val="32"/>
        </w:rPr>
        <w:t>的项目支出</w:t>
      </w:r>
      <w:r>
        <w:rPr>
          <w:rFonts w:hint="eastAsia" w:ascii="Times New Roman" w:hAnsi="Times New Roman" w:eastAsia="仿宋_GB2312"/>
          <w:sz w:val="32"/>
          <w:szCs w:val="32"/>
        </w:rPr>
        <w:t>主要用于档案馆有关事业发展专项、专项业务费、基本建设支出等方面。</w:t>
      </w:r>
    </w:p>
    <w:p>
      <w:pPr>
        <w:pStyle w:val="8"/>
        <w:shd w:val="clear" w:color="auto" w:fill="FFFFFF"/>
        <w:spacing w:beforeAutospacing="0" w:afterAutospacing="0" w:line="360" w:lineRule="auto"/>
        <w:ind w:firstLine="707" w:firstLineChars="221"/>
        <w:jc w:val="both"/>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项目资金实际使用情况</w:t>
      </w:r>
    </w:p>
    <w:p>
      <w:pPr>
        <w:pStyle w:val="8"/>
        <w:shd w:val="clear" w:color="auto" w:fill="FFFFFF"/>
        <w:spacing w:beforeAutospacing="0" w:afterAutospacing="0" w:line="360" w:lineRule="auto"/>
        <w:ind w:firstLine="707" w:firstLineChars="221"/>
        <w:jc w:val="both"/>
        <w:rPr>
          <w:rFonts w:ascii="Times New Roman" w:hAnsi="Times New Roman" w:eastAsia="仿宋_GB2312"/>
          <w:sz w:val="32"/>
          <w:szCs w:val="32"/>
        </w:rPr>
      </w:pPr>
      <w:r>
        <w:rPr>
          <w:rFonts w:ascii="Times New Roman" w:hAnsi="Times New Roman" w:eastAsia="仿宋_GB2312"/>
          <w:sz w:val="32"/>
          <w:szCs w:val="32"/>
        </w:rPr>
        <w:t>20</w:t>
      </w:r>
      <w:r>
        <w:rPr>
          <w:rFonts w:hint="eastAsia" w:ascii="Times New Roman" w:hAnsi="Times New Roman" w:eastAsia="仿宋_GB2312"/>
          <w:sz w:val="32"/>
          <w:szCs w:val="32"/>
        </w:rPr>
        <w:t>21</w:t>
      </w:r>
      <w:r>
        <w:rPr>
          <w:rFonts w:ascii="Times New Roman" w:hAnsi="Times New Roman" w:eastAsia="仿宋_GB2312"/>
          <w:sz w:val="32"/>
          <w:szCs w:val="32"/>
        </w:rPr>
        <w:t>年年初预算项目支出</w:t>
      </w:r>
      <w:r>
        <w:rPr>
          <w:rFonts w:hint="eastAsia" w:ascii="Times New Roman" w:hAnsi="Times New Roman" w:eastAsia="仿宋_GB2312"/>
          <w:sz w:val="32"/>
          <w:szCs w:val="32"/>
        </w:rPr>
        <w:t>批复金额</w:t>
      </w:r>
      <w:bookmarkStart w:id="9" w:name="_Hlk42203504"/>
      <w:r>
        <w:rPr>
          <w:rFonts w:hint="eastAsia" w:ascii="Times New Roman" w:hAnsi="Times New Roman" w:eastAsia="仿宋_GB2312"/>
          <w:sz w:val="32"/>
          <w:szCs w:val="32"/>
        </w:rPr>
        <w:t>36.60</w:t>
      </w:r>
      <w:r>
        <w:rPr>
          <w:rFonts w:ascii="Times New Roman" w:hAnsi="Times New Roman" w:eastAsia="仿宋_GB2312"/>
          <w:sz w:val="32"/>
          <w:szCs w:val="32"/>
        </w:rPr>
        <w:t>万元</w:t>
      </w:r>
      <w:bookmarkEnd w:id="9"/>
      <w:r>
        <w:rPr>
          <w:rFonts w:hint="eastAsia" w:ascii="Times New Roman" w:hAnsi="Times New Roman" w:eastAsia="仿宋_GB2312"/>
          <w:sz w:val="32"/>
          <w:szCs w:val="32"/>
        </w:rPr>
        <w:t>，为档案日常管理和征集费</w:t>
      </w:r>
      <w:r>
        <w:rPr>
          <w:rFonts w:ascii="Times New Roman" w:hAnsi="Times New Roman" w:eastAsia="仿宋_GB2312"/>
          <w:sz w:val="32"/>
          <w:szCs w:val="32"/>
        </w:rPr>
        <w:t>。</w:t>
      </w:r>
    </w:p>
    <w:p>
      <w:pPr>
        <w:pStyle w:val="8"/>
        <w:shd w:val="clear" w:color="auto" w:fill="FFFFFF"/>
        <w:spacing w:beforeAutospacing="0" w:afterAutospacing="0" w:line="360" w:lineRule="auto"/>
        <w:ind w:firstLine="707" w:firstLineChars="221"/>
        <w:jc w:val="both"/>
        <w:rPr>
          <w:rFonts w:hint="eastAsia" w:ascii="Times New Roman" w:hAnsi="Times New Roman" w:eastAsia="仿宋_GB2312"/>
          <w:sz w:val="32"/>
          <w:szCs w:val="32"/>
        </w:rPr>
      </w:pPr>
      <w:r>
        <w:rPr>
          <w:rFonts w:ascii="Times New Roman" w:hAnsi="Times New Roman" w:eastAsia="仿宋_GB2312"/>
          <w:sz w:val="32"/>
          <w:szCs w:val="32"/>
        </w:rPr>
        <w:t>20</w:t>
      </w:r>
      <w:r>
        <w:rPr>
          <w:rFonts w:hint="eastAsia" w:ascii="Times New Roman" w:hAnsi="Times New Roman" w:eastAsia="仿宋_GB2312"/>
          <w:sz w:val="32"/>
          <w:szCs w:val="32"/>
        </w:rPr>
        <w:t>21</w:t>
      </w:r>
      <w:r>
        <w:rPr>
          <w:rFonts w:ascii="Times New Roman" w:hAnsi="Times New Roman" w:eastAsia="仿宋_GB2312"/>
          <w:sz w:val="32"/>
          <w:szCs w:val="32"/>
        </w:rPr>
        <w:t>年决算项目支出</w:t>
      </w:r>
      <w:r>
        <w:rPr>
          <w:rFonts w:hint="eastAsia" w:ascii="Times New Roman" w:hAnsi="Times New Roman" w:eastAsia="仿宋_GB2312"/>
          <w:sz w:val="32"/>
          <w:szCs w:val="32"/>
        </w:rPr>
        <w:t>金额63.10万元，为档案日常管理和征集费。</w:t>
      </w:r>
    </w:p>
    <w:p>
      <w:pPr>
        <w:pStyle w:val="8"/>
        <w:shd w:val="clear" w:color="auto" w:fill="FFFFFF"/>
        <w:spacing w:beforeAutospacing="0" w:afterAutospacing="0" w:line="360" w:lineRule="auto"/>
        <w:ind w:firstLine="707" w:firstLineChars="221"/>
        <w:jc w:val="both"/>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项目资金管理情况</w:t>
      </w:r>
    </w:p>
    <w:p>
      <w:pPr>
        <w:pStyle w:val="8"/>
        <w:shd w:val="clear" w:color="auto" w:fill="FFFFFF"/>
        <w:spacing w:beforeAutospacing="0" w:afterAutospacing="0" w:line="360" w:lineRule="auto"/>
        <w:ind w:firstLine="707" w:firstLineChars="221"/>
        <w:jc w:val="both"/>
        <w:rPr>
          <w:rFonts w:ascii="Times New Roman" w:hAnsi="Times New Roman" w:eastAsia="仿宋_GB2312"/>
          <w:sz w:val="32"/>
          <w:szCs w:val="32"/>
        </w:rPr>
      </w:pPr>
      <w:r>
        <w:rPr>
          <w:rFonts w:ascii="Times New Roman" w:hAnsi="Times New Roman" w:eastAsia="仿宋_GB2312"/>
          <w:sz w:val="32"/>
          <w:szCs w:val="32"/>
        </w:rPr>
        <w:t>我</w:t>
      </w:r>
      <w:r>
        <w:rPr>
          <w:rFonts w:hint="eastAsia" w:ascii="Times New Roman" w:hAnsi="Times New Roman" w:eastAsia="仿宋_GB2312"/>
          <w:sz w:val="32"/>
          <w:szCs w:val="32"/>
        </w:rPr>
        <w:t>馆</w:t>
      </w:r>
      <w:r>
        <w:rPr>
          <w:rFonts w:ascii="Times New Roman" w:hAnsi="Times New Roman" w:eastAsia="仿宋_GB2312"/>
          <w:sz w:val="32"/>
          <w:szCs w:val="32"/>
        </w:rPr>
        <w:t>为加强财务管理工作，合理合规使用财政项目资金，严格按照财务管理要求，对批准的预算开支内容，做好账务设置和账务管理，</w:t>
      </w:r>
      <w:r>
        <w:rPr>
          <w:rFonts w:hint="eastAsia" w:ascii="Times New Roman" w:hAnsi="Times New Roman" w:eastAsia="仿宋_GB2312"/>
          <w:sz w:val="32"/>
          <w:szCs w:val="32"/>
        </w:rPr>
        <w:t>实行专项核算</w:t>
      </w:r>
      <w:r>
        <w:rPr>
          <w:rFonts w:ascii="Times New Roman" w:hAnsi="Times New Roman" w:eastAsia="仿宋_GB2312"/>
          <w:sz w:val="32"/>
          <w:szCs w:val="32"/>
        </w:rPr>
        <w:t>，在资金使用过程中，严把监督审核关，建立健全了内部审批制度。针对项目支出，制定了《财务</w:t>
      </w:r>
      <w:r>
        <w:rPr>
          <w:rFonts w:hint="eastAsia" w:ascii="Times New Roman" w:hAnsi="Times New Roman" w:eastAsia="仿宋_GB2312"/>
          <w:sz w:val="32"/>
          <w:szCs w:val="32"/>
        </w:rPr>
        <w:t>管理</w:t>
      </w:r>
      <w:r>
        <w:rPr>
          <w:rFonts w:ascii="Times New Roman" w:hAnsi="Times New Roman" w:eastAsia="仿宋_GB2312"/>
          <w:sz w:val="32"/>
          <w:szCs w:val="32"/>
        </w:rPr>
        <w:t>制度》等相关制度，对资金使用审批流程、资金监督、签字权限等方面做出了详细规定。</w:t>
      </w:r>
    </w:p>
    <w:p>
      <w:pPr>
        <w:widowControl/>
        <w:numPr>
          <w:ilvl w:val="0"/>
          <w:numId w:val="3"/>
        </w:numPr>
        <w:shd w:val="clear" w:color="auto" w:fill="FFFFFF"/>
        <w:spacing w:line="600" w:lineRule="atLeast"/>
        <w:ind w:firstLine="640"/>
        <w:rPr>
          <w:rFonts w:hint="eastAsia" w:ascii="黑体" w:hAnsi="黑体" w:eastAsia="黑体" w:cs="黑体"/>
          <w:bCs/>
          <w:spacing w:val="-2"/>
          <w:sz w:val="32"/>
          <w:szCs w:val="32"/>
        </w:rPr>
      </w:pPr>
      <w:r>
        <w:rPr>
          <w:rFonts w:hint="eastAsia" w:ascii="黑体" w:hAnsi="黑体" w:eastAsia="黑体" w:cs="黑体"/>
          <w:bCs/>
          <w:spacing w:val="-2"/>
          <w:sz w:val="32"/>
          <w:szCs w:val="32"/>
        </w:rPr>
        <w:t>部门专项组织实施情况</w:t>
      </w:r>
    </w:p>
    <w:p>
      <w:pPr>
        <w:pStyle w:val="8"/>
        <w:shd w:val="clear" w:color="auto" w:fill="FFFFFF"/>
        <w:spacing w:beforeAutospacing="0" w:afterAutospacing="0" w:line="360" w:lineRule="auto"/>
        <w:ind w:firstLine="707" w:firstLineChars="221"/>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（一）项目组织情况</w:t>
      </w:r>
    </w:p>
    <w:p>
      <w:pPr>
        <w:pStyle w:val="8"/>
        <w:shd w:val="clear" w:color="auto" w:fill="FFFFFF"/>
        <w:spacing w:beforeAutospacing="0" w:afterAutospacing="0" w:line="360" w:lineRule="auto"/>
        <w:ind w:firstLine="707" w:firstLineChars="221"/>
        <w:jc w:val="both"/>
        <w:rPr>
          <w:rFonts w:hint="eastAsia" w:ascii="Times New Roman" w:hAnsi="Times New Roman" w:eastAsia="仿宋_GB2312"/>
          <w:sz w:val="32"/>
          <w:szCs w:val="32"/>
        </w:rPr>
      </w:pPr>
      <w:r>
        <w:rPr>
          <w:rFonts w:hint="eastAsia" w:ascii="Times New Roman" w:hAnsi="Times New Roman" w:eastAsia="仿宋_GB2312"/>
          <w:sz w:val="32"/>
          <w:szCs w:val="32"/>
        </w:rPr>
        <w:t>2021年</w:t>
      </w:r>
      <w:r>
        <w:rPr>
          <w:rFonts w:ascii="Times New Roman" w:hAnsi="Times New Roman" w:eastAsia="仿宋_GB2312"/>
          <w:sz w:val="32"/>
          <w:szCs w:val="32"/>
        </w:rPr>
        <w:t>我</w:t>
      </w:r>
      <w:r>
        <w:rPr>
          <w:rFonts w:hint="eastAsia" w:ascii="Times New Roman" w:hAnsi="Times New Roman" w:eastAsia="仿宋_GB2312"/>
          <w:sz w:val="32"/>
          <w:szCs w:val="32"/>
        </w:rPr>
        <w:t>馆</w:t>
      </w:r>
      <w:r>
        <w:rPr>
          <w:rFonts w:ascii="Times New Roman" w:hAnsi="Times New Roman" w:eastAsia="仿宋_GB2312"/>
          <w:sz w:val="32"/>
          <w:szCs w:val="32"/>
        </w:rPr>
        <w:t>认真落实上级主管部门的决策部署，全面推进各项重点工作，较好的完成了各项目</w:t>
      </w:r>
      <w:r>
        <w:rPr>
          <w:rFonts w:hint="eastAsia" w:ascii="Times New Roman" w:hAnsi="Times New Roman" w:eastAsia="仿宋_GB2312"/>
          <w:sz w:val="32"/>
          <w:szCs w:val="32"/>
        </w:rPr>
        <w:t>的</w:t>
      </w:r>
      <w:r>
        <w:rPr>
          <w:rFonts w:ascii="Times New Roman" w:hAnsi="Times New Roman" w:eastAsia="仿宋_GB2312"/>
          <w:sz w:val="32"/>
          <w:szCs w:val="32"/>
        </w:rPr>
        <w:t>目标任务。各项目由专人负责实施，实行事项前置审批及事后支付审批制度；采购事项均按照政府采购相关规定执行，属政府采购范围的一律通过政府采购平台，按照规定流程进行采购；费用支出严格按照《财务</w:t>
      </w:r>
      <w:r>
        <w:rPr>
          <w:rFonts w:hint="eastAsia" w:ascii="Times New Roman" w:hAnsi="Times New Roman" w:eastAsia="仿宋_GB2312"/>
          <w:sz w:val="32"/>
          <w:szCs w:val="32"/>
        </w:rPr>
        <w:t>管理</w:t>
      </w:r>
      <w:r>
        <w:rPr>
          <w:rFonts w:ascii="Times New Roman" w:hAnsi="Times New Roman" w:eastAsia="仿宋_GB2312"/>
          <w:sz w:val="32"/>
          <w:szCs w:val="32"/>
        </w:rPr>
        <w:t>制度》等制度规定的开支范围、标准、审批权限、审批流程、报销要求等进行审核。</w:t>
      </w:r>
    </w:p>
    <w:p>
      <w:pPr>
        <w:pStyle w:val="8"/>
        <w:shd w:val="clear" w:color="auto" w:fill="FFFFFF"/>
        <w:spacing w:beforeAutospacing="0" w:afterAutospacing="0" w:line="360" w:lineRule="auto"/>
        <w:ind w:firstLine="707" w:firstLineChars="221"/>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（二）项目管理情况</w:t>
      </w:r>
    </w:p>
    <w:p>
      <w:pPr>
        <w:spacing w:line="360" w:lineRule="auto"/>
        <w:ind w:firstLine="640"/>
      </w:pPr>
      <w:r>
        <w:rPr>
          <w:rFonts w:hint="eastAsia" w:eastAsia="仿宋_GB2312"/>
          <w:sz w:val="32"/>
          <w:szCs w:val="32"/>
        </w:rPr>
        <w:t>为加强项目资金管理，规范项目资金管理行为，提高项目管理水平及项目资金使用效益，我馆制定了财务管理制度、项目资金管理制度等业务管理制度，对项目管理职责、申报与组织实施、项目资金的管理、监督检查与验收等进行了规定，明确工作职责、项目实施细则、考核办法等。项目资金严格按指定用途专款专用，并接受财政部门或上级部门的检查、验收。2021年本单位项目支出，基本能够严格按照相关制度规定等进行。</w:t>
      </w:r>
    </w:p>
    <w:p>
      <w:pPr>
        <w:widowControl/>
        <w:shd w:val="clear" w:color="auto" w:fill="FFFFFF"/>
        <w:spacing w:line="600" w:lineRule="atLeast"/>
        <w:ind w:firstLine="632" w:firstLineChars="200"/>
        <w:rPr>
          <w:rFonts w:hint="eastAsia" w:ascii="黑体" w:hAnsi="黑体" w:eastAsia="黑体" w:cs="黑体"/>
          <w:bCs/>
          <w:spacing w:val="-2"/>
          <w:sz w:val="32"/>
          <w:szCs w:val="21"/>
        </w:rPr>
      </w:pPr>
      <w:r>
        <w:rPr>
          <w:rFonts w:hint="eastAsia" w:ascii="黑体" w:hAnsi="黑体" w:eastAsia="黑体" w:cs="黑体"/>
          <w:bCs/>
          <w:spacing w:val="-2"/>
          <w:sz w:val="32"/>
          <w:szCs w:val="32"/>
        </w:rPr>
        <w:t>四、资产管理情况</w:t>
      </w:r>
    </w:p>
    <w:p>
      <w:pPr>
        <w:pStyle w:val="8"/>
        <w:shd w:val="clear" w:color="auto" w:fill="FFFFFF"/>
        <w:spacing w:beforeAutospacing="0" w:afterAutospacing="0" w:line="360" w:lineRule="auto"/>
        <w:ind w:firstLine="707" w:firstLineChars="221"/>
        <w:jc w:val="both"/>
        <w:rPr>
          <w:rFonts w:hint="eastAsia" w:ascii="Times New Roman" w:hAnsi="Times New Roman" w:eastAsia="仿宋_GB2312"/>
          <w:sz w:val="32"/>
          <w:szCs w:val="32"/>
        </w:rPr>
      </w:pPr>
      <w:r>
        <w:rPr>
          <w:rFonts w:hint="eastAsia" w:ascii="Times New Roman" w:hAnsi="Times New Roman" w:eastAsia="仿宋_GB2312"/>
          <w:sz w:val="32"/>
          <w:szCs w:val="32"/>
        </w:rPr>
        <w:t xml:space="preserve">我馆根据《行政事业单位内部控制规范（试行）》、《事 业单位国有资产管理暂行办法》及省、市有关规定，制定了《固定资产管理》等制度，及时入账，定期盘点清查，按要求编报资产月报与年报。 </w:t>
      </w:r>
    </w:p>
    <w:p>
      <w:pPr>
        <w:pStyle w:val="8"/>
        <w:shd w:val="clear" w:color="auto" w:fill="FFFFFF"/>
        <w:spacing w:beforeAutospacing="0" w:afterAutospacing="0" w:line="360" w:lineRule="auto"/>
        <w:ind w:firstLine="707" w:firstLineChars="221"/>
        <w:jc w:val="both"/>
        <w:rPr>
          <w:rFonts w:hint="eastAsia" w:ascii="Times New Roman" w:hAnsi="Times New Roman" w:eastAsia="仿宋_GB2312"/>
          <w:sz w:val="32"/>
          <w:szCs w:val="32"/>
        </w:rPr>
      </w:pPr>
      <w:r>
        <w:rPr>
          <w:rFonts w:hint="eastAsia" w:ascii="Times New Roman" w:hAnsi="Times New Roman" w:eastAsia="仿宋_GB2312"/>
          <w:sz w:val="32"/>
          <w:szCs w:val="32"/>
        </w:rPr>
        <w:t>截至2021年12月31日，我单位固定资产原值421.29万元，累计折旧328.86万元，账面净值92.42万元。</w:t>
      </w:r>
    </w:p>
    <w:p>
      <w:pPr>
        <w:widowControl/>
        <w:numPr>
          <w:ilvl w:val="0"/>
          <w:numId w:val="3"/>
        </w:numPr>
        <w:shd w:val="clear" w:color="auto" w:fill="FFFFFF"/>
        <w:spacing w:line="600" w:lineRule="atLeast"/>
        <w:ind w:firstLine="640"/>
        <w:rPr>
          <w:rFonts w:hint="eastAsia" w:ascii="黑体" w:hAnsi="黑体" w:eastAsia="黑体" w:cs="黑体"/>
          <w:bCs/>
          <w:spacing w:val="-2"/>
          <w:sz w:val="32"/>
          <w:szCs w:val="32"/>
        </w:rPr>
      </w:pPr>
      <w:r>
        <w:rPr>
          <w:rFonts w:hint="eastAsia" w:ascii="黑体" w:hAnsi="黑体" w:eastAsia="黑体" w:cs="黑体"/>
          <w:bCs/>
          <w:spacing w:val="-2"/>
          <w:sz w:val="32"/>
          <w:szCs w:val="32"/>
        </w:rPr>
        <w:t>部门整体支出绩效情况</w:t>
      </w:r>
    </w:p>
    <w:p>
      <w:pPr>
        <w:widowControl/>
        <w:shd w:val="clear" w:color="auto" w:fill="FFFFFF"/>
        <w:spacing w:line="360" w:lineRule="auto"/>
        <w:ind w:firstLine="64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（一）经济性分析</w:t>
      </w:r>
    </w:p>
    <w:p>
      <w:pPr>
        <w:widowControl/>
        <w:shd w:val="clear" w:color="auto" w:fill="FFFFFF"/>
        <w:spacing w:line="360" w:lineRule="auto"/>
        <w:ind w:firstLine="64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1、预算配置控制较好。财政供养人员控制在预算编制内，编制内在职人员控制率100%，未超过控制标准。</w:t>
      </w:r>
    </w:p>
    <w:p>
      <w:pPr>
        <w:widowControl/>
        <w:shd w:val="clear" w:color="auto" w:fill="FFFFFF"/>
        <w:spacing w:line="360" w:lineRule="auto"/>
        <w:ind w:firstLine="64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预算执行与管理。2021年财政决算收入375.77万元，其中：一般公共预算财政拨款收入353.78万元，其他收入0.50万元，上年结转21.49万元；决算支出为375.77万元，其中基本支出312.67万元、项目支出63.10万元，公用经费、三公经费等相关支出均未超过控制标准。</w:t>
      </w:r>
    </w:p>
    <w:p>
      <w:pPr>
        <w:widowControl/>
        <w:shd w:val="clear" w:color="auto" w:fill="FFFFFF"/>
        <w:spacing w:line="360" w:lineRule="auto"/>
        <w:ind w:firstLine="64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（二）有效性和效率性分析</w:t>
      </w:r>
    </w:p>
    <w:p>
      <w:pPr>
        <w:pStyle w:val="17"/>
        <w:ind w:firstLine="640"/>
        <w:rPr>
          <w:rFonts w:ascii="Times New Roman" w:hAnsi="Times New Roman" w:eastAsia="仿宋_GB2312"/>
          <w:kern w:val="0"/>
          <w:sz w:val="32"/>
          <w:szCs w:val="32"/>
        </w:rPr>
      </w:pPr>
      <w:r>
        <w:rPr>
          <w:rFonts w:hint="eastAsia" w:ascii="Times New Roman" w:hAnsi="Times New Roman" w:eastAsia="仿宋_GB2312"/>
          <w:kern w:val="0"/>
          <w:sz w:val="32"/>
          <w:szCs w:val="32"/>
        </w:rPr>
        <w:t>通过对2021全年工作进行梳理和总结，我馆2021年主要产出和效益如下：</w:t>
      </w:r>
    </w:p>
    <w:p>
      <w:pPr>
        <w:pStyle w:val="18"/>
        <w:overflowPunct w:val="0"/>
        <w:ind w:firstLine="640"/>
        <w:rPr>
          <w:rFonts w:ascii="Times New Roman" w:hAnsi="Times New Roman" w:eastAsia="仿宋_GB2312" w:cs="Times New Roman"/>
          <w:kern w:val="0"/>
        </w:rPr>
      </w:pPr>
      <w:r>
        <w:rPr>
          <w:rFonts w:hint="eastAsia" w:ascii="仿宋_GB2312" w:hAnsi="仿宋_GB2312" w:eastAsia="仿宋_GB2312" w:cs="仿宋_GB2312"/>
          <w:b/>
          <w:bCs/>
        </w:rPr>
        <w:t>1、深入贯彻落实习近平总书记对档案工作的重要批示精神，抓好新修订档案法的学习贯彻。</w:t>
      </w:r>
      <w:r>
        <w:rPr>
          <w:rFonts w:hint="eastAsia" w:ascii="Times New Roman" w:hAnsi="Times New Roman" w:eastAsia="仿宋_GB2312" w:cs="Times New Roman"/>
          <w:kern w:val="0"/>
        </w:rPr>
        <w:t>深入学习领会习近平总书记关于档案工作的重要论述，尤其是对档案工作的重要批示精神，深刻领会其蕴含的思想精髓、科学内涵，把论述和重要批示作为新时代档案工作的科学指引和强大思想武器，市委书记雷绍业专门就贯彻落实习近平总书记批示精神作出批示， 8月20日市委常委会理论学习中心组（扩大）专题进行了学习，并就落实措施进行了专门部署。结合学习贯彻新修订档案法，我们把批示精神纳入党组中心组学习，档案法纳入了年度学法内容，组织全市档案干部对批示和档案法进行了深入学习，进行了考试。</w:t>
      </w:r>
    </w:p>
    <w:p>
      <w:pPr>
        <w:pStyle w:val="18"/>
        <w:overflowPunct w:val="0"/>
        <w:ind w:firstLine="640"/>
        <w:rPr>
          <w:rFonts w:hint="eastAsia" w:ascii="Times New Roman" w:hAnsi="Times New Roman" w:eastAsia="仿宋_GB2312" w:cs="Times New Roman"/>
          <w:kern w:val="0"/>
        </w:rPr>
      </w:pPr>
      <w:r>
        <w:rPr>
          <w:rFonts w:hint="eastAsia" w:ascii="仿宋_GB2312" w:hAnsi="仿宋_GB2312" w:eastAsia="仿宋_GB2312" w:cs="仿宋_GB2312"/>
          <w:b/>
          <w:bCs/>
        </w:rPr>
        <w:t>2、抓紧抓实党史学习教育。</w:t>
      </w:r>
      <w:r>
        <w:rPr>
          <w:rFonts w:hint="eastAsia" w:ascii="Times New Roman" w:hAnsi="Times New Roman" w:eastAsia="仿宋_GB2312" w:cs="Times New Roman"/>
          <w:kern w:val="0"/>
        </w:rPr>
        <w:t>一是高度重视，馆党组把党史学习教育当大事来抓。高起点部署，高标准推进。及时召开了党组会议，进行了专题研究，拟定怀化市档案馆党史学习教育实施方案和“我为群众办实事”实践活动工作方案。组织召开全馆干部职工大会，传达了学习习近平总书记在党史学习教育动员会上的重要讲话精神，对我馆党史学习教育进行部署，给全体干部职工发放了《中国共产党党史》等四本必学书籍，明确了每名党组成员要结合党史学习教育每个专题给全体党员干部上一堂专题党课，要求党员干部认真学习、做好笔记，增强理论素养。二是对标对表抓好每个专题的学习落实。班子成员带头学。根据学习教育安排馆党组组织了四次专题学习研讨会，按要求扎实学习了每个专题的学习内容，班子成员带头认真撰写心得体会，积极带头讨论发言，党组成员每人结合工作实际上了一堂专题党课。三是充分利用红色资源带着感情学。3月份，组织全体党员到麻阳县开展党史学习教育第一专题现场教学。5月份，组织全体党员赴安江农校开展党史学习教育第三专题现场教学。通过现场教学，进一步焕发出了我馆党员干部服务中心、服务大局、服务民生的热情。四是加强领导，积极为群众办实事开新局。认真组织为群众办一件实事。以“学党史悟思想办实事，建设整洁美丽新小区”实践活动为载体，全体党员干部为林工商小区清除了卫生死角，种植了花苗，美化了环境，小区变得更加干净、整洁、舒适。结合助力乡村振兴，向乡村振兴结对村——会同县坪村镇枫木村捐赠电脑10余台，捐款2400元，为乡村振兴结对村粟裕希望小学购买了一批文体用品。切实为乡村振兴战略提供坚实支撑。依托机关、社区联合共建，开展“微心愿”活动，慰问困难党员6名，慰问金3600元，给他们带去党组织的一份温暖；开展“我为群众办实事—点亮微心愿，公益慈善募捐2050元。</w:t>
      </w:r>
    </w:p>
    <w:p>
      <w:pPr>
        <w:pStyle w:val="18"/>
        <w:ind w:firstLine="640" w:firstLineChars="200"/>
        <w:rPr>
          <w:rFonts w:hint="eastAsia" w:ascii="Times New Roman" w:hAnsi="Times New Roman" w:eastAsia="仿宋_GB2312" w:cs="Times New Roman"/>
          <w:kern w:val="0"/>
        </w:rPr>
      </w:pPr>
      <w:r>
        <w:rPr>
          <w:rFonts w:hint="eastAsia" w:ascii="仿宋_GB2312" w:hAnsi="仿宋_GB2312" w:eastAsia="仿宋_GB2312" w:cs="仿宋_GB2312"/>
          <w:b/>
          <w:bCs/>
        </w:rPr>
        <w:t>3、扩容提质，强化档案资源建设。</w:t>
      </w:r>
      <w:r>
        <w:rPr>
          <w:rFonts w:hint="eastAsia" w:ascii="Times New Roman" w:hAnsi="Times New Roman" w:eastAsia="仿宋_GB2312" w:cs="Times New Roman"/>
          <w:kern w:val="0"/>
        </w:rPr>
        <w:t>一是加强档案接收。全年共接收到怀化市商务局、粮食局、市纪委等9个单位档案1434卷16484件。以举办展览为契机，接收党史研究室党史资料10余册，从市扶贫办、市一医院、市交通局等单位收集到脱贫攻坚、疫情防控等照片资料（1G）。二是深挖红色资源。我们谨记习总书记“四个好”“两个服务”的嘱托，大力挖掘红色资源，用好红色资源。以举办展览为契机，征集到党史资料10余册、图片300余幅，抗美援朝老战士等口述档案53份。下半年，我们征集到红军长征、湘西剿匪、抗美援朝等内容的红色档案资料及实物22件，为用好红色资源奠定了良好的物资基础。三是抓好基础设施建设，确保档案库房安全。年初，我馆接收市住房保障服务中心档案密集架322余组，我馆补充118组，用于建设六楼档案标准化库房，目前财政拨款45万已经到位，正进行竞争性谈判相关工作，争取在春节前完工。我馆始终注重档案安全，坚持库房安全巡查制度，节假日前馆长亲自带队检查，并进行台账登记。6月份及时对五楼库房东头漏水墙面进行了维修。</w:t>
      </w:r>
    </w:p>
    <w:p>
      <w:pPr>
        <w:widowControl/>
        <w:shd w:val="clear" w:color="auto" w:fill="FFFFFF"/>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4、抓实档案保管利用服务。</w:t>
      </w:r>
      <w:r>
        <w:rPr>
          <w:rFonts w:hint="eastAsia" w:ascii="仿宋_GB2312" w:hAnsi="仿宋_GB2312" w:eastAsia="仿宋_GB2312" w:cs="仿宋_GB2312"/>
          <w:sz w:val="32"/>
          <w:szCs w:val="32"/>
        </w:rPr>
        <w:t>一是大力提升服务质量，及时帮助群众解难消困。按上级疫情防控要求，张贴温馨提示，给查阅利用者准备了口罩，主动为档案利用者提供人性化服务。开通绿色查阅通道，广大市民群众可以进行电话查档，工作人员经常放弃休息时间加班为查阅者查找档案，做好了档案查阅利用的延伸服务，一年来共接待查阅利用者1137人次，利用档案4619卷1428件，复印档案5810页。二是充分利用档案资源为群众做好宣传。用好用活档案资源，配合做好党史、新中国史、改革开放史教育。向社会开放《七千年文明、四十载巨变》怀化历史与发展固定陈列展。结合6·9国际档案日宣传，举办“档案见证百年历程”图片展助力党史学习教育，开展党史学习教育宣传“三进”活动（进机关、社区、进学校）先后在香洲广场、市委大院、杨村社区、怀化职院、宏宇小学、怀化三中、四中等地举办展览，参观展览12000余人次，600人次咨询，发放资料3000份。加强档案法制宣传。并制作了新修订的《中华人民共和国档案法》小册子和展板配合宣传。三是加强爱国主义教育基地作用发挥。我馆举办的《怀化历史与城市发展主题展》被指导组推荐为党史教育学习基地。5月份，接待市林业局机关第二党支部一行30人来参观展览。为更好地实现档案“记录历史、传承文明”的公共文化服务价值，搞好我市社会科学普及宣传，我馆于4月初申报怀化市社会科学普及基地，现已成功获批。</w:t>
      </w:r>
    </w:p>
    <w:p>
      <w:pPr>
        <w:widowControl/>
        <w:shd w:val="clear" w:color="auto" w:fill="FFFFFF"/>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5、着力推进档案信息化建设。</w:t>
      </w:r>
      <w:r>
        <w:rPr>
          <w:rFonts w:hint="eastAsia" w:ascii="仿宋_GB2312" w:hAnsi="仿宋_GB2312" w:eastAsia="仿宋_GB2312" w:cs="仿宋_GB2312"/>
          <w:sz w:val="32"/>
          <w:szCs w:val="32"/>
        </w:rPr>
        <w:t>一是加强档案数据库建设。进一步完善了本馆馆藏档案数据库，完善“重大活动”和“重大事件”两个专题目录数据库。重点对脱贫攻坚和疫情防控两类档案进行了收集和目录上报，配合市档案局工作，对各市直单位及各县市区档案馆进行指导，并下麻阳县档案馆在县直单位的两类档案目录上报培训班进行授课指导。对市直单位上报的两类档案进行电话及网上指导近二百余次。二是积极争取项目资金。参与湖南政权建设与党和国家领导人关怀湖南档案专题数据库的资金申报，获得省财政专项拨款8万元，这项工作已在12月底前获省档案局验收完工。</w:t>
      </w:r>
    </w:p>
    <w:p>
      <w:pPr>
        <w:widowControl/>
        <w:shd w:val="clear" w:color="auto" w:fill="FFFFFF"/>
        <w:spacing w:line="360" w:lineRule="auto"/>
        <w:ind w:firstLine="64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6、抓实抓好档案征集编研和学会工作。</w:t>
      </w:r>
      <w:r>
        <w:rPr>
          <w:rFonts w:hint="eastAsia" w:ascii="仿宋_GB2312" w:hAnsi="仿宋_GB2312" w:eastAsia="仿宋_GB2312" w:cs="仿宋_GB2312"/>
          <w:sz w:val="32"/>
          <w:szCs w:val="32"/>
        </w:rPr>
        <w:t>一是征集《高庙伏羲古国哲学思想史考》等其他内容书籍500余册、反映怀化本地民俗风情的照片78组500余幅，征集到我市畜牧专家瞿万寿三高草科研档案约20卷；征集到我市易经专家向梦孙手稿《草堆集》之（一）；征集到的市政府系统印章档案，接待市人防办、城东派出所等印章档案。二是积极开展红色档案资源收集报送工作，并经市委党史研究室审核通过，按时向省委办公厅报送了《档案话党史》怀化红色档案五个专题资料。三是撰写论文两篇，其中《开启万世太平，湘西剿匪辉煌胜利的奇迹》（约11000字）参加中国档案学会论文评审，《湘西巨头匪首顽梗中的美国背景》（约6500字）参加省档案学会论文评审，获二等奖。四是组织开展中国档案学会和省档案学会论文申报工作，累计上报10篇论文，其中我馆论文首次获中国人民大学组织评审优秀论文二等奖，开创历史先河，并受邀赴上海参加学术交流。五是组织发动全市档案人员积极参加全省党史档案知识竞赛，怀化市档案会获省优秀组织奖。</w:t>
      </w:r>
    </w:p>
    <w:p>
      <w:pPr>
        <w:widowControl/>
        <w:shd w:val="clear" w:color="auto" w:fill="FFFFFF"/>
        <w:spacing w:line="360" w:lineRule="auto"/>
        <w:ind w:firstLine="640"/>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（三）可持续性分析</w:t>
      </w:r>
    </w:p>
    <w:p>
      <w:pPr>
        <w:pStyle w:val="18"/>
        <w:ind w:firstLine="640" w:firstLineChars="200"/>
        <w:rPr>
          <w:rFonts w:ascii="Times New Roman" w:hAnsi="Times New Roman" w:eastAsia="仿宋_GB2312" w:cs="Times New Roman"/>
          <w:kern w:val="0"/>
        </w:rPr>
      </w:pPr>
      <w:r>
        <w:rPr>
          <w:rFonts w:hint="eastAsia" w:ascii="Times New Roman" w:hAnsi="Times New Roman" w:eastAsia="仿宋_GB2312" w:cs="Times New Roman"/>
          <w:kern w:val="0"/>
        </w:rPr>
        <w:t>1、推进档案资源建设。进一步丰富和完善档案馆藏，特别是加大脱贫攻坚和疫情防控两类档案的接收、征集力度，开展多渠道多方位的广泛收集。</w:t>
      </w:r>
    </w:p>
    <w:p>
      <w:pPr>
        <w:pStyle w:val="18"/>
        <w:ind w:firstLine="640" w:firstLineChars="200"/>
        <w:rPr>
          <w:rFonts w:hint="eastAsia" w:ascii="Times New Roman" w:hAnsi="Times New Roman" w:eastAsia="仿宋_GB2312" w:cs="Times New Roman"/>
          <w:kern w:val="0"/>
        </w:rPr>
      </w:pPr>
      <w:r>
        <w:rPr>
          <w:rFonts w:hint="eastAsia" w:ascii="Times New Roman" w:hAnsi="Times New Roman" w:eastAsia="仿宋_GB2312" w:cs="Times New Roman"/>
          <w:kern w:val="0"/>
        </w:rPr>
        <w:t>2、加快馆藏档案数字化进程。一是加强市直单位档案移交中的数字化验收工作。二是严格把握脱贫、抗疫两类档案数据库的质量关，做好市直单位及各县市区档案馆的上报数据库的指导和验收。</w:t>
      </w:r>
    </w:p>
    <w:p>
      <w:pPr>
        <w:pStyle w:val="18"/>
        <w:ind w:firstLine="640" w:firstLineChars="200"/>
        <w:rPr>
          <w:rFonts w:ascii="Times New Roman" w:hAnsi="Times New Roman" w:eastAsia="仿宋_GB2312" w:cs="Times New Roman"/>
          <w:kern w:val="0"/>
        </w:rPr>
      </w:pPr>
      <w:r>
        <w:rPr>
          <w:rFonts w:hint="eastAsia" w:ascii="Times New Roman" w:hAnsi="Times New Roman" w:eastAsia="仿宋_GB2312" w:cs="Times New Roman"/>
          <w:kern w:val="0"/>
        </w:rPr>
        <w:t>3、</w:t>
      </w:r>
      <w:r>
        <w:rPr>
          <w:rFonts w:ascii="Times New Roman" w:hAnsi="Times New Roman" w:eastAsia="仿宋_GB2312" w:cs="Times New Roman"/>
          <w:kern w:val="0"/>
        </w:rPr>
        <w:t>切实加强馆藏档案、信息安全。强化档案安全和防范意识，大力推进安全保密建设，始终不懈地抓好档案库房、档案信息和档案利用的安全工作，确保万无一失</w:t>
      </w:r>
      <w:r>
        <w:rPr>
          <w:rFonts w:hint="eastAsia" w:ascii="Times New Roman" w:hAnsi="Times New Roman" w:eastAsia="仿宋_GB2312" w:cs="Times New Roman"/>
          <w:kern w:val="0"/>
        </w:rPr>
        <w:t>。</w:t>
      </w:r>
    </w:p>
    <w:p>
      <w:pPr>
        <w:widowControl/>
        <w:shd w:val="clear" w:color="auto" w:fill="FFFFFF"/>
        <w:spacing w:line="600" w:lineRule="atLeast"/>
        <w:ind w:left="640"/>
        <w:rPr>
          <w:rFonts w:hint="eastAsia" w:ascii="黑体" w:hAnsi="黑体" w:eastAsia="黑体" w:cs="黑体"/>
          <w:bCs/>
          <w:spacing w:val="-2"/>
          <w:sz w:val="32"/>
          <w:szCs w:val="32"/>
        </w:rPr>
      </w:pPr>
      <w:r>
        <w:rPr>
          <w:rFonts w:hint="eastAsia" w:ascii="黑体" w:hAnsi="黑体" w:eastAsia="黑体" w:cs="黑体"/>
          <w:bCs/>
          <w:spacing w:val="-2"/>
          <w:sz w:val="32"/>
          <w:szCs w:val="32"/>
        </w:rPr>
        <w:t>六、综合评价情况及评价结论</w:t>
      </w:r>
    </w:p>
    <w:p>
      <w:pPr>
        <w:pStyle w:val="8"/>
        <w:adjustRightInd w:val="0"/>
        <w:snapToGrid w:val="0"/>
        <w:spacing w:beforeAutospacing="0" w:afterAutospacing="0" w:line="600" w:lineRule="exact"/>
        <w:ind w:firstLine="640" w:firstLineChars="200"/>
        <w:jc w:val="both"/>
      </w:pPr>
      <w:r>
        <w:rPr>
          <w:rFonts w:ascii="Times New Roman" w:hAnsi="Times New Roman" w:eastAsia="仿宋_GB2312"/>
          <w:kern w:val="2"/>
          <w:sz w:val="32"/>
          <w:szCs w:val="32"/>
        </w:rPr>
        <w:t>我</w:t>
      </w:r>
      <w:r>
        <w:rPr>
          <w:rFonts w:hint="eastAsia" w:ascii="Times New Roman" w:hAnsi="Times New Roman" w:eastAsia="仿宋_GB2312"/>
          <w:kern w:val="2"/>
          <w:sz w:val="32"/>
          <w:szCs w:val="32"/>
        </w:rPr>
        <w:t>馆</w:t>
      </w:r>
      <w:r>
        <w:rPr>
          <w:rFonts w:ascii="Times New Roman" w:hAnsi="Times New Roman" w:eastAsia="仿宋_GB2312"/>
          <w:kern w:val="2"/>
          <w:sz w:val="32"/>
          <w:szCs w:val="32"/>
        </w:rPr>
        <w:t>积极组织实施了20</w:t>
      </w:r>
      <w:r>
        <w:rPr>
          <w:rFonts w:hint="eastAsia" w:ascii="Times New Roman" w:hAnsi="Times New Roman" w:eastAsia="仿宋_GB2312"/>
          <w:kern w:val="2"/>
          <w:sz w:val="32"/>
          <w:szCs w:val="32"/>
        </w:rPr>
        <w:t>21</w:t>
      </w:r>
      <w:r>
        <w:rPr>
          <w:rFonts w:ascii="Times New Roman" w:hAnsi="Times New Roman" w:eastAsia="仿宋_GB2312"/>
          <w:kern w:val="2"/>
          <w:sz w:val="32"/>
          <w:szCs w:val="32"/>
        </w:rPr>
        <w:t>年度专项资金管理，建立了专项资金和项目管理制度，规范了实施程序，较好地完成了20</w:t>
      </w:r>
      <w:r>
        <w:rPr>
          <w:rFonts w:hint="eastAsia" w:ascii="Times New Roman" w:hAnsi="Times New Roman" w:eastAsia="仿宋_GB2312"/>
          <w:kern w:val="2"/>
          <w:sz w:val="32"/>
          <w:szCs w:val="32"/>
        </w:rPr>
        <w:t>21</w:t>
      </w:r>
      <w:r>
        <w:rPr>
          <w:rFonts w:ascii="Times New Roman" w:hAnsi="Times New Roman" w:eastAsia="仿宋_GB2312"/>
          <w:kern w:val="2"/>
          <w:sz w:val="32"/>
          <w:szCs w:val="32"/>
        </w:rPr>
        <w:t>年度工作目标，但仍存在</w:t>
      </w:r>
      <w:r>
        <w:rPr>
          <w:rFonts w:hint="eastAsia" w:ascii="Times New Roman" w:hAnsi="Times New Roman" w:eastAsia="仿宋_GB2312"/>
          <w:kern w:val="2"/>
          <w:sz w:val="32"/>
          <w:szCs w:val="32"/>
        </w:rPr>
        <w:t>绩效管理理念待加强、预算调整率偏高</w:t>
      </w:r>
      <w:r>
        <w:rPr>
          <w:rFonts w:ascii="Times New Roman" w:hAnsi="Times New Roman" w:eastAsia="仿宋_GB2312"/>
          <w:kern w:val="2"/>
          <w:sz w:val="32"/>
          <w:szCs w:val="32"/>
        </w:rPr>
        <w:t>等问题。根据《部门整体支出绩效评价指标表》，20</w:t>
      </w:r>
      <w:r>
        <w:rPr>
          <w:rFonts w:hint="eastAsia" w:ascii="Times New Roman" w:hAnsi="Times New Roman" w:eastAsia="仿宋_GB2312"/>
          <w:kern w:val="2"/>
          <w:sz w:val="32"/>
          <w:szCs w:val="32"/>
        </w:rPr>
        <w:t>21</w:t>
      </w:r>
      <w:r>
        <w:rPr>
          <w:rFonts w:ascii="Times New Roman" w:hAnsi="Times New Roman" w:eastAsia="仿宋_GB2312"/>
          <w:kern w:val="2"/>
          <w:sz w:val="32"/>
          <w:szCs w:val="32"/>
        </w:rPr>
        <w:t>年度部门整体绩效自评综合评分为</w:t>
      </w:r>
      <w:r>
        <w:rPr>
          <w:rFonts w:hint="eastAsia" w:ascii="Times New Roman" w:hAnsi="Times New Roman" w:eastAsia="仿宋_GB2312"/>
          <w:sz w:val="32"/>
          <w:szCs w:val="32"/>
        </w:rPr>
        <w:t>96</w:t>
      </w:r>
      <w:r>
        <w:rPr>
          <w:rFonts w:ascii="Times New Roman" w:hAnsi="Times New Roman" w:eastAsia="仿宋_GB2312"/>
          <w:sz w:val="32"/>
          <w:szCs w:val="32"/>
        </w:rPr>
        <w:t>分</w:t>
      </w:r>
      <w:r>
        <w:rPr>
          <w:rFonts w:ascii="Times New Roman" w:hAnsi="Times New Roman" w:eastAsia="仿宋_GB2312"/>
          <w:kern w:val="2"/>
          <w:sz w:val="32"/>
          <w:szCs w:val="32"/>
        </w:rPr>
        <w:t>，</w:t>
      </w:r>
      <w:r>
        <w:rPr>
          <w:rFonts w:ascii="Times New Roman" w:hAnsi="Times New Roman" w:eastAsia="仿宋_GB2312"/>
          <w:sz w:val="32"/>
          <w:szCs w:val="32"/>
        </w:rPr>
        <w:t>评价等级为“</w:t>
      </w:r>
      <w:r>
        <w:rPr>
          <w:rFonts w:hint="eastAsia" w:ascii="Times New Roman" w:hAnsi="Times New Roman" w:eastAsia="仿宋_GB2312"/>
          <w:sz w:val="32"/>
          <w:szCs w:val="32"/>
        </w:rPr>
        <w:t>优</w:t>
      </w:r>
      <w:r>
        <w:rPr>
          <w:rFonts w:ascii="Times New Roman" w:hAnsi="Times New Roman" w:eastAsia="仿宋_GB2312"/>
          <w:sz w:val="32"/>
          <w:szCs w:val="32"/>
        </w:rPr>
        <w:t>”</w:t>
      </w:r>
      <w:r>
        <w:rPr>
          <w:rFonts w:ascii="Times New Roman" w:hAnsi="Times New Roman" w:eastAsia="仿宋_GB2312"/>
          <w:kern w:val="2"/>
          <w:sz w:val="32"/>
          <w:szCs w:val="32"/>
        </w:rPr>
        <w:t>。</w:t>
      </w:r>
    </w:p>
    <w:p>
      <w:pPr>
        <w:widowControl/>
        <w:shd w:val="clear" w:color="auto" w:fill="FFFFFF"/>
        <w:spacing w:line="600" w:lineRule="atLeast"/>
        <w:ind w:left="640"/>
      </w:pPr>
      <w:r>
        <w:rPr>
          <w:rFonts w:hint="eastAsia" w:ascii="黑体" w:hAnsi="黑体" w:eastAsia="黑体" w:cs="黑体"/>
          <w:bCs/>
          <w:spacing w:val="-2"/>
          <w:sz w:val="32"/>
          <w:szCs w:val="32"/>
        </w:rPr>
        <w:t>七、存在的主要问题</w:t>
      </w:r>
    </w:p>
    <w:p>
      <w:pPr>
        <w:pStyle w:val="6"/>
        <w:ind w:firstLine="640" w:firstLineChars="200"/>
        <w:rPr>
          <w:rFonts w:hint="eastAsia" w:ascii="楷体_GB2312" w:hAnsi="楷体_GB2312" w:eastAsia="楷体_GB2312" w:cs="楷体_GB2312"/>
        </w:rPr>
      </w:pPr>
      <w:r>
        <w:rPr>
          <w:rFonts w:hint="eastAsia" w:ascii="楷体_GB2312" w:hAnsi="楷体_GB2312" w:eastAsia="楷体_GB2312" w:cs="楷体_GB2312"/>
          <w:sz w:val="32"/>
          <w:szCs w:val="32"/>
        </w:rPr>
        <w:t>（一）绩效管理理念待加强</w:t>
      </w:r>
    </w:p>
    <w:p>
      <w:pPr>
        <w:spacing w:line="600" w:lineRule="exact"/>
        <w:ind w:firstLine="640" w:firstLineChars="200"/>
        <w:rPr>
          <w:rFonts w:hint="eastAsia" w:ascii="Times New Roman" w:hAnsi="Times New Roman" w:eastAsia="仿宋_GB2312" w:cs="Arial"/>
          <w:b/>
          <w:bCs/>
          <w:snapToGrid w:val="0"/>
          <w:color w:val="000000"/>
          <w:kern w:val="0"/>
          <w:sz w:val="32"/>
          <w:szCs w:val="32"/>
        </w:rPr>
      </w:pPr>
      <w:r>
        <w:rPr>
          <w:rFonts w:hint="eastAsia" w:ascii="Times New Roman" w:hAnsi="Times New Roman" w:eastAsia="仿宋_GB2312" w:cs="Times New Roman"/>
          <w:sz w:val="32"/>
          <w:szCs w:val="32"/>
        </w:rPr>
        <w:t>通过组织对财政局绩效评价政策文件的不断学习，我单位已逐渐树立了绩效目标管理观念，但绩效管理意识还有待加强，各项目部门需要进一步将绩效目标和预算相结合，在年初报预算时，设置更加详细、合理、可衡量的绩效目标。</w:t>
      </w:r>
    </w:p>
    <w:p>
      <w:pPr>
        <w:pStyle w:val="6"/>
        <w:spacing w:line="6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（二）预算调整率偏高</w:t>
      </w:r>
    </w:p>
    <w:p>
      <w:pPr>
        <w:spacing w:line="600" w:lineRule="exact"/>
        <w:ind w:firstLine="640" w:firstLineChars="200"/>
      </w:pPr>
      <w:r>
        <w:rPr>
          <w:rFonts w:hint="eastAsia" w:ascii="Times New Roman" w:hAnsi="Times New Roman" w:eastAsia="仿宋_GB2312" w:cs="Times New Roman"/>
          <w:sz w:val="32"/>
          <w:szCs w:val="32"/>
        </w:rPr>
        <w:t>年初预算有待科学合理，执行预算欠严格落实。经统计，2021年度本部门预算调整数为143.04万元，预算数为232.73万元，预算调整率=（预算调整数/预算数）×100%=61.46%，预算调整率偏高。</w:t>
      </w:r>
    </w:p>
    <w:p>
      <w:pPr>
        <w:widowControl/>
        <w:shd w:val="clear" w:color="auto" w:fill="FFFFFF"/>
        <w:spacing w:line="600" w:lineRule="atLeast"/>
        <w:ind w:left="640"/>
        <w:rPr>
          <w:rFonts w:hint="eastAsia" w:ascii="黑体" w:hAnsi="黑体" w:eastAsia="黑体" w:cs="黑体"/>
          <w:bCs/>
          <w:spacing w:val="-2"/>
          <w:sz w:val="32"/>
          <w:szCs w:val="32"/>
        </w:rPr>
      </w:pPr>
      <w:r>
        <w:rPr>
          <w:rFonts w:hint="eastAsia" w:ascii="黑体" w:hAnsi="黑体" w:eastAsia="黑体" w:cs="黑体"/>
          <w:bCs/>
          <w:spacing w:val="-2"/>
          <w:sz w:val="32"/>
          <w:szCs w:val="32"/>
        </w:rPr>
        <w:t>八、改进措施和有关建议</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以部门职能职责和绩效目标为基础，合理细化设置绩效目标，全面反映部门整体支出效益。对年初绩效目标各项内容填写规范、完整，有利于财政合理配置资源，节约财政资金，缓解供求矛盾，促进资源的有效配置。</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科学合理编制预算，严格执行预算。按照《预算法》及其实施条例的相关规定，参考上一年的预算执行情况和年度的收支预测科学编制预算，避免年中大幅调整预算。在预算执行中，严格按照预算科目支出，避免预算科目间的预算资金调剂，确需调剂的，按规定程序报经批准。遵循预算管理办法，对于年度无法预计的临时追加的相关工作所需费用严格按规定执行预算调整程序。</w:t>
      </w:r>
    </w:p>
    <w:p>
      <w:pPr>
        <w:pStyle w:val="17"/>
        <w:ind w:firstLine="640"/>
        <w:rPr>
          <w:rFonts w:hint="eastAsia"/>
        </w:rPr>
      </w:pPr>
      <w:r>
        <w:rPr>
          <w:rFonts w:hint="eastAsia" w:ascii="Times New Roman" w:hAnsi="Times New Roman" w:eastAsia="仿宋_GB2312"/>
          <w:kern w:val="0"/>
          <w:sz w:val="32"/>
          <w:szCs w:val="32"/>
        </w:rPr>
        <w:t>3、</w:t>
      </w:r>
      <w:r>
        <w:rPr>
          <w:rFonts w:ascii="Times New Roman" w:hAnsi="Times New Roman" w:eastAsia="仿宋_GB2312"/>
          <w:kern w:val="0"/>
          <w:sz w:val="32"/>
          <w:szCs w:val="32"/>
        </w:rPr>
        <w:t>加大队伍建设力度，提升人员业务水平。抓好档案队伍作风建设和人员教育培训。不断提高档案人员的学术水平，为我市档案事业又好又快发展提供智力和人才保障。</w:t>
      </w:r>
    </w:p>
    <w:p>
      <w:pPr>
        <w:spacing w:line="600" w:lineRule="exact"/>
        <w:ind w:firstLine="640" w:firstLineChars="200"/>
        <w:rPr>
          <w:rFonts w:hint="eastAsia" w:ascii="Times New Roman" w:hAnsi="Times New Roman" w:eastAsia="仿宋_GB2312" w:cs="Times New Roman"/>
          <w:sz w:val="32"/>
          <w:szCs w:val="32"/>
        </w:rPr>
      </w:pPr>
    </w:p>
    <w:p>
      <w:pPr>
        <w:spacing w:line="600" w:lineRule="exact"/>
        <w:ind w:firstLine="640" w:firstLineChars="200"/>
        <w:rPr>
          <w:rFonts w:hint="eastAsia" w:ascii="Times New Roman" w:hAnsi="Times New Roman" w:eastAsia="仿宋_GB2312" w:cs="Times New Roman"/>
          <w:sz w:val="32"/>
          <w:szCs w:val="32"/>
        </w:rPr>
      </w:pPr>
    </w:p>
    <w:p>
      <w:pPr>
        <w:spacing w:line="600" w:lineRule="exact"/>
        <w:ind w:firstLine="640" w:firstLineChars="200"/>
        <w:rPr>
          <w:rFonts w:hint="eastAsia" w:ascii="Times New Roman" w:hAnsi="Times New Roman" w:eastAsia="仿宋_GB2312" w:cs="Times New Roman"/>
          <w:sz w:val="32"/>
          <w:szCs w:val="32"/>
        </w:rPr>
      </w:pPr>
    </w:p>
    <w:p>
      <w:pPr>
        <w:pStyle w:val="6"/>
        <w:rPr>
          <w:rFonts w:hint="eastAsia" w:ascii="Times New Roman" w:hAnsi="Times New Roman" w:eastAsia="仿宋_GB2312" w:cs="Times New Roman"/>
          <w:sz w:val="32"/>
          <w:szCs w:val="32"/>
        </w:rPr>
      </w:pPr>
    </w:p>
    <w:p>
      <w:pPr>
        <w:pStyle w:val="4"/>
        <w:rPr>
          <w:rFonts w:hint="eastAsia"/>
        </w:rPr>
      </w:pPr>
    </w:p>
    <w:p>
      <w:pPr>
        <w:rPr>
          <w:rFonts w:hint="eastAsia"/>
        </w:rPr>
      </w:pPr>
    </w:p>
    <w:p>
      <w:pPr>
        <w:pStyle w:val="6"/>
        <w:rPr>
          <w:rFonts w:hint="eastAsia"/>
        </w:rPr>
      </w:pPr>
    </w:p>
    <w:p>
      <w:pPr>
        <w:pStyle w:val="4"/>
        <w:rPr>
          <w:rFonts w:hint="eastAsia"/>
        </w:rPr>
      </w:pPr>
    </w:p>
    <w:p>
      <w:pPr>
        <w:rPr>
          <w:rFonts w:hint="eastAsia"/>
        </w:rPr>
      </w:pPr>
    </w:p>
    <w:p>
      <w:pPr>
        <w:pStyle w:val="6"/>
        <w:rPr>
          <w:rFonts w:hint="eastAsia"/>
        </w:rPr>
      </w:pPr>
    </w:p>
    <w:p>
      <w:pPr>
        <w:jc w:val="left"/>
        <w:rPr>
          <w:rFonts w:eastAsia="黑体"/>
          <w:sz w:val="32"/>
          <w:szCs w:val="32"/>
        </w:rPr>
      </w:pPr>
    </w:p>
    <w:p>
      <w:pPr>
        <w:jc w:val="left"/>
        <w:rPr>
          <w:rFonts w:eastAsia="黑体"/>
          <w:sz w:val="32"/>
          <w:szCs w:val="32"/>
        </w:rPr>
      </w:pPr>
    </w:p>
    <w:p>
      <w:pPr>
        <w:jc w:val="left"/>
        <w:rPr>
          <w:rFonts w:eastAsia="黑体"/>
          <w:sz w:val="32"/>
          <w:szCs w:val="32"/>
        </w:rPr>
      </w:pPr>
    </w:p>
    <w:p>
      <w:pPr>
        <w:jc w:val="left"/>
        <w:rPr>
          <w:rFonts w:eastAsia="黑体"/>
          <w:sz w:val="32"/>
          <w:szCs w:val="32"/>
        </w:rPr>
      </w:pPr>
    </w:p>
    <w:p>
      <w:pPr>
        <w:jc w:val="left"/>
        <w:rPr>
          <w:rFonts w:hint="eastAsia" w:eastAsia="黑体"/>
          <w:sz w:val="32"/>
          <w:szCs w:val="32"/>
        </w:rPr>
      </w:pPr>
    </w:p>
    <w:p>
      <w:pPr>
        <w:jc w:val="left"/>
        <w:rPr>
          <w:rFonts w:hint="eastAsia" w:eastAsia="黑体"/>
          <w:sz w:val="32"/>
          <w:szCs w:val="32"/>
        </w:rPr>
      </w:pPr>
    </w:p>
    <w:p>
      <w:pPr>
        <w:jc w:val="left"/>
        <w:rPr>
          <w:rFonts w:hint="eastAsia" w:eastAsia="黑体"/>
          <w:sz w:val="32"/>
          <w:szCs w:val="32"/>
        </w:rPr>
      </w:pPr>
    </w:p>
    <w:p>
      <w:pPr>
        <w:jc w:val="left"/>
        <w:rPr>
          <w:rFonts w:eastAsia="黑体"/>
          <w:sz w:val="32"/>
          <w:szCs w:val="32"/>
        </w:rPr>
      </w:pPr>
    </w:p>
    <w:p>
      <w:pPr>
        <w:jc w:val="left"/>
        <w:rPr>
          <w:rFonts w:eastAsia="黑体"/>
          <w:sz w:val="32"/>
          <w:szCs w:val="32"/>
        </w:rPr>
      </w:pPr>
    </w:p>
    <w:p>
      <w:pPr>
        <w:pStyle w:val="6"/>
        <w:rPr>
          <w:rFonts w:eastAsia="黑体"/>
          <w:sz w:val="32"/>
          <w:szCs w:val="32"/>
        </w:rPr>
      </w:pPr>
    </w:p>
    <w:p>
      <w:pPr>
        <w:pStyle w:val="6"/>
      </w:pPr>
    </w:p>
    <w:p>
      <w:pPr>
        <w:jc w:val="left"/>
        <w:rPr>
          <w:rFonts w:eastAsia="黑体"/>
          <w:sz w:val="32"/>
          <w:szCs w:val="32"/>
        </w:rPr>
      </w:pPr>
      <w:r>
        <w:rPr>
          <w:rFonts w:eastAsia="黑体"/>
          <w:sz w:val="32"/>
          <w:szCs w:val="32"/>
        </w:rPr>
        <w:t>附件</w:t>
      </w:r>
      <w:r>
        <w:rPr>
          <w:rFonts w:hint="eastAsia" w:eastAsia="黑体"/>
          <w:sz w:val="32"/>
          <w:szCs w:val="32"/>
        </w:rPr>
        <w:t>1：</w:t>
      </w:r>
    </w:p>
    <w:p>
      <w:pPr>
        <w:widowControl/>
        <w:snapToGrid w:val="0"/>
        <w:spacing w:line="578" w:lineRule="atLeast"/>
        <w:jc w:val="center"/>
        <w:rPr>
          <w:rFonts w:hint="eastAsia" w:ascii="仿宋_GB2312" w:hAnsi="仿宋_GB2312" w:eastAsia="仿宋_GB2312" w:cs="仿宋_GB2312"/>
          <w:b/>
          <w:bCs/>
          <w:kern w:val="0"/>
          <w:sz w:val="44"/>
          <w:szCs w:val="44"/>
        </w:rPr>
      </w:pPr>
      <w:r>
        <w:rPr>
          <w:rFonts w:hint="eastAsia" w:ascii="仿宋_GB2312" w:hAnsi="仿宋_GB2312" w:eastAsia="仿宋_GB2312" w:cs="仿宋_GB2312"/>
          <w:b/>
          <w:bCs/>
          <w:kern w:val="0"/>
          <w:sz w:val="44"/>
          <w:szCs w:val="44"/>
        </w:rPr>
        <w:t>部门整体支出绩效评价指标表</w:t>
      </w:r>
    </w:p>
    <w:tbl>
      <w:tblPr>
        <w:tblStyle w:val="9"/>
        <w:tblpPr w:leftFromText="180" w:rightFromText="180" w:vertAnchor="text" w:horzAnchor="page" w:tblpX="690" w:tblpY="181"/>
        <w:tblOverlap w:val="never"/>
        <w:tblW w:w="10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470"/>
        <w:gridCol w:w="577"/>
        <w:gridCol w:w="662"/>
        <w:gridCol w:w="992"/>
        <w:gridCol w:w="600"/>
        <w:gridCol w:w="2664"/>
        <w:gridCol w:w="3483"/>
        <w:gridCol w:w="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59" w:type="dxa"/>
            <w:vAlign w:val="center"/>
          </w:tcPr>
          <w:p>
            <w:pPr>
              <w:widowControl/>
              <w:spacing w:line="260" w:lineRule="exact"/>
              <w:jc w:val="center"/>
              <w:rPr>
                <w:rFonts w:eastAsia="宋体"/>
                <w:b/>
                <w:bCs/>
                <w:kern w:val="0"/>
                <w:sz w:val="20"/>
                <w:szCs w:val="20"/>
              </w:rPr>
            </w:pPr>
            <w:r>
              <w:rPr>
                <w:rFonts w:eastAsia="宋体"/>
                <w:b/>
                <w:bCs/>
                <w:kern w:val="0"/>
                <w:sz w:val="20"/>
                <w:szCs w:val="20"/>
              </w:rPr>
              <w:t>一级指标</w:t>
            </w:r>
          </w:p>
        </w:tc>
        <w:tc>
          <w:tcPr>
            <w:tcW w:w="470" w:type="dxa"/>
            <w:vAlign w:val="center"/>
          </w:tcPr>
          <w:p>
            <w:pPr>
              <w:widowControl/>
              <w:spacing w:line="260" w:lineRule="exact"/>
              <w:jc w:val="center"/>
              <w:rPr>
                <w:rFonts w:eastAsia="宋体"/>
                <w:b/>
                <w:bCs/>
                <w:kern w:val="0"/>
                <w:sz w:val="20"/>
                <w:szCs w:val="20"/>
              </w:rPr>
            </w:pPr>
            <w:r>
              <w:rPr>
                <w:rFonts w:eastAsia="宋体"/>
                <w:b/>
                <w:bCs/>
                <w:kern w:val="0"/>
                <w:sz w:val="20"/>
                <w:szCs w:val="20"/>
              </w:rPr>
              <w:t>分值</w:t>
            </w:r>
          </w:p>
        </w:tc>
        <w:tc>
          <w:tcPr>
            <w:tcW w:w="577" w:type="dxa"/>
            <w:vAlign w:val="center"/>
          </w:tcPr>
          <w:p>
            <w:pPr>
              <w:widowControl/>
              <w:spacing w:line="260" w:lineRule="exact"/>
              <w:jc w:val="center"/>
              <w:rPr>
                <w:rFonts w:eastAsia="宋体"/>
                <w:b/>
                <w:bCs/>
                <w:kern w:val="0"/>
                <w:sz w:val="20"/>
                <w:szCs w:val="20"/>
              </w:rPr>
            </w:pPr>
            <w:r>
              <w:rPr>
                <w:rFonts w:eastAsia="宋体"/>
                <w:b/>
                <w:bCs/>
                <w:kern w:val="0"/>
                <w:sz w:val="20"/>
                <w:szCs w:val="20"/>
              </w:rPr>
              <w:t>二级指标</w:t>
            </w:r>
          </w:p>
        </w:tc>
        <w:tc>
          <w:tcPr>
            <w:tcW w:w="662" w:type="dxa"/>
            <w:vAlign w:val="center"/>
          </w:tcPr>
          <w:p>
            <w:pPr>
              <w:widowControl/>
              <w:spacing w:line="260" w:lineRule="exact"/>
              <w:jc w:val="center"/>
              <w:rPr>
                <w:rFonts w:eastAsia="宋体"/>
                <w:b/>
                <w:bCs/>
                <w:kern w:val="0"/>
                <w:sz w:val="20"/>
                <w:szCs w:val="20"/>
              </w:rPr>
            </w:pPr>
            <w:r>
              <w:rPr>
                <w:rFonts w:eastAsia="宋体"/>
                <w:b/>
                <w:bCs/>
                <w:kern w:val="0"/>
                <w:sz w:val="20"/>
                <w:szCs w:val="20"/>
              </w:rPr>
              <w:t>分值</w:t>
            </w:r>
          </w:p>
        </w:tc>
        <w:tc>
          <w:tcPr>
            <w:tcW w:w="992" w:type="dxa"/>
            <w:vAlign w:val="center"/>
          </w:tcPr>
          <w:p>
            <w:pPr>
              <w:widowControl/>
              <w:spacing w:line="260" w:lineRule="exact"/>
              <w:jc w:val="center"/>
              <w:rPr>
                <w:rFonts w:eastAsia="宋体"/>
                <w:b/>
                <w:bCs/>
                <w:kern w:val="0"/>
                <w:sz w:val="20"/>
                <w:szCs w:val="20"/>
              </w:rPr>
            </w:pPr>
            <w:r>
              <w:rPr>
                <w:rFonts w:eastAsia="宋体"/>
                <w:b/>
                <w:bCs/>
                <w:kern w:val="0"/>
                <w:sz w:val="20"/>
                <w:szCs w:val="20"/>
              </w:rPr>
              <w:t>三级</w:t>
            </w:r>
          </w:p>
          <w:p>
            <w:pPr>
              <w:widowControl/>
              <w:spacing w:line="260" w:lineRule="exact"/>
              <w:jc w:val="center"/>
              <w:rPr>
                <w:rFonts w:eastAsia="宋体"/>
                <w:b/>
                <w:bCs/>
                <w:kern w:val="0"/>
                <w:sz w:val="20"/>
                <w:szCs w:val="20"/>
              </w:rPr>
            </w:pPr>
            <w:r>
              <w:rPr>
                <w:rFonts w:eastAsia="宋体"/>
                <w:b/>
                <w:bCs/>
                <w:kern w:val="0"/>
                <w:sz w:val="20"/>
                <w:szCs w:val="20"/>
              </w:rPr>
              <w:t>指标</w:t>
            </w:r>
          </w:p>
        </w:tc>
        <w:tc>
          <w:tcPr>
            <w:tcW w:w="600" w:type="dxa"/>
            <w:vAlign w:val="center"/>
          </w:tcPr>
          <w:p>
            <w:pPr>
              <w:widowControl/>
              <w:spacing w:line="260" w:lineRule="exact"/>
              <w:ind w:left="3" w:leftChars="-31" w:hanging="68" w:hangingChars="34"/>
              <w:jc w:val="center"/>
              <w:rPr>
                <w:rFonts w:eastAsia="宋体"/>
                <w:b/>
                <w:bCs/>
                <w:kern w:val="0"/>
                <w:sz w:val="20"/>
                <w:szCs w:val="20"/>
              </w:rPr>
            </w:pPr>
            <w:r>
              <w:rPr>
                <w:rFonts w:eastAsia="宋体"/>
                <w:b/>
                <w:bCs/>
                <w:kern w:val="0"/>
                <w:sz w:val="20"/>
                <w:szCs w:val="20"/>
              </w:rPr>
              <w:t>分值</w:t>
            </w:r>
          </w:p>
        </w:tc>
        <w:tc>
          <w:tcPr>
            <w:tcW w:w="2664" w:type="dxa"/>
            <w:vAlign w:val="center"/>
          </w:tcPr>
          <w:p>
            <w:pPr>
              <w:widowControl/>
              <w:spacing w:line="260" w:lineRule="exact"/>
              <w:jc w:val="center"/>
              <w:rPr>
                <w:rFonts w:eastAsia="宋体"/>
                <w:b/>
                <w:bCs/>
                <w:kern w:val="0"/>
                <w:sz w:val="20"/>
                <w:szCs w:val="20"/>
              </w:rPr>
            </w:pPr>
            <w:r>
              <w:rPr>
                <w:rFonts w:eastAsia="宋体"/>
                <w:b/>
                <w:bCs/>
                <w:kern w:val="0"/>
                <w:sz w:val="20"/>
                <w:szCs w:val="20"/>
              </w:rPr>
              <w:t>评价标准</w:t>
            </w:r>
          </w:p>
        </w:tc>
        <w:tc>
          <w:tcPr>
            <w:tcW w:w="3483" w:type="dxa"/>
            <w:vAlign w:val="center"/>
          </w:tcPr>
          <w:p>
            <w:pPr>
              <w:widowControl/>
              <w:spacing w:line="260" w:lineRule="exact"/>
              <w:jc w:val="center"/>
              <w:rPr>
                <w:rFonts w:eastAsia="宋体"/>
                <w:b/>
                <w:bCs/>
                <w:kern w:val="0"/>
                <w:sz w:val="20"/>
                <w:szCs w:val="20"/>
              </w:rPr>
            </w:pPr>
            <w:r>
              <w:rPr>
                <w:rFonts w:eastAsia="宋体"/>
                <w:b/>
                <w:bCs/>
                <w:kern w:val="0"/>
                <w:sz w:val="20"/>
                <w:szCs w:val="20"/>
              </w:rPr>
              <w:t>指标说明</w:t>
            </w:r>
          </w:p>
        </w:tc>
        <w:tc>
          <w:tcPr>
            <w:tcW w:w="637" w:type="dxa"/>
            <w:vAlign w:val="center"/>
          </w:tcPr>
          <w:p>
            <w:pPr>
              <w:widowControl/>
              <w:spacing w:line="260" w:lineRule="exact"/>
              <w:jc w:val="center"/>
              <w:rPr>
                <w:rFonts w:eastAsia="宋体"/>
                <w:b/>
                <w:bCs/>
                <w:kern w:val="0"/>
                <w:sz w:val="20"/>
                <w:szCs w:val="20"/>
              </w:rPr>
            </w:pPr>
            <w:r>
              <w:rPr>
                <w:rFonts w:eastAsia="宋体"/>
                <w:b/>
                <w:bCs/>
                <w:kern w:val="0"/>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59" w:type="dxa"/>
            <w:vMerge w:val="restart"/>
            <w:vAlign w:val="center"/>
          </w:tcPr>
          <w:p>
            <w:pPr>
              <w:rPr>
                <w:rFonts w:hint="eastAsia" w:eastAsia="宋体"/>
                <w:sz w:val="20"/>
                <w:szCs w:val="20"/>
              </w:rPr>
            </w:pPr>
            <w:r>
              <w:rPr>
                <w:rFonts w:hint="eastAsia" w:eastAsia="宋体"/>
                <w:sz w:val="20"/>
                <w:szCs w:val="20"/>
              </w:rPr>
              <w:t>投入</w:t>
            </w:r>
          </w:p>
        </w:tc>
        <w:tc>
          <w:tcPr>
            <w:tcW w:w="470" w:type="dxa"/>
            <w:vMerge w:val="restart"/>
            <w:vAlign w:val="center"/>
          </w:tcPr>
          <w:p>
            <w:pPr>
              <w:rPr>
                <w:rFonts w:eastAsia="宋体"/>
                <w:sz w:val="20"/>
                <w:szCs w:val="20"/>
              </w:rPr>
            </w:pPr>
            <w:r>
              <w:rPr>
                <w:rFonts w:hint="eastAsia" w:eastAsia="宋体"/>
                <w:sz w:val="20"/>
                <w:szCs w:val="20"/>
              </w:rPr>
              <w:t>10</w:t>
            </w:r>
          </w:p>
        </w:tc>
        <w:tc>
          <w:tcPr>
            <w:tcW w:w="577" w:type="dxa"/>
            <w:vMerge w:val="restart"/>
            <w:vAlign w:val="center"/>
          </w:tcPr>
          <w:p>
            <w:pPr>
              <w:spacing w:line="260" w:lineRule="exact"/>
              <w:rPr>
                <w:rFonts w:eastAsia="宋体"/>
                <w:kern w:val="0"/>
                <w:sz w:val="20"/>
                <w:szCs w:val="20"/>
              </w:rPr>
            </w:pPr>
            <w:r>
              <w:rPr>
                <w:rFonts w:eastAsia="宋体"/>
                <w:kern w:val="0"/>
                <w:sz w:val="20"/>
                <w:szCs w:val="20"/>
              </w:rPr>
              <w:t>预算配置</w:t>
            </w:r>
          </w:p>
        </w:tc>
        <w:tc>
          <w:tcPr>
            <w:tcW w:w="662" w:type="dxa"/>
            <w:vMerge w:val="restart"/>
            <w:vAlign w:val="center"/>
          </w:tcPr>
          <w:p>
            <w:pPr>
              <w:spacing w:line="260" w:lineRule="exact"/>
              <w:jc w:val="center"/>
              <w:rPr>
                <w:rFonts w:eastAsia="宋体"/>
                <w:kern w:val="0"/>
                <w:sz w:val="20"/>
                <w:szCs w:val="20"/>
              </w:rPr>
            </w:pPr>
            <w:r>
              <w:rPr>
                <w:rFonts w:hint="eastAsia" w:eastAsia="宋体"/>
                <w:kern w:val="0"/>
                <w:sz w:val="20"/>
                <w:szCs w:val="20"/>
              </w:rPr>
              <w:t>10</w:t>
            </w:r>
          </w:p>
        </w:tc>
        <w:tc>
          <w:tcPr>
            <w:tcW w:w="992" w:type="dxa"/>
            <w:vAlign w:val="center"/>
          </w:tcPr>
          <w:p>
            <w:pPr>
              <w:spacing w:line="260" w:lineRule="exact"/>
              <w:ind w:right="-46" w:rightChars="-22"/>
              <w:jc w:val="center"/>
              <w:rPr>
                <w:rFonts w:eastAsia="宋体"/>
                <w:kern w:val="0"/>
                <w:sz w:val="20"/>
                <w:szCs w:val="20"/>
              </w:rPr>
            </w:pPr>
            <w:r>
              <w:rPr>
                <w:rFonts w:eastAsia="宋体"/>
                <w:kern w:val="0"/>
                <w:sz w:val="20"/>
                <w:szCs w:val="20"/>
              </w:rPr>
              <w:t>在职人员控制率</w:t>
            </w:r>
          </w:p>
        </w:tc>
        <w:tc>
          <w:tcPr>
            <w:tcW w:w="600" w:type="dxa"/>
            <w:vAlign w:val="center"/>
          </w:tcPr>
          <w:p>
            <w:pPr>
              <w:spacing w:line="260" w:lineRule="exact"/>
              <w:jc w:val="center"/>
              <w:rPr>
                <w:rFonts w:hint="eastAsia" w:eastAsia="宋体"/>
                <w:kern w:val="0"/>
                <w:sz w:val="20"/>
                <w:szCs w:val="20"/>
              </w:rPr>
            </w:pPr>
            <w:r>
              <w:rPr>
                <w:rFonts w:hint="eastAsia" w:eastAsia="宋体"/>
                <w:kern w:val="0"/>
                <w:sz w:val="20"/>
                <w:szCs w:val="20"/>
              </w:rPr>
              <w:t>5</w:t>
            </w:r>
          </w:p>
        </w:tc>
        <w:tc>
          <w:tcPr>
            <w:tcW w:w="2664" w:type="dxa"/>
            <w:vAlign w:val="center"/>
          </w:tcPr>
          <w:p>
            <w:pPr>
              <w:widowControl/>
              <w:spacing w:line="260" w:lineRule="exact"/>
              <w:rPr>
                <w:rFonts w:ascii="Times New Roman" w:hAnsi="Times New Roman" w:eastAsia="宋体" w:cs="Times New Roman"/>
                <w:kern w:val="0"/>
                <w:sz w:val="20"/>
                <w:szCs w:val="20"/>
              </w:rPr>
            </w:pPr>
            <w:r>
              <w:rPr>
                <w:rFonts w:ascii="Times New Roman" w:hAnsi="Times New Roman" w:eastAsia="宋体" w:cs="Times New Roman"/>
                <w:kern w:val="0"/>
                <w:sz w:val="20"/>
                <w:szCs w:val="20"/>
              </w:rPr>
              <w:t>以100%为标准。在职人员控制率</w:t>
            </w:r>
            <w:r>
              <w:rPr>
                <w:rFonts w:hint="eastAsia" w:ascii="Times New Roman" w:hAnsi="Times New Roman" w:eastAsia="宋体" w:cs="Times New Roman"/>
                <w:kern w:val="0"/>
                <w:sz w:val="20"/>
                <w:szCs w:val="20"/>
              </w:rPr>
              <w:t>≦</w:t>
            </w:r>
            <w:r>
              <w:rPr>
                <w:rFonts w:ascii="Times New Roman" w:hAnsi="Times New Roman" w:eastAsia="宋体" w:cs="Times New Roman"/>
                <w:kern w:val="0"/>
                <w:sz w:val="20"/>
                <w:szCs w:val="20"/>
              </w:rPr>
              <w:t>100%，计</w:t>
            </w:r>
            <w:r>
              <w:rPr>
                <w:rFonts w:hint="eastAsia" w:ascii="Times New Roman" w:hAnsi="Times New Roman" w:eastAsia="宋体" w:cs="Times New Roman"/>
                <w:kern w:val="0"/>
                <w:sz w:val="20"/>
                <w:szCs w:val="20"/>
              </w:rPr>
              <w:t>5</w:t>
            </w:r>
            <w:r>
              <w:rPr>
                <w:rFonts w:ascii="Times New Roman" w:hAnsi="Times New Roman" w:eastAsia="宋体" w:cs="Times New Roman"/>
                <w:kern w:val="0"/>
                <w:sz w:val="20"/>
                <w:szCs w:val="20"/>
              </w:rPr>
              <w:t>分；每超过一个百分点扣0.5分，扣完为止。</w:t>
            </w:r>
          </w:p>
        </w:tc>
        <w:tc>
          <w:tcPr>
            <w:tcW w:w="3483" w:type="dxa"/>
            <w:vAlign w:val="center"/>
          </w:tcPr>
          <w:p>
            <w:pPr>
              <w:widowControl/>
              <w:spacing w:line="260" w:lineRule="exact"/>
              <w:rPr>
                <w:rFonts w:ascii="Times New Roman" w:hAnsi="Times New Roman" w:eastAsia="宋体" w:cs="Times New Roman"/>
                <w:kern w:val="0"/>
                <w:sz w:val="20"/>
                <w:szCs w:val="20"/>
              </w:rPr>
            </w:pPr>
            <w:r>
              <w:rPr>
                <w:rFonts w:ascii="Times New Roman" w:hAnsi="Times New Roman" w:eastAsia="宋体" w:cs="Times New Roman"/>
                <w:kern w:val="0"/>
                <w:sz w:val="20"/>
                <w:szCs w:val="20"/>
              </w:rPr>
              <w:t>在职人员控制率=</w:t>
            </w:r>
            <w:r>
              <w:rPr>
                <w:rFonts w:hint="eastAsia" w:ascii="Times New Roman" w:hAnsi="Times New Roman" w:eastAsia="宋体" w:cs="Times New Roman"/>
                <w:kern w:val="0"/>
                <w:sz w:val="20"/>
                <w:szCs w:val="20"/>
              </w:rPr>
              <w:t>18/18*100%=100%</w:t>
            </w:r>
            <w:r>
              <w:rPr>
                <w:rFonts w:ascii="Times New Roman" w:hAnsi="Times New Roman" w:eastAsia="宋体" w:cs="Times New Roman"/>
                <w:kern w:val="0"/>
                <w:sz w:val="20"/>
                <w:szCs w:val="20"/>
              </w:rPr>
              <w:t>。</w:t>
            </w:r>
          </w:p>
        </w:tc>
        <w:tc>
          <w:tcPr>
            <w:tcW w:w="637" w:type="dxa"/>
            <w:vAlign w:val="center"/>
          </w:tcPr>
          <w:p>
            <w:pPr>
              <w:spacing w:line="260" w:lineRule="exact"/>
              <w:jc w:val="center"/>
              <w:rPr>
                <w:rFonts w:hint="eastAsia" w:eastAsia="宋体"/>
                <w:kern w:val="0"/>
                <w:sz w:val="20"/>
                <w:szCs w:val="20"/>
              </w:rPr>
            </w:pPr>
            <w:r>
              <w:rPr>
                <w:rFonts w:hint="eastAsia" w:eastAsia="宋体"/>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ind w:right="-46" w:rightChars="-22"/>
              <w:jc w:val="center"/>
              <w:rPr>
                <w:rFonts w:eastAsia="宋体"/>
                <w:kern w:val="0"/>
                <w:sz w:val="20"/>
                <w:szCs w:val="20"/>
              </w:rPr>
            </w:pPr>
            <w:r>
              <w:rPr>
                <w:rFonts w:eastAsia="宋体"/>
                <w:kern w:val="0"/>
                <w:sz w:val="20"/>
                <w:szCs w:val="20"/>
              </w:rPr>
              <w:t>“三公经费”变动率</w:t>
            </w:r>
          </w:p>
        </w:tc>
        <w:tc>
          <w:tcPr>
            <w:tcW w:w="600" w:type="dxa"/>
            <w:vAlign w:val="center"/>
          </w:tcPr>
          <w:p>
            <w:pPr>
              <w:widowControl/>
              <w:spacing w:line="260" w:lineRule="exact"/>
              <w:jc w:val="center"/>
              <w:rPr>
                <w:rFonts w:hint="eastAsia" w:eastAsia="宋体"/>
                <w:kern w:val="0"/>
                <w:sz w:val="20"/>
                <w:szCs w:val="20"/>
              </w:rPr>
            </w:pPr>
            <w:r>
              <w:rPr>
                <w:rFonts w:hint="eastAsia" w:eastAsia="宋体"/>
                <w:kern w:val="0"/>
                <w:sz w:val="20"/>
                <w:szCs w:val="20"/>
              </w:rPr>
              <w:t>5</w:t>
            </w:r>
          </w:p>
        </w:tc>
        <w:tc>
          <w:tcPr>
            <w:tcW w:w="2664" w:type="dxa"/>
            <w:vAlign w:val="center"/>
          </w:tcPr>
          <w:p>
            <w:pPr>
              <w:widowControl/>
              <w:spacing w:line="260" w:lineRule="exact"/>
              <w:rPr>
                <w:rFonts w:eastAsia="宋体"/>
                <w:kern w:val="0"/>
                <w:sz w:val="20"/>
                <w:szCs w:val="20"/>
              </w:rPr>
            </w:pPr>
            <w:r>
              <w:rPr>
                <w:rFonts w:eastAsia="宋体"/>
                <w:kern w:val="0"/>
                <w:sz w:val="20"/>
                <w:szCs w:val="20"/>
              </w:rPr>
              <w:t>“三公经费”变动率</w:t>
            </w:r>
            <w:r>
              <w:rPr>
                <w:rFonts w:hint="eastAsia" w:ascii="宋体" w:hAnsi="宋体" w:cs="宋体"/>
                <w:kern w:val="0"/>
                <w:sz w:val="20"/>
                <w:szCs w:val="20"/>
              </w:rPr>
              <w:t>≦</w:t>
            </w:r>
            <w:r>
              <w:rPr>
                <w:rFonts w:eastAsia="宋体"/>
                <w:kern w:val="0"/>
                <w:sz w:val="20"/>
                <w:szCs w:val="20"/>
              </w:rPr>
              <w:t>0,计</w:t>
            </w:r>
            <w:r>
              <w:rPr>
                <w:rFonts w:hint="eastAsia" w:eastAsia="宋体"/>
                <w:kern w:val="0"/>
                <w:sz w:val="20"/>
                <w:szCs w:val="20"/>
              </w:rPr>
              <w:t>5</w:t>
            </w:r>
            <w:r>
              <w:rPr>
                <w:rFonts w:eastAsia="宋体"/>
                <w:kern w:val="0"/>
                <w:sz w:val="20"/>
                <w:szCs w:val="20"/>
              </w:rPr>
              <w:t>分；“三公经费”＞0，每超过一个百分点扣0.4分，扣完为止。</w:t>
            </w:r>
          </w:p>
        </w:tc>
        <w:tc>
          <w:tcPr>
            <w:tcW w:w="3483" w:type="dxa"/>
            <w:vAlign w:val="center"/>
          </w:tcPr>
          <w:p>
            <w:pPr>
              <w:widowControl/>
              <w:spacing w:line="260" w:lineRule="exact"/>
              <w:rPr>
                <w:rFonts w:eastAsia="宋体"/>
                <w:kern w:val="0"/>
                <w:sz w:val="20"/>
                <w:szCs w:val="20"/>
              </w:rPr>
            </w:pPr>
            <w:r>
              <w:rPr>
                <w:rFonts w:eastAsia="宋体"/>
                <w:kern w:val="0"/>
                <w:sz w:val="20"/>
                <w:szCs w:val="20"/>
              </w:rPr>
              <w:t>“三公经费”变动率=</w:t>
            </w:r>
            <w:r>
              <w:rPr>
                <w:rFonts w:hint="eastAsia" w:eastAsia="宋体"/>
                <w:kern w:val="0"/>
                <w:sz w:val="20"/>
                <w:szCs w:val="20"/>
              </w:rPr>
              <w:t>（5.27-5.88）/5.88</w:t>
            </w:r>
            <w:r>
              <w:rPr>
                <w:rFonts w:eastAsia="宋体"/>
                <w:kern w:val="0"/>
                <w:sz w:val="20"/>
                <w:szCs w:val="20"/>
              </w:rPr>
              <w:t>×100%</w:t>
            </w:r>
            <w:r>
              <w:rPr>
                <w:rFonts w:hint="eastAsia" w:eastAsia="宋体"/>
                <w:kern w:val="0"/>
                <w:sz w:val="20"/>
                <w:szCs w:val="20"/>
              </w:rPr>
              <w:t>=-0.1</w:t>
            </w:r>
          </w:p>
        </w:tc>
        <w:tc>
          <w:tcPr>
            <w:tcW w:w="637" w:type="dxa"/>
            <w:vAlign w:val="center"/>
          </w:tcPr>
          <w:p>
            <w:pPr>
              <w:widowControl/>
              <w:spacing w:line="260" w:lineRule="exact"/>
              <w:jc w:val="center"/>
              <w:rPr>
                <w:rFonts w:eastAsia="宋体"/>
                <w:kern w:val="0"/>
                <w:sz w:val="20"/>
                <w:szCs w:val="20"/>
              </w:rPr>
            </w:pPr>
            <w:r>
              <w:rPr>
                <w:rFonts w:hint="eastAsia" w:eastAsia="宋体"/>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59" w:type="dxa"/>
            <w:vMerge w:val="restart"/>
            <w:vAlign w:val="center"/>
          </w:tcPr>
          <w:p>
            <w:pPr>
              <w:widowControl/>
              <w:spacing w:line="260" w:lineRule="exact"/>
              <w:rPr>
                <w:rFonts w:eastAsia="宋体"/>
                <w:kern w:val="0"/>
                <w:sz w:val="20"/>
                <w:szCs w:val="20"/>
              </w:rPr>
            </w:pPr>
            <w:r>
              <w:rPr>
                <w:rFonts w:eastAsia="宋体"/>
                <w:kern w:val="0"/>
                <w:sz w:val="20"/>
                <w:szCs w:val="20"/>
              </w:rPr>
              <w:t>过                                                                                                                                       程</w:t>
            </w:r>
          </w:p>
        </w:tc>
        <w:tc>
          <w:tcPr>
            <w:tcW w:w="470" w:type="dxa"/>
            <w:vMerge w:val="restart"/>
            <w:vAlign w:val="center"/>
          </w:tcPr>
          <w:p>
            <w:pPr>
              <w:widowControl/>
              <w:spacing w:line="260" w:lineRule="exact"/>
              <w:rPr>
                <w:rFonts w:eastAsia="宋体"/>
                <w:kern w:val="0"/>
                <w:sz w:val="20"/>
                <w:szCs w:val="20"/>
              </w:rPr>
            </w:pPr>
            <w:r>
              <w:rPr>
                <w:rFonts w:hint="eastAsia" w:eastAsia="宋体"/>
                <w:kern w:val="0"/>
                <w:sz w:val="20"/>
                <w:szCs w:val="20"/>
              </w:rPr>
              <w:t>60</w:t>
            </w:r>
          </w:p>
        </w:tc>
        <w:tc>
          <w:tcPr>
            <w:tcW w:w="577" w:type="dxa"/>
            <w:vMerge w:val="restart"/>
            <w:vAlign w:val="center"/>
          </w:tcPr>
          <w:p>
            <w:pPr>
              <w:widowControl/>
              <w:spacing w:line="260" w:lineRule="exact"/>
              <w:rPr>
                <w:rFonts w:eastAsia="宋体"/>
                <w:kern w:val="0"/>
                <w:sz w:val="20"/>
                <w:szCs w:val="20"/>
              </w:rPr>
            </w:pPr>
            <w:r>
              <w:rPr>
                <w:rFonts w:eastAsia="宋体"/>
                <w:kern w:val="0"/>
                <w:sz w:val="20"/>
                <w:szCs w:val="20"/>
              </w:rPr>
              <w:t>预算执行</w:t>
            </w:r>
          </w:p>
        </w:tc>
        <w:tc>
          <w:tcPr>
            <w:tcW w:w="662" w:type="dxa"/>
            <w:vMerge w:val="restart"/>
            <w:vAlign w:val="center"/>
          </w:tcPr>
          <w:p>
            <w:pPr>
              <w:widowControl/>
              <w:spacing w:line="260" w:lineRule="exact"/>
              <w:jc w:val="center"/>
              <w:rPr>
                <w:rFonts w:eastAsia="宋体"/>
                <w:kern w:val="0"/>
                <w:sz w:val="20"/>
                <w:szCs w:val="20"/>
              </w:rPr>
            </w:pPr>
            <w:r>
              <w:rPr>
                <w:rFonts w:hint="eastAsia" w:eastAsia="宋体"/>
                <w:kern w:val="0"/>
                <w:sz w:val="20"/>
                <w:szCs w:val="20"/>
              </w:rPr>
              <w:t>20</w:t>
            </w:r>
          </w:p>
        </w:tc>
        <w:tc>
          <w:tcPr>
            <w:tcW w:w="992" w:type="dxa"/>
            <w:vAlign w:val="center"/>
          </w:tcPr>
          <w:p>
            <w:pPr>
              <w:widowControl/>
              <w:spacing w:line="260" w:lineRule="exact"/>
              <w:ind w:right="-46" w:rightChars="-22"/>
              <w:jc w:val="center"/>
              <w:rPr>
                <w:rFonts w:eastAsia="宋体"/>
                <w:kern w:val="0"/>
                <w:sz w:val="20"/>
                <w:szCs w:val="20"/>
              </w:rPr>
            </w:pPr>
            <w:r>
              <w:rPr>
                <w:rFonts w:eastAsia="宋体"/>
                <w:kern w:val="0"/>
                <w:sz w:val="20"/>
                <w:szCs w:val="20"/>
              </w:rPr>
              <w:t>预算</w:t>
            </w:r>
            <w:r>
              <w:rPr>
                <w:rFonts w:hint="eastAsia" w:eastAsia="宋体"/>
                <w:kern w:val="0"/>
                <w:sz w:val="20"/>
                <w:szCs w:val="20"/>
              </w:rPr>
              <w:t>执行</w:t>
            </w:r>
            <w:r>
              <w:rPr>
                <w:rFonts w:eastAsia="宋体"/>
                <w:kern w:val="0"/>
                <w:sz w:val="20"/>
                <w:szCs w:val="20"/>
              </w:rPr>
              <w:t>率</w:t>
            </w:r>
          </w:p>
        </w:tc>
        <w:tc>
          <w:tcPr>
            <w:tcW w:w="600" w:type="dxa"/>
            <w:vAlign w:val="center"/>
          </w:tcPr>
          <w:p>
            <w:pPr>
              <w:widowControl/>
              <w:spacing w:line="260" w:lineRule="exact"/>
              <w:jc w:val="center"/>
              <w:rPr>
                <w:rFonts w:hint="eastAsia" w:eastAsia="宋体"/>
                <w:kern w:val="0"/>
                <w:sz w:val="20"/>
                <w:szCs w:val="20"/>
              </w:rPr>
            </w:pPr>
            <w:r>
              <w:rPr>
                <w:rFonts w:hint="eastAsia" w:eastAsia="宋体"/>
                <w:kern w:val="0"/>
                <w:sz w:val="20"/>
                <w:szCs w:val="20"/>
              </w:rPr>
              <w:t>5</w:t>
            </w:r>
          </w:p>
        </w:tc>
        <w:tc>
          <w:tcPr>
            <w:tcW w:w="2664" w:type="dxa"/>
            <w:vAlign w:val="center"/>
          </w:tcPr>
          <w:p>
            <w:pPr>
              <w:widowControl/>
              <w:spacing w:line="260" w:lineRule="exact"/>
              <w:rPr>
                <w:rFonts w:eastAsia="宋体"/>
                <w:kern w:val="0"/>
                <w:sz w:val="20"/>
                <w:szCs w:val="20"/>
              </w:rPr>
            </w:pPr>
            <w:r>
              <w:rPr>
                <w:rFonts w:eastAsia="宋体"/>
                <w:kern w:val="0"/>
                <w:sz w:val="20"/>
                <w:szCs w:val="20"/>
              </w:rPr>
              <w:t>100%计满分，每低于5%扣</w:t>
            </w:r>
            <w:r>
              <w:rPr>
                <w:rFonts w:hint="eastAsia" w:eastAsia="宋体"/>
                <w:kern w:val="0"/>
                <w:sz w:val="20"/>
                <w:szCs w:val="20"/>
              </w:rPr>
              <w:t>1</w:t>
            </w:r>
            <w:r>
              <w:rPr>
                <w:rFonts w:eastAsia="宋体"/>
                <w:kern w:val="0"/>
                <w:sz w:val="20"/>
                <w:szCs w:val="20"/>
              </w:rPr>
              <w:t>分，扣完为止。</w:t>
            </w:r>
          </w:p>
        </w:tc>
        <w:tc>
          <w:tcPr>
            <w:tcW w:w="3483" w:type="dxa"/>
            <w:vAlign w:val="center"/>
          </w:tcPr>
          <w:p>
            <w:pPr>
              <w:widowControl/>
              <w:spacing w:line="260" w:lineRule="exact"/>
              <w:rPr>
                <w:rFonts w:eastAsia="宋体"/>
              </w:rPr>
            </w:pPr>
            <w:r>
              <w:rPr>
                <w:rFonts w:ascii="Times New Roman" w:hAnsi="Times New Roman" w:eastAsia="宋体" w:cs="Times New Roman"/>
                <w:kern w:val="0"/>
                <w:sz w:val="20"/>
                <w:szCs w:val="20"/>
              </w:rPr>
              <w:t>预算</w:t>
            </w:r>
            <w:r>
              <w:rPr>
                <w:rFonts w:hint="eastAsia" w:ascii="Times New Roman" w:hAnsi="Times New Roman" w:eastAsia="宋体" w:cs="Times New Roman"/>
                <w:kern w:val="0"/>
                <w:sz w:val="20"/>
                <w:szCs w:val="20"/>
              </w:rPr>
              <w:t>执行</w:t>
            </w:r>
            <w:r>
              <w:rPr>
                <w:rFonts w:ascii="Times New Roman" w:hAnsi="Times New Roman" w:eastAsia="宋体" w:cs="Times New Roman"/>
                <w:kern w:val="0"/>
                <w:sz w:val="20"/>
                <w:szCs w:val="20"/>
              </w:rPr>
              <w:t>率=</w:t>
            </w:r>
            <w:r>
              <w:rPr>
                <w:rFonts w:hint="eastAsia" w:ascii="Times New Roman" w:hAnsi="Times New Roman" w:eastAsia="宋体" w:cs="Times New Roman"/>
                <w:kern w:val="0"/>
                <w:sz w:val="20"/>
                <w:szCs w:val="20"/>
              </w:rPr>
              <w:t>375.77/375.77</w:t>
            </w:r>
            <w:r>
              <w:rPr>
                <w:rFonts w:ascii="Times New Roman" w:hAnsi="Times New Roman" w:eastAsia="宋体" w:cs="Times New Roman"/>
                <w:kern w:val="0"/>
                <w:sz w:val="20"/>
                <w:szCs w:val="20"/>
              </w:rPr>
              <w:t>×100%。</w:t>
            </w:r>
          </w:p>
        </w:tc>
        <w:tc>
          <w:tcPr>
            <w:tcW w:w="637" w:type="dxa"/>
            <w:vAlign w:val="center"/>
          </w:tcPr>
          <w:p>
            <w:pPr>
              <w:widowControl/>
              <w:spacing w:line="260" w:lineRule="exact"/>
              <w:jc w:val="center"/>
              <w:rPr>
                <w:rFonts w:hint="eastAsia" w:eastAsia="宋体"/>
                <w:kern w:val="0"/>
                <w:sz w:val="20"/>
                <w:szCs w:val="20"/>
              </w:rPr>
            </w:pPr>
            <w:r>
              <w:rPr>
                <w:rFonts w:hint="eastAsia" w:eastAsia="宋体"/>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预算控制率</w:t>
            </w:r>
          </w:p>
        </w:tc>
        <w:tc>
          <w:tcPr>
            <w:tcW w:w="600" w:type="dxa"/>
            <w:vAlign w:val="center"/>
          </w:tcPr>
          <w:p>
            <w:pPr>
              <w:widowControl/>
              <w:spacing w:line="260" w:lineRule="exact"/>
              <w:jc w:val="center"/>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5</w:t>
            </w:r>
          </w:p>
        </w:tc>
        <w:tc>
          <w:tcPr>
            <w:tcW w:w="2664" w:type="dxa"/>
            <w:vAlign w:val="center"/>
          </w:tcPr>
          <w:p>
            <w:pPr>
              <w:widowControl/>
              <w:spacing w:line="260" w:lineRule="exac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预算控制率=0，计5分；0-10%（含），计4分；10-20%（含），计3分；20-40%（含），计2分；40%-60%（含）计1分；大于60%不得分。</w:t>
            </w:r>
          </w:p>
        </w:tc>
        <w:tc>
          <w:tcPr>
            <w:tcW w:w="3483" w:type="dxa"/>
            <w:vAlign w:val="center"/>
          </w:tcPr>
          <w:p>
            <w:pPr>
              <w:widowControl/>
              <w:spacing w:line="260" w:lineRule="exact"/>
              <w:rPr>
                <w:rFonts w:eastAsia="宋体"/>
                <w:kern w:val="0"/>
                <w:sz w:val="20"/>
                <w:szCs w:val="20"/>
              </w:rPr>
            </w:pPr>
            <w:r>
              <w:rPr>
                <w:rFonts w:eastAsia="宋体"/>
                <w:kern w:val="0"/>
                <w:sz w:val="20"/>
                <w:szCs w:val="20"/>
              </w:rPr>
              <w:t>预算调整率=（预算调整数/预算数）×100%。</w:t>
            </w:r>
          </w:p>
          <w:p>
            <w:pPr>
              <w:widowControl/>
              <w:spacing w:line="260" w:lineRule="exact"/>
              <w:rPr>
                <w:rFonts w:eastAsia="宋体"/>
                <w:kern w:val="0"/>
                <w:sz w:val="20"/>
                <w:szCs w:val="20"/>
              </w:rPr>
            </w:pPr>
            <w:r>
              <w:rPr>
                <w:rFonts w:hint="eastAsia" w:eastAsia="宋体"/>
                <w:kern w:val="0"/>
                <w:sz w:val="20"/>
                <w:szCs w:val="20"/>
              </w:rPr>
              <w:t>2021年预算调整率为61.46%，酌情扣4分。</w:t>
            </w:r>
          </w:p>
        </w:tc>
        <w:tc>
          <w:tcPr>
            <w:tcW w:w="637" w:type="dxa"/>
            <w:vAlign w:val="center"/>
          </w:tcPr>
          <w:p>
            <w:pPr>
              <w:widowControl/>
              <w:spacing w:line="260" w:lineRule="exact"/>
              <w:jc w:val="center"/>
              <w:rPr>
                <w:rFonts w:eastAsia="宋体"/>
                <w:kern w:val="0"/>
                <w:sz w:val="20"/>
                <w:szCs w:val="20"/>
              </w:rPr>
            </w:pPr>
            <w:r>
              <w:rPr>
                <w:rFonts w:hint="eastAsia" w:eastAsia="宋体"/>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新建楼堂馆所面积控制率</w:t>
            </w:r>
          </w:p>
        </w:tc>
        <w:tc>
          <w:tcPr>
            <w:tcW w:w="600" w:type="dxa"/>
            <w:vAlign w:val="center"/>
          </w:tcPr>
          <w:p>
            <w:pPr>
              <w:widowControl/>
              <w:spacing w:line="260" w:lineRule="exact"/>
              <w:jc w:val="center"/>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5</w:t>
            </w:r>
          </w:p>
        </w:tc>
        <w:tc>
          <w:tcPr>
            <w:tcW w:w="2664" w:type="dxa"/>
            <w:vAlign w:val="center"/>
          </w:tcPr>
          <w:p>
            <w:pPr>
              <w:widowControl/>
              <w:spacing w:line="260" w:lineRule="exact"/>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100%以下（含）计满分，每超出5%扣2分，扣完为止。没有楼堂馆所项目的部门按满分计算。</w:t>
            </w:r>
          </w:p>
        </w:tc>
        <w:tc>
          <w:tcPr>
            <w:tcW w:w="3483" w:type="dxa"/>
            <w:vAlign w:val="center"/>
          </w:tcPr>
          <w:p>
            <w:pPr>
              <w:widowControl/>
              <w:spacing w:line="260" w:lineRule="exact"/>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楼堂馆所面积控制率=实际建设面积/批准建设面积×100% 。</w:t>
            </w:r>
            <w:r>
              <w:rPr>
                <w:rFonts w:hint="eastAsia" w:ascii="Times New Roman" w:hAnsi="Times New Roman" w:eastAsia="宋体" w:cs="Times New Roman"/>
                <w:kern w:val="0"/>
                <w:sz w:val="20"/>
                <w:szCs w:val="20"/>
              </w:rPr>
              <w:br w:type="textWrapping"/>
            </w:r>
            <w:r>
              <w:rPr>
                <w:rFonts w:hint="eastAsia" w:ascii="Times New Roman" w:hAnsi="Times New Roman" w:eastAsia="宋体" w:cs="Times New Roman"/>
                <w:kern w:val="0"/>
                <w:sz w:val="20"/>
                <w:szCs w:val="20"/>
              </w:rPr>
              <w:t>该指标以2021年完工的新建楼堂馆所为评价内容。</w:t>
            </w:r>
          </w:p>
        </w:tc>
        <w:tc>
          <w:tcPr>
            <w:tcW w:w="637" w:type="dxa"/>
            <w:vAlign w:val="center"/>
          </w:tcPr>
          <w:p>
            <w:pPr>
              <w:widowControl/>
              <w:spacing w:line="260" w:lineRule="exact"/>
              <w:jc w:val="center"/>
              <w:rPr>
                <w:rFonts w:hint="eastAsia" w:eastAsia="宋体"/>
                <w:kern w:val="0"/>
                <w:sz w:val="20"/>
                <w:szCs w:val="20"/>
              </w:rPr>
            </w:pPr>
            <w:r>
              <w:rPr>
                <w:rFonts w:hint="eastAsia" w:ascii="Times New Roman" w:hAnsi="Times New Roman" w:eastAsia="宋体" w:cs="Times New Roman"/>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新建楼堂馆所投资概算控制率</w:t>
            </w:r>
          </w:p>
        </w:tc>
        <w:tc>
          <w:tcPr>
            <w:tcW w:w="600" w:type="dxa"/>
            <w:vAlign w:val="center"/>
          </w:tcPr>
          <w:p>
            <w:pPr>
              <w:widowControl/>
              <w:spacing w:line="260" w:lineRule="exact"/>
              <w:jc w:val="center"/>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5</w:t>
            </w:r>
          </w:p>
        </w:tc>
        <w:tc>
          <w:tcPr>
            <w:tcW w:w="2664" w:type="dxa"/>
            <w:vAlign w:val="center"/>
          </w:tcPr>
          <w:p>
            <w:pPr>
              <w:widowControl/>
              <w:spacing w:line="260" w:lineRule="exact"/>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100%以下（含）计满分，每超出5%扣2分，扣完为止。</w:t>
            </w:r>
          </w:p>
        </w:tc>
        <w:tc>
          <w:tcPr>
            <w:tcW w:w="3483" w:type="dxa"/>
            <w:vAlign w:val="center"/>
          </w:tcPr>
          <w:p>
            <w:pPr>
              <w:widowControl/>
              <w:spacing w:line="260" w:lineRule="exact"/>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楼堂馆所投资预算控制率=实际投资金额/批准投资金额×100% 。</w:t>
            </w:r>
            <w:r>
              <w:rPr>
                <w:rFonts w:hint="eastAsia" w:ascii="Times New Roman" w:hAnsi="Times New Roman" w:eastAsia="宋体" w:cs="Times New Roman"/>
                <w:kern w:val="0"/>
                <w:sz w:val="20"/>
                <w:szCs w:val="20"/>
              </w:rPr>
              <w:br w:type="textWrapping"/>
            </w:r>
            <w:r>
              <w:rPr>
                <w:rFonts w:hint="eastAsia" w:ascii="Times New Roman" w:hAnsi="Times New Roman" w:eastAsia="宋体" w:cs="Times New Roman"/>
                <w:kern w:val="0"/>
                <w:sz w:val="20"/>
                <w:szCs w:val="20"/>
              </w:rPr>
              <w:t>该指标以2021年完工的新建楼堂馆所为评价内容。</w:t>
            </w:r>
          </w:p>
        </w:tc>
        <w:tc>
          <w:tcPr>
            <w:tcW w:w="637" w:type="dxa"/>
            <w:vAlign w:val="center"/>
          </w:tcPr>
          <w:p>
            <w:pPr>
              <w:widowControl/>
              <w:spacing w:line="260" w:lineRule="exact"/>
              <w:jc w:val="center"/>
              <w:rPr>
                <w:rFonts w:hint="eastAsia" w:eastAsia="宋体"/>
                <w:kern w:val="0"/>
                <w:sz w:val="20"/>
                <w:szCs w:val="20"/>
              </w:rPr>
            </w:pPr>
            <w:r>
              <w:rPr>
                <w:rFonts w:hint="eastAsia" w:ascii="Times New Roman" w:hAnsi="Times New Roman" w:eastAsia="宋体" w:cs="Times New Roman"/>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9" w:type="dxa"/>
            <w:vMerge w:val="restart"/>
            <w:vAlign w:val="center"/>
          </w:tcPr>
          <w:p>
            <w:pPr>
              <w:spacing w:line="260" w:lineRule="exact"/>
              <w:rPr>
                <w:rFonts w:eastAsia="宋体"/>
                <w:kern w:val="0"/>
                <w:sz w:val="20"/>
                <w:szCs w:val="20"/>
              </w:rPr>
            </w:pPr>
            <w:r>
              <w:rPr>
                <w:rFonts w:eastAsia="宋体"/>
                <w:kern w:val="0"/>
                <w:sz w:val="20"/>
                <w:szCs w:val="20"/>
              </w:rPr>
              <w:t>过                                                                                                                                       程</w:t>
            </w:r>
          </w:p>
        </w:tc>
        <w:tc>
          <w:tcPr>
            <w:tcW w:w="470" w:type="dxa"/>
            <w:vMerge w:val="restart"/>
            <w:vAlign w:val="center"/>
          </w:tcPr>
          <w:p>
            <w:pPr>
              <w:widowControl/>
              <w:spacing w:line="260" w:lineRule="exact"/>
              <w:rPr>
                <w:rFonts w:eastAsia="宋体"/>
                <w:kern w:val="0"/>
                <w:sz w:val="20"/>
                <w:szCs w:val="20"/>
              </w:rPr>
            </w:pPr>
            <w:r>
              <w:rPr>
                <w:rFonts w:hint="eastAsia" w:eastAsia="宋体"/>
                <w:kern w:val="0"/>
                <w:sz w:val="20"/>
                <w:szCs w:val="20"/>
              </w:rPr>
              <w:t>60</w:t>
            </w:r>
          </w:p>
        </w:tc>
        <w:tc>
          <w:tcPr>
            <w:tcW w:w="577" w:type="dxa"/>
            <w:vMerge w:val="restart"/>
            <w:vAlign w:val="center"/>
          </w:tcPr>
          <w:p>
            <w:pPr>
              <w:widowControl/>
              <w:spacing w:line="260" w:lineRule="exact"/>
              <w:rPr>
                <w:rFonts w:eastAsia="宋体"/>
                <w:kern w:val="0"/>
                <w:sz w:val="20"/>
                <w:szCs w:val="20"/>
              </w:rPr>
            </w:pPr>
            <w:r>
              <w:rPr>
                <w:rFonts w:eastAsia="宋体"/>
                <w:kern w:val="0"/>
                <w:sz w:val="20"/>
                <w:szCs w:val="20"/>
              </w:rPr>
              <w:t>预算管理</w:t>
            </w:r>
          </w:p>
        </w:tc>
        <w:tc>
          <w:tcPr>
            <w:tcW w:w="662" w:type="dxa"/>
            <w:vMerge w:val="restart"/>
            <w:vAlign w:val="center"/>
          </w:tcPr>
          <w:p>
            <w:pPr>
              <w:widowControl/>
              <w:spacing w:line="260" w:lineRule="exact"/>
              <w:jc w:val="center"/>
              <w:rPr>
                <w:rFonts w:eastAsia="宋体"/>
                <w:kern w:val="0"/>
                <w:sz w:val="20"/>
                <w:szCs w:val="20"/>
              </w:rPr>
            </w:pPr>
            <w:r>
              <w:rPr>
                <w:rFonts w:hint="eastAsia" w:eastAsia="宋体"/>
                <w:kern w:val="0"/>
                <w:sz w:val="20"/>
                <w:szCs w:val="20"/>
              </w:rPr>
              <w:t>40</w:t>
            </w:r>
          </w:p>
        </w:tc>
        <w:tc>
          <w:tcPr>
            <w:tcW w:w="992" w:type="dxa"/>
            <w:vAlign w:val="center"/>
          </w:tcPr>
          <w:p>
            <w:pPr>
              <w:widowControl/>
              <w:spacing w:line="260" w:lineRule="exact"/>
              <w:ind w:right="-54" w:rightChars="-26"/>
              <w:jc w:val="center"/>
              <w:rPr>
                <w:rFonts w:eastAsia="宋体"/>
                <w:kern w:val="0"/>
                <w:sz w:val="20"/>
                <w:szCs w:val="20"/>
              </w:rPr>
            </w:pPr>
            <w:r>
              <w:rPr>
                <w:rFonts w:eastAsia="宋体"/>
                <w:kern w:val="0"/>
                <w:sz w:val="20"/>
                <w:szCs w:val="20"/>
              </w:rPr>
              <w:t>公用经费控制率</w:t>
            </w:r>
          </w:p>
        </w:tc>
        <w:tc>
          <w:tcPr>
            <w:tcW w:w="600" w:type="dxa"/>
            <w:vAlign w:val="center"/>
          </w:tcPr>
          <w:p>
            <w:pPr>
              <w:widowControl/>
              <w:spacing w:line="260" w:lineRule="exact"/>
              <w:jc w:val="center"/>
              <w:rPr>
                <w:rFonts w:hint="eastAsia" w:eastAsia="宋体"/>
                <w:kern w:val="0"/>
                <w:sz w:val="20"/>
                <w:szCs w:val="20"/>
              </w:rPr>
            </w:pPr>
            <w:r>
              <w:rPr>
                <w:rFonts w:hint="eastAsia" w:eastAsia="宋体"/>
                <w:kern w:val="0"/>
                <w:sz w:val="20"/>
                <w:szCs w:val="20"/>
              </w:rPr>
              <w:t>8</w:t>
            </w:r>
          </w:p>
        </w:tc>
        <w:tc>
          <w:tcPr>
            <w:tcW w:w="2664" w:type="dxa"/>
            <w:vAlign w:val="center"/>
          </w:tcPr>
          <w:p>
            <w:pPr>
              <w:widowControl/>
              <w:spacing w:line="260" w:lineRule="exact"/>
              <w:rPr>
                <w:rFonts w:eastAsia="宋体"/>
                <w:kern w:val="0"/>
                <w:sz w:val="20"/>
                <w:szCs w:val="20"/>
              </w:rPr>
            </w:pPr>
            <w:r>
              <w:rPr>
                <w:rFonts w:eastAsia="宋体"/>
                <w:kern w:val="0"/>
                <w:sz w:val="20"/>
                <w:szCs w:val="20"/>
              </w:rPr>
              <w:t>100%以下（含）计满分，每超出</w:t>
            </w:r>
            <w:r>
              <w:rPr>
                <w:rFonts w:hint="eastAsia" w:eastAsia="宋体"/>
                <w:kern w:val="0"/>
                <w:sz w:val="20"/>
                <w:szCs w:val="20"/>
              </w:rPr>
              <w:t>5</w:t>
            </w:r>
            <w:r>
              <w:rPr>
                <w:rFonts w:eastAsia="宋体"/>
                <w:kern w:val="0"/>
                <w:sz w:val="20"/>
                <w:szCs w:val="20"/>
              </w:rPr>
              <w:t>%扣1分，扣完为止。</w:t>
            </w:r>
          </w:p>
        </w:tc>
        <w:tc>
          <w:tcPr>
            <w:tcW w:w="3483" w:type="dxa"/>
            <w:vAlign w:val="center"/>
          </w:tcPr>
          <w:p>
            <w:pPr>
              <w:widowControl/>
              <w:spacing w:line="260" w:lineRule="exact"/>
              <w:jc w:val="left"/>
              <w:rPr>
                <w:rFonts w:eastAsia="宋体"/>
                <w:kern w:val="0"/>
                <w:sz w:val="20"/>
                <w:szCs w:val="20"/>
              </w:rPr>
            </w:pPr>
            <w:r>
              <w:rPr>
                <w:rFonts w:eastAsia="宋体"/>
                <w:kern w:val="0"/>
                <w:sz w:val="20"/>
                <w:szCs w:val="20"/>
              </w:rPr>
              <w:t>公用经费控制率=</w:t>
            </w:r>
            <w:r>
              <w:rPr>
                <w:rFonts w:hint="eastAsia" w:eastAsia="宋体"/>
                <w:kern w:val="0"/>
                <w:sz w:val="20"/>
                <w:szCs w:val="20"/>
              </w:rPr>
              <w:t>504,009.22/504,009.22</w:t>
            </w:r>
            <w:r>
              <w:rPr>
                <w:rFonts w:eastAsia="宋体"/>
                <w:kern w:val="0"/>
                <w:sz w:val="20"/>
                <w:szCs w:val="20"/>
              </w:rPr>
              <w:t>×100%</w:t>
            </w:r>
            <w:r>
              <w:rPr>
                <w:rFonts w:hint="eastAsia" w:eastAsia="宋体"/>
                <w:kern w:val="0"/>
                <w:sz w:val="20"/>
                <w:szCs w:val="20"/>
              </w:rPr>
              <w:t>=100%</w:t>
            </w:r>
            <w:r>
              <w:rPr>
                <w:rFonts w:eastAsia="宋体"/>
                <w:kern w:val="0"/>
                <w:sz w:val="20"/>
                <w:szCs w:val="20"/>
              </w:rPr>
              <w:t>。</w:t>
            </w:r>
            <w:r>
              <w:rPr>
                <w:rFonts w:hint="eastAsia" w:eastAsia="宋体"/>
                <w:kern w:val="0"/>
                <w:sz w:val="20"/>
                <w:szCs w:val="20"/>
              </w:rPr>
              <w:t>扣4分。</w:t>
            </w:r>
          </w:p>
        </w:tc>
        <w:tc>
          <w:tcPr>
            <w:tcW w:w="637" w:type="dxa"/>
            <w:vAlign w:val="center"/>
          </w:tcPr>
          <w:p>
            <w:pPr>
              <w:widowControl/>
              <w:spacing w:line="260" w:lineRule="exact"/>
              <w:jc w:val="center"/>
              <w:rPr>
                <w:rFonts w:eastAsia="宋体"/>
                <w:kern w:val="0"/>
                <w:sz w:val="20"/>
                <w:szCs w:val="20"/>
              </w:rPr>
            </w:pPr>
            <w:r>
              <w:rPr>
                <w:rFonts w:hint="eastAsia" w:eastAsia="宋体"/>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ind w:right="-27" w:rightChars="-13"/>
              <w:rPr>
                <w:rFonts w:eastAsia="宋体"/>
                <w:kern w:val="0"/>
                <w:sz w:val="20"/>
                <w:szCs w:val="20"/>
              </w:rPr>
            </w:pPr>
            <w:r>
              <w:rPr>
                <w:rFonts w:eastAsia="宋体"/>
                <w:kern w:val="0"/>
                <w:sz w:val="20"/>
                <w:szCs w:val="20"/>
              </w:rPr>
              <w:t>“三公经费”控制率</w:t>
            </w:r>
          </w:p>
        </w:tc>
        <w:tc>
          <w:tcPr>
            <w:tcW w:w="600" w:type="dxa"/>
            <w:vAlign w:val="center"/>
          </w:tcPr>
          <w:p>
            <w:pPr>
              <w:widowControl/>
              <w:spacing w:line="260" w:lineRule="exact"/>
              <w:jc w:val="center"/>
              <w:rPr>
                <w:rFonts w:hint="eastAsia" w:eastAsia="宋体"/>
                <w:kern w:val="0"/>
                <w:sz w:val="20"/>
                <w:szCs w:val="20"/>
              </w:rPr>
            </w:pPr>
            <w:r>
              <w:rPr>
                <w:rFonts w:hint="eastAsia" w:eastAsia="宋体"/>
                <w:kern w:val="0"/>
                <w:sz w:val="20"/>
                <w:szCs w:val="20"/>
              </w:rPr>
              <w:t>7</w:t>
            </w:r>
          </w:p>
        </w:tc>
        <w:tc>
          <w:tcPr>
            <w:tcW w:w="2664" w:type="dxa"/>
            <w:vAlign w:val="center"/>
          </w:tcPr>
          <w:p>
            <w:pPr>
              <w:widowControl/>
              <w:spacing w:line="260" w:lineRule="exact"/>
              <w:rPr>
                <w:rFonts w:eastAsia="宋体"/>
                <w:kern w:val="0"/>
                <w:sz w:val="20"/>
                <w:szCs w:val="20"/>
              </w:rPr>
            </w:pPr>
            <w:r>
              <w:rPr>
                <w:rFonts w:eastAsia="宋体"/>
                <w:kern w:val="0"/>
                <w:sz w:val="20"/>
                <w:szCs w:val="20"/>
              </w:rPr>
              <w:t>100%以下（含）计满分，每超出1%扣1分，扣完为止。</w:t>
            </w:r>
          </w:p>
        </w:tc>
        <w:tc>
          <w:tcPr>
            <w:tcW w:w="3483" w:type="dxa"/>
            <w:vAlign w:val="center"/>
          </w:tcPr>
          <w:p>
            <w:pPr>
              <w:widowControl/>
              <w:spacing w:line="260" w:lineRule="exact"/>
              <w:rPr>
                <w:rFonts w:hint="eastAsia" w:eastAsia="宋体"/>
                <w:kern w:val="0"/>
                <w:sz w:val="20"/>
                <w:szCs w:val="20"/>
              </w:rPr>
            </w:pPr>
            <w:r>
              <w:rPr>
                <w:rFonts w:eastAsia="宋体"/>
                <w:kern w:val="0"/>
                <w:sz w:val="20"/>
                <w:szCs w:val="20"/>
              </w:rPr>
              <w:t>“三公经费”控制率=</w:t>
            </w:r>
            <w:r>
              <w:rPr>
                <w:rFonts w:hint="eastAsia" w:eastAsia="宋体"/>
                <w:kern w:val="0"/>
                <w:sz w:val="20"/>
                <w:szCs w:val="20"/>
              </w:rPr>
              <w:t>4.40/5.27</w:t>
            </w:r>
            <w:r>
              <w:rPr>
                <w:rFonts w:eastAsia="宋体"/>
                <w:kern w:val="0"/>
                <w:sz w:val="20"/>
                <w:szCs w:val="20"/>
              </w:rPr>
              <w:t>×100%</w:t>
            </w:r>
            <w:r>
              <w:rPr>
                <w:rFonts w:hint="eastAsia" w:eastAsia="宋体"/>
                <w:kern w:val="0"/>
                <w:sz w:val="20"/>
                <w:szCs w:val="20"/>
              </w:rPr>
              <w:t>=83.49%。</w:t>
            </w:r>
          </w:p>
        </w:tc>
        <w:tc>
          <w:tcPr>
            <w:tcW w:w="637" w:type="dxa"/>
            <w:vAlign w:val="center"/>
          </w:tcPr>
          <w:p>
            <w:pPr>
              <w:widowControl/>
              <w:spacing w:line="260" w:lineRule="exact"/>
              <w:jc w:val="center"/>
              <w:rPr>
                <w:rFonts w:hint="eastAsia" w:eastAsia="宋体"/>
                <w:kern w:val="0"/>
                <w:sz w:val="20"/>
                <w:szCs w:val="20"/>
              </w:rPr>
            </w:pPr>
            <w:r>
              <w:rPr>
                <w:rFonts w:hint="eastAsia" w:eastAsia="宋体"/>
                <w:kern w:val="0"/>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ind w:right="-27" w:rightChars="-13"/>
              <w:rPr>
                <w:rFonts w:eastAsia="宋体"/>
                <w:kern w:val="0"/>
                <w:sz w:val="20"/>
                <w:szCs w:val="20"/>
              </w:rPr>
            </w:pPr>
            <w:r>
              <w:rPr>
                <w:rFonts w:eastAsia="宋体"/>
                <w:kern w:val="0"/>
                <w:sz w:val="20"/>
                <w:szCs w:val="20"/>
              </w:rPr>
              <w:t>政府采购执行率</w:t>
            </w:r>
          </w:p>
        </w:tc>
        <w:tc>
          <w:tcPr>
            <w:tcW w:w="600" w:type="dxa"/>
            <w:vAlign w:val="center"/>
          </w:tcPr>
          <w:p>
            <w:pPr>
              <w:widowControl/>
              <w:spacing w:line="260" w:lineRule="exact"/>
              <w:jc w:val="center"/>
              <w:rPr>
                <w:rFonts w:hint="eastAsia" w:eastAsia="宋体"/>
                <w:kern w:val="0"/>
                <w:sz w:val="20"/>
                <w:szCs w:val="20"/>
              </w:rPr>
            </w:pPr>
            <w:r>
              <w:rPr>
                <w:rFonts w:hint="eastAsia" w:eastAsia="宋体"/>
                <w:kern w:val="0"/>
                <w:sz w:val="20"/>
                <w:szCs w:val="20"/>
              </w:rPr>
              <w:t>6</w:t>
            </w:r>
          </w:p>
        </w:tc>
        <w:tc>
          <w:tcPr>
            <w:tcW w:w="2664" w:type="dxa"/>
            <w:vAlign w:val="center"/>
          </w:tcPr>
          <w:p>
            <w:pPr>
              <w:widowControl/>
              <w:spacing w:line="260" w:lineRule="exact"/>
              <w:rPr>
                <w:rFonts w:eastAsia="宋体"/>
                <w:kern w:val="0"/>
                <w:sz w:val="20"/>
                <w:szCs w:val="20"/>
              </w:rPr>
            </w:pPr>
            <w:r>
              <w:rPr>
                <w:rFonts w:eastAsia="宋体"/>
                <w:kern w:val="0"/>
                <w:sz w:val="20"/>
                <w:szCs w:val="20"/>
              </w:rPr>
              <w:t>100%计满分，每超过（降低）5%扣2分。扣完为止。</w:t>
            </w:r>
          </w:p>
        </w:tc>
        <w:tc>
          <w:tcPr>
            <w:tcW w:w="3483" w:type="dxa"/>
            <w:vAlign w:val="center"/>
          </w:tcPr>
          <w:p>
            <w:pPr>
              <w:widowControl/>
              <w:spacing w:line="260" w:lineRule="exact"/>
              <w:rPr>
                <w:rFonts w:eastAsia="宋体"/>
                <w:kern w:val="0"/>
                <w:sz w:val="20"/>
                <w:szCs w:val="20"/>
              </w:rPr>
            </w:pPr>
            <w:r>
              <w:rPr>
                <w:rFonts w:eastAsia="宋体"/>
                <w:kern w:val="0"/>
                <w:sz w:val="20"/>
                <w:szCs w:val="20"/>
              </w:rPr>
              <w:t>政府采购执行率=（实际政府采购金额/政府采购预算数）×100%</w:t>
            </w:r>
            <w:r>
              <w:rPr>
                <w:rFonts w:hint="eastAsia" w:eastAsia="宋体"/>
                <w:kern w:val="0"/>
                <w:sz w:val="20"/>
                <w:szCs w:val="20"/>
              </w:rPr>
              <w:t>。无政府采购支出。</w:t>
            </w:r>
            <w:r>
              <w:rPr>
                <w:rFonts w:eastAsia="宋体"/>
                <w:kern w:val="0"/>
                <w:sz w:val="20"/>
                <w:szCs w:val="20"/>
              </w:rPr>
              <w:t xml:space="preserve">             </w:t>
            </w:r>
          </w:p>
        </w:tc>
        <w:tc>
          <w:tcPr>
            <w:tcW w:w="637" w:type="dxa"/>
            <w:vAlign w:val="center"/>
          </w:tcPr>
          <w:p>
            <w:pPr>
              <w:widowControl/>
              <w:spacing w:line="260" w:lineRule="exact"/>
              <w:jc w:val="center"/>
              <w:rPr>
                <w:rFonts w:hint="eastAsia" w:eastAsia="宋体"/>
                <w:kern w:val="0"/>
                <w:sz w:val="20"/>
                <w:szCs w:val="20"/>
              </w:rPr>
            </w:pPr>
            <w:r>
              <w:rPr>
                <w:rFonts w:hint="eastAsia" w:eastAsia="宋体"/>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ind w:right="-27" w:rightChars="-13"/>
              <w:rPr>
                <w:rFonts w:eastAsia="宋体"/>
                <w:kern w:val="0"/>
                <w:sz w:val="20"/>
                <w:szCs w:val="20"/>
              </w:rPr>
            </w:pPr>
            <w:r>
              <w:rPr>
                <w:rFonts w:eastAsia="宋体"/>
                <w:kern w:val="0"/>
                <w:sz w:val="20"/>
                <w:szCs w:val="20"/>
              </w:rPr>
              <w:t>管理制度健全性</w:t>
            </w:r>
          </w:p>
        </w:tc>
        <w:tc>
          <w:tcPr>
            <w:tcW w:w="600" w:type="dxa"/>
            <w:vAlign w:val="center"/>
          </w:tcPr>
          <w:p>
            <w:pPr>
              <w:widowControl/>
              <w:spacing w:line="260" w:lineRule="exact"/>
              <w:jc w:val="center"/>
              <w:rPr>
                <w:rFonts w:eastAsia="宋体"/>
                <w:kern w:val="0"/>
                <w:sz w:val="20"/>
                <w:szCs w:val="20"/>
              </w:rPr>
            </w:pPr>
            <w:r>
              <w:rPr>
                <w:rFonts w:eastAsia="宋体"/>
                <w:kern w:val="0"/>
                <w:sz w:val="20"/>
                <w:szCs w:val="20"/>
              </w:rPr>
              <w:t>8</w:t>
            </w:r>
          </w:p>
        </w:tc>
        <w:tc>
          <w:tcPr>
            <w:tcW w:w="2664" w:type="dxa"/>
            <w:vAlign w:val="center"/>
          </w:tcPr>
          <w:p>
            <w:pPr>
              <w:widowControl/>
              <w:spacing w:line="260" w:lineRule="exact"/>
              <w:rPr>
                <w:rFonts w:eastAsia="宋体"/>
                <w:kern w:val="0"/>
                <w:sz w:val="20"/>
                <w:szCs w:val="20"/>
              </w:rPr>
            </w:pPr>
            <w:r>
              <w:rPr>
                <w:rFonts w:hint="eastAsia" w:ascii="宋体" w:hAnsi="宋体" w:cs="宋体"/>
                <w:kern w:val="0"/>
                <w:sz w:val="20"/>
                <w:szCs w:val="20"/>
              </w:rPr>
              <w:t>①</w:t>
            </w:r>
            <w:r>
              <w:rPr>
                <w:rFonts w:eastAsia="宋体"/>
                <w:kern w:val="0"/>
                <w:sz w:val="20"/>
                <w:szCs w:val="20"/>
              </w:rPr>
              <w:t>有内部财务管理制度、会计核算制度等管理制度，2分；</w:t>
            </w:r>
            <w:r>
              <w:rPr>
                <w:rFonts w:eastAsia="宋体"/>
                <w:kern w:val="0"/>
                <w:sz w:val="20"/>
                <w:szCs w:val="20"/>
              </w:rPr>
              <w:br w:type="textWrapping"/>
            </w:r>
            <w:r>
              <w:rPr>
                <w:rFonts w:hint="eastAsia" w:ascii="宋体" w:hAnsi="宋体" w:cs="宋体"/>
                <w:kern w:val="0"/>
                <w:sz w:val="20"/>
                <w:szCs w:val="20"/>
              </w:rPr>
              <w:t>②</w:t>
            </w:r>
            <w:r>
              <w:rPr>
                <w:rFonts w:eastAsia="宋体"/>
                <w:kern w:val="0"/>
                <w:sz w:val="20"/>
                <w:szCs w:val="20"/>
              </w:rPr>
              <w:t>有本部门厉行节约制度,2分；</w:t>
            </w:r>
            <w:r>
              <w:rPr>
                <w:rFonts w:eastAsia="宋体"/>
                <w:kern w:val="0"/>
                <w:sz w:val="20"/>
                <w:szCs w:val="20"/>
              </w:rPr>
              <w:br w:type="textWrapping"/>
            </w:r>
            <w:r>
              <w:rPr>
                <w:rFonts w:hint="eastAsia" w:ascii="宋体" w:hAnsi="宋体" w:cs="宋体"/>
                <w:kern w:val="0"/>
                <w:sz w:val="20"/>
                <w:szCs w:val="20"/>
              </w:rPr>
              <w:t>③</w:t>
            </w:r>
            <w:r>
              <w:rPr>
                <w:rFonts w:eastAsia="宋体"/>
                <w:kern w:val="0"/>
                <w:sz w:val="20"/>
                <w:szCs w:val="20"/>
              </w:rPr>
              <w:t>相关管理制度合法、合规、完整，2分；</w:t>
            </w:r>
            <w:r>
              <w:rPr>
                <w:rFonts w:hint="eastAsia" w:ascii="宋体" w:hAnsi="宋体" w:cs="宋体"/>
                <w:kern w:val="0"/>
                <w:sz w:val="20"/>
                <w:szCs w:val="20"/>
              </w:rPr>
              <w:t>④</w:t>
            </w:r>
            <w:r>
              <w:rPr>
                <w:rFonts w:eastAsia="宋体"/>
                <w:kern w:val="0"/>
                <w:sz w:val="20"/>
                <w:szCs w:val="20"/>
              </w:rPr>
              <w:t>相关管理制度得到有效执行，2分。</w:t>
            </w:r>
          </w:p>
        </w:tc>
        <w:tc>
          <w:tcPr>
            <w:tcW w:w="3483" w:type="dxa"/>
            <w:vAlign w:val="center"/>
          </w:tcPr>
          <w:p>
            <w:pPr>
              <w:widowControl/>
              <w:spacing w:line="260" w:lineRule="exac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建立了单位财务管理制度，各种支出做到厉行节约，并能将各项制度有效执行。</w:t>
            </w:r>
          </w:p>
        </w:tc>
        <w:tc>
          <w:tcPr>
            <w:tcW w:w="637" w:type="dxa"/>
            <w:vAlign w:val="center"/>
          </w:tcPr>
          <w:p>
            <w:pPr>
              <w:widowControl/>
              <w:spacing w:line="260" w:lineRule="exact"/>
              <w:jc w:val="center"/>
              <w:rPr>
                <w:rFonts w:eastAsia="宋体"/>
                <w:kern w:val="0"/>
                <w:sz w:val="20"/>
                <w:szCs w:val="20"/>
              </w:rPr>
            </w:pPr>
            <w:r>
              <w:rPr>
                <w:rFonts w:eastAsia="宋体"/>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1"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ind w:right="-27" w:rightChars="-13"/>
              <w:rPr>
                <w:rFonts w:eastAsia="宋体"/>
                <w:kern w:val="0"/>
                <w:sz w:val="20"/>
                <w:szCs w:val="20"/>
              </w:rPr>
            </w:pPr>
            <w:r>
              <w:rPr>
                <w:rFonts w:eastAsia="宋体"/>
                <w:kern w:val="0"/>
                <w:sz w:val="20"/>
                <w:szCs w:val="20"/>
              </w:rPr>
              <w:t>资金使用合规性</w:t>
            </w:r>
          </w:p>
        </w:tc>
        <w:tc>
          <w:tcPr>
            <w:tcW w:w="600" w:type="dxa"/>
            <w:vAlign w:val="center"/>
          </w:tcPr>
          <w:p>
            <w:pPr>
              <w:widowControl/>
              <w:spacing w:line="260" w:lineRule="exact"/>
              <w:jc w:val="center"/>
              <w:rPr>
                <w:rFonts w:eastAsia="宋体"/>
                <w:kern w:val="0"/>
                <w:sz w:val="20"/>
                <w:szCs w:val="20"/>
              </w:rPr>
            </w:pPr>
            <w:r>
              <w:rPr>
                <w:rFonts w:eastAsia="宋体"/>
                <w:kern w:val="0"/>
                <w:sz w:val="20"/>
                <w:szCs w:val="20"/>
              </w:rPr>
              <w:t>6</w:t>
            </w:r>
          </w:p>
        </w:tc>
        <w:tc>
          <w:tcPr>
            <w:tcW w:w="2664" w:type="dxa"/>
            <w:vAlign w:val="center"/>
          </w:tcPr>
          <w:p>
            <w:pPr>
              <w:widowControl/>
              <w:spacing w:line="260" w:lineRule="exact"/>
              <w:rPr>
                <w:rFonts w:eastAsia="宋体"/>
                <w:kern w:val="0"/>
                <w:sz w:val="20"/>
                <w:szCs w:val="20"/>
              </w:rPr>
            </w:pPr>
            <w:r>
              <w:rPr>
                <w:rFonts w:hint="eastAsia" w:ascii="宋体" w:hAnsi="宋体" w:cs="宋体"/>
                <w:kern w:val="0"/>
                <w:sz w:val="20"/>
                <w:szCs w:val="20"/>
              </w:rPr>
              <w:t>①</w:t>
            </w:r>
            <w:r>
              <w:rPr>
                <w:rFonts w:eastAsia="宋体"/>
                <w:kern w:val="0"/>
                <w:sz w:val="20"/>
                <w:szCs w:val="20"/>
              </w:rPr>
              <w:t>支出符合国家财经法规和财务管理制度规定以及有关专项资金管理办法的规定；</w:t>
            </w:r>
            <w:r>
              <w:rPr>
                <w:rFonts w:hint="eastAsia" w:ascii="宋体" w:hAnsi="宋体" w:cs="宋体"/>
                <w:kern w:val="0"/>
                <w:sz w:val="20"/>
                <w:szCs w:val="20"/>
              </w:rPr>
              <w:t>②</w:t>
            </w:r>
            <w:r>
              <w:rPr>
                <w:rFonts w:eastAsia="宋体"/>
                <w:kern w:val="0"/>
                <w:sz w:val="20"/>
                <w:szCs w:val="20"/>
              </w:rPr>
              <w:t>资金拨付有完整的审批程序和手续；</w:t>
            </w:r>
            <w:r>
              <w:rPr>
                <w:rFonts w:hint="eastAsia" w:ascii="宋体" w:hAnsi="宋体" w:cs="宋体"/>
                <w:kern w:val="0"/>
                <w:sz w:val="20"/>
                <w:szCs w:val="20"/>
              </w:rPr>
              <w:t>③</w:t>
            </w:r>
            <w:r>
              <w:rPr>
                <w:rFonts w:eastAsia="宋体"/>
                <w:kern w:val="0"/>
                <w:sz w:val="20"/>
                <w:szCs w:val="20"/>
              </w:rPr>
              <w:t>项目支出按规定经过评估论证；</w:t>
            </w:r>
            <w:r>
              <w:rPr>
                <w:rFonts w:hint="eastAsia" w:ascii="宋体" w:hAnsi="宋体" w:cs="宋体"/>
                <w:kern w:val="0"/>
                <w:sz w:val="20"/>
                <w:szCs w:val="20"/>
              </w:rPr>
              <w:t>④</w:t>
            </w:r>
            <w:r>
              <w:rPr>
                <w:rFonts w:eastAsia="宋体"/>
                <w:kern w:val="0"/>
                <w:sz w:val="20"/>
                <w:szCs w:val="20"/>
              </w:rPr>
              <w:t>支出符合部门预算批复的用途；</w:t>
            </w:r>
            <w:r>
              <w:rPr>
                <w:rFonts w:hint="eastAsia" w:ascii="宋体" w:hAnsi="宋体" w:cs="宋体"/>
                <w:kern w:val="0"/>
                <w:sz w:val="20"/>
                <w:szCs w:val="20"/>
              </w:rPr>
              <w:t>⑤</w:t>
            </w:r>
            <w:r>
              <w:rPr>
                <w:rFonts w:eastAsia="宋体"/>
                <w:kern w:val="0"/>
                <w:sz w:val="20"/>
                <w:szCs w:val="20"/>
              </w:rPr>
              <w:t>资金使用无截留、挤占、挪用、虚列支出等情况。</w:t>
            </w:r>
            <w:r>
              <w:rPr>
                <w:rFonts w:eastAsia="宋体"/>
                <w:kern w:val="0"/>
                <w:sz w:val="20"/>
                <w:szCs w:val="20"/>
              </w:rPr>
              <w:br w:type="textWrapping"/>
            </w:r>
            <w:r>
              <w:rPr>
                <w:rFonts w:eastAsia="宋体"/>
                <w:kern w:val="0"/>
                <w:sz w:val="20"/>
                <w:szCs w:val="20"/>
              </w:rPr>
              <w:t>以上情况每出现一例不符合要求的扣1分，扣完为止。</w:t>
            </w:r>
          </w:p>
        </w:tc>
        <w:tc>
          <w:tcPr>
            <w:tcW w:w="3483" w:type="dxa"/>
            <w:vAlign w:val="center"/>
          </w:tcPr>
          <w:p>
            <w:pPr>
              <w:widowControl/>
              <w:spacing w:line="260" w:lineRule="exac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　各项资金支出手续审批程序完善，手续符合规定，支出符合部门预算批复的用途，资金支出按时支出，不存在截留、挤占、挪用、序列支出的现象。</w:t>
            </w:r>
          </w:p>
        </w:tc>
        <w:tc>
          <w:tcPr>
            <w:tcW w:w="637" w:type="dxa"/>
            <w:vAlign w:val="center"/>
          </w:tcPr>
          <w:p>
            <w:pPr>
              <w:widowControl/>
              <w:spacing w:line="260" w:lineRule="exact"/>
              <w:jc w:val="center"/>
              <w:rPr>
                <w:rFonts w:eastAsia="宋体"/>
                <w:kern w:val="0"/>
                <w:sz w:val="20"/>
                <w:szCs w:val="20"/>
              </w:rPr>
            </w:pPr>
            <w:r>
              <w:rPr>
                <w:rFonts w:hint="eastAsia" w:eastAsia="宋体"/>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ind w:right="-27" w:rightChars="-13"/>
              <w:rPr>
                <w:rFonts w:eastAsia="宋体"/>
                <w:kern w:val="0"/>
                <w:sz w:val="20"/>
                <w:szCs w:val="20"/>
              </w:rPr>
            </w:pPr>
            <w:r>
              <w:rPr>
                <w:rFonts w:eastAsia="宋体"/>
                <w:kern w:val="0"/>
                <w:sz w:val="20"/>
                <w:szCs w:val="20"/>
              </w:rPr>
              <w:t>预决算信息公开性</w:t>
            </w:r>
          </w:p>
        </w:tc>
        <w:tc>
          <w:tcPr>
            <w:tcW w:w="600" w:type="dxa"/>
            <w:vAlign w:val="center"/>
          </w:tcPr>
          <w:p>
            <w:pPr>
              <w:widowControl/>
              <w:spacing w:line="260" w:lineRule="exact"/>
              <w:jc w:val="center"/>
              <w:rPr>
                <w:rFonts w:eastAsia="宋体"/>
                <w:kern w:val="0"/>
                <w:sz w:val="20"/>
                <w:szCs w:val="20"/>
              </w:rPr>
            </w:pPr>
            <w:r>
              <w:rPr>
                <w:rFonts w:eastAsia="宋体"/>
                <w:kern w:val="0"/>
                <w:sz w:val="20"/>
                <w:szCs w:val="20"/>
              </w:rPr>
              <w:t>5</w:t>
            </w:r>
          </w:p>
        </w:tc>
        <w:tc>
          <w:tcPr>
            <w:tcW w:w="2664" w:type="dxa"/>
            <w:vAlign w:val="center"/>
          </w:tcPr>
          <w:p>
            <w:pPr>
              <w:widowControl/>
              <w:spacing w:line="260" w:lineRule="exact"/>
              <w:rPr>
                <w:rFonts w:eastAsia="宋体"/>
                <w:kern w:val="0"/>
                <w:sz w:val="20"/>
                <w:szCs w:val="20"/>
              </w:rPr>
            </w:pPr>
            <w:r>
              <w:rPr>
                <w:rFonts w:hint="eastAsia" w:ascii="宋体" w:hAnsi="宋体" w:cs="宋体"/>
                <w:kern w:val="0"/>
                <w:sz w:val="20"/>
                <w:szCs w:val="20"/>
              </w:rPr>
              <w:t>①</w:t>
            </w:r>
            <w:r>
              <w:rPr>
                <w:rFonts w:eastAsia="宋体"/>
                <w:kern w:val="0"/>
                <w:sz w:val="20"/>
                <w:szCs w:val="20"/>
              </w:rPr>
              <w:t>按规定内容公开预决算信息，1分；</w:t>
            </w:r>
            <w:r>
              <w:rPr>
                <w:rFonts w:hint="eastAsia" w:ascii="宋体" w:hAnsi="宋体" w:cs="宋体"/>
                <w:kern w:val="0"/>
                <w:sz w:val="20"/>
                <w:szCs w:val="20"/>
              </w:rPr>
              <w:t>②</w:t>
            </w:r>
            <w:r>
              <w:rPr>
                <w:rFonts w:eastAsia="宋体"/>
                <w:kern w:val="0"/>
                <w:sz w:val="20"/>
                <w:szCs w:val="20"/>
              </w:rPr>
              <w:t>按规定时限公开预决算信息，1分；</w:t>
            </w:r>
            <w:r>
              <w:rPr>
                <w:rFonts w:hint="eastAsia" w:ascii="宋体" w:hAnsi="宋体" w:cs="宋体"/>
                <w:kern w:val="0"/>
                <w:sz w:val="20"/>
                <w:szCs w:val="20"/>
              </w:rPr>
              <w:t>③</w:t>
            </w:r>
            <w:r>
              <w:rPr>
                <w:rFonts w:eastAsia="宋体"/>
                <w:kern w:val="0"/>
                <w:sz w:val="20"/>
                <w:szCs w:val="20"/>
              </w:rPr>
              <w:t>基础数据信息和会计信息资料真实，1分；</w:t>
            </w:r>
            <w:r>
              <w:rPr>
                <w:rFonts w:hint="eastAsia" w:ascii="宋体" w:hAnsi="宋体" w:cs="宋体"/>
                <w:kern w:val="0"/>
                <w:sz w:val="20"/>
                <w:szCs w:val="20"/>
              </w:rPr>
              <w:t>④</w:t>
            </w:r>
            <w:r>
              <w:rPr>
                <w:rFonts w:eastAsia="宋体"/>
                <w:kern w:val="0"/>
                <w:sz w:val="20"/>
                <w:szCs w:val="20"/>
              </w:rPr>
              <w:t>基础数据信息和会计信息资料完整，1分；</w:t>
            </w:r>
            <w:r>
              <w:rPr>
                <w:rFonts w:hint="eastAsia" w:ascii="宋体" w:hAnsi="宋体" w:cs="宋体"/>
                <w:kern w:val="0"/>
                <w:sz w:val="20"/>
                <w:szCs w:val="20"/>
              </w:rPr>
              <w:t>⑤</w:t>
            </w:r>
            <w:r>
              <w:rPr>
                <w:rFonts w:eastAsia="宋体"/>
                <w:kern w:val="0"/>
                <w:sz w:val="20"/>
                <w:szCs w:val="20"/>
              </w:rPr>
              <w:t>基础数据信息和汇集信息资料准确，1分。</w:t>
            </w:r>
          </w:p>
        </w:tc>
        <w:tc>
          <w:tcPr>
            <w:tcW w:w="3483" w:type="dxa"/>
            <w:vAlign w:val="center"/>
          </w:tcPr>
          <w:p>
            <w:pPr>
              <w:widowControl/>
              <w:spacing w:line="260" w:lineRule="exac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预算、决算按规定在财政局门户网站上进行了公开，基础数据信息和会计信息资料完整，</w:t>
            </w:r>
          </w:p>
        </w:tc>
        <w:tc>
          <w:tcPr>
            <w:tcW w:w="637" w:type="dxa"/>
            <w:vAlign w:val="center"/>
          </w:tcPr>
          <w:p>
            <w:pPr>
              <w:widowControl/>
              <w:spacing w:line="260" w:lineRule="exact"/>
              <w:jc w:val="center"/>
              <w:rPr>
                <w:rFonts w:eastAsia="宋体"/>
                <w:kern w:val="0"/>
                <w:sz w:val="20"/>
                <w:szCs w:val="20"/>
              </w:rPr>
            </w:pPr>
            <w:r>
              <w:rPr>
                <w:rFonts w:eastAsia="宋体"/>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659" w:type="dxa"/>
            <w:vMerge w:val="restart"/>
            <w:vAlign w:val="center"/>
          </w:tcPr>
          <w:p>
            <w:pPr>
              <w:widowControl/>
              <w:spacing w:line="260" w:lineRule="exact"/>
              <w:rPr>
                <w:rFonts w:eastAsia="宋体"/>
                <w:kern w:val="0"/>
                <w:sz w:val="20"/>
                <w:szCs w:val="20"/>
              </w:rPr>
            </w:pPr>
            <w:r>
              <w:rPr>
                <w:rFonts w:eastAsia="宋体"/>
                <w:kern w:val="0"/>
                <w:sz w:val="20"/>
                <w:szCs w:val="20"/>
              </w:rPr>
              <w:t>产出及效益</w:t>
            </w:r>
          </w:p>
        </w:tc>
        <w:tc>
          <w:tcPr>
            <w:tcW w:w="470" w:type="dxa"/>
            <w:vMerge w:val="restart"/>
            <w:vAlign w:val="center"/>
          </w:tcPr>
          <w:p>
            <w:pPr>
              <w:widowControl/>
              <w:spacing w:line="260" w:lineRule="exact"/>
              <w:rPr>
                <w:rFonts w:eastAsia="宋体"/>
                <w:kern w:val="0"/>
                <w:sz w:val="20"/>
                <w:szCs w:val="20"/>
              </w:rPr>
            </w:pPr>
            <w:r>
              <w:rPr>
                <w:rFonts w:hint="eastAsia" w:eastAsia="宋体"/>
                <w:kern w:val="0"/>
                <w:sz w:val="20"/>
                <w:szCs w:val="20"/>
              </w:rPr>
              <w:t>30</w:t>
            </w:r>
          </w:p>
        </w:tc>
        <w:tc>
          <w:tcPr>
            <w:tcW w:w="577" w:type="dxa"/>
            <w:vAlign w:val="center"/>
          </w:tcPr>
          <w:p>
            <w:pPr>
              <w:widowControl/>
              <w:spacing w:line="260" w:lineRule="exact"/>
              <w:rPr>
                <w:rFonts w:eastAsia="宋体"/>
                <w:kern w:val="0"/>
                <w:sz w:val="20"/>
                <w:szCs w:val="20"/>
              </w:rPr>
            </w:pPr>
            <w:r>
              <w:rPr>
                <w:rFonts w:eastAsia="宋体"/>
                <w:kern w:val="0"/>
                <w:sz w:val="20"/>
                <w:szCs w:val="20"/>
              </w:rPr>
              <w:t>职责履行</w:t>
            </w:r>
          </w:p>
        </w:tc>
        <w:tc>
          <w:tcPr>
            <w:tcW w:w="662" w:type="dxa"/>
            <w:vAlign w:val="center"/>
          </w:tcPr>
          <w:p>
            <w:pPr>
              <w:widowControl/>
              <w:spacing w:line="260" w:lineRule="exact"/>
              <w:jc w:val="center"/>
              <w:rPr>
                <w:rFonts w:eastAsia="宋体"/>
                <w:kern w:val="0"/>
                <w:sz w:val="20"/>
                <w:szCs w:val="20"/>
              </w:rPr>
            </w:pPr>
            <w:r>
              <w:rPr>
                <w:rFonts w:hint="eastAsia" w:eastAsia="宋体"/>
                <w:kern w:val="0"/>
                <w:sz w:val="20"/>
                <w:szCs w:val="20"/>
              </w:rPr>
              <w:t>8</w:t>
            </w:r>
          </w:p>
        </w:tc>
        <w:tc>
          <w:tcPr>
            <w:tcW w:w="992" w:type="dxa"/>
            <w:vAlign w:val="center"/>
          </w:tcPr>
          <w:p>
            <w:pPr>
              <w:widowControl/>
              <w:spacing w:line="260" w:lineRule="exact"/>
              <w:ind w:right="-12" w:rightChars="-6"/>
              <w:rPr>
                <w:rFonts w:eastAsia="宋体"/>
                <w:kern w:val="0"/>
                <w:sz w:val="20"/>
                <w:szCs w:val="20"/>
              </w:rPr>
            </w:pPr>
            <w:r>
              <w:rPr>
                <w:rFonts w:hint="eastAsia" w:eastAsia="宋体"/>
                <w:kern w:val="0"/>
                <w:sz w:val="20"/>
                <w:szCs w:val="20"/>
              </w:rPr>
              <w:t>重点工作办结率</w:t>
            </w:r>
          </w:p>
        </w:tc>
        <w:tc>
          <w:tcPr>
            <w:tcW w:w="600" w:type="dxa"/>
            <w:vAlign w:val="center"/>
          </w:tcPr>
          <w:p>
            <w:pPr>
              <w:widowControl/>
              <w:spacing w:line="260" w:lineRule="exact"/>
              <w:jc w:val="center"/>
              <w:rPr>
                <w:rFonts w:eastAsia="宋体"/>
                <w:kern w:val="0"/>
                <w:sz w:val="20"/>
                <w:szCs w:val="20"/>
              </w:rPr>
            </w:pPr>
            <w:r>
              <w:rPr>
                <w:rFonts w:hint="eastAsia" w:eastAsia="宋体"/>
                <w:kern w:val="0"/>
                <w:sz w:val="20"/>
                <w:szCs w:val="20"/>
              </w:rPr>
              <w:t>8</w:t>
            </w:r>
          </w:p>
        </w:tc>
        <w:tc>
          <w:tcPr>
            <w:tcW w:w="2664" w:type="dxa"/>
            <w:vAlign w:val="center"/>
          </w:tcPr>
          <w:p>
            <w:pPr>
              <w:widowControl/>
              <w:spacing w:line="260" w:lineRule="exact"/>
              <w:rPr>
                <w:rFonts w:eastAsia="宋体"/>
                <w:kern w:val="0"/>
                <w:sz w:val="20"/>
                <w:szCs w:val="20"/>
              </w:rPr>
            </w:pPr>
            <w:r>
              <w:rPr>
                <w:rFonts w:hint="eastAsia" w:eastAsia="宋体"/>
                <w:kern w:val="0"/>
                <w:sz w:val="20"/>
                <w:szCs w:val="20"/>
              </w:rPr>
              <w:t>部门年度重点工作实际完成数与交办下达数的比率，用以反映部门对重点工作的办理落实程度。</w:t>
            </w:r>
          </w:p>
        </w:tc>
        <w:tc>
          <w:tcPr>
            <w:tcW w:w="3483" w:type="dxa"/>
            <w:vAlign w:val="center"/>
          </w:tcPr>
          <w:p>
            <w:pPr>
              <w:widowControl/>
              <w:spacing w:line="260" w:lineRule="exact"/>
              <w:rPr>
                <w:rFonts w:eastAsia="宋体"/>
                <w:kern w:val="0"/>
                <w:sz w:val="20"/>
                <w:szCs w:val="20"/>
              </w:rPr>
            </w:pPr>
            <w:r>
              <w:rPr>
                <w:rFonts w:hint="eastAsia" w:eastAsia="宋体"/>
                <w:kern w:val="0"/>
                <w:sz w:val="20"/>
                <w:szCs w:val="20"/>
              </w:rPr>
              <w:t>重点工作办结率=（重点工作实际完成数/交办或下达数）*100%。重点工作是指党委、政府、人大、相关部门交办或下达的工作任务。重点工作办结率达95%以上计8分，每下降1%扣1分，扣完为止。</w:t>
            </w:r>
          </w:p>
        </w:tc>
        <w:tc>
          <w:tcPr>
            <w:tcW w:w="637" w:type="dxa"/>
            <w:vAlign w:val="center"/>
          </w:tcPr>
          <w:p>
            <w:pPr>
              <w:widowControl/>
              <w:spacing w:line="260" w:lineRule="exact"/>
              <w:jc w:val="center"/>
              <w:rPr>
                <w:rFonts w:eastAsia="宋体"/>
                <w:kern w:val="0"/>
                <w:sz w:val="20"/>
                <w:szCs w:val="20"/>
              </w:rPr>
            </w:pPr>
            <w:r>
              <w:rPr>
                <w:rFonts w:hint="eastAsia" w:eastAsia="宋体"/>
                <w:kern w:val="0"/>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restart"/>
            <w:vAlign w:val="center"/>
          </w:tcPr>
          <w:p>
            <w:pPr>
              <w:widowControl/>
              <w:spacing w:line="260" w:lineRule="exact"/>
              <w:rPr>
                <w:rFonts w:eastAsia="宋体"/>
                <w:kern w:val="0"/>
                <w:sz w:val="20"/>
                <w:szCs w:val="20"/>
              </w:rPr>
            </w:pPr>
            <w:r>
              <w:rPr>
                <w:rFonts w:eastAsia="宋体"/>
                <w:kern w:val="0"/>
                <w:sz w:val="20"/>
                <w:szCs w:val="20"/>
              </w:rPr>
              <w:t>履职 效益</w:t>
            </w:r>
          </w:p>
        </w:tc>
        <w:tc>
          <w:tcPr>
            <w:tcW w:w="662" w:type="dxa"/>
            <w:vMerge w:val="restart"/>
            <w:vAlign w:val="center"/>
          </w:tcPr>
          <w:p>
            <w:pPr>
              <w:widowControl/>
              <w:spacing w:line="260" w:lineRule="exact"/>
              <w:jc w:val="center"/>
              <w:rPr>
                <w:rFonts w:eastAsia="宋体"/>
                <w:kern w:val="0"/>
                <w:sz w:val="20"/>
                <w:szCs w:val="20"/>
              </w:rPr>
            </w:pPr>
            <w:r>
              <w:rPr>
                <w:rFonts w:hint="eastAsia" w:eastAsia="宋体"/>
                <w:kern w:val="0"/>
                <w:sz w:val="20"/>
                <w:szCs w:val="20"/>
              </w:rPr>
              <w:t>10</w:t>
            </w:r>
          </w:p>
        </w:tc>
        <w:tc>
          <w:tcPr>
            <w:tcW w:w="992" w:type="dxa"/>
            <w:vAlign w:val="center"/>
          </w:tcPr>
          <w:p>
            <w:pPr>
              <w:widowControl/>
              <w:spacing w:line="260" w:lineRule="exact"/>
              <w:ind w:left="1" w:leftChars="-13" w:hanging="28" w:hangingChars="14"/>
              <w:jc w:val="center"/>
              <w:rPr>
                <w:rFonts w:eastAsia="宋体"/>
                <w:kern w:val="0"/>
                <w:sz w:val="20"/>
                <w:szCs w:val="20"/>
              </w:rPr>
            </w:pPr>
            <w:r>
              <w:rPr>
                <w:rFonts w:eastAsia="宋体"/>
                <w:kern w:val="0"/>
                <w:sz w:val="20"/>
                <w:szCs w:val="20"/>
              </w:rPr>
              <w:t>经济效益</w:t>
            </w:r>
          </w:p>
        </w:tc>
        <w:tc>
          <w:tcPr>
            <w:tcW w:w="600" w:type="dxa"/>
            <w:vMerge w:val="restart"/>
            <w:vAlign w:val="center"/>
          </w:tcPr>
          <w:p>
            <w:pPr>
              <w:widowControl/>
              <w:spacing w:line="260" w:lineRule="exact"/>
              <w:jc w:val="center"/>
              <w:rPr>
                <w:rFonts w:eastAsia="宋体"/>
                <w:kern w:val="0"/>
                <w:sz w:val="20"/>
                <w:szCs w:val="20"/>
              </w:rPr>
            </w:pPr>
            <w:r>
              <w:rPr>
                <w:rFonts w:hint="eastAsia" w:eastAsia="宋体"/>
                <w:kern w:val="0"/>
                <w:sz w:val="20"/>
                <w:szCs w:val="20"/>
              </w:rPr>
              <w:t>10</w:t>
            </w:r>
          </w:p>
        </w:tc>
        <w:tc>
          <w:tcPr>
            <w:tcW w:w="6147" w:type="dxa"/>
            <w:gridSpan w:val="2"/>
            <w:vMerge w:val="restart"/>
            <w:vAlign w:val="center"/>
          </w:tcPr>
          <w:p>
            <w:pPr>
              <w:pStyle w:val="15"/>
              <w:widowControl/>
              <w:ind w:firstLine="0" w:firstLineChars="0"/>
              <w:jc w:val="left"/>
              <w:rPr>
                <w:rFonts w:eastAsia="宋体"/>
                <w:bCs/>
                <w:kern w:val="0"/>
                <w:sz w:val="20"/>
                <w:szCs w:val="20"/>
              </w:rPr>
            </w:pPr>
            <w:r>
              <w:rPr>
                <w:rFonts w:hint="eastAsia" w:ascii="宋体" w:hAnsi="宋体" w:cs="宋体"/>
                <w:kern w:val="0"/>
                <w:sz w:val="20"/>
                <w:szCs w:val="20"/>
              </w:rPr>
              <w:t>①</w:t>
            </w:r>
            <w:r>
              <w:rPr>
                <w:rFonts w:hint="eastAsia" w:eastAsia="宋体"/>
                <w:bCs/>
                <w:kern w:val="0"/>
                <w:sz w:val="20"/>
                <w:szCs w:val="20"/>
              </w:rPr>
              <w:t>推进档案信息化建设，进一步丰富和完善档案馆藏，有序推进（2.5分）</w:t>
            </w:r>
            <w:r>
              <w:rPr>
                <w:rFonts w:eastAsia="宋体"/>
                <w:bCs/>
                <w:kern w:val="0"/>
                <w:sz w:val="20"/>
                <w:szCs w:val="20"/>
              </w:rPr>
              <w:t>；</w:t>
            </w:r>
          </w:p>
          <w:p>
            <w:pPr>
              <w:pStyle w:val="15"/>
              <w:widowControl/>
              <w:ind w:firstLine="0" w:firstLineChars="0"/>
              <w:jc w:val="left"/>
              <w:rPr>
                <w:rFonts w:hint="eastAsia" w:eastAsia="宋体"/>
                <w:bCs/>
                <w:kern w:val="0"/>
                <w:sz w:val="20"/>
                <w:szCs w:val="20"/>
              </w:rPr>
            </w:pPr>
            <w:r>
              <w:rPr>
                <w:rFonts w:hint="eastAsia" w:eastAsia="宋体"/>
                <w:bCs/>
                <w:kern w:val="0"/>
                <w:sz w:val="20"/>
                <w:szCs w:val="20"/>
              </w:rPr>
              <w:t>②推进安全保密建设，始终不懈地抓好档案库房、档案信息和档案利用的安全工作，确保万无一失，有序推进（2.5分）；</w:t>
            </w:r>
          </w:p>
          <w:p>
            <w:pPr>
              <w:pStyle w:val="15"/>
              <w:widowControl/>
              <w:ind w:firstLine="0" w:firstLineChars="0"/>
              <w:jc w:val="left"/>
              <w:rPr>
                <w:rFonts w:hint="eastAsia" w:eastAsia="宋体"/>
                <w:bCs/>
                <w:kern w:val="0"/>
                <w:sz w:val="20"/>
                <w:szCs w:val="20"/>
              </w:rPr>
            </w:pPr>
            <w:r>
              <w:rPr>
                <w:rFonts w:hint="eastAsia" w:eastAsia="宋体"/>
                <w:bCs/>
                <w:kern w:val="0"/>
                <w:sz w:val="20"/>
                <w:szCs w:val="20"/>
              </w:rPr>
              <w:t>③抓好档案队伍作风建设和人员教育培训。不断提高档案人员的学术水平，有效提升（2.5分）；</w:t>
            </w:r>
          </w:p>
          <w:p>
            <w:pPr>
              <w:pStyle w:val="15"/>
              <w:widowControl/>
              <w:ind w:firstLine="0" w:firstLineChars="0"/>
              <w:jc w:val="left"/>
              <w:rPr>
                <w:rFonts w:eastAsia="宋体"/>
                <w:bCs/>
                <w:kern w:val="0"/>
                <w:sz w:val="20"/>
                <w:szCs w:val="20"/>
              </w:rPr>
            </w:pPr>
            <w:r>
              <w:rPr>
                <w:rFonts w:hint="eastAsia" w:eastAsia="宋体"/>
                <w:bCs/>
                <w:kern w:val="0"/>
                <w:sz w:val="20"/>
                <w:szCs w:val="20"/>
              </w:rPr>
              <w:t>④提升服务质量，及时帮助群众解难消困，充分利用档案资源为群众做好宣传工作，有效提升（2.5分）。</w:t>
            </w:r>
          </w:p>
          <w:p>
            <w:pPr>
              <w:pStyle w:val="15"/>
              <w:widowControl/>
              <w:ind w:firstLine="0" w:firstLineChars="0"/>
              <w:jc w:val="left"/>
              <w:rPr>
                <w:rFonts w:eastAsia="宋体"/>
                <w:bCs/>
                <w:kern w:val="0"/>
                <w:sz w:val="20"/>
                <w:szCs w:val="20"/>
              </w:rPr>
            </w:pPr>
            <w:r>
              <w:rPr>
                <w:rFonts w:hint="eastAsia" w:eastAsia="宋体"/>
                <w:bCs/>
                <w:kern w:val="0"/>
                <w:sz w:val="20"/>
                <w:szCs w:val="20"/>
              </w:rPr>
              <w:t>否则酌情扣分。</w:t>
            </w:r>
          </w:p>
        </w:tc>
        <w:tc>
          <w:tcPr>
            <w:tcW w:w="637" w:type="dxa"/>
            <w:vMerge w:val="restart"/>
            <w:vAlign w:val="center"/>
          </w:tcPr>
          <w:p>
            <w:pPr>
              <w:spacing w:line="260" w:lineRule="exact"/>
              <w:jc w:val="center"/>
              <w:rPr>
                <w:rFonts w:eastAsia="宋体"/>
                <w:kern w:val="0"/>
                <w:sz w:val="20"/>
                <w:szCs w:val="20"/>
              </w:rPr>
            </w:pPr>
            <w:r>
              <w:rPr>
                <w:rFonts w:hint="eastAsia" w:eastAsia="宋体"/>
                <w:kern w:val="0"/>
                <w:sz w:val="20"/>
                <w:szCs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ind w:left="1" w:leftChars="-33" w:hanging="70" w:hangingChars="35"/>
              <w:rPr>
                <w:rFonts w:eastAsia="宋体"/>
                <w:kern w:val="0"/>
                <w:sz w:val="20"/>
                <w:szCs w:val="20"/>
              </w:rPr>
            </w:pPr>
            <w:r>
              <w:rPr>
                <w:rFonts w:eastAsia="宋体"/>
                <w:kern w:val="0"/>
                <w:sz w:val="20"/>
                <w:szCs w:val="20"/>
              </w:rPr>
              <w:t>社会效益</w:t>
            </w:r>
          </w:p>
        </w:tc>
        <w:tc>
          <w:tcPr>
            <w:tcW w:w="600" w:type="dxa"/>
            <w:vMerge w:val="continue"/>
            <w:vAlign w:val="center"/>
          </w:tcPr>
          <w:p>
            <w:pPr>
              <w:jc w:val="center"/>
              <w:rPr>
                <w:rFonts w:eastAsia="宋体"/>
                <w:sz w:val="20"/>
                <w:szCs w:val="20"/>
              </w:rPr>
            </w:pPr>
          </w:p>
        </w:tc>
        <w:tc>
          <w:tcPr>
            <w:tcW w:w="6147" w:type="dxa"/>
            <w:gridSpan w:val="2"/>
            <w:vMerge w:val="continue"/>
            <w:vAlign w:val="center"/>
          </w:tcPr>
          <w:p>
            <w:pPr>
              <w:rPr>
                <w:rFonts w:eastAsia="宋体"/>
                <w:sz w:val="20"/>
                <w:szCs w:val="20"/>
              </w:rPr>
            </w:pPr>
          </w:p>
        </w:tc>
        <w:tc>
          <w:tcPr>
            <w:tcW w:w="637" w:type="dxa"/>
            <w:vMerge w:val="continue"/>
            <w:vAlign w:val="center"/>
          </w:tcPr>
          <w:p>
            <w:pPr>
              <w:jc w:val="center"/>
              <w:rPr>
                <w:rFonts w:eastAsia="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restart"/>
            <w:vAlign w:val="center"/>
          </w:tcPr>
          <w:p>
            <w:pPr>
              <w:widowControl/>
              <w:spacing w:line="260" w:lineRule="exact"/>
              <w:jc w:val="center"/>
              <w:rPr>
                <w:rFonts w:eastAsia="宋体"/>
                <w:kern w:val="0"/>
                <w:sz w:val="20"/>
                <w:szCs w:val="20"/>
              </w:rPr>
            </w:pPr>
            <w:r>
              <w:rPr>
                <w:rFonts w:hint="eastAsia" w:eastAsia="宋体"/>
                <w:kern w:val="0"/>
                <w:sz w:val="20"/>
                <w:szCs w:val="20"/>
              </w:rPr>
              <w:t>12</w:t>
            </w:r>
          </w:p>
        </w:tc>
        <w:tc>
          <w:tcPr>
            <w:tcW w:w="992" w:type="dxa"/>
            <w:vAlign w:val="center"/>
          </w:tcPr>
          <w:p>
            <w:pPr>
              <w:widowControl/>
              <w:spacing w:line="260" w:lineRule="exact"/>
              <w:ind w:right="-37" w:rightChars="-18"/>
              <w:rPr>
                <w:rFonts w:eastAsia="宋体"/>
                <w:kern w:val="0"/>
                <w:sz w:val="20"/>
                <w:szCs w:val="20"/>
              </w:rPr>
            </w:pPr>
            <w:r>
              <w:rPr>
                <w:rFonts w:eastAsia="宋体"/>
                <w:kern w:val="0"/>
                <w:sz w:val="20"/>
                <w:szCs w:val="20"/>
              </w:rPr>
              <w:t>行政效能</w:t>
            </w:r>
          </w:p>
        </w:tc>
        <w:tc>
          <w:tcPr>
            <w:tcW w:w="600" w:type="dxa"/>
            <w:vAlign w:val="center"/>
          </w:tcPr>
          <w:p>
            <w:pPr>
              <w:widowControl/>
              <w:spacing w:line="260" w:lineRule="exact"/>
              <w:jc w:val="center"/>
              <w:rPr>
                <w:rFonts w:eastAsia="宋体"/>
                <w:kern w:val="0"/>
                <w:sz w:val="20"/>
                <w:szCs w:val="20"/>
              </w:rPr>
            </w:pPr>
            <w:r>
              <w:rPr>
                <w:rFonts w:hint="eastAsia" w:eastAsia="宋体"/>
                <w:kern w:val="0"/>
                <w:sz w:val="20"/>
                <w:szCs w:val="20"/>
              </w:rPr>
              <w:t>6</w:t>
            </w:r>
          </w:p>
        </w:tc>
        <w:tc>
          <w:tcPr>
            <w:tcW w:w="2664" w:type="dxa"/>
            <w:vAlign w:val="center"/>
          </w:tcPr>
          <w:p>
            <w:pPr>
              <w:widowControl/>
              <w:spacing w:line="260" w:lineRule="exact"/>
              <w:rPr>
                <w:rFonts w:hint="eastAsia"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促进部门改进文风，加强经费及资产管理，提高行政效率，降低行政成本效果较好的计6分；一般3分；无效果或者效果不明显0分。</w:t>
            </w:r>
          </w:p>
        </w:tc>
        <w:tc>
          <w:tcPr>
            <w:tcW w:w="3483" w:type="dxa"/>
            <w:vAlign w:val="center"/>
          </w:tcPr>
          <w:p>
            <w:pPr>
              <w:widowControl/>
              <w:spacing w:line="260" w:lineRule="exact"/>
              <w:rPr>
                <w:rFonts w:hint="eastAsia" w:ascii="Times New Roman" w:hAnsi="Times New Roman" w:eastAsia="宋体" w:cs="Times New Roman"/>
                <w:bCs/>
                <w:kern w:val="0"/>
                <w:sz w:val="20"/>
                <w:szCs w:val="20"/>
              </w:rPr>
            </w:pPr>
            <w:r>
              <w:rPr>
                <w:rFonts w:hint="eastAsia" w:ascii="Times New Roman" w:hAnsi="Times New Roman" w:eastAsia="宋体" w:cs="Times New Roman"/>
                <w:bCs/>
                <w:kern w:val="0"/>
                <w:sz w:val="20"/>
                <w:szCs w:val="20"/>
              </w:rPr>
              <w:t>根据部门自评材料评定。</w:t>
            </w:r>
          </w:p>
        </w:tc>
        <w:tc>
          <w:tcPr>
            <w:tcW w:w="637" w:type="dxa"/>
            <w:vAlign w:val="center"/>
          </w:tcPr>
          <w:p>
            <w:pPr>
              <w:widowControl/>
              <w:spacing w:line="260" w:lineRule="exact"/>
              <w:jc w:val="center"/>
              <w:rPr>
                <w:rFonts w:eastAsia="宋体"/>
                <w:kern w:val="0"/>
                <w:sz w:val="20"/>
                <w:szCs w:val="20"/>
              </w:rPr>
            </w:pPr>
            <w:r>
              <w:rPr>
                <w:rFonts w:hint="eastAsia" w:eastAsia="宋体"/>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659" w:type="dxa"/>
            <w:vMerge w:val="continue"/>
            <w:vAlign w:val="center"/>
          </w:tcPr>
          <w:p>
            <w:pPr>
              <w:rPr>
                <w:rFonts w:eastAsia="宋体"/>
                <w:sz w:val="20"/>
                <w:szCs w:val="20"/>
              </w:rPr>
            </w:pPr>
          </w:p>
        </w:tc>
        <w:tc>
          <w:tcPr>
            <w:tcW w:w="470" w:type="dxa"/>
            <w:vMerge w:val="continue"/>
            <w:vAlign w:val="center"/>
          </w:tcPr>
          <w:p>
            <w:pPr>
              <w:rPr>
                <w:rFonts w:eastAsia="宋体"/>
                <w:sz w:val="20"/>
                <w:szCs w:val="20"/>
              </w:rPr>
            </w:pPr>
          </w:p>
        </w:tc>
        <w:tc>
          <w:tcPr>
            <w:tcW w:w="577" w:type="dxa"/>
            <w:vMerge w:val="continue"/>
            <w:vAlign w:val="center"/>
          </w:tcPr>
          <w:p>
            <w:pPr>
              <w:rPr>
                <w:rFonts w:eastAsia="宋体"/>
                <w:sz w:val="20"/>
                <w:szCs w:val="20"/>
              </w:rPr>
            </w:pPr>
          </w:p>
        </w:tc>
        <w:tc>
          <w:tcPr>
            <w:tcW w:w="662" w:type="dxa"/>
            <w:vMerge w:val="continue"/>
            <w:vAlign w:val="center"/>
          </w:tcPr>
          <w:p>
            <w:pPr>
              <w:jc w:val="center"/>
              <w:rPr>
                <w:rFonts w:eastAsia="宋体"/>
                <w:sz w:val="20"/>
                <w:szCs w:val="20"/>
              </w:rPr>
            </w:pPr>
          </w:p>
        </w:tc>
        <w:tc>
          <w:tcPr>
            <w:tcW w:w="992" w:type="dxa"/>
            <w:vAlign w:val="center"/>
          </w:tcPr>
          <w:p>
            <w:pPr>
              <w:widowControl/>
              <w:spacing w:line="260" w:lineRule="exact"/>
              <w:rPr>
                <w:rFonts w:eastAsia="宋体"/>
                <w:kern w:val="0"/>
                <w:sz w:val="20"/>
                <w:szCs w:val="20"/>
              </w:rPr>
            </w:pPr>
            <w:r>
              <w:rPr>
                <w:rFonts w:eastAsia="宋体"/>
                <w:kern w:val="0"/>
                <w:sz w:val="20"/>
                <w:szCs w:val="20"/>
              </w:rPr>
              <w:t>社会公众或服务对象满意度</w:t>
            </w:r>
          </w:p>
        </w:tc>
        <w:tc>
          <w:tcPr>
            <w:tcW w:w="600" w:type="dxa"/>
            <w:vAlign w:val="center"/>
          </w:tcPr>
          <w:p>
            <w:pPr>
              <w:widowControl/>
              <w:spacing w:line="260" w:lineRule="exact"/>
              <w:jc w:val="center"/>
              <w:rPr>
                <w:rFonts w:eastAsia="宋体"/>
                <w:kern w:val="0"/>
                <w:sz w:val="20"/>
                <w:szCs w:val="20"/>
              </w:rPr>
            </w:pPr>
            <w:r>
              <w:rPr>
                <w:rFonts w:hint="eastAsia" w:eastAsia="宋体"/>
                <w:kern w:val="0"/>
                <w:sz w:val="20"/>
                <w:szCs w:val="20"/>
              </w:rPr>
              <w:t>6</w:t>
            </w:r>
          </w:p>
        </w:tc>
        <w:tc>
          <w:tcPr>
            <w:tcW w:w="2664" w:type="dxa"/>
            <w:vAlign w:val="center"/>
          </w:tcPr>
          <w:p>
            <w:pPr>
              <w:widowControl/>
              <w:spacing w:line="260" w:lineRule="exact"/>
              <w:rPr>
                <w:rFonts w:hint="eastAsia" w:eastAsia="宋体"/>
                <w:kern w:val="0"/>
                <w:sz w:val="20"/>
                <w:szCs w:val="20"/>
              </w:rPr>
            </w:pPr>
            <w:r>
              <w:rPr>
                <w:rFonts w:hint="eastAsia" w:eastAsia="宋体"/>
                <w:kern w:val="0"/>
                <w:sz w:val="20"/>
                <w:szCs w:val="20"/>
              </w:rPr>
              <w:t>90%（含）以上计6分；</w:t>
            </w:r>
          </w:p>
          <w:p>
            <w:pPr>
              <w:widowControl/>
              <w:spacing w:line="260" w:lineRule="exact"/>
              <w:rPr>
                <w:rFonts w:hint="eastAsia" w:eastAsia="宋体"/>
                <w:kern w:val="0"/>
                <w:sz w:val="20"/>
                <w:szCs w:val="20"/>
              </w:rPr>
            </w:pPr>
            <w:r>
              <w:rPr>
                <w:rFonts w:hint="eastAsia" w:eastAsia="宋体"/>
                <w:kern w:val="0"/>
                <w:sz w:val="20"/>
                <w:szCs w:val="20"/>
              </w:rPr>
              <w:t>80%（含）-90%，计4分；</w:t>
            </w:r>
          </w:p>
          <w:p>
            <w:pPr>
              <w:widowControl/>
              <w:spacing w:line="260" w:lineRule="exact"/>
              <w:rPr>
                <w:rFonts w:hint="eastAsia" w:eastAsia="宋体"/>
                <w:kern w:val="0"/>
                <w:sz w:val="20"/>
                <w:szCs w:val="20"/>
              </w:rPr>
            </w:pPr>
            <w:r>
              <w:rPr>
                <w:rFonts w:hint="eastAsia" w:eastAsia="宋体"/>
                <w:kern w:val="0"/>
                <w:sz w:val="20"/>
                <w:szCs w:val="20"/>
              </w:rPr>
              <w:t>70%（含）-80%，计2分；</w:t>
            </w:r>
          </w:p>
          <w:p>
            <w:pPr>
              <w:widowControl/>
              <w:spacing w:line="260" w:lineRule="exact"/>
              <w:rPr>
                <w:rFonts w:eastAsia="宋体"/>
                <w:kern w:val="0"/>
                <w:sz w:val="20"/>
                <w:szCs w:val="20"/>
              </w:rPr>
            </w:pPr>
            <w:r>
              <w:rPr>
                <w:rFonts w:hint="eastAsia" w:eastAsia="宋体"/>
                <w:kern w:val="0"/>
                <w:sz w:val="20"/>
                <w:szCs w:val="20"/>
              </w:rPr>
              <w:t>低于70%计0分。</w:t>
            </w:r>
          </w:p>
        </w:tc>
        <w:tc>
          <w:tcPr>
            <w:tcW w:w="3483" w:type="dxa"/>
            <w:vAlign w:val="center"/>
          </w:tcPr>
          <w:p>
            <w:pPr>
              <w:widowControl/>
              <w:spacing w:line="260" w:lineRule="exact"/>
              <w:rPr>
                <w:rFonts w:eastAsia="宋体"/>
                <w:kern w:val="0"/>
                <w:sz w:val="20"/>
                <w:szCs w:val="20"/>
              </w:rPr>
            </w:pPr>
            <w:r>
              <w:rPr>
                <w:rFonts w:eastAsia="宋体"/>
                <w:kern w:val="0"/>
                <w:sz w:val="20"/>
                <w:szCs w:val="20"/>
              </w:rPr>
              <w:t>社会公众或服务对象是指部门（单位）履行职责而影响到的部门、群体或个人，一般采取社会调查的方式。</w:t>
            </w:r>
          </w:p>
        </w:tc>
        <w:tc>
          <w:tcPr>
            <w:tcW w:w="637" w:type="dxa"/>
            <w:vAlign w:val="center"/>
          </w:tcPr>
          <w:p>
            <w:pPr>
              <w:widowControl/>
              <w:spacing w:line="260" w:lineRule="exact"/>
              <w:jc w:val="center"/>
              <w:rPr>
                <w:rFonts w:eastAsia="宋体"/>
                <w:kern w:val="0"/>
                <w:sz w:val="20"/>
                <w:szCs w:val="20"/>
              </w:rPr>
            </w:pPr>
            <w:r>
              <w:rPr>
                <w:rFonts w:hint="eastAsia" w:eastAsia="宋体"/>
                <w:kern w:val="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6" w:type="dxa"/>
            <w:gridSpan w:val="3"/>
            <w:vAlign w:val="center"/>
          </w:tcPr>
          <w:p>
            <w:pPr>
              <w:spacing w:line="260" w:lineRule="exact"/>
              <w:jc w:val="center"/>
              <w:rPr>
                <w:rFonts w:eastAsia="宋体"/>
                <w:bCs/>
                <w:kern w:val="0"/>
                <w:sz w:val="20"/>
                <w:szCs w:val="20"/>
              </w:rPr>
            </w:pPr>
            <w:r>
              <w:rPr>
                <w:rFonts w:eastAsia="宋体"/>
                <w:kern w:val="0"/>
                <w:sz w:val="20"/>
                <w:szCs w:val="20"/>
              </w:rPr>
              <w:t>合计</w:t>
            </w:r>
          </w:p>
        </w:tc>
        <w:tc>
          <w:tcPr>
            <w:tcW w:w="662" w:type="dxa"/>
            <w:vAlign w:val="center"/>
          </w:tcPr>
          <w:p>
            <w:pPr>
              <w:widowControl/>
              <w:spacing w:line="260" w:lineRule="exact"/>
              <w:jc w:val="center"/>
              <w:rPr>
                <w:rFonts w:eastAsia="宋体"/>
                <w:kern w:val="0"/>
                <w:sz w:val="20"/>
                <w:szCs w:val="20"/>
              </w:rPr>
            </w:pPr>
            <w:r>
              <w:rPr>
                <w:rFonts w:eastAsia="宋体"/>
                <w:kern w:val="0"/>
                <w:sz w:val="20"/>
                <w:szCs w:val="20"/>
              </w:rPr>
              <w:t>100</w:t>
            </w:r>
          </w:p>
        </w:tc>
        <w:tc>
          <w:tcPr>
            <w:tcW w:w="992" w:type="dxa"/>
            <w:vAlign w:val="center"/>
          </w:tcPr>
          <w:p>
            <w:pPr>
              <w:widowControl/>
              <w:spacing w:line="260" w:lineRule="exact"/>
              <w:rPr>
                <w:rFonts w:eastAsia="宋体"/>
                <w:kern w:val="0"/>
                <w:sz w:val="20"/>
                <w:szCs w:val="20"/>
              </w:rPr>
            </w:pPr>
          </w:p>
        </w:tc>
        <w:tc>
          <w:tcPr>
            <w:tcW w:w="600" w:type="dxa"/>
            <w:vAlign w:val="center"/>
          </w:tcPr>
          <w:p>
            <w:pPr>
              <w:widowControl/>
              <w:spacing w:line="260" w:lineRule="exact"/>
              <w:jc w:val="center"/>
              <w:rPr>
                <w:rFonts w:eastAsia="宋体"/>
                <w:kern w:val="0"/>
                <w:sz w:val="20"/>
                <w:szCs w:val="20"/>
              </w:rPr>
            </w:pPr>
            <w:r>
              <w:rPr>
                <w:rFonts w:eastAsia="宋体"/>
                <w:kern w:val="0"/>
                <w:sz w:val="20"/>
                <w:szCs w:val="20"/>
              </w:rPr>
              <w:t>100</w:t>
            </w:r>
          </w:p>
        </w:tc>
        <w:tc>
          <w:tcPr>
            <w:tcW w:w="6147" w:type="dxa"/>
            <w:gridSpan w:val="2"/>
            <w:vAlign w:val="center"/>
          </w:tcPr>
          <w:p>
            <w:pPr>
              <w:widowControl/>
              <w:spacing w:line="260" w:lineRule="exact"/>
              <w:rPr>
                <w:rFonts w:eastAsia="宋体"/>
                <w:kern w:val="0"/>
                <w:sz w:val="20"/>
                <w:szCs w:val="20"/>
              </w:rPr>
            </w:pPr>
          </w:p>
        </w:tc>
        <w:tc>
          <w:tcPr>
            <w:tcW w:w="637" w:type="dxa"/>
            <w:vAlign w:val="center"/>
          </w:tcPr>
          <w:p>
            <w:pPr>
              <w:widowControl/>
              <w:spacing w:line="260" w:lineRule="exact"/>
              <w:jc w:val="center"/>
              <w:rPr>
                <w:rFonts w:eastAsia="宋体"/>
                <w:kern w:val="0"/>
                <w:sz w:val="20"/>
                <w:szCs w:val="20"/>
              </w:rPr>
            </w:pPr>
            <w:r>
              <w:rPr>
                <w:rFonts w:hint="eastAsia" w:eastAsia="宋体"/>
                <w:kern w:val="0"/>
                <w:sz w:val="20"/>
                <w:szCs w:val="20"/>
              </w:rPr>
              <w:t>96</w:t>
            </w:r>
          </w:p>
        </w:tc>
      </w:tr>
    </w:tbl>
    <w:p>
      <w:pPr>
        <w:spacing w:afterLines="50" w:line="600" w:lineRule="exact"/>
        <w:rPr>
          <w:rFonts w:ascii="Times New Roman" w:hAnsi="Times New Roman" w:eastAsia="黑体" w:cs="Times New Roman"/>
          <w:sz w:val="32"/>
          <w:szCs w:val="32"/>
        </w:rPr>
      </w:pPr>
    </w:p>
    <w:p>
      <w:pPr>
        <w:spacing w:afterLines="50" w:line="600" w:lineRule="exact"/>
        <w:rPr>
          <w:rFonts w:hint="eastAsia"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2</w:t>
      </w:r>
    </w:p>
    <w:p>
      <w:pPr>
        <w:spacing w:afterLines="50" w:line="600"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部门整体支出绩效评价基础数据表</w:t>
      </w:r>
    </w:p>
    <w:p>
      <w:pPr>
        <w:pStyle w:val="6"/>
        <w:jc w:val="right"/>
        <w:rPr>
          <w:rFonts w:hint="eastAsia" w:eastAsia="方正小标宋_GBK"/>
        </w:rPr>
      </w:pPr>
      <w:r>
        <w:rPr>
          <w:rFonts w:hint="eastAsia" w:ascii="Times New Roman" w:hAnsi="Times New Roman" w:eastAsia="方正小标宋_GBK" w:cs="Times New Roman"/>
        </w:rPr>
        <w:t>单位：万元</w:t>
      </w:r>
    </w:p>
    <w:tbl>
      <w:tblPr>
        <w:tblStyle w:val="9"/>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tblPrEx>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编制数</w:t>
            </w:r>
          </w:p>
        </w:tc>
        <w:tc>
          <w:tcPr>
            <w:tcW w:w="2240"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2021年实际在职人数</w:t>
            </w:r>
          </w:p>
        </w:tc>
        <w:tc>
          <w:tcPr>
            <w:tcW w:w="2041"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控制率</w:t>
            </w:r>
          </w:p>
        </w:tc>
      </w:tr>
      <w:tr>
        <w:tblPrEx>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p>
        </w:tc>
        <w:tc>
          <w:tcPr>
            <w:tcW w:w="2038"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18</w:t>
            </w:r>
          </w:p>
        </w:tc>
        <w:tc>
          <w:tcPr>
            <w:tcW w:w="2240"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18</w:t>
            </w:r>
          </w:p>
        </w:tc>
        <w:tc>
          <w:tcPr>
            <w:tcW w:w="2041" w:type="dxa"/>
            <w:gridSpan w:val="2"/>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100%</w:t>
            </w: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2020年决算数</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2021年预算数</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2021年决算数</w:t>
            </w:r>
          </w:p>
        </w:tc>
      </w:tr>
      <w:tr>
        <w:tblPrEx>
          <w:tblCellMar>
            <w:top w:w="0" w:type="dxa"/>
            <w:left w:w="108" w:type="dxa"/>
            <w:bottom w:w="0" w:type="dxa"/>
            <w:right w:w="108" w:type="dxa"/>
          </w:tblCellMar>
        </w:tblPrEx>
        <w:trPr>
          <w:trHeight w:val="322"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三公经费</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1.93</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5.27</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4.40</w:t>
            </w:r>
          </w:p>
        </w:tc>
      </w:tr>
      <w:tr>
        <w:tblPrEx>
          <w:tblCellMar>
            <w:top w:w="0" w:type="dxa"/>
            <w:left w:w="108" w:type="dxa"/>
            <w:bottom w:w="0" w:type="dxa"/>
            <w:right w:w="108" w:type="dxa"/>
          </w:tblCellMar>
        </w:tblPrEx>
        <w:trPr>
          <w:trHeight w:val="322"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1.45</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3.77</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3.62</w:t>
            </w:r>
          </w:p>
        </w:tc>
      </w:tr>
      <w:tr>
        <w:tblPrEx>
          <w:tblCellMar>
            <w:top w:w="0" w:type="dxa"/>
            <w:left w:w="108" w:type="dxa"/>
            <w:bottom w:w="0" w:type="dxa"/>
            <w:right w:w="108" w:type="dxa"/>
          </w:tblCellMar>
        </w:tblPrEx>
        <w:trPr>
          <w:trHeight w:val="27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r>
      <w:tr>
        <w:tblPrEx>
          <w:tblCellMar>
            <w:top w:w="0" w:type="dxa"/>
            <w:left w:w="108" w:type="dxa"/>
            <w:bottom w:w="0" w:type="dxa"/>
            <w:right w:w="108" w:type="dxa"/>
          </w:tblCellMar>
        </w:tblPrEx>
        <w:trPr>
          <w:trHeight w:val="33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1.45</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3.77</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3.62</w:t>
            </w:r>
          </w:p>
        </w:tc>
      </w:tr>
      <w:tr>
        <w:tblPrEx>
          <w:tblCellMar>
            <w:top w:w="0" w:type="dxa"/>
            <w:left w:w="108" w:type="dxa"/>
            <w:bottom w:w="0" w:type="dxa"/>
            <w:right w:w="108" w:type="dxa"/>
          </w:tblCellMar>
        </w:tblPrEx>
        <w:trPr>
          <w:trHeight w:val="322"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r>
      <w:tr>
        <w:tblPrEx>
          <w:tblCellMar>
            <w:top w:w="0" w:type="dxa"/>
            <w:left w:w="108" w:type="dxa"/>
            <w:bottom w:w="0" w:type="dxa"/>
            <w:right w:w="108" w:type="dxa"/>
          </w:tblCellMar>
        </w:tblPrEx>
        <w:trPr>
          <w:trHeight w:val="33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0.48</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1.50</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0.78</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项目支出：</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0.96</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36.60</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63.10</w:t>
            </w:r>
          </w:p>
        </w:tc>
      </w:tr>
      <w:tr>
        <w:tblPrEx>
          <w:tblCellMar>
            <w:top w:w="0" w:type="dxa"/>
            <w:left w:w="108" w:type="dxa"/>
            <w:bottom w:w="0" w:type="dxa"/>
            <w:right w:w="108" w:type="dxa"/>
          </w:tblCellMar>
        </w:tblPrEx>
        <w:trPr>
          <w:trHeight w:val="33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w:t>
            </w:r>
            <w:r>
              <w:rPr>
                <w:rFonts w:hint="eastAsia" w:ascii="Times New Roman" w:hAnsi="Times New Roman" w:eastAsia="仿宋_GB2312" w:cs="Times New Roman"/>
                <w:sz w:val="20"/>
                <w:szCs w:val="20"/>
              </w:rPr>
              <w:t>专项</w:t>
            </w:r>
            <w:r>
              <w:rPr>
                <w:rFonts w:ascii="Times New Roman" w:hAnsi="Times New Roman" w:eastAsia="仿宋_GB2312" w:cs="Times New Roman"/>
                <w:sz w:val="20"/>
                <w:szCs w:val="20"/>
              </w:rPr>
              <w:t>业务工作经费</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r>
      <w:tr>
        <w:tblPrEx>
          <w:tblCellMar>
            <w:top w:w="0" w:type="dxa"/>
            <w:left w:w="108" w:type="dxa"/>
            <w:bottom w:w="0" w:type="dxa"/>
            <w:right w:w="108" w:type="dxa"/>
          </w:tblCellMar>
        </w:tblPrEx>
        <w:trPr>
          <w:trHeight w:val="352"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2、运行维护经费</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r>
      <w:tr>
        <w:tblPrEx>
          <w:tblCellMar>
            <w:top w:w="0" w:type="dxa"/>
            <w:left w:w="108" w:type="dxa"/>
            <w:bottom w:w="0" w:type="dxa"/>
            <w:right w:w="108" w:type="dxa"/>
          </w:tblCellMar>
        </w:tblPrEx>
        <w:trPr>
          <w:trHeight w:val="307" w:hRule="atLeast"/>
          <w:jc w:val="center"/>
        </w:trPr>
        <w:tc>
          <w:tcPr>
            <w:tcW w:w="3354" w:type="dxa"/>
            <w:tcBorders>
              <w:top w:val="nil"/>
              <w:left w:val="single" w:color="auto" w:sz="4" w:space="0"/>
              <w:bottom w:val="single" w:color="auto" w:sz="4" w:space="0"/>
              <w:right w:val="single" w:color="auto" w:sz="4" w:space="0"/>
            </w:tcBorders>
            <w:vAlign w:val="center"/>
          </w:tcPr>
          <w:p>
            <w:pPr>
              <w:widowControl/>
              <w:ind w:firstLine="400" w:firstLineChars="200"/>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3、专项资金</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r>
              <w:rPr>
                <w:rFonts w:hint="eastAsia" w:ascii="Times New Roman" w:hAnsi="Times New Roman" w:eastAsia="仿宋_GB2312" w:cs="Times New Roman"/>
                <w:szCs w:val="21"/>
              </w:rPr>
              <w:t>　</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r>
              <w:rPr>
                <w:rFonts w:hint="eastAsia" w:ascii="Times New Roman" w:hAnsi="Times New Roman" w:eastAsia="仿宋_GB2312" w:cs="Times New Roman"/>
                <w:szCs w:val="21"/>
              </w:rPr>
              <w:t>63.10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hint="eastAsia" w:ascii="Times New Roman" w:hAnsi="Times New Roman" w:eastAsia="仿宋_GB2312" w:cs="Times New Roman"/>
                <w:sz w:val="20"/>
                <w:szCs w:val="20"/>
              </w:rPr>
            </w:pPr>
            <w:r>
              <w:rPr>
                <w:rFonts w:hint="eastAsia" w:ascii="Times New Roman" w:hAnsi="Times New Roman" w:eastAsia="仿宋_GB2312" w:cs="Times New Roman"/>
                <w:sz w:val="20"/>
                <w:szCs w:val="20"/>
              </w:rPr>
              <w:t>公用经费</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60.41</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45.36</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50.40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6.16</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0.50</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3.45</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6.29</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4.00</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4.16</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0.00</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0.00</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0.08</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政府采购金额</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r>
              <w:rPr>
                <w:rFonts w:hint="eastAsia" w:ascii="Times New Roman" w:hAnsi="Times New Roman" w:eastAsia="仿宋_GB2312" w:cs="Times New Roman"/>
                <w:szCs w:val="21"/>
              </w:rPr>
              <w:t>——</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10.70</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0.00</w:t>
            </w:r>
          </w:p>
        </w:tc>
      </w:tr>
      <w:tr>
        <w:tblPrEx>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vAlign w:val="center"/>
          </w:tcPr>
          <w:p>
            <w:pPr>
              <w:widowControl/>
              <w:jc w:val="center"/>
              <w:rPr>
                <w:rFonts w:hint="eastAsia" w:ascii="Times New Roman" w:hAnsi="Times New Roman" w:eastAsia="仿宋_GB2312" w:cs="Times New Roman"/>
                <w:szCs w:val="21"/>
              </w:rPr>
            </w:pPr>
            <w:r>
              <w:rPr>
                <w:rFonts w:hint="eastAsia" w:ascii="Times New Roman" w:hAnsi="Times New Roman" w:eastAsia="仿宋_GB2312" w:cs="Times New Roman"/>
                <w:szCs w:val="21"/>
              </w:rPr>
              <w:t>——</w:t>
            </w:r>
          </w:p>
        </w:tc>
        <w:tc>
          <w:tcPr>
            <w:tcW w:w="2240"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143.04</w:t>
            </w:r>
          </w:p>
        </w:tc>
        <w:tc>
          <w:tcPr>
            <w:tcW w:w="2041" w:type="dxa"/>
            <w:gridSpan w:val="2"/>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143.04</w:t>
            </w:r>
          </w:p>
        </w:tc>
      </w:tr>
      <w:tr>
        <w:tblPrEx>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楼堂馆所控制情况</w:t>
            </w:r>
            <w:r>
              <w:rPr>
                <w:rFonts w:ascii="Times New Roman" w:hAnsi="Times New Roman" w:eastAsia="仿宋_GB2312" w:cs="Times New Roman"/>
                <w:sz w:val="20"/>
                <w:szCs w:val="20"/>
              </w:rPr>
              <w:br w:type="textWrapping"/>
            </w:r>
            <w:r>
              <w:rPr>
                <w:rFonts w:ascii="Times New Roman" w:hAnsi="Times New Roman" w:eastAsia="仿宋_GB2312" w:cs="Times New Roman"/>
                <w:sz w:val="20"/>
                <w:szCs w:val="20"/>
              </w:rPr>
              <w:t>（2021年完工项目）</w:t>
            </w:r>
          </w:p>
        </w:tc>
        <w:tc>
          <w:tcPr>
            <w:tcW w:w="118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批复规模</w:t>
            </w:r>
            <w:r>
              <w:rPr>
                <w:rFonts w:ascii="Times New Roman" w:hAnsi="Times New Roman" w:eastAsia="仿宋_GB2312" w:cs="Times New Roman"/>
                <w:bCs/>
                <w:sz w:val="20"/>
                <w:szCs w:val="20"/>
              </w:rPr>
              <w:br w:type="textWrapping"/>
            </w:r>
            <w:r>
              <w:rPr>
                <w:rFonts w:ascii="Times New Roman" w:hAnsi="Times New Roman" w:eastAsia="仿宋_GB2312" w:cs="Times New Roman"/>
                <w:bCs/>
                <w:sz w:val="20"/>
                <w:szCs w:val="20"/>
              </w:rPr>
              <w:t>（</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84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实际规模（</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112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规模控制率</w:t>
            </w:r>
          </w:p>
        </w:tc>
        <w:tc>
          <w:tcPr>
            <w:tcW w:w="111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预算投资（万元）</w:t>
            </w:r>
          </w:p>
        </w:tc>
        <w:tc>
          <w:tcPr>
            <w:tcW w:w="108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实际投资（万元）</w:t>
            </w:r>
          </w:p>
        </w:tc>
        <w:tc>
          <w:tcPr>
            <w:tcW w:w="96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投资概算控制率</w:t>
            </w:r>
          </w:p>
        </w:tc>
      </w:tr>
      <w:tr>
        <w:tblPrEx>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p>
        </w:tc>
        <w:tc>
          <w:tcPr>
            <w:tcW w:w="1189"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Times New Roman" w:hAnsi="Times New Roman" w:eastAsia="仿宋_GB2312" w:cs="Times New Roman"/>
                <w:sz w:val="20"/>
                <w:szCs w:val="20"/>
              </w:rPr>
              <w:t>无</w:t>
            </w:r>
          </w:p>
        </w:tc>
        <w:tc>
          <w:tcPr>
            <w:tcW w:w="849" w:type="dxa"/>
            <w:tcBorders>
              <w:top w:val="nil"/>
              <w:left w:val="nil"/>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1129" w:type="dxa"/>
            <w:tcBorders>
              <w:top w:val="nil"/>
              <w:left w:val="nil"/>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1111" w:type="dxa"/>
            <w:tcBorders>
              <w:top w:val="nil"/>
              <w:left w:val="nil"/>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1081" w:type="dxa"/>
            <w:tcBorders>
              <w:top w:val="nil"/>
              <w:left w:val="nil"/>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960" w:type="dxa"/>
            <w:tcBorders>
              <w:top w:val="nil"/>
              <w:left w:val="nil"/>
              <w:bottom w:val="single" w:color="auto" w:sz="4" w:space="0"/>
              <w:right w:val="single" w:color="auto" w:sz="4" w:space="0"/>
            </w:tcBorders>
            <w:vAlign w:val="center"/>
          </w:tcPr>
          <w:p>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tblPrEx>
          <w:tblCellMar>
            <w:top w:w="0" w:type="dxa"/>
            <w:left w:w="108" w:type="dxa"/>
            <w:bottom w:w="0" w:type="dxa"/>
            <w:right w:w="108" w:type="dxa"/>
          </w:tblCellMar>
        </w:tblPrEx>
        <w:trPr>
          <w:trHeight w:val="586" w:hRule="atLeast"/>
          <w:jc w:val="center"/>
        </w:trPr>
        <w:tc>
          <w:tcPr>
            <w:tcW w:w="335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vAlign w:val="center"/>
          </w:tcPr>
          <w:p>
            <w:pPr>
              <w:widowControl/>
              <w:jc w:val="center"/>
              <w:rPr>
                <w:rFonts w:ascii="Times New Roman" w:hAnsi="Times New Roman" w:eastAsia="仿宋_GB2312" w:cs="Times New Roman"/>
                <w:sz w:val="20"/>
                <w:szCs w:val="20"/>
              </w:rPr>
            </w:pPr>
            <w:r>
              <w:rPr>
                <w:rFonts w:hint="eastAsia" w:ascii="Times New Roman" w:hAnsi="Times New Roman" w:eastAsia="仿宋_GB2312" w:cs="Times New Roman"/>
                <w:sz w:val="20"/>
                <w:szCs w:val="20"/>
              </w:rPr>
              <w:t>《财务管理制度》、《专项资金管理办法》</w:t>
            </w:r>
            <w:r>
              <w:rPr>
                <w:rFonts w:ascii="Times New Roman" w:hAnsi="Times New Roman" w:eastAsia="仿宋_GB2312" w:cs="Times New Roman"/>
                <w:sz w:val="20"/>
                <w:szCs w:val="20"/>
              </w:rPr>
              <w:t>　</w:t>
            </w:r>
          </w:p>
        </w:tc>
      </w:tr>
    </w:tbl>
    <w:p>
      <w:pPr>
        <w:widowControl/>
        <w:jc w:val="left"/>
        <w:rPr>
          <w:rFonts w:ascii="Times New Roman" w:hAnsi="Times New Roman" w:eastAsia="仿宋_GB2312" w:cs="Times New Roman"/>
          <w:sz w:val="22"/>
        </w:rPr>
      </w:pPr>
    </w:p>
    <w:p>
      <w:pPr>
        <w:rPr>
          <w:rFonts w:ascii="Times New Roman" w:hAnsi="Times New Roman" w:eastAsia="仿宋_GB2312" w:cs="Times New Roman"/>
          <w:sz w:val="22"/>
        </w:rPr>
      </w:pPr>
      <w:r>
        <w:rPr>
          <w:rFonts w:ascii="Times New Roman" w:hAnsi="Times New Roman" w:eastAsia="仿宋_GB2312" w:cs="Times New Roman"/>
          <w:sz w:val="22"/>
        </w:rPr>
        <w:t>填表人：        填报日期：          联系电话：            单位负责人签字：</w:t>
      </w:r>
    </w:p>
    <w:p>
      <w:pPr>
        <w:pStyle w:val="6"/>
        <w:rPr>
          <w:rFonts w:ascii="Times New Roman" w:hAnsi="Times New Roman" w:eastAsia="仿宋_GB2312" w:cs="Times New Roman"/>
          <w:sz w:val="22"/>
        </w:rPr>
      </w:pPr>
    </w:p>
    <w:p>
      <w:pPr>
        <w:widowControl/>
        <w:spacing w:afterLines="50"/>
        <w:jc w:val="left"/>
        <w:rPr>
          <w:rFonts w:ascii="Times New Roman" w:hAnsi="Times New Roman" w:eastAsia="黑体" w:cs="Times New Roman"/>
          <w:sz w:val="32"/>
          <w:szCs w:val="32"/>
        </w:rPr>
      </w:pPr>
    </w:p>
    <w:p>
      <w:pPr>
        <w:widowControl/>
        <w:spacing w:afterLines="50"/>
        <w:jc w:val="left"/>
        <w:rPr>
          <w:rFonts w:ascii="Times New Roman" w:hAnsi="Times New Roman" w:eastAsia="黑体" w:cs="Times New Roman"/>
          <w:sz w:val="32"/>
          <w:szCs w:val="32"/>
        </w:rPr>
      </w:pPr>
    </w:p>
    <w:p>
      <w:pPr>
        <w:widowControl/>
        <w:spacing w:afterLines="50"/>
        <w:jc w:val="left"/>
        <w:rPr>
          <w:rFonts w:ascii="Times New Roman" w:hAnsi="Times New Roman" w:eastAsia="黑体" w:cs="Times New Roman"/>
          <w:sz w:val="32"/>
          <w:szCs w:val="32"/>
        </w:rPr>
      </w:pPr>
    </w:p>
    <w:p>
      <w:pPr>
        <w:widowControl/>
        <w:spacing w:afterLines="50"/>
        <w:jc w:val="left"/>
        <w:rPr>
          <w:rFonts w:hint="eastAsia"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3</w:t>
      </w:r>
    </w:p>
    <w:p>
      <w:pPr>
        <w:widowControl/>
        <w:spacing w:afterLines="50"/>
        <w:jc w:val="center"/>
        <w:rPr>
          <w:rFonts w:ascii="Times New Roman" w:hAnsi="Times New Roman" w:eastAsia="方正小标宋_GBK" w:cs="Times New Roman"/>
          <w:color w:val="000000"/>
          <w:sz w:val="36"/>
          <w:szCs w:val="36"/>
        </w:rPr>
      </w:pPr>
      <w:r>
        <w:rPr>
          <w:rFonts w:ascii="Times New Roman" w:hAnsi="Times New Roman" w:eastAsia="方正小标宋_GBK" w:cs="Times New Roman"/>
          <w:color w:val="000000"/>
          <w:sz w:val="36"/>
          <w:szCs w:val="36"/>
        </w:rPr>
        <w:t>部门整体支出绩效自评表</w:t>
      </w:r>
    </w:p>
    <w:p>
      <w:pPr>
        <w:pStyle w:val="6"/>
        <w:jc w:val="right"/>
        <w:rPr>
          <w:rFonts w:eastAsia="方正小标宋_GBK"/>
        </w:rPr>
      </w:pPr>
      <w:r>
        <w:rPr>
          <w:rFonts w:hint="eastAsia" w:eastAsia="方正小标宋_GBK"/>
        </w:rPr>
        <w:t xml:space="preserve"> 单位：万元</w:t>
      </w:r>
    </w:p>
    <w:tbl>
      <w:tblPr>
        <w:tblStyle w:val="9"/>
        <w:tblW w:w="10079" w:type="dxa"/>
        <w:jc w:val="center"/>
        <w:tblLayout w:type="autofit"/>
        <w:tblCellMar>
          <w:top w:w="0" w:type="dxa"/>
          <w:left w:w="108" w:type="dxa"/>
          <w:bottom w:w="0" w:type="dxa"/>
          <w:right w:w="108" w:type="dxa"/>
        </w:tblCellMar>
      </w:tblPr>
      <w:tblGrid>
        <w:gridCol w:w="1080"/>
        <w:gridCol w:w="1080"/>
        <w:gridCol w:w="788"/>
        <w:gridCol w:w="1421"/>
        <w:gridCol w:w="439"/>
        <w:gridCol w:w="967"/>
        <w:gridCol w:w="1269"/>
        <w:gridCol w:w="716"/>
        <w:gridCol w:w="167"/>
        <w:gridCol w:w="714"/>
        <w:gridCol w:w="143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市直</w:t>
            </w:r>
            <w:r>
              <w:rPr>
                <w:rFonts w:ascii="Times New Roman" w:hAnsi="Times New Roman" w:eastAsia="仿宋_GB2312" w:cs="Times New Roman"/>
                <w:color w:val="000000"/>
                <w:sz w:val="20"/>
                <w:szCs w:val="20"/>
              </w:rPr>
              <w:t>预算部门名称</w:t>
            </w:r>
          </w:p>
        </w:tc>
        <w:tc>
          <w:tcPr>
            <w:tcW w:w="8999" w:type="dxa"/>
            <w:gridSpan w:val="10"/>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怀化市档案馆</w:t>
            </w: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年度预</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算申请</w:t>
            </w:r>
            <w:r>
              <w:rPr>
                <w:rFonts w:ascii="Times New Roman" w:hAnsi="Times New Roman" w:eastAsia="仿宋_GB2312" w:cs="Times New Roman"/>
                <w:color w:val="000000"/>
                <w:sz w:val="20"/>
                <w:szCs w:val="20"/>
              </w:rPr>
              <w:br w:type="textWrapping"/>
            </w:r>
            <w:r>
              <w:rPr>
                <w:rFonts w:ascii="Times New Roman" w:hAnsi="Times New Roman" w:eastAsia="仿宋_GB2312" w:cs="Times New Roman"/>
                <w:color w:val="000000"/>
                <w:sz w:val="20"/>
                <w:szCs w:val="20"/>
              </w:rPr>
              <w:t>（万元）</w:t>
            </w: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p>
        </w:tc>
        <w:tc>
          <w:tcPr>
            <w:tcW w:w="142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年初预算数</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全年预算数</w:t>
            </w:r>
          </w:p>
        </w:tc>
        <w:tc>
          <w:tcPr>
            <w:tcW w:w="126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全年执行数</w:t>
            </w:r>
          </w:p>
        </w:tc>
        <w:tc>
          <w:tcPr>
            <w:tcW w:w="71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分值</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执行率</w:t>
            </w:r>
          </w:p>
        </w:tc>
        <w:tc>
          <w:tcPr>
            <w:tcW w:w="143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color w:val="000000"/>
                <w:sz w:val="20"/>
                <w:szCs w:val="20"/>
              </w:rPr>
              <w:t>年度资金总额</w:t>
            </w:r>
          </w:p>
        </w:tc>
        <w:tc>
          <w:tcPr>
            <w:tcW w:w="142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232.73</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375.77</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仿宋_GB2312" w:cs="Times New Roman"/>
                <w:szCs w:val="21"/>
              </w:rPr>
            </w:pPr>
            <w:r>
              <w:rPr>
                <w:rFonts w:hint="eastAsia" w:ascii="Times New Roman" w:hAnsi="Times New Roman" w:eastAsia="仿宋_GB2312" w:cs="Times New Roman"/>
                <w:szCs w:val="21"/>
              </w:rPr>
              <w:t>375.77</w:t>
            </w:r>
          </w:p>
        </w:tc>
        <w:tc>
          <w:tcPr>
            <w:tcW w:w="71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仿宋_GB2312" w:cs="Times New Roman"/>
                <w:szCs w:val="21"/>
              </w:rPr>
            </w:pPr>
            <w:r>
              <w:rPr>
                <w:rFonts w:hint="eastAsia" w:ascii="Times New Roman" w:hAnsi="Times New Roman" w:eastAsia="仿宋_GB2312" w:cs="Times New Roman"/>
                <w:szCs w:val="21"/>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100%</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10</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按收入性质分：</w:t>
            </w:r>
          </w:p>
        </w:tc>
        <w:tc>
          <w:tcPr>
            <w:tcW w:w="4304" w:type="dxa"/>
            <w:gridSpan w:val="5"/>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按支出性质分：</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c>
          <w:tcPr>
            <w:tcW w:w="3289"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xml:space="preserve">  其中：  一般公共预算：</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353.78</w:t>
            </w:r>
          </w:p>
        </w:tc>
        <w:tc>
          <w:tcPr>
            <w:tcW w:w="2152"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其中：基本支出：</w:t>
            </w:r>
          </w:p>
        </w:tc>
        <w:tc>
          <w:tcPr>
            <w:tcW w:w="215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312.67</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c>
          <w:tcPr>
            <w:tcW w:w="3289"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ind w:firstLine="800" w:firstLineChars="400"/>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政府性基金拨款：</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仿宋_GB2312" w:cs="Times New Roman"/>
                <w:szCs w:val="21"/>
              </w:rPr>
            </w:pPr>
          </w:p>
        </w:tc>
        <w:tc>
          <w:tcPr>
            <w:tcW w:w="2152"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ind w:firstLine="600" w:firstLineChars="300"/>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项目支出：</w:t>
            </w:r>
          </w:p>
        </w:tc>
        <w:tc>
          <w:tcPr>
            <w:tcW w:w="215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63.10</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c>
          <w:tcPr>
            <w:tcW w:w="3289"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ind w:firstLine="1400" w:firstLineChars="700"/>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其他收入</w:t>
            </w:r>
            <w:r>
              <w:rPr>
                <w:rFonts w:ascii="Times New Roman" w:hAnsi="Times New Roman" w:eastAsia="仿宋_GB2312" w:cs="Times New Roman"/>
                <w:color w:val="000000"/>
                <w:sz w:val="20"/>
                <w:szCs w:val="20"/>
              </w:rPr>
              <w:t>：</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0.50</w:t>
            </w:r>
          </w:p>
        </w:tc>
        <w:tc>
          <w:tcPr>
            <w:tcW w:w="2152"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c>
          <w:tcPr>
            <w:tcW w:w="215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c>
          <w:tcPr>
            <w:tcW w:w="3289"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ind w:firstLine="1000" w:firstLineChars="500"/>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上年结转结余</w:t>
            </w:r>
            <w:r>
              <w:rPr>
                <w:rFonts w:ascii="Times New Roman" w:hAnsi="Times New Roman" w:eastAsia="仿宋_GB2312" w:cs="Times New Roman"/>
                <w:color w:val="000000"/>
                <w:sz w:val="20"/>
                <w:szCs w:val="20"/>
              </w:rPr>
              <w:t>：</w:t>
            </w:r>
          </w:p>
        </w:tc>
        <w:tc>
          <w:tcPr>
            <w:tcW w:w="140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s="Times New Roman"/>
                <w:szCs w:val="21"/>
              </w:rPr>
            </w:pPr>
            <w:r>
              <w:rPr>
                <w:rFonts w:hint="eastAsia" w:ascii="Times New Roman" w:hAnsi="Times New Roman" w:eastAsia="仿宋_GB2312" w:cs="Times New Roman"/>
                <w:szCs w:val="21"/>
              </w:rPr>
              <w:t>21.49</w:t>
            </w:r>
          </w:p>
        </w:tc>
        <w:tc>
          <w:tcPr>
            <w:tcW w:w="2152"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c>
          <w:tcPr>
            <w:tcW w:w="2152"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年度总体目标</w:t>
            </w:r>
          </w:p>
        </w:tc>
        <w:tc>
          <w:tcPr>
            <w:tcW w:w="4695" w:type="dxa"/>
            <w:gridSpan w:val="5"/>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预期目标</w:t>
            </w:r>
          </w:p>
        </w:tc>
        <w:tc>
          <w:tcPr>
            <w:tcW w:w="4304" w:type="dxa"/>
            <w:gridSpan w:val="5"/>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trHeight w:val="246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（1）深入贯彻落实习近平总书记对档案工作的重要批示精神，抓好新修订档案法的学习贯彻。</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（2）抓紧抓实党史学习教育。</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（3）扩容提质，强化档案资源建设。</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（4）抓实档案保管利用服务。</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（5）着力推进档案信息化建设。</w:t>
            </w:r>
          </w:p>
          <w:p>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（6）抓实抓好档案征集编研和学会工作。</w:t>
            </w:r>
            <w:r>
              <w:rPr>
                <w:rFonts w:ascii="Times New Roman" w:hAnsi="Times New Roman" w:eastAsia="仿宋_GB2312" w:cs="Times New Roman"/>
                <w:color w:val="000000"/>
                <w:sz w:val="20"/>
                <w:szCs w:val="20"/>
              </w:rPr>
              <w:t>　　</w:t>
            </w:r>
          </w:p>
        </w:tc>
        <w:tc>
          <w:tcPr>
            <w:tcW w:w="4304" w:type="dxa"/>
            <w:gridSpan w:val="5"/>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深入学习领会习近平总书记关于档案工作的重要论述，尤其是对档案工作的重要批示精神，深刻领会其蕴含的思想精髓、科学内涵，把论述和重要批示作为新时代档案工作的科学指引和强大思想武器，市委书记雷绍业专门就贯彻落实习近平总书记批示精神作出批示， 8月20日市委常委会理论学习中心组（扩大）专题进行了学习，并就落实措施进行了专门部署。结合学习贯彻新修订档案法，我们把批示精神纳入党组中心组学习，档案法纳入了年度学法内容，组织全市档案干部对批示和档案法进行了深入学习，进行了考试。</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（2）、抓紧抓实党史学习教育。</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3）、扩容提质，强化档案资源建设。一是加强档案接收。全年共接收到怀化市商务局、粮食局、市纪委等9个单位档案1434卷16484件。以举办展览为契机，接收党史研究室党史资料10余册，从市扶贫办、市一医院、市交通局等单位收集到脱贫攻坚、疫情防控等照片资料（1G）。</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（4）、抓实档案保管利用服务。</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（5）、着力推进档案信息化建设。</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（6）、抓实抓好档案征集编研和学会工作。</w:t>
            </w:r>
          </w:p>
        </w:tc>
      </w:tr>
      <w:tr>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绩</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标</w:t>
            </w:r>
          </w:p>
          <w:p>
            <w:pPr>
              <w:widowControl/>
              <w:spacing w:line="240" w:lineRule="exact"/>
              <w:jc w:val="center"/>
              <w:rPr>
                <w:rFonts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一级指标</w:t>
            </w:r>
          </w:p>
        </w:tc>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二级指标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三级指标</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年度指标值</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实际完成值</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分值</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得分</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trHeight w:val="597"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bookmarkStart w:id="10" w:name="OLE_LINK1" w:colFirst="7" w:colLast="7"/>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产出指标</w:t>
            </w:r>
          </w:p>
          <w:p>
            <w:pPr>
              <w:widowControl/>
              <w:spacing w:line="240" w:lineRule="exact"/>
              <w:jc w:val="center"/>
              <w:rPr>
                <w:rFonts w:ascii="Times New Roman" w:hAnsi="Times New Roman" w:eastAsia="仿宋_GB2312" w:cs="Times New Roman"/>
                <w:color w:val="000000"/>
                <w:sz w:val="20"/>
                <w:szCs w:val="20"/>
              </w:rPr>
            </w:pP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(50分)</w:t>
            </w:r>
          </w:p>
        </w:tc>
        <w:tc>
          <w:tcPr>
            <w:tcW w:w="78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数量指标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档案接收</w:t>
            </w:r>
            <w:r>
              <w:rPr>
                <w:rFonts w:hint="eastAsia" w:ascii="Times New Roman" w:hAnsi="Times New Roman" w:eastAsia="仿宋_GB2312" w:cs="Times New Roman"/>
                <w:color w:val="000000"/>
                <w:sz w:val="20"/>
                <w:szCs w:val="20"/>
              </w:rPr>
              <w:t>单位数量</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≥10个</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9个</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5</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4</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535"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788"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仿宋_GB2312" w:cs="Times New Roman"/>
                <w:color w:val="000000"/>
                <w:sz w:val="20"/>
                <w:szCs w:val="20"/>
              </w:rPr>
            </w:pP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开展中国档案学会和省档案学会论文申报</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10篇</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10篇</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5</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415"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78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参观展览人数</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≥10000人次</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12000余人次</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5</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565"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78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接待查阅利用者</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≥1000人次</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1137人次</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5</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5</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质量指标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质量达标率质量达标率=（质量达标实际工作数/计划工作数）*100%。质量达标实际工作数：一定时期（年度或规划期）内部门实际完成工作数中达到部门绩效目标要求的工作任务数量。</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时效指标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完成及时性。</w:t>
            </w:r>
          </w:p>
          <w:p>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 xml:space="preserve">项目实际完成时间与计划完成时间的比较，用以反映和考核项目产出时效目标的实现程度。 </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100%</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成本指标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成本节约率。</w:t>
            </w:r>
          </w:p>
          <w:p>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完成项目计划工作目标的实际节约成本与计划成本的比率，用以反映和考核项目的成本节约程度。成本节约率=【(计划成本-实际成本）/计划成本】*100%。</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宋体" w:hAnsi="宋体" w:cs="宋体"/>
                <w:color w:val="000000"/>
                <w:kern w:val="0"/>
                <w:sz w:val="18"/>
                <w:szCs w:val="18"/>
              </w:rPr>
              <w:t>≥5%</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5%</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效益指标</w:t>
            </w:r>
          </w:p>
          <w:p>
            <w:pPr>
              <w:widowControl/>
              <w:spacing w:line="240" w:lineRule="exact"/>
              <w:jc w:val="left"/>
              <w:rPr>
                <w:rFonts w:ascii="Times New Roman" w:hAnsi="Times New Roman" w:eastAsia="仿宋_GB2312" w:cs="Times New Roman"/>
                <w:color w:val="000000"/>
                <w:sz w:val="20"/>
                <w:szCs w:val="20"/>
              </w:rPr>
            </w:pPr>
          </w:p>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（30分）</w:t>
            </w:r>
          </w:p>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经济效</w:t>
            </w:r>
          </w:p>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益指标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推进档案信息化建设，进一步丰富和完善档案馆藏。</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效果</w:t>
            </w:r>
          </w:p>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显著</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效果</w:t>
            </w:r>
          </w:p>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显著</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8</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8</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社会效</w:t>
            </w:r>
          </w:p>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益指标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提升服务质量，及时帮助群众解难消困，充分利用档案资源为群众做好宣传工作。</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有效</w:t>
            </w:r>
          </w:p>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提升</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有效</w:t>
            </w:r>
          </w:p>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提升　</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8</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8</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生态效</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项目实施后，能够对生态环境带来间接或直接的影响。</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效果</w:t>
            </w:r>
          </w:p>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显著</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效果</w:t>
            </w:r>
          </w:p>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一般</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8</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4</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9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p>
        </w:tc>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可持续影响指标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项目实施后运行成效发挥情况以及是否持续对社会产生积极影响。</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可持续性</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可持续</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6</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6</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33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满意度</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指标</w:t>
            </w:r>
          </w:p>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（10分）</w:t>
            </w:r>
          </w:p>
        </w:tc>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服务对象满意度指标</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指标：服务对象满意度指标</w:t>
            </w:r>
          </w:p>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zh-TW"/>
              </w:rPr>
              <w:t>评分要求：</w:t>
            </w:r>
            <w:r>
              <w:rPr>
                <w:rFonts w:hint="eastAsia" w:ascii="Times New Roman" w:hAnsi="Times New Roman" w:eastAsia="仿宋_GB2312" w:cs="Times New Roman"/>
                <w:color w:val="000000"/>
                <w:sz w:val="20"/>
                <w:szCs w:val="20"/>
                <w:lang w:val="zh-TW" w:eastAsia="zh-TW"/>
              </w:rPr>
              <w:t>采取对项目实施区域内服务受益对象满意度调查方式，满意度≥</w:t>
            </w:r>
            <w:r>
              <w:rPr>
                <w:rFonts w:hint="eastAsia" w:ascii="Times New Roman" w:hAnsi="Times New Roman" w:eastAsia="仿宋_GB2312" w:cs="Times New Roman"/>
                <w:color w:val="000000"/>
                <w:sz w:val="20"/>
                <w:szCs w:val="20"/>
              </w:rPr>
              <w:t>95</w:t>
            </w:r>
            <w:r>
              <w:rPr>
                <w:rFonts w:hint="eastAsia" w:ascii="Times New Roman" w:hAnsi="Times New Roman" w:eastAsia="仿宋_GB2312" w:cs="Times New Roman"/>
                <w:color w:val="000000"/>
                <w:sz w:val="20"/>
                <w:szCs w:val="20"/>
                <w:lang w:val="zh-TW" w:eastAsia="zh-TW"/>
              </w:rPr>
              <w:t>%，计10分，</w:t>
            </w:r>
            <w:r>
              <w:rPr>
                <w:rFonts w:hint="eastAsia" w:ascii="Times New Roman" w:hAnsi="Times New Roman" w:eastAsia="仿宋_GB2312" w:cs="Times New Roman"/>
                <w:color w:val="000000"/>
                <w:sz w:val="20"/>
                <w:szCs w:val="20"/>
                <w:lang w:val="zh-TW"/>
              </w:rPr>
              <w:t>每下降一个百分点，扣1分，扣完为止。</w:t>
            </w:r>
          </w:p>
        </w:tc>
        <w:tc>
          <w:tcPr>
            <w:tcW w:w="96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zh-TW" w:eastAsia="zh-TW"/>
              </w:rPr>
              <w:t>≥</w:t>
            </w:r>
            <w:r>
              <w:rPr>
                <w:rFonts w:hint="eastAsia" w:ascii="Times New Roman" w:hAnsi="Times New Roman" w:eastAsia="仿宋_GB2312" w:cs="Times New Roman"/>
                <w:color w:val="000000"/>
                <w:sz w:val="20"/>
                <w:szCs w:val="20"/>
              </w:rPr>
              <w:t>95</w:t>
            </w:r>
            <w:r>
              <w:rPr>
                <w:rFonts w:hint="eastAsia" w:ascii="Times New Roman" w:hAnsi="Times New Roman" w:eastAsia="仿宋_GB2312" w:cs="Times New Roman"/>
                <w:color w:val="000000"/>
                <w:sz w:val="20"/>
                <w:szCs w:val="20"/>
                <w:lang w:val="zh-TW" w:eastAsia="zh-TW"/>
              </w:rPr>
              <w:t>%</w:t>
            </w:r>
          </w:p>
        </w:tc>
        <w:tc>
          <w:tcPr>
            <w:tcW w:w="126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100%</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10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10</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bookmarkEnd w:id="10"/>
      <w:tr>
        <w:tblPrEx>
          <w:tblCellMar>
            <w:top w:w="0" w:type="dxa"/>
            <w:left w:w="108" w:type="dxa"/>
            <w:bottom w:w="0" w:type="dxa"/>
            <w:right w:w="108" w:type="dxa"/>
          </w:tblCellMar>
        </w:tblPrEx>
        <w:trPr>
          <w:trHeight w:val="270" w:hRule="atLeast"/>
          <w:jc w:val="center"/>
        </w:trPr>
        <w:tc>
          <w:tcPr>
            <w:tcW w:w="7044"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总分</w:t>
            </w:r>
          </w:p>
        </w:tc>
        <w:tc>
          <w:tcPr>
            <w:tcW w:w="7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100</w:t>
            </w:r>
          </w:p>
        </w:tc>
        <w:tc>
          <w:tcPr>
            <w:tcW w:w="88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95</w:t>
            </w:r>
          </w:p>
        </w:tc>
        <w:tc>
          <w:tcPr>
            <w:tcW w:w="143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bl>
    <w:p>
      <w:r>
        <w:rPr>
          <w:rFonts w:ascii="Times New Roman" w:hAnsi="Times New Roman" w:eastAsia="仿宋_GB2312" w:cs="Times New Roman"/>
          <w:sz w:val="22"/>
        </w:rPr>
        <w:t>填表人：      填报日期：         联系电话：     单位负责人签字：</w:t>
      </w:r>
    </w:p>
    <w:p>
      <w:pPr>
        <w:pStyle w:val="6"/>
      </w:pPr>
    </w:p>
    <w:p>
      <w:pPr>
        <w:widowControl/>
        <w:jc w:val="left"/>
        <w:rPr>
          <w:rFonts w:ascii="黑体" w:eastAsia="黑体" w:cs="黑体"/>
          <w:color w:val="000000"/>
          <w:kern w:val="0"/>
          <w:sz w:val="70"/>
          <w:szCs w:val="70"/>
        </w:rPr>
      </w:pPr>
    </w:p>
    <w:p>
      <w:pPr>
        <w:pStyle w:val="2"/>
      </w:pPr>
    </w:p>
    <w:p>
      <w:pPr>
        <w:pStyle w:val="2"/>
        <w:rPr>
          <w:rFonts w:ascii="黑体" w:eastAsia="黑体" w:cs="黑体"/>
          <w:color w:val="000000"/>
          <w:kern w:val="0"/>
          <w:sz w:val="70"/>
          <w:szCs w:val="70"/>
        </w:rPr>
      </w:pPr>
    </w:p>
    <w:p>
      <w:pPr>
        <w:pStyle w:val="2"/>
        <w:rPr>
          <w:rFonts w:ascii="黑体" w:eastAsia="黑体" w:cs="黑体"/>
          <w:color w:val="000000"/>
          <w:kern w:val="0"/>
          <w:sz w:val="70"/>
          <w:szCs w:val="70"/>
        </w:rPr>
      </w:pPr>
    </w:p>
    <w:p>
      <w:pPr>
        <w:pStyle w:val="2"/>
        <w:ind w:left="0" w:leftChars="0" w:firstLine="0" w:firstLineChars="0"/>
        <w:rPr>
          <w:rFonts w:hint="default" w:ascii="黑体" w:eastAsia="黑体" w:cs="黑体"/>
          <w:color w:val="000000"/>
          <w:kern w:val="0"/>
          <w:sz w:val="44"/>
          <w:szCs w:val="44"/>
          <w:lang w:val="en-US" w:eastAsia="zh-CN"/>
        </w:rPr>
      </w:pPr>
      <w:r>
        <w:rPr>
          <w:rFonts w:hint="eastAsia" w:ascii="黑体" w:eastAsia="黑体" w:cs="黑体"/>
          <w:color w:val="000000"/>
          <w:kern w:val="0"/>
          <w:sz w:val="44"/>
          <w:szCs w:val="44"/>
          <w:lang w:val="en-US" w:eastAsia="zh-CN"/>
        </w:rPr>
        <w:t>附件三：</w:t>
      </w:r>
    </w:p>
    <w:p>
      <w:pPr>
        <w:ind w:firstLine="1320" w:firstLineChars="300"/>
        <w:jc w:val="both"/>
        <w:rPr>
          <w:rFonts w:hint="eastAsia" w:ascii="Times New Roman" w:hAnsi="Times New Roman" w:eastAsia="方正小标宋_GBK" w:cs="Times New Roman"/>
          <w:sz w:val="44"/>
          <w:szCs w:val="44"/>
        </w:rPr>
      </w:pPr>
      <w:r>
        <w:rPr>
          <w:rFonts w:ascii="Times New Roman" w:hAnsi="Times New Roman" w:eastAsia="方正小标宋_GBK" w:cs="Times New Roman"/>
          <w:sz w:val="44"/>
          <w:szCs w:val="44"/>
        </w:rPr>
        <w:t>2021年度</w:t>
      </w:r>
      <w:r>
        <w:rPr>
          <w:rFonts w:hint="eastAsia" w:ascii="Times New Roman" w:hAnsi="Times New Roman" w:eastAsia="方正小标宋_GBK" w:cs="Times New Roman"/>
          <w:sz w:val="44"/>
          <w:szCs w:val="44"/>
        </w:rPr>
        <w:t>档案日常管理和征集费</w:t>
      </w:r>
    </w:p>
    <w:p>
      <w:pPr>
        <w:ind w:firstLine="3080" w:firstLineChars="700"/>
        <w:jc w:val="both"/>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（盖章）        </w:t>
      </w:r>
    </w:p>
    <w:p>
      <w:pPr>
        <w:spacing w:line="600" w:lineRule="exact"/>
        <w:ind w:firstLine="3200" w:firstLineChars="1000"/>
        <w:rPr>
          <w:rFonts w:ascii="Times New Roman" w:hAnsi="Times New Roman" w:eastAsia="楷体_GB2312" w:cs="Times New Roman"/>
          <w:sz w:val="32"/>
          <w:szCs w:val="32"/>
        </w:rPr>
      </w:pPr>
      <w:r>
        <w:rPr>
          <w:rFonts w:ascii="Times New Roman" w:hAnsi="Times New Roman" w:eastAsia="楷体_GB2312" w:cs="Times New Roman"/>
          <w:sz w:val="32"/>
          <w:szCs w:val="32"/>
        </w:rPr>
        <w:t>年  月  日</w:t>
      </w:r>
    </w:p>
    <w:p>
      <w:pPr>
        <w:jc w:val="center"/>
        <w:rPr>
          <w:rFonts w:ascii="Times New Roman" w:hAnsi="Times New Roman" w:eastAsia="黑体" w:cs="Times New Roman"/>
          <w:sz w:val="32"/>
          <w:szCs w:val="32"/>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rPr>
          <w:rFonts w:hint="eastAsia" w:ascii="仿宋_GB2312" w:hAnsi="仿宋_GB2312" w:eastAsia="仿宋_GB2312"/>
          <w:sz w:val="28"/>
          <w:szCs w:val="28"/>
        </w:rPr>
      </w:pPr>
    </w:p>
    <w:p>
      <w:pPr>
        <w:pStyle w:val="19"/>
        <w:spacing w:line="360" w:lineRule="auto"/>
        <w:jc w:val="center"/>
        <w:rPr>
          <w:rFonts w:hint="eastAsia" w:ascii="黑体" w:eastAsia="黑体"/>
          <w:sz w:val="44"/>
          <w:szCs w:val="44"/>
        </w:rPr>
      </w:pPr>
      <w:r>
        <w:rPr>
          <w:rFonts w:hint="eastAsia" w:ascii="黑体" w:eastAsia="黑体"/>
          <w:sz w:val="44"/>
          <w:szCs w:val="44"/>
        </w:rPr>
        <w:t>2021年度档案日常管理和征集费</w:t>
      </w:r>
    </w:p>
    <w:p>
      <w:pPr>
        <w:pStyle w:val="19"/>
        <w:spacing w:line="360" w:lineRule="auto"/>
        <w:jc w:val="center"/>
        <w:rPr>
          <w:rFonts w:hint="eastAsia" w:ascii="黑体" w:eastAsia="黑体"/>
          <w:sz w:val="44"/>
          <w:szCs w:val="44"/>
        </w:rPr>
      </w:pPr>
      <w:r>
        <w:rPr>
          <w:rFonts w:hint="eastAsia" w:ascii="黑体" w:eastAsia="黑体"/>
          <w:sz w:val="44"/>
          <w:szCs w:val="44"/>
        </w:rPr>
        <w:t>绩效自评报告</w:t>
      </w:r>
    </w:p>
    <w:p>
      <w:pPr>
        <w:pStyle w:val="19"/>
        <w:spacing w:line="360" w:lineRule="auto"/>
        <w:ind w:firstLine="640" w:firstLineChars="200"/>
        <w:rPr>
          <w:rFonts w:hint="eastAsia" w:ascii="楷体" w:eastAsia="楷体"/>
          <w:b/>
          <w:sz w:val="32"/>
          <w:szCs w:val="32"/>
        </w:rPr>
      </w:pPr>
      <w:r>
        <w:rPr>
          <w:rFonts w:hint="eastAsia" w:ascii="楷体" w:eastAsia="楷体"/>
          <w:b/>
          <w:sz w:val="32"/>
          <w:szCs w:val="32"/>
        </w:rPr>
        <w:t>一、项目基本情况</w:t>
      </w:r>
    </w:p>
    <w:p>
      <w:pPr>
        <w:pStyle w:val="19"/>
        <w:spacing w:line="360" w:lineRule="auto"/>
        <w:ind w:firstLine="640" w:firstLineChars="200"/>
        <w:rPr>
          <w:rFonts w:hint="eastAsia" w:ascii="楷体" w:eastAsia="楷体"/>
          <w:b/>
          <w:sz w:val="32"/>
          <w:szCs w:val="32"/>
        </w:rPr>
      </w:pPr>
      <w:r>
        <w:rPr>
          <w:rFonts w:hint="eastAsia" w:ascii="楷体" w:eastAsia="楷体"/>
          <w:b/>
          <w:sz w:val="32"/>
          <w:szCs w:val="32"/>
        </w:rPr>
        <w:t>（一）项目概况</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1、项目单位基本情况</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我单位2021年人员编制数18人，年末在职在编人员18人。怀化市档案馆作为一级部门预算单位，内设科室为：办公室；管理利用部；编研和征收鉴定部；科技信息部。</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2、项目的实施依据</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该项目根据《关于加强和改进新形势下档案工作的实施意见》的通知（湘办[2014]29号）等文件立项，项目实施按以上文件要求执行。</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3、项目基本性质、用途和主要内容、涉及范围</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该项目主要内容包括推进档案工作规范化管理，做好档案利用查阅接待、档案安全保密工作，加强民生档案收集力度，社保、民政、计生、教育、卫生等涉民部门要加强重点民生档案的规范管理。加强荣誉实物档案、照片和地情资料、非物质文化遗产、名人档案等特色档案的征集接收等。</w:t>
      </w:r>
    </w:p>
    <w:p>
      <w:pPr>
        <w:pStyle w:val="19"/>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楷体" w:eastAsia="楷体"/>
          <w:b/>
          <w:sz w:val="32"/>
          <w:szCs w:val="32"/>
        </w:rPr>
      </w:pPr>
      <w:r>
        <w:rPr>
          <w:rFonts w:hint="eastAsia" w:ascii="楷体" w:eastAsia="楷体"/>
          <w:b/>
          <w:sz w:val="32"/>
          <w:szCs w:val="32"/>
        </w:rPr>
        <w:t>（二）项目绩效目标</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1、项目绩效总目标和阶段性目标</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强化预算管理，严格按要求做到专款专用，规范管理，绩效引导，在保质保量做好馆藏档案日常保管利用工作的前提下严格将预算控制在预算内，工作经费在使用、管理上更加规范、有效。</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2、预期绩效目标</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（1）加强档案库房内部管理，用于档案的日常保护保管，比如除湿、防尘、降温、防虫、卫生、设备维护等工作；</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（2）征集散落在社会上有保存价值的档案；</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（3）完成重点档案的修复及数字化工作。</w:t>
      </w:r>
    </w:p>
    <w:p>
      <w:pPr>
        <w:pStyle w:val="19"/>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楷体" w:eastAsia="楷体"/>
          <w:b/>
          <w:sz w:val="32"/>
          <w:szCs w:val="32"/>
        </w:rPr>
      </w:pPr>
      <w:r>
        <w:rPr>
          <w:rFonts w:hint="eastAsia" w:ascii="楷体" w:eastAsia="楷体"/>
          <w:b/>
          <w:sz w:val="32"/>
          <w:szCs w:val="32"/>
        </w:rPr>
        <w:t>二、绩效评价工作情况</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1、工作准备阶段</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本次绩效自评工作，由我单位财务部门牵头，2022年4月接到怀化市财政局下发的《怀化市财政局关于开展2021年度部门整体支出专项资金绩效自评工作的通知》后，我单位高度重视，组建由财务部牵头的评价小组，并派专人负责对我单位2021年度部门整体支出和专项项目支出开展绩效自评工作，为绩效自评工作做了充分准备。</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2、组织实施</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评价组织实施情况主要包括查看财政资金申报材料、拨付文件及凭证、对</w:t>
      </w:r>
      <w:bookmarkStart w:id="11" w:name="_Hlk511394567"/>
      <w:r>
        <w:rPr>
          <w:rFonts w:hint="eastAsia" w:ascii="Times New Roman" w:hAnsi="Times New Roman" w:eastAsia="仿宋_GB2312" w:cs="仿宋_GB2312"/>
          <w:spacing w:val="-2"/>
          <w:kern w:val="2"/>
          <w:sz w:val="32"/>
          <w:szCs w:val="32"/>
          <w:lang w:val="en-US" w:eastAsia="zh-CN" w:bidi="ar-SA"/>
        </w:rPr>
        <w:t>专项资金所涉及</w:t>
      </w:r>
      <w:bookmarkEnd w:id="11"/>
      <w:r>
        <w:rPr>
          <w:rFonts w:hint="eastAsia" w:ascii="Times New Roman" w:hAnsi="Times New Roman" w:eastAsia="仿宋_GB2312" w:cs="仿宋_GB2312"/>
          <w:spacing w:val="-2"/>
          <w:kern w:val="2"/>
          <w:sz w:val="32"/>
          <w:szCs w:val="32"/>
          <w:lang w:val="en-US" w:eastAsia="zh-CN" w:bidi="ar-SA"/>
        </w:rPr>
        <w:t>项目实施进行跟踪、监督、整改的相关资料，项目质量检查、验收评比等资料；收集核对分析项目产出效益的证明材料，并据获取的相关信息与项目实地调研情况进行对比核实，查看项目实施情况，落实各项绩效指标的完成情况。</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3、评价总结阶段</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评价小组整理、汇总相关项目资料，对专项资金使用绩效进行全面、综合评价，总结项目绩效及存在的问题，撰写绩效自评报告。</w:t>
      </w:r>
    </w:p>
    <w:p>
      <w:pPr>
        <w:pStyle w:val="19"/>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楷体" w:eastAsia="楷体"/>
          <w:b/>
          <w:sz w:val="32"/>
          <w:szCs w:val="32"/>
        </w:rPr>
      </w:pPr>
      <w:r>
        <w:rPr>
          <w:rFonts w:hint="eastAsia" w:ascii="楷体" w:eastAsia="楷体"/>
          <w:b/>
          <w:sz w:val="32"/>
          <w:szCs w:val="32"/>
        </w:rPr>
        <w:t>三、绩效评价指标分析情况</w:t>
      </w:r>
    </w:p>
    <w:p>
      <w:pPr>
        <w:pStyle w:val="19"/>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楷体" w:eastAsia="楷体"/>
          <w:b/>
          <w:sz w:val="32"/>
          <w:szCs w:val="32"/>
        </w:rPr>
      </w:pPr>
      <w:r>
        <w:rPr>
          <w:rFonts w:hint="eastAsia" w:ascii="楷体" w:eastAsia="楷体"/>
          <w:b/>
          <w:sz w:val="32"/>
          <w:szCs w:val="32"/>
        </w:rPr>
        <w:t>（一）项目资金情况分析</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1、项目资金到位情况分析</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default"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该项目2021年预算申报金额36.60万元，预算批复金额36.60万元，2021年度实际下拨专项资金36.60万元，资金到位率100%。</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2、项目资金使用情况分析</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default"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2021年度该项目使用专项资金36.60万元，其中办公费5.01万元、邮电费0.73万元、差旅费4.46万元、维修（护）费4.23万元、培训费0.13万元、公务接待费0.11万元、劳务费4.16万元、委托业务费2.66万元、工会经费1.92</w:t>
      </w:r>
      <w:r>
        <w:rPr>
          <w:rFonts w:hint="eastAsia" w:ascii="Times New Roman" w:hAnsi="Times New Roman" w:eastAsia="仿宋_GB2312" w:cs="仿宋_GB2312"/>
          <w:spacing w:val="-2"/>
          <w:kern w:val="2"/>
          <w:sz w:val="32"/>
          <w:szCs w:val="32"/>
          <w:lang w:val="en-US" w:eastAsia="zh-CN" w:bidi="ar-SA"/>
        </w:rPr>
        <w:tab/>
      </w:r>
      <w:r>
        <w:rPr>
          <w:rFonts w:hint="eastAsia" w:ascii="Times New Roman" w:hAnsi="Times New Roman" w:eastAsia="仿宋_GB2312" w:cs="仿宋_GB2312"/>
          <w:spacing w:val="-2"/>
          <w:kern w:val="2"/>
          <w:sz w:val="32"/>
          <w:szCs w:val="32"/>
          <w:lang w:val="en-US" w:eastAsia="zh-CN" w:bidi="ar-SA"/>
        </w:rPr>
        <w:t>万元、公务用车运行维护费2.08万元、其他商品和服务支出9.79万元、生活补助0.80万元、办公设备购置0.52万元。结余资金0.00万元，专项资金使用率100%。</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default"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3、项目资金管理情况分析</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为做好专项资金管理，我单位规定了项目申报流程、资金拨付程序等，资金拨付填写报账申请表、专项资金拨付审批表等，并经相关负责领导审核后再拨付资金。专项资金专款专用，未发现截留、挪用、挤占专项资金的情况。</w:t>
      </w:r>
    </w:p>
    <w:p>
      <w:pPr>
        <w:pStyle w:val="19"/>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楷体" w:eastAsia="楷体"/>
          <w:b/>
          <w:sz w:val="32"/>
          <w:szCs w:val="32"/>
        </w:rPr>
      </w:pPr>
      <w:r>
        <w:rPr>
          <w:rFonts w:hint="eastAsia" w:ascii="楷体" w:eastAsia="楷体"/>
          <w:b/>
          <w:sz w:val="32"/>
          <w:szCs w:val="32"/>
        </w:rPr>
        <w:t>（二）项目实施情况分析</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1、项目组织情况分析</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为了加强对项目实施，单位确定各业务科室科长、专职干部与相关部门汇报、沟通和衔接，争取更多资金，切实对项目实行跟踪式服务，从项目的联系洽谈、项目跟进、资金投入等环节实行全程专人负责，确保项目落地投产。</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2、项目管理情况分析</w:t>
      </w:r>
    </w:p>
    <w:p>
      <w:pPr>
        <w:pStyle w:val="19"/>
        <w:keepNext w:val="0"/>
        <w:keepLines w:val="0"/>
        <w:pageBreakBefore w:val="0"/>
        <w:widowControl w:val="0"/>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为规范、合理、安全、有效使用专项资金，我单位制定了《财务管理制度》、《专项资金管理办法》等相关制度，专项资金的管理和使用，遵循公开、公平、公正和统筹兼顾、突出重点、讲求效益的原则，确保专项资金使用的规范、安全和高效。为规范项目建设管理，我单位切实对项目实行跟踪式服务，从项目资金的下拨、项目跟进、资金投入等环节设置专门科室负责监督和管理，确保项目的实施和建设。</w:t>
      </w:r>
    </w:p>
    <w:p>
      <w:pPr>
        <w:pStyle w:val="19"/>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firstLineChars="200"/>
        <w:textAlignment w:val="auto"/>
        <w:rPr>
          <w:rFonts w:hint="eastAsia" w:ascii="楷体" w:eastAsia="楷体"/>
          <w:b/>
          <w:sz w:val="32"/>
          <w:szCs w:val="32"/>
        </w:rPr>
      </w:pPr>
      <w:r>
        <w:rPr>
          <w:rFonts w:hint="eastAsia" w:ascii="楷体" w:eastAsia="楷体"/>
          <w:b/>
          <w:sz w:val="32"/>
          <w:szCs w:val="32"/>
        </w:rPr>
        <w:t xml:space="preserve">项目绩效情况分析 </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7"/>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通过项目开展实施，2021年度我单位主要绩效情况如下：</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7"/>
        <w:textAlignment w:val="auto"/>
        <w:rPr>
          <w:rFonts w:hint="default"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一</w:t>
      </w:r>
      <w:r>
        <w:rPr>
          <w:rFonts w:hint="default" w:ascii="Times New Roman" w:hAnsi="Times New Roman" w:eastAsia="仿宋_GB2312" w:cs="仿宋_GB2312"/>
          <w:spacing w:val="-2"/>
          <w:kern w:val="2"/>
          <w:sz w:val="32"/>
          <w:szCs w:val="32"/>
          <w:lang w:val="en-US" w:eastAsia="zh-CN" w:bidi="ar-SA"/>
        </w:rPr>
        <w:t>是做好档案收集和利用工作。继续做好怀化市房地产遗留问题项目档案资料归档的接收。遗留问题项目大多竣工时间已久，资料难以补全，为了不影响遗留问题项目后续的办证工作，我馆特事特办，为遗留问题项目工程尽可能简化办事程序。今年收集碧桂园、天星华府、大汉龙城等工程资料近五千卷。利用档案为房屋改扩建、办案取证、产权办理、解决纠纷</w:t>
      </w:r>
      <w:r>
        <w:rPr>
          <w:rFonts w:hint="eastAsia" w:ascii="Times New Roman" w:hAnsi="Times New Roman" w:eastAsia="仿宋_GB2312" w:cs="仿宋_GB2312"/>
          <w:spacing w:val="-2"/>
          <w:kern w:val="2"/>
          <w:sz w:val="32"/>
          <w:szCs w:val="32"/>
          <w:lang w:val="en-US" w:eastAsia="zh-CN" w:bidi="ar-SA"/>
        </w:rPr>
        <w:t>，</w:t>
      </w:r>
      <w:r>
        <w:rPr>
          <w:rFonts w:hint="default" w:ascii="Times New Roman" w:hAnsi="Times New Roman" w:eastAsia="仿宋_GB2312" w:cs="仿宋_GB2312"/>
          <w:spacing w:val="-2"/>
          <w:kern w:val="2"/>
          <w:sz w:val="32"/>
          <w:szCs w:val="32"/>
          <w:lang w:val="en-US" w:eastAsia="zh-CN" w:bidi="ar-SA"/>
        </w:rPr>
        <w:t>今年接待查阅60人次，285卷次，复印相关档案资料近6000张。</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7"/>
        <w:textAlignment w:val="auto"/>
        <w:rPr>
          <w:rFonts w:hint="default"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二</w:t>
      </w:r>
      <w:r>
        <w:rPr>
          <w:rFonts w:hint="default" w:ascii="Times New Roman" w:hAnsi="Times New Roman" w:eastAsia="仿宋_GB2312" w:cs="仿宋_GB2312"/>
          <w:spacing w:val="-2"/>
          <w:kern w:val="2"/>
          <w:sz w:val="32"/>
          <w:szCs w:val="32"/>
          <w:lang w:val="en-US" w:eastAsia="zh-CN" w:bidi="ar-SA"/>
        </w:rPr>
        <w:t>是积极改善库房环境。针对4个档案库房不同程度地存在墙体返潮、起皮、发霉等现象。我馆不等不靠、主动作为，对受潮、起皮、发霉的部位进行修复。每周一、三、五定期对档案库房进行安全检查，认真做好库房温湿度记录和防火、防盗、防霉、防虫等十防工作，确保档案资料万无一失。</w:t>
      </w:r>
    </w:p>
    <w:p>
      <w:pPr>
        <w:pStyle w:val="19"/>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640" w:firstLineChars="200"/>
        <w:textAlignment w:val="auto"/>
        <w:rPr>
          <w:rFonts w:hint="eastAsia" w:ascii="楷体" w:eastAsia="楷体"/>
          <w:b/>
          <w:sz w:val="32"/>
          <w:szCs w:val="32"/>
        </w:rPr>
      </w:pPr>
      <w:r>
        <w:rPr>
          <w:rFonts w:hint="eastAsia" w:ascii="楷体" w:eastAsia="楷体"/>
          <w:b/>
          <w:sz w:val="32"/>
          <w:szCs w:val="32"/>
        </w:rPr>
        <w:t>综合评价情况及评价结论（附相关评分表）</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仿宋_GB2312" w:cs="仿宋_GB2312"/>
          <w:color w:val="auto"/>
          <w:spacing w:val="-2"/>
          <w:kern w:val="2"/>
          <w:sz w:val="32"/>
          <w:szCs w:val="32"/>
          <w:lang w:val="en-US" w:eastAsia="zh-CN" w:bidi="ar-SA"/>
        </w:rPr>
      </w:pPr>
      <w:r>
        <w:rPr>
          <w:rFonts w:hint="eastAsia" w:ascii="楷体" w:eastAsia="楷体"/>
          <w:b/>
          <w:sz w:val="32"/>
          <w:szCs w:val="32"/>
          <w:lang w:val="en-US" w:eastAsia="zh-CN"/>
        </w:rPr>
        <w:t xml:space="preserve">    </w:t>
      </w:r>
      <w:r>
        <w:rPr>
          <w:rFonts w:hint="eastAsia" w:ascii="Times New Roman" w:hAnsi="Times New Roman" w:eastAsia="仿宋_GB2312" w:cs="仿宋_GB2312"/>
          <w:color w:val="auto"/>
          <w:spacing w:val="-2"/>
          <w:kern w:val="2"/>
          <w:sz w:val="32"/>
          <w:szCs w:val="32"/>
          <w:lang w:val="en-US" w:eastAsia="zh-CN" w:bidi="ar-SA"/>
        </w:rPr>
        <w:t>评价组根据指标评分表结合项目特点，设定绩效目标，对收集的资料进行整理、统计、分析、汇总并经反复论证，我们以“项目决策、项目管理、项目产出、项目效益”为一级指标进行了绩效分析，评价综合得分为98.00分，评价等级为“优”。</w:t>
      </w:r>
    </w:p>
    <w:p>
      <w:pPr>
        <w:pStyle w:val="19"/>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640" w:firstLineChars="200"/>
        <w:textAlignment w:val="auto"/>
        <w:rPr>
          <w:rFonts w:hint="eastAsia" w:ascii="楷体" w:eastAsia="楷体"/>
          <w:b/>
          <w:sz w:val="32"/>
          <w:szCs w:val="32"/>
        </w:rPr>
      </w:pPr>
      <w:r>
        <w:rPr>
          <w:rFonts w:hint="eastAsia" w:ascii="楷体" w:eastAsia="楷体"/>
          <w:b/>
          <w:sz w:val="32"/>
          <w:szCs w:val="32"/>
        </w:rPr>
        <w:t>主要经验及做法、存在的问题和建议</w:t>
      </w:r>
    </w:p>
    <w:p>
      <w:pPr>
        <w:pStyle w:val="19"/>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lang w:eastAsia="zh-CN"/>
        </w:rPr>
        <w:t>主要经验及做法</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坚持目标导向，认真开展绩效自评。每年预算执行结束后，根据年度总体工作进展情况，对我单位整体收支情况进行认真分析，开展整体支出绩效自评和项目支出绩效自评，已实现整体支出绩效和项目支出绩效自评全覆盖。自评结束后，对各项目绩效自评情况及时进行通报，形成创先争优的良好氛围，及时总结管理经验，进一步提升预算绩效管理水平。</w:t>
      </w:r>
    </w:p>
    <w:p>
      <w:pPr>
        <w:pStyle w:val="19"/>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200"/>
        <w:textAlignment w:val="auto"/>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存在的问题</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200"/>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1、项目目标设定，部分定性与定量指标匹配缺乏可衡量性和实效性，项目支出运行实践经验还欠缺。</w:t>
      </w:r>
    </w:p>
    <w:p>
      <w:pPr>
        <w:pStyle w:val="19"/>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200"/>
        <w:textAlignment w:val="auto"/>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相关建议</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200"/>
        <w:textAlignment w:val="auto"/>
        <w:rPr>
          <w:rFonts w:hint="default" w:ascii="Times New Roman" w:hAnsi="Times New Roman" w:eastAsia="仿宋_GB2312" w:cs="仿宋_GB2312"/>
          <w:spacing w:val="-2"/>
          <w:kern w:val="2"/>
          <w:sz w:val="32"/>
          <w:szCs w:val="32"/>
          <w:lang w:val="en-US" w:eastAsia="zh-CN" w:bidi="ar-SA"/>
        </w:rPr>
      </w:pPr>
      <w:r>
        <w:rPr>
          <w:rFonts w:hint="default" w:ascii="Times New Roman" w:hAnsi="Times New Roman" w:eastAsia="仿宋_GB2312" w:cs="仿宋_GB2312"/>
          <w:spacing w:val="-2"/>
          <w:kern w:val="2"/>
          <w:sz w:val="32"/>
          <w:szCs w:val="32"/>
          <w:lang w:val="en-US" w:eastAsia="zh-CN" w:bidi="ar-SA"/>
        </w:rPr>
        <w:t>以部门职能职责和绩效目标为基础，合理细化设置绩效目标，全面反映部门整体支出效益。对年初绩效目标各项内容填写规范、完整，有利于财政合理配置资源，节约财政资金，缓解供求矛盾，促进资源的有效配置。</w:t>
      </w:r>
    </w:p>
    <w:p>
      <w:pPr>
        <w:pStyle w:val="19"/>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640" w:firstLineChars="200"/>
        <w:textAlignment w:val="auto"/>
        <w:rPr>
          <w:rFonts w:hint="eastAsia" w:ascii="楷体" w:eastAsia="楷体"/>
          <w:b/>
          <w:sz w:val="32"/>
          <w:szCs w:val="32"/>
          <w:lang w:eastAsia="zh-CN"/>
        </w:rPr>
      </w:pPr>
      <w:r>
        <w:rPr>
          <w:rFonts w:hint="eastAsia" w:ascii="楷体" w:eastAsia="楷体"/>
          <w:b/>
          <w:sz w:val="32"/>
          <w:szCs w:val="32"/>
        </w:rPr>
        <w:t>其他需要说明的问题</w:t>
      </w:r>
      <w:r>
        <w:rPr>
          <w:rFonts w:hint="eastAsia" w:ascii="楷体" w:eastAsia="楷体"/>
          <w:b/>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24"/>
        <w:textAlignment w:val="auto"/>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kern w:val="2"/>
          <w:sz w:val="32"/>
          <w:szCs w:val="32"/>
          <w:lang w:val="en-US" w:eastAsia="zh-CN" w:bidi="ar-SA"/>
        </w:rPr>
        <w:t>无。</w:t>
      </w:r>
    </w:p>
    <w:p>
      <w:pPr>
        <w:pStyle w:val="6"/>
        <w:ind w:firstLine="624"/>
        <w:rPr>
          <w:rFonts w:hint="default"/>
          <w:lang w:val="en-US" w:eastAsia="zh-CN"/>
        </w:rPr>
      </w:pPr>
    </w:p>
    <w:p>
      <w:pPr>
        <w:pStyle w:val="4"/>
        <w:rPr>
          <w:rFonts w:hint="default"/>
          <w:lang w:val="en-US" w:eastAsia="zh-CN"/>
        </w:rPr>
      </w:pPr>
    </w:p>
    <w:p>
      <w:pPr>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6"/>
        <w:rPr>
          <w:rFonts w:hint="default"/>
          <w:lang w:val="en-US" w:eastAsia="zh-CN"/>
        </w:rPr>
      </w:pPr>
    </w:p>
    <w:p>
      <w:pPr>
        <w:pStyle w:val="4"/>
        <w:rPr>
          <w:rFonts w:hint="default"/>
          <w:lang w:val="en-US" w:eastAsia="zh-CN"/>
        </w:rPr>
      </w:pPr>
    </w:p>
    <w:p>
      <w:pPr>
        <w:spacing w:line="560" w:lineRule="exact"/>
        <w:rPr>
          <w:rFonts w:hint="default" w:ascii="黑体" w:hAnsi="宋体" w:eastAsia="黑体" w:cs="宋体"/>
          <w:kern w:val="0"/>
          <w:sz w:val="32"/>
          <w:szCs w:val="32"/>
          <w:lang w:val="en-US" w:eastAsia="zh-CN"/>
        </w:rPr>
      </w:pPr>
      <w:r>
        <w:rPr>
          <w:rFonts w:hint="eastAsia" w:ascii="黑体" w:hAnsi="宋体" w:eastAsia="黑体" w:cs="宋体"/>
          <w:kern w:val="0"/>
          <w:sz w:val="32"/>
          <w:szCs w:val="32"/>
          <w:lang w:val="en-US" w:eastAsia="zh-CN"/>
        </w:rPr>
        <w:t>附件1：</w:t>
      </w:r>
    </w:p>
    <w:p>
      <w:pPr>
        <w:spacing w:line="560" w:lineRule="exact"/>
        <w:ind w:firstLine="2240" w:firstLineChars="700"/>
        <w:rPr>
          <w:rFonts w:hint="eastAsia" w:ascii="黑体" w:hAnsi="宋体" w:eastAsia="黑体" w:cs="宋体"/>
          <w:kern w:val="0"/>
          <w:sz w:val="32"/>
          <w:szCs w:val="32"/>
          <w:lang w:val="en-US" w:eastAsia="zh-CN"/>
        </w:rPr>
      </w:pPr>
      <w:r>
        <w:rPr>
          <w:rFonts w:hint="eastAsia" w:ascii="黑体" w:hAnsi="宋体" w:eastAsia="黑体" w:cs="宋体"/>
          <w:kern w:val="0"/>
          <w:sz w:val="32"/>
          <w:szCs w:val="32"/>
          <w:lang w:val="en-US" w:eastAsia="zh-CN"/>
        </w:rPr>
        <w:t>专项资金绩效目标自评表</w:t>
      </w:r>
    </w:p>
    <w:tbl>
      <w:tblPr>
        <w:tblStyle w:val="9"/>
        <w:tblW w:w="10060" w:type="dxa"/>
        <w:jc w:val="center"/>
        <w:tblLayout w:type="fixed"/>
        <w:tblCellMar>
          <w:top w:w="0" w:type="dxa"/>
          <w:left w:w="108" w:type="dxa"/>
          <w:bottom w:w="0" w:type="dxa"/>
          <w:right w:w="108" w:type="dxa"/>
        </w:tblCellMar>
      </w:tblPr>
      <w:tblGrid>
        <w:gridCol w:w="769"/>
        <w:gridCol w:w="675"/>
        <w:gridCol w:w="1314"/>
        <w:gridCol w:w="2115"/>
        <w:gridCol w:w="1365"/>
        <w:gridCol w:w="960"/>
        <w:gridCol w:w="848"/>
        <w:gridCol w:w="337"/>
        <w:gridCol w:w="1677"/>
      </w:tblGrid>
      <w:tr>
        <w:tblPrEx>
          <w:tblCellMar>
            <w:top w:w="0" w:type="dxa"/>
            <w:left w:w="108" w:type="dxa"/>
            <w:bottom w:w="0" w:type="dxa"/>
            <w:right w:w="108" w:type="dxa"/>
          </w:tblCellMar>
        </w:tblPrEx>
        <w:trPr>
          <w:trHeight w:val="425" w:hRule="atLeast"/>
          <w:jc w:val="center"/>
        </w:trPr>
        <w:tc>
          <w:tcPr>
            <w:tcW w:w="2758"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专项资金名称</w:t>
            </w:r>
          </w:p>
        </w:tc>
        <w:tc>
          <w:tcPr>
            <w:tcW w:w="348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档案日常管理和征集费</w:t>
            </w:r>
          </w:p>
        </w:tc>
        <w:tc>
          <w:tcPr>
            <w:tcW w:w="9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负责人</w:t>
            </w:r>
          </w:p>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及电话</w:t>
            </w:r>
          </w:p>
        </w:tc>
        <w:tc>
          <w:tcPr>
            <w:tcW w:w="2862" w:type="dxa"/>
            <w:gridSpan w:val="3"/>
            <w:tcBorders>
              <w:top w:val="single" w:color="auto" w:sz="4" w:space="0"/>
              <w:left w:val="single" w:color="auto" w:sz="4" w:space="0"/>
              <w:bottom w:val="single" w:color="auto" w:sz="4" w:space="0"/>
              <w:right w:val="single" w:color="auto" w:sz="4" w:space="0"/>
            </w:tcBorders>
            <w:noWrap w:val="0"/>
            <w:vAlign w:val="bottom"/>
          </w:tcPr>
          <w:p>
            <w:pPr>
              <w:widowControl/>
              <w:jc w:val="left"/>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25" w:hRule="atLeast"/>
          <w:jc w:val="center"/>
        </w:trPr>
        <w:tc>
          <w:tcPr>
            <w:tcW w:w="2758" w:type="dxa"/>
            <w:gridSpan w:val="3"/>
            <w:tcBorders>
              <w:top w:val="single" w:color="auto" w:sz="4" w:space="0"/>
              <w:left w:val="single" w:color="auto" w:sz="4" w:space="0"/>
              <w:bottom w:val="single" w:color="auto" w:sz="4" w:space="0"/>
              <w:right w:val="nil"/>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eastAsia="zh-CN"/>
              </w:rPr>
              <w:t>市</w:t>
            </w:r>
            <w:r>
              <w:rPr>
                <w:rFonts w:hint="eastAsia" w:ascii="仿宋_GB2312" w:hAnsi="宋体" w:eastAsia="仿宋_GB2312" w:cs="宋体"/>
                <w:color w:val="000000"/>
                <w:kern w:val="0"/>
                <w:szCs w:val="21"/>
              </w:rPr>
              <w:t>级主管部门</w:t>
            </w:r>
          </w:p>
        </w:tc>
        <w:tc>
          <w:tcPr>
            <w:tcW w:w="7302"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怀化市档案馆</w:t>
            </w:r>
          </w:p>
        </w:tc>
      </w:tr>
      <w:tr>
        <w:tblPrEx>
          <w:tblCellMar>
            <w:top w:w="0" w:type="dxa"/>
            <w:left w:w="108" w:type="dxa"/>
            <w:bottom w:w="0" w:type="dxa"/>
            <w:right w:w="108" w:type="dxa"/>
          </w:tblCellMar>
        </w:tblPrEx>
        <w:trPr>
          <w:trHeight w:val="425" w:hRule="atLeast"/>
          <w:jc w:val="center"/>
        </w:trPr>
        <w:tc>
          <w:tcPr>
            <w:tcW w:w="2758"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地方主管部门</w:t>
            </w:r>
          </w:p>
        </w:tc>
        <w:tc>
          <w:tcPr>
            <w:tcW w:w="3480"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怀化市档案馆</w:t>
            </w:r>
          </w:p>
        </w:tc>
        <w:tc>
          <w:tcPr>
            <w:tcW w:w="9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实施单位</w:t>
            </w:r>
          </w:p>
        </w:tc>
        <w:tc>
          <w:tcPr>
            <w:tcW w:w="2862"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怀化市档案馆</w:t>
            </w:r>
          </w:p>
        </w:tc>
      </w:tr>
      <w:tr>
        <w:tblPrEx>
          <w:tblCellMar>
            <w:top w:w="0" w:type="dxa"/>
            <w:left w:w="108" w:type="dxa"/>
            <w:bottom w:w="0" w:type="dxa"/>
            <w:right w:w="108" w:type="dxa"/>
          </w:tblCellMar>
        </w:tblPrEx>
        <w:trPr>
          <w:trHeight w:val="425" w:hRule="atLeast"/>
          <w:jc w:val="center"/>
        </w:trPr>
        <w:tc>
          <w:tcPr>
            <w:tcW w:w="2758" w:type="dxa"/>
            <w:gridSpan w:val="3"/>
            <w:vMerge w:val="restart"/>
            <w:tcBorders>
              <w:top w:val="single" w:color="auto" w:sz="4" w:space="0"/>
              <w:left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项目资金（万元）</w:t>
            </w:r>
          </w:p>
        </w:tc>
        <w:tc>
          <w:tcPr>
            <w:tcW w:w="211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136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全年预算数</w:t>
            </w:r>
          </w:p>
        </w:tc>
        <w:tc>
          <w:tcPr>
            <w:tcW w:w="18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全年执行数（B）</w:t>
            </w:r>
          </w:p>
        </w:tc>
        <w:tc>
          <w:tcPr>
            <w:tcW w:w="201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执行率（B／A）</w:t>
            </w:r>
          </w:p>
        </w:tc>
      </w:tr>
      <w:tr>
        <w:tblPrEx>
          <w:tblCellMar>
            <w:top w:w="0" w:type="dxa"/>
            <w:left w:w="108" w:type="dxa"/>
            <w:bottom w:w="0" w:type="dxa"/>
            <w:right w:w="108" w:type="dxa"/>
          </w:tblCellMar>
        </w:tblPrEx>
        <w:trPr>
          <w:trHeight w:val="425" w:hRule="atLeast"/>
          <w:jc w:val="center"/>
        </w:trPr>
        <w:tc>
          <w:tcPr>
            <w:tcW w:w="2758" w:type="dxa"/>
            <w:gridSpan w:val="3"/>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年度资金总额</w:t>
            </w:r>
          </w:p>
        </w:tc>
        <w:tc>
          <w:tcPr>
            <w:tcW w:w="136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36.60</w:t>
            </w:r>
            <w:r>
              <w:rPr>
                <w:rFonts w:hint="eastAsia" w:ascii="仿宋_GB2312" w:hAnsi="宋体" w:eastAsia="仿宋_GB2312" w:cs="宋体"/>
                <w:color w:val="000000"/>
                <w:kern w:val="0"/>
                <w:szCs w:val="21"/>
                <w:lang w:eastAsia="zh-CN"/>
              </w:rPr>
              <w:t>万元</w:t>
            </w:r>
          </w:p>
        </w:tc>
        <w:tc>
          <w:tcPr>
            <w:tcW w:w="18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36.60</w:t>
            </w:r>
            <w:r>
              <w:rPr>
                <w:rFonts w:hint="eastAsia" w:ascii="仿宋_GB2312" w:hAnsi="宋体" w:eastAsia="仿宋_GB2312" w:cs="宋体"/>
                <w:color w:val="000000"/>
                <w:kern w:val="0"/>
                <w:szCs w:val="21"/>
                <w:lang w:eastAsia="zh-CN"/>
              </w:rPr>
              <w:t>万元</w:t>
            </w:r>
          </w:p>
        </w:tc>
        <w:tc>
          <w:tcPr>
            <w:tcW w:w="201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100%</w:t>
            </w:r>
            <w:r>
              <w:rPr>
                <w:rFonts w:hint="eastAsia" w:ascii="仿宋_GB2312" w:hAnsi="宋体" w:eastAsia="仿宋_GB2312" w:cs="宋体"/>
                <w:color w:val="000000"/>
                <w:kern w:val="0"/>
                <w:szCs w:val="21"/>
              </w:rPr>
              <w:t>　</w:t>
            </w:r>
          </w:p>
        </w:tc>
      </w:tr>
      <w:tr>
        <w:tblPrEx>
          <w:tblCellMar>
            <w:top w:w="0" w:type="dxa"/>
            <w:left w:w="108" w:type="dxa"/>
            <w:bottom w:w="0" w:type="dxa"/>
            <w:right w:w="108" w:type="dxa"/>
          </w:tblCellMar>
        </w:tblPrEx>
        <w:trPr>
          <w:trHeight w:val="425" w:hRule="atLeast"/>
          <w:jc w:val="center"/>
        </w:trPr>
        <w:tc>
          <w:tcPr>
            <w:tcW w:w="2758" w:type="dxa"/>
            <w:gridSpan w:val="3"/>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其中：中央补助</w:t>
            </w:r>
          </w:p>
        </w:tc>
        <w:tc>
          <w:tcPr>
            <w:tcW w:w="136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18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01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tblPrEx>
          <w:tblCellMar>
            <w:top w:w="0" w:type="dxa"/>
            <w:left w:w="108" w:type="dxa"/>
            <w:bottom w:w="0" w:type="dxa"/>
            <w:right w:w="108" w:type="dxa"/>
          </w:tblCellMar>
        </w:tblPrEx>
        <w:trPr>
          <w:trHeight w:val="440" w:hRule="atLeast"/>
          <w:jc w:val="center"/>
        </w:trPr>
        <w:tc>
          <w:tcPr>
            <w:tcW w:w="2758" w:type="dxa"/>
            <w:gridSpan w:val="3"/>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pPr>
              <w:widowControl/>
              <w:ind w:firstLine="420" w:firstLineChars="200"/>
              <w:jc w:val="both"/>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省级资金</w:t>
            </w:r>
          </w:p>
        </w:tc>
        <w:tc>
          <w:tcPr>
            <w:tcW w:w="136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18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01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tblPrEx>
          <w:tblCellMar>
            <w:top w:w="0" w:type="dxa"/>
            <w:left w:w="108" w:type="dxa"/>
            <w:bottom w:w="0" w:type="dxa"/>
            <w:right w:w="108" w:type="dxa"/>
          </w:tblCellMar>
        </w:tblPrEx>
        <w:trPr>
          <w:trHeight w:val="302" w:hRule="atLeast"/>
          <w:jc w:val="center"/>
        </w:trPr>
        <w:tc>
          <w:tcPr>
            <w:tcW w:w="2758" w:type="dxa"/>
            <w:gridSpan w:val="3"/>
            <w:vMerge w:val="continue"/>
            <w:tcBorders>
              <w:left w:val="single" w:color="auto" w:sz="4" w:space="0"/>
              <w:right w:val="single" w:color="auto" w:sz="4" w:space="0"/>
            </w:tcBorders>
            <w:noWrap w:val="0"/>
            <w:vAlign w:val="center"/>
          </w:tcPr>
          <w:p>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 xml:space="preserve">    市级资金</w:t>
            </w:r>
          </w:p>
        </w:tc>
        <w:tc>
          <w:tcPr>
            <w:tcW w:w="136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36.60</w:t>
            </w:r>
            <w:r>
              <w:rPr>
                <w:rFonts w:hint="eastAsia" w:ascii="仿宋_GB2312" w:hAnsi="宋体" w:eastAsia="仿宋_GB2312" w:cs="宋体"/>
                <w:color w:val="000000"/>
                <w:kern w:val="0"/>
                <w:szCs w:val="21"/>
                <w:lang w:eastAsia="zh-CN"/>
              </w:rPr>
              <w:t>万元</w:t>
            </w:r>
          </w:p>
        </w:tc>
        <w:tc>
          <w:tcPr>
            <w:tcW w:w="18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36.60</w:t>
            </w:r>
            <w:r>
              <w:rPr>
                <w:rFonts w:hint="eastAsia" w:ascii="仿宋_GB2312" w:hAnsi="宋体" w:eastAsia="仿宋_GB2312" w:cs="宋体"/>
                <w:color w:val="000000"/>
                <w:kern w:val="0"/>
                <w:szCs w:val="21"/>
                <w:lang w:eastAsia="zh-CN"/>
              </w:rPr>
              <w:t>万元</w:t>
            </w:r>
          </w:p>
        </w:tc>
        <w:tc>
          <w:tcPr>
            <w:tcW w:w="201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100%</w:t>
            </w:r>
            <w:r>
              <w:rPr>
                <w:rFonts w:hint="eastAsia" w:ascii="仿宋_GB2312" w:hAnsi="宋体" w:eastAsia="仿宋_GB2312" w:cs="宋体"/>
                <w:color w:val="000000"/>
                <w:kern w:val="0"/>
                <w:szCs w:val="21"/>
              </w:rPr>
              <w:t>　</w:t>
            </w:r>
          </w:p>
        </w:tc>
      </w:tr>
      <w:tr>
        <w:tblPrEx>
          <w:tblCellMar>
            <w:top w:w="0" w:type="dxa"/>
            <w:left w:w="108" w:type="dxa"/>
            <w:bottom w:w="0" w:type="dxa"/>
            <w:right w:w="108" w:type="dxa"/>
          </w:tblCellMar>
        </w:tblPrEx>
        <w:trPr>
          <w:trHeight w:val="302" w:hRule="atLeast"/>
          <w:jc w:val="center"/>
        </w:trPr>
        <w:tc>
          <w:tcPr>
            <w:tcW w:w="2758" w:type="dxa"/>
            <w:gridSpan w:val="3"/>
            <w:vMerge w:val="continue"/>
            <w:tcBorders>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Cs w:val="21"/>
              </w:rPr>
            </w:pPr>
          </w:p>
        </w:tc>
        <w:tc>
          <w:tcPr>
            <w:tcW w:w="211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 xml:space="preserve">    </w:t>
            </w:r>
            <w:r>
              <w:rPr>
                <w:rFonts w:hint="eastAsia" w:ascii="仿宋_GB2312" w:hAnsi="宋体" w:eastAsia="仿宋_GB2312" w:cs="宋体"/>
                <w:color w:val="000000"/>
                <w:kern w:val="0"/>
                <w:szCs w:val="21"/>
                <w:lang w:eastAsia="zh-CN"/>
              </w:rPr>
              <w:t>其他资金</w:t>
            </w:r>
          </w:p>
        </w:tc>
        <w:tc>
          <w:tcPr>
            <w:tcW w:w="136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rPr>
            </w:pPr>
          </w:p>
        </w:tc>
        <w:tc>
          <w:tcPr>
            <w:tcW w:w="1808"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rPr>
            </w:pPr>
          </w:p>
        </w:tc>
        <w:tc>
          <w:tcPr>
            <w:tcW w:w="201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5"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年度总体目标</w:t>
            </w:r>
          </w:p>
        </w:tc>
        <w:tc>
          <w:tcPr>
            <w:tcW w:w="5469"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仿宋_GB2312" w:hAnsi="宋体" w:eastAsia="仿宋_GB2312" w:cs="宋体"/>
                <w:color w:val="000000"/>
                <w:kern w:val="0"/>
                <w:szCs w:val="21"/>
              </w:rPr>
              <w:t>年初设定目标</w:t>
            </w:r>
            <w:r>
              <w:rPr>
                <w:rFonts w:hint="eastAsia" w:ascii="宋体" w:hAnsi="宋体" w:cs="宋体"/>
                <w:color w:val="000000"/>
                <w:kern w:val="0"/>
                <w:szCs w:val="21"/>
              </w:rPr>
              <w:t>　</w:t>
            </w:r>
          </w:p>
        </w:tc>
        <w:tc>
          <w:tcPr>
            <w:tcW w:w="3822"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全年实际完成情况</w:t>
            </w:r>
          </w:p>
        </w:tc>
      </w:tr>
      <w:tr>
        <w:tblPrEx>
          <w:tblCellMar>
            <w:top w:w="0" w:type="dxa"/>
            <w:left w:w="108" w:type="dxa"/>
            <w:bottom w:w="0" w:type="dxa"/>
            <w:right w:w="108" w:type="dxa"/>
          </w:tblCellMar>
        </w:tblPrEx>
        <w:trPr>
          <w:trHeight w:val="42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Cs w:val="21"/>
              </w:rPr>
            </w:pPr>
          </w:p>
        </w:tc>
        <w:tc>
          <w:tcPr>
            <w:tcW w:w="5469" w:type="dxa"/>
            <w:gridSpan w:val="4"/>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eastAsia="zh-CN"/>
              </w:rPr>
              <w:t>预算执行率</w:t>
            </w:r>
            <w:r>
              <w:rPr>
                <w:rFonts w:hint="eastAsia" w:ascii="仿宋_GB2312" w:hAnsi="宋体" w:eastAsia="仿宋_GB2312" w:cs="宋体"/>
                <w:color w:val="000000"/>
                <w:kern w:val="0"/>
                <w:szCs w:val="21"/>
                <w:lang w:val="en-US" w:eastAsia="zh-CN"/>
              </w:rPr>
              <w:t>100%；</w:t>
            </w:r>
          </w:p>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1.档案库房坚持每月检查，及时修复库房内空调、除湿机等设备，每季度全面清理库房卫生，没年更换防虫樟脑块等物品。</w:t>
            </w:r>
          </w:p>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2.全年征集散落在社会上有保存价值的珍贵档案。</w:t>
            </w:r>
          </w:p>
          <w:p>
            <w:pPr>
              <w:widowControl/>
              <w:jc w:val="left"/>
              <w:rPr>
                <w:rFonts w:hint="default"/>
                <w:lang w:val="en-US" w:eastAsia="zh-CN"/>
              </w:rPr>
            </w:pPr>
            <w:r>
              <w:rPr>
                <w:rFonts w:hint="eastAsia" w:ascii="仿宋_GB2312" w:hAnsi="宋体" w:eastAsia="仿宋_GB2312" w:cs="宋体"/>
                <w:color w:val="000000"/>
                <w:kern w:val="0"/>
                <w:szCs w:val="21"/>
                <w:lang w:val="en-US" w:eastAsia="zh-CN"/>
              </w:rPr>
              <w:t>3.每半年集中修复一批损坏的重点档案并进行数字化扫描。</w:t>
            </w:r>
          </w:p>
        </w:tc>
        <w:tc>
          <w:tcPr>
            <w:tcW w:w="3822"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仿宋_GB2312" w:hAnsi="宋体" w:eastAsia="仿宋_GB2312" w:cs="宋体"/>
                <w:color w:val="000000"/>
                <w:kern w:val="0"/>
                <w:szCs w:val="21"/>
                <w:lang w:val="en-US"/>
              </w:rPr>
            </w:pPr>
            <w:r>
              <w:rPr>
                <w:rFonts w:hint="eastAsia" w:ascii="仿宋_GB2312" w:hAnsi="宋体" w:eastAsia="仿宋_GB2312" w:cs="宋体"/>
                <w:color w:val="000000"/>
                <w:kern w:val="0"/>
                <w:szCs w:val="21"/>
                <w:lang w:eastAsia="zh-CN"/>
              </w:rPr>
              <w:t>预算执行率100%；检查维修库房设施每月</w:t>
            </w:r>
            <w:r>
              <w:rPr>
                <w:rFonts w:hint="eastAsia" w:ascii="仿宋_GB2312" w:hAnsi="宋体" w:eastAsia="仿宋_GB2312" w:cs="宋体"/>
                <w:color w:val="000000"/>
                <w:kern w:val="0"/>
                <w:szCs w:val="21"/>
                <w:lang w:val="en-US" w:eastAsia="zh-CN"/>
              </w:rPr>
              <w:t>1次，每周一、三、五定期对档案库房进行安全检查，认真做好库房温湿度记录和防火、防盗、防霉、防虫等十防工作，确保档案资料万无一失。</w:t>
            </w:r>
          </w:p>
        </w:tc>
      </w:tr>
      <w:tr>
        <w:tblPrEx>
          <w:tblCellMar>
            <w:top w:w="0" w:type="dxa"/>
            <w:left w:w="108" w:type="dxa"/>
            <w:bottom w:w="0" w:type="dxa"/>
            <w:right w:w="108" w:type="dxa"/>
          </w:tblCellMar>
        </w:tblPrEx>
        <w:trPr>
          <w:trHeight w:val="425"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绩  效    指  标</w:t>
            </w:r>
          </w:p>
        </w:tc>
        <w:tc>
          <w:tcPr>
            <w:tcW w:w="675" w:type="dxa"/>
            <w:tcBorders>
              <w:top w:val="single" w:color="auto" w:sz="4" w:space="0"/>
              <w:left w:val="nil"/>
              <w:bottom w:val="single" w:color="auto" w:sz="4" w:space="0"/>
              <w:right w:val="nil"/>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一级指标</w:t>
            </w:r>
          </w:p>
        </w:tc>
        <w:tc>
          <w:tcPr>
            <w:tcW w:w="131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二级指标</w:t>
            </w:r>
          </w:p>
        </w:tc>
        <w:tc>
          <w:tcPr>
            <w:tcW w:w="2115"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三级指标</w:t>
            </w:r>
          </w:p>
        </w:tc>
        <w:tc>
          <w:tcPr>
            <w:tcW w:w="2325"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年度指标值</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全年</w:t>
            </w:r>
          </w:p>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完成值</w:t>
            </w:r>
          </w:p>
        </w:tc>
        <w:tc>
          <w:tcPr>
            <w:tcW w:w="167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未完成原因和</w:t>
            </w:r>
          </w:p>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改进措施</w:t>
            </w:r>
          </w:p>
        </w:tc>
      </w:tr>
      <w:tr>
        <w:tblPrEx>
          <w:tblCellMar>
            <w:top w:w="0" w:type="dxa"/>
            <w:left w:w="108" w:type="dxa"/>
            <w:bottom w:w="0" w:type="dxa"/>
            <w:right w:w="108" w:type="dxa"/>
          </w:tblCellMar>
        </w:tblPrEx>
        <w:trPr>
          <w:trHeight w:val="310"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产   出   指   标</w:t>
            </w:r>
          </w:p>
        </w:tc>
        <w:tc>
          <w:tcPr>
            <w:tcW w:w="13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数量指标</w:t>
            </w:r>
          </w:p>
        </w:tc>
        <w:tc>
          <w:tcPr>
            <w:tcW w:w="2115"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接待查阅</w:t>
            </w:r>
            <w:r>
              <w:rPr>
                <w:rFonts w:hint="eastAsia" w:ascii="仿宋_GB2312" w:hAnsi="宋体" w:eastAsia="仿宋_GB2312" w:cs="宋体"/>
                <w:color w:val="000000"/>
                <w:kern w:val="0"/>
                <w:szCs w:val="21"/>
                <w:lang w:eastAsia="zh-CN"/>
              </w:rPr>
              <w:t>档案</w:t>
            </w:r>
            <w:r>
              <w:rPr>
                <w:rFonts w:hint="eastAsia" w:ascii="仿宋_GB2312" w:hAnsi="宋体" w:eastAsia="仿宋_GB2312" w:cs="宋体"/>
                <w:color w:val="000000"/>
                <w:kern w:val="0"/>
                <w:szCs w:val="21"/>
              </w:rPr>
              <w:t>卷次</w:t>
            </w:r>
          </w:p>
        </w:tc>
        <w:tc>
          <w:tcPr>
            <w:tcW w:w="2325"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宋体" w:hAnsi="宋体" w:eastAsia="宋体" w:cs="宋体"/>
                <w:color w:val="000000"/>
                <w:kern w:val="0"/>
                <w:szCs w:val="21"/>
                <w:lang w:eastAsia="zh-CN"/>
              </w:rPr>
              <w:t>≧</w:t>
            </w:r>
            <w:r>
              <w:rPr>
                <w:rFonts w:hint="eastAsia" w:ascii="仿宋_GB2312" w:hAnsi="宋体" w:eastAsia="仿宋_GB2312" w:cs="宋体"/>
                <w:color w:val="000000"/>
                <w:kern w:val="0"/>
                <w:szCs w:val="21"/>
                <w:lang w:val="en-US" w:eastAsia="zh-CN"/>
              </w:rPr>
              <w:t>200卷</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285卷次</w:t>
            </w:r>
          </w:p>
        </w:tc>
        <w:tc>
          <w:tcPr>
            <w:tcW w:w="1677"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60"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质量指标</w:t>
            </w:r>
          </w:p>
        </w:tc>
        <w:tc>
          <w:tcPr>
            <w:tcW w:w="2115"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质量达标率</w:t>
            </w:r>
          </w:p>
        </w:tc>
        <w:tc>
          <w:tcPr>
            <w:tcW w:w="2325"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100%</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100%</w:t>
            </w:r>
          </w:p>
        </w:tc>
        <w:tc>
          <w:tcPr>
            <w:tcW w:w="1677"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340"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时效指标</w:t>
            </w:r>
          </w:p>
        </w:tc>
        <w:tc>
          <w:tcPr>
            <w:tcW w:w="2115"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完成及时率</w:t>
            </w:r>
          </w:p>
        </w:tc>
        <w:tc>
          <w:tcPr>
            <w:tcW w:w="2325" w:type="dxa"/>
            <w:gridSpan w:val="2"/>
            <w:tcBorders>
              <w:top w:val="single" w:color="auto" w:sz="4" w:space="0"/>
              <w:left w:val="nil"/>
              <w:bottom w:val="single" w:color="auto" w:sz="4" w:space="0"/>
              <w:right w:val="single" w:color="auto" w:sz="4" w:space="0"/>
            </w:tcBorders>
            <w:noWrap/>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100%</w:t>
            </w:r>
          </w:p>
        </w:tc>
        <w:tc>
          <w:tcPr>
            <w:tcW w:w="1677"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315"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成本指标</w:t>
            </w:r>
          </w:p>
        </w:tc>
        <w:tc>
          <w:tcPr>
            <w:tcW w:w="2115" w:type="dxa"/>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成本控制率</w:t>
            </w:r>
          </w:p>
        </w:tc>
        <w:tc>
          <w:tcPr>
            <w:tcW w:w="2325"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仿宋_GB2312"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仿宋_GB2312" w:hAnsi="宋体" w:cs="宋体"/>
                <w:color w:val="000000"/>
                <w:kern w:val="0"/>
                <w:szCs w:val="21"/>
                <w:lang w:val="en-US" w:eastAsia="zh-CN"/>
              </w:rPr>
              <w:t>5%</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5%</w:t>
            </w:r>
          </w:p>
        </w:tc>
        <w:tc>
          <w:tcPr>
            <w:tcW w:w="1677"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713"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675"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效   益   指   标</w:t>
            </w:r>
          </w:p>
          <w:p>
            <w:pPr>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经济效益  指标</w:t>
            </w:r>
          </w:p>
        </w:tc>
        <w:tc>
          <w:tcPr>
            <w:tcW w:w="2115" w:type="dxa"/>
            <w:tcBorders>
              <w:top w:val="single" w:color="auto" w:sz="4" w:space="0"/>
              <w:left w:val="nil"/>
              <w:bottom w:val="single" w:color="auto" w:sz="4" w:space="0"/>
              <w:right w:val="single" w:color="auto" w:sz="4" w:space="0"/>
            </w:tcBorders>
            <w:noWrap/>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项目实施对经济发展所带来的直接或间接影响。</w:t>
            </w:r>
          </w:p>
        </w:tc>
        <w:tc>
          <w:tcPr>
            <w:tcW w:w="2325"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效果明显</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lang w:eastAsia="zh-CN"/>
              </w:rPr>
            </w:pPr>
            <w:r>
              <w:rPr>
                <w:rFonts w:hint="eastAsia" w:ascii="仿宋_GB2312" w:hAnsi="宋体" w:eastAsia="仿宋_GB2312" w:cs="宋体"/>
                <w:color w:val="000000"/>
                <w:kern w:val="0"/>
                <w:szCs w:val="21"/>
                <w:lang w:eastAsia="zh-CN"/>
              </w:rPr>
              <w:t>效果明显</w:t>
            </w:r>
          </w:p>
        </w:tc>
        <w:tc>
          <w:tcPr>
            <w:tcW w:w="1677"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397" w:hRule="atLeast"/>
          <w:jc w:val="center"/>
        </w:trPr>
        <w:tc>
          <w:tcPr>
            <w:tcW w:w="76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绩  效    指  标</w:t>
            </w:r>
          </w:p>
        </w:tc>
        <w:tc>
          <w:tcPr>
            <w:tcW w:w="675" w:type="dxa"/>
            <w:vMerge w:val="continue"/>
            <w:tcBorders>
              <w:left w:val="single" w:color="auto" w:sz="4" w:space="0"/>
              <w:right w:val="single" w:color="auto" w:sz="4" w:space="0"/>
            </w:tcBorders>
            <w:noWrap w:val="0"/>
            <w:vAlign w:val="center"/>
          </w:tcPr>
          <w:p>
            <w:pPr>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eastAsia="zh-CN"/>
              </w:rPr>
              <w:t>社会</w:t>
            </w:r>
            <w:r>
              <w:rPr>
                <w:rFonts w:hint="eastAsia" w:ascii="仿宋_GB2312" w:hAnsi="宋体" w:eastAsia="仿宋_GB2312" w:cs="宋体"/>
                <w:color w:val="000000"/>
                <w:kern w:val="0"/>
                <w:szCs w:val="21"/>
              </w:rPr>
              <w:t>效益  指标</w:t>
            </w:r>
          </w:p>
        </w:tc>
        <w:tc>
          <w:tcPr>
            <w:tcW w:w="2115" w:type="dxa"/>
            <w:tcBorders>
              <w:top w:val="single" w:color="auto" w:sz="4" w:space="0"/>
              <w:left w:val="nil"/>
              <w:bottom w:val="single" w:color="auto" w:sz="4" w:space="0"/>
              <w:right w:val="single" w:color="auto" w:sz="4" w:space="0"/>
            </w:tcBorders>
            <w:noWrap/>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项目实施对社会发展所带来的直接或间接影响。</w:t>
            </w:r>
          </w:p>
        </w:tc>
        <w:tc>
          <w:tcPr>
            <w:tcW w:w="2325"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效果明显</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效果明显</w:t>
            </w:r>
          </w:p>
        </w:tc>
        <w:tc>
          <w:tcPr>
            <w:tcW w:w="1677"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397"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Cs w:val="21"/>
              </w:rPr>
            </w:pPr>
          </w:p>
        </w:tc>
        <w:tc>
          <w:tcPr>
            <w:tcW w:w="675" w:type="dxa"/>
            <w:vMerge w:val="continue"/>
            <w:tcBorders>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p>
        </w:tc>
        <w:tc>
          <w:tcPr>
            <w:tcW w:w="13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可持续影响指标</w:t>
            </w:r>
          </w:p>
        </w:tc>
        <w:tc>
          <w:tcPr>
            <w:tcW w:w="2115" w:type="dxa"/>
            <w:tcBorders>
              <w:top w:val="single" w:color="auto" w:sz="4" w:space="0"/>
              <w:left w:val="nil"/>
              <w:bottom w:val="single" w:color="auto" w:sz="4" w:space="0"/>
              <w:right w:val="single" w:color="auto" w:sz="4" w:space="0"/>
            </w:tcBorders>
            <w:noWrap/>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项目实施对人环境、 自然环境所带来积极可持续影响。</w:t>
            </w:r>
          </w:p>
        </w:tc>
        <w:tc>
          <w:tcPr>
            <w:tcW w:w="2325"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具有可持续性</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具有可持续性</w:t>
            </w:r>
          </w:p>
        </w:tc>
        <w:tc>
          <w:tcPr>
            <w:tcW w:w="1677"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270" w:hRule="atLeast"/>
          <w:jc w:val="center"/>
        </w:trPr>
        <w:tc>
          <w:tcPr>
            <w:tcW w:w="76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color w:val="000000"/>
                <w:kern w:val="0"/>
                <w:szCs w:val="21"/>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满意度指标</w:t>
            </w:r>
          </w:p>
        </w:tc>
        <w:tc>
          <w:tcPr>
            <w:tcW w:w="131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服务对象满意度指标</w:t>
            </w:r>
          </w:p>
        </w:tc>
        <w:tc>
          <w:tcPr>
            <w:tcW w:w="2115" w:type="dxa"/>
            <w:tcBorders>
              <w:top w:val="single" w:color="auto" w:sz="4" w:space="0"/>
              <w:left w:val="nil"/>
              <w:bottom w:val="single" w:color="auto" w:sz="4" w:space="0"/>
              <w:right w:val="single" w:color="auto" w:sz="4" w:space="0"/>
            </w:tcBorders>
            <w:noWrap/>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zh-TW" w:eastAsia="zh-TW"/>
              </w:rPr>
              <w:t>采取对项目实施区域内服务受益对象满意度调查方式</w:t>
            </w:r>
            <w:r>
              <w:rPr>
                <w:rFonts w:hint="eastAsia" w:ascii="仿宋_GB2312" w:hAnsi="宋体" w:eastAsia="仿宋_GB2312" w:cs="宋体"/>
                <w:color w:val="000000"/>
                <w:kern w:val="0"/>
                <w:szCs w:val="21"/>
                <w:lang w:val="zh-TW" w:eastAsia="zh-CN"/>
              </w:rPr>
              <w:t>进行问卷调查。</w:t>
            </w:r>
          </w:p>
        </w:tc>
        <w:tc>
          <w:tcPr>
            <w:tcW w:w="2325" w:type="dxa"/>
            <w:gridSpan w:val="2"/>
            <w:tcBorders>
              <w:top w:val="single" w:color="auto" w:sz="4" w:space="0"/>
              <w:left w:val="nil"/>
              <w:bottom w:val="single" w:color="auto" w:sz="4" w:space="0"/>
              <w:right w:val="single" w:color="auto" w:sz="4" w:space="0"/>
            </w:tcBorders>
            <w:noWrap/>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95%</w:t>
            </w:r>
          </w:p>
        </w:tc>
        <w:tc>
          <w:tcPr>
            <w:tcW w:w="1185" w:type="dxa"/>
            <w:gridSpan w:val="2"/>
            <w:tcBorders>
              <w:top w:val="single" w:color="auto" w:sz="4" w:space="0"/>
              <w:left w:val="nil"/>
              <w:bottom w:val="single" w:color="auto" w:sz="4" w:space="0"/>
              <w:right w:val="single" w:color="auto" w:sz="4" w:space="0"/>
            </w:tcBorders>
            <w:noWrap/>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95%</w:t>
            </w:r>
          </w:p>
        </w:tc>
        <w:tc>
          <w:tcPr>
            <w:tcW w:w="1677"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Cs w:val="21"/>
              </w:rPr>
            </w:pPr>
          </w:p>
        </w:tc>
      </w:tr>
    </w:tbl>
    <w:p>
      <w:pPr>
        <w:spacing w:line="560" w:lineRule="exact"/>
        <w:rPr>
          <w:rFonts w:hint="eastAsia" w:ascii="黑体" w:hAnsi="宋体" w:eastAsia="黑体" w:cs="宋体"/>
          <w:kern w:val="0"/>
          <w:sz w:val="32"/>
          <w:szCs w:val="32"/>
        </w:rPr>
      </w:pPr>
    </w:p>
    <w:p>
      <w:pPr>
        <w:spacing w:line="560" w:lineRule="exact"/>
        <w:rPr>
          <w:rFonts w:hint="eastAsia" w:ascii="黑体" w:hAnsi="宋体" w:eastAsia="黑体" w:cs="宋体"/>
          <w:kern w:val="0"/>
          <w:sz w:val="32"/>
          <w:szCs w:val="32"/>
        </w:rPr>
      </w:pPr>
    </w:p>
    <w:p>
      <w:pPr>
        <w:spacing w:line="560" w:lineRule="exact"/>
        <w:rPr>
          <w:rFonts w:hint="eastAsia" w:ascii="黑体" w:hAnsi="宋体" w:eastAsia="黑体" w:cs="宋体"/>
          <w:kern w:val="0"/>
          <w:sz w:val="32"/>
          <w:szCs w:val="32"/>
        </w:rPr>
      </w:pPr>
      <w:bookmarkStart w:id="12" w:name="_GoBack"/>
      <w:bookmarkEnd w:id="12"/>
      <w:r>
        <w:rPr>
          <w:rFonts w:hint="eastAsia" w:ascii="黑体" w:hAnsi="宋体" w:eastAsia="黑体" w:cs="宋体"/>
          <w:kern w:val="0"/>
          <w:sz w:val="32"/>
          <w:szCs w:val="32"/>
        </w:rPr>
        <w:t>附件</w:t>
      </w:r>
      <w:r>
        <w:rPr>
          <w:rFonts w:hint="eastAsia" w:ascii="黑体" w:hAnsi="宋体" w:eastAsia="黑体" w:cs="宋体"/>
          <w:kern w:val="0"/>
          <w:sz w:val="32"/>
          <w:szCs w:val="32"/>
          <w:lang w:val="en-US" w:eastAsia="zh-CN"/>
        </w:rPr>
        <w:t>2</w:t>
      </w:r>
    </w:p>
    <w:p>
      <w:pPr>
        <w:widowControl/>
        <w:ind w:left="93"/>
        <w:jc w:val="center"/>
        <w:rPr>
          <w:rFonts w:ascii="宋体" w:cs="宋体"/>
          <w:kern w:val="0"/>
          <w:sz w:val="24"/>
        </w:rPr>
      </w:pPr>
      <w:r>
        <w:rPr>
          <w:rFonts w:hint="eastAsia" w:ascii="方正小标宋_GBK" w:hAnsi="宋体" w:eastAsia="方正小标宋_GBK" w:cs="宋体"/>
          <w:kern w:val="0"/>
          <w:sz w:val="36"/>
          <w:szCs w:val="36"/>
        </w:rPr>
        <w:t>专项资金绩效评价共性指标表</w:t>
      </w:r>
    </w:p>
    <w:tbl>
      <w:tblPr>
        <w:tblStyle w:val="9"/>
        <w:tblW w:w="9489" w:type="dxa"/>
        <w:tblInd w:w="0" w:type="dxa"/>
        <w:tblLayout w:type="fixed"/>
        <w:tblCellMar>
          <w:top w:w="0" w:type="dxa"/>
          <w:left w:w="108" w:type="dxa"/>
          <w:bottom w:w="0" w:type="dxa"/>
          <w:right w:w="108" w:type="dxa"/>
        </w:tblCellMar>
      </w:tblPr>
      <w:tblGrid>
        <w:gridCol w:w="385"/>
        <w:gridCol w:w="364"/>
        <w:gridCol w:w="855"/>
        <w:gridCol w:w="416"/>
        <w:gridCol w:w="164"/>
        <w:gridCol w:w="2152"/>
        <w:gridCol w:w="4680"/>
        <w:gridCol w:w="473"/>
      </w:tblGrid>
      <w:tr>
        <w:tblPrEx>
          <w:tblCellMar>
            <w:top w:w="0" w:type="dxa"/>
            <w:left w:w="108" w:type="dxa"/>
            <w:bottom w:w="0" w:type="dxa"/>
            <w:right w:w="108" w:type="dxa"/>
          </w:tblCellMar>
        </w:tblPrEx>
        <w:trPr>
          <w:tblHeader/>
        </w:trPr>
        <w:tc>
          <w:tcPr>
            <w:tcW w:w="3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一级</w:t>
            </w:r>
          </w:p>
        </w:tc>
        <w:tc>
          <w:tcPr>
            <w:tcW w:w="36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二级</w:t>
            </w: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三级指标</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分值</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指标解释</w:t>
            </w:r>
          </w:p>
        </w:tc>
        <w:tc>
          <w:tcPr>
            <w:tcW w:w="46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指标说明</w:t>
            </w:r>
          </w:p>
        </w:tc>
        <w:tc>
          <w:tcPr>
            <w:tcW w:w="47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得分</w:t>
            </w:r>
          </w:p>
        </w:tc>
      </w:tr>
      <w:tr>
        <w:tblPrEx>
          <w:tblCellMar>
            <w:top w:w="0" w:type="dxa"/>
            <w:left w:w="108" w:type="dxa"/>
            <w:bottom w:w="0" w:type="dxa"/>
            <w:right w:w="108" w:type="dxa"/>
          </w:tblCellMar>
        </w:tblPrEx>
        <w:trPr>
          <w:tblHeader/>
        </w:trPr>
        <w:tc>
          <w:tcPr>
            <w:tcW w:w="3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指标</w:t>
            </w:r>
          </w:p>
        </w:tc>
        <w:tc>
          <w:tcPr>
            <w:tcW w:w="36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指标</w:t>
            </w:r>
          </w:p>
        </w:tc>
        <w:tc>
          <w:tcPr>
            <w:tcW w:w="8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b/>
                <w:bCs/>
                <w:color w:val="000000"/>
                <w:kern w:val="0"/>
                <w:sz w:val="20"/>
                <w:szCs w:val="20"/>
              </w:rPr>
            </w:pPr>
          </w:p>
        </w:tc>
        <w:tc>
          <w:tcPr>
            <w:tcW w:w="41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b/>
                <w:bCs/>
                <w:color w:val="000000"/>
                <w:kern w:val="0"/>
                <w:sz w:val="20"/>
                <w:szCs w:val="20"/>
              </w:rPr>
            </w:pPr>
          </w:p>
        </w:tc>
        <w:tc>
          <w:tcPr>
            <w:tcW w:w="231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b/>
                <w:bCs/>
                <w:color w:val="000000"/>
                <w:kern w:val="0"/>
                <w:sz w:val="20"/>
                <w:szCs w:val="20"/>
              </w:rPr>
            </w:pPr>
          </w:p>
        </w:tc>
        <w:tc>
          <w:tcPr>
            <w:tcW w:w="46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b/>
                <w:bCs/>
                <w:color w:val="000000"/>
                <w:kern w:val="0"/>
                <w:sz w:val="20"/>
                <w:szCs w:val="20"/>
              </w:rPr>
            </w:pPr>
          </w:p>
        </w:tc>
        <w:tc>
          <w:tcPr>
            <w:tcW w:w="47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1200" w:hRule="atLeast"/>
        </w:trPr>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投入</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项目立项</w:t>
            </w: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项目立项规范性</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6</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项目的申请、设立过程是否符合相关要求，用以反映和考核项目立项的规范情况。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①项目是否按照规定的程序申请设立</w:t>
            </w:r>
            <w:r>
              <w:rPr>
                <w:rFonts w:hint="eastAsia" w:ascii="仿宋_GB2312" w:hAnsi="宋体" w:eastAsia="仿宋_GB2312" w:cs="宋体"/>
                <w:color w:val="000000"/>
                <w:kern w:val="0"/>
                <w:sz w:val="20"/>
                <w:szCs w:val="20"/>
                <w:lang w:val="en-US" w:eastAsia="zh-CN"/>
              </w:rPr>
              <w:t>2分</w:t>
            </w:r>
            <w:r>
              <w:rPr>
                <w:rFonts w:hint="eastAsia" w:ascii="仿宋_GB2312" w:hAnsi="宋体" w:eastAsia="仿宋_GB2312" w:cs="宋体"/>
                <w:color w:val="000000"/>
                <w:kern w:val="0"/>
                <w:sz w:val="20"/>
                <w:szCs w:val="20"/>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②所提交的文件、材料是否符合相关要求</w:t>
            </w:r>
            <w:r>
              <w:rPr>
                <w:rFonts w:hint="eastAsia" w:ascii="仿宋_GB2312" w:hAnsi="宋体" w:eastAsia="仿宋_GB2312" w:cs="宋体"/>
                <w:color w:val="000000"/>
                <w:kern w:val="0"/>
                <w:sz w:val="20"/>
                <w:szCs w:val="20"/>
                <w:lang w:val="en-US" w:eastAsia="zh-CN"/>
              </w:rPr>
              <w:t>2分</w:t>
            </w:r>
            <w:r>
              <w:rPr>
                <w:rFonts w:hint="eastAsia" w:ascii="仿宋_GB2312" w:hAnsi="宋体" w:eastAsia="仿宋_GB2312" w:cs="宋体"/>
                <w:color w:val="000000"/>
                <w:kern w:val="0"/>
                <w:sz w:val="20"/>
                <w:szCs w:val="20"/>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③事前是否已经过必要的可行性研究、专家论证、风险评估、集体决策等</w:t>
            </w:r>
            <w:r>
              <w:rPr>
                <w:rFonts w:hint="eastAsia" w:ascii="仿宋_GB2312" w:hAnsi="宋体" w:eastAsia="仿宋_GB2312" w:cs="宋体"/>
                <w:color w:val="000000"/>
                <w:kern w:val="0"/>
                <w:sz w:val="20"/>
                <w:szCs w:val="20"/>
                <w:lang w:val="en-US" w:eastAsia="zh-CN"/>
              </w:rPr>
              <w:t>2分</w:t>
            </w:r>
            <w:r>
              <w:rPr>
                <w:rFonts w:hint="eastAsia" w:ascii="仿宋_GB2312" w:hAnsi="宋体" w:eastAsia="仿宋_GB2312" w:cs="宋体"/>
                <w:color w:val="000000"/>
                <w:kern w:val="0"/>
                <w:sz w:val="20"/>
                <w:szCs w:val="20"/>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w:t>
            </w:r>
          </w:p>
        </w:tc>
      </w:tr>
      <w:tr>
        <w:tblPrEx>
          <w:tblCellMar>
            <w:top w:w="0" w:type="dxa"/>
            <w:left w:w="108" w:type="dxa"/>
            <w:bottom w:w="0" w:type="dxa"/>
            <w:right w:w="108" w:type="dxa"/>
          </w:tblCellMar>
        </w:tblPrEx>
        <w:trPr>
          <w:trHeight w:val="1325"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绩效目标合理性</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4</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项目所设定的绩效目标是否依椐充分，是否符合客观实际，用以反映和考核项目绩效目标与项目实施的相符情况。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①是否符合国家相关法律法规，国民经济发展规划和党委政府决策</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rPr>
              <w:t>；②是否与项目实施单位或委托单位职责密切相关</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rPr>
              <w:t>；③项目是否为促进事业发展所必需</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rPr>
              <w:t>；④项目顸期产出效益和效果是否符合正常的业绩水平</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w:t>
            </w:r>
          </w:p>
        </w:tc>
      </w:tr>
      <w:tr>
        <w:tblPrEx>
          <w:tblCellMar>
            <w:top w:w="0" w:type="dxa"/>
            <w:left w:w="108" w:type="dxa"/>
            <w:bottom w:w="0" w:type="dxa"/>
            <w:right w:w="108" w:type="dxa"/>
          </w:tblCellMar>
        </w:tblPrEx>
        <w:trPr>
          <w:trHeight w:val="1240"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绩效指标明确性</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4</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依椐绩效目标设定的绩效指标是否清晰、细化、可衡量等，用以反映和考核项目绩效目标的明细化情况。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①是否将项目绩效目标细化分解为具体的绩效指标</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rPr>
              <w:t>；②是否通过清晰、可衡量的指标值予以体现</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rPr>
              <w:t>；③是否与项目年度任务教或计划数相对应</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rPr>
              <w:t>；</w:t>
            </w:r>
          </w:p>
          <w:p>
            <w:pPr>
              <w:widowControl/>
              <w:spacing w:line="240" w:lineRule="exac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rPr>
              <w:t>④是否与预期确定的项目投资</w:t>
            </w:r>
            <w:r>
              <w:rPr>
                <w:rFonts w:hint="eastAsia" w:ascii="宋体" w:hAnsi="宋体" w:cs="宋体"/>
                <w:color w:val="000000"/>
                <w:kern w:val="0"/>
                <w:sz w:val="20"/>
                <w:szCs w:val="20"/>
              </w:rPr>
              <w:t>额</w:t>
            </w:r>
            <w:r>
              <w:rPr>
                <w:rFonts w:hint="eastAsia" w:ascii="仿宋_GB2312" w:hAnsi="仿宋_GB2312" w:eastAsia="仿宋_GB2312" w:cs="仿宋_GB2312"/>
                <w:color w:val="000000"/>
                <w:kern w:val="0"/>
                <w:sz w:val="20"/>
                <w:szCs w:val="20"/>
              </w:rPr>
              <w:t>或资金量相匹配</w:t>
            </w:r>
            <w:r>
              <w:rPr>
                <w:rFonts w:hint="eastAsia" w:ascii="仿宋_GB2312" w:hAnsi="仿宋_GB2312" w:eastAsia="仿宋_GB2312" w:cs="仿宋_GB2312"/>
                <w:color w:val="000000"/>
                <w:kern w:val="0"/>
                <w:sz w:val="20"/>
                <w:szCs w:val="20"/>
                <w:lang w:val="en-US" w:eastAsia="zh-CN"/>
              </w:rPr>
              <w:t>1分</w:t>
            </w:r>
            <w:r>
              <w:rPr>
                <w:rFonts w:hint="eastAsia" w:ascii="仿宋_GB2312" w:hAnsi="仿宋_GB2312" w:eastAsia="仿宋_GB2312" w:cs="仿宋_GB2312"/>
                <w:color w:val="000000"/>
                <w:kern w:val="0"/>
                <w:sz w:val="20"/>
                <w:szCs w:val="20"/>
              </w:rPr>
              <w:t>。</w:t>
            </w:r>
            <w:r>
              <w:rPr>
                <w:rFonts w:hint="eastAsia" w:ascii="仿宋_GB2312" w:hAnsi="仿宋_GB2312" w:eastAsia="仿宋_GB2312" w:cs="仿宋_GB2312"/>
                <w:color w:val="000000"/>
                <w:kern w:val="0"/>
                <w:sz w:val="20"/>
                <w:szCs w:val="20"/>
                <w:lang w:eastAsia="zh-CN"/>
              </w:rPr>
              <w:t>扣</w:t>
            </w:r>
            <w:r>
              <w:rPr>
                <w:rFonts w:hint="eastAsia" w:ascii="仿宋_GB2312" w:hAnsi="仿宋_GB2312" w:eastAsia="仿宋_GB2312" w:cs="仿宋_GB2312"/>
                <w:color w:val="000000"/>
                <w:kern w:val="0"/>
                <w:sz w:val="20"/>
                <w:szCs w:val="20"/>
                <w:lang w:val="en-US" w:eastAsia="zh-CN"/>
              </w:rPr>
              <w:t>2分。</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w:t>
            </w:r>
          </w:p>
        </w:tc>
      </w:tr>
      <w:tr>
        <w:tblPrEx>
          <w:tblCellMar>
            <w:top w:w="0" w:type="dxa"/>
            <w:left w:w="108" w:type="dxa"/>
            <w:bottom w:w="0" w:type="dxa"/>
            <w:right w:w="108" w:type="dxa"/>
          </w:tblCellMar>
        </w:tblPrEx>
        <w:trPr>
          <w:trHeight w:val="1440"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资金落实</w:t>
            </w: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资金到位率</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实际到位资金与计划投入资金的比率，用以反映和考核资金落实情况对项目实施的总体保障程度。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rPr>
              <w:t>资金到位率</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（实际到位资金</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计划投入资金）×</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3分</w:t>
            </w:r>
            <w:r>
              <w:rPr>
                <w:rFonts w:hint="eastAsia" w:ascii="仿宋_GB2312" w:hAnsi="宋体" w:eastAsia="仿宋_GB2312" w:cs="宋体"/>
                <w:color w:val="000000"/>
                <w:kern w:val="0"/>
                <w:sz w:val="20"/>
                <w:szCs w:val="20"/>
                <w:lang w:eastAsia="zh-CN"/>
              </w:rPr>
              <w:t>）每下降</w:t>
            </w:r>
            <w:r>
              <w:rPr>
                <w:rFonts w:hint="eastAsia" w:ascii="仿宋_GB2312" w:hAnsi="宋体" w:eastAsia="仿宋_GB2312" w:cs="宋体"/>
                <w:color w:val="000000"/>
                <w:kern w:val="0"/>
                <w:sz w:val="20"/>
                <w:szCs w:val="20"/>
                <w:lang w:val="en-US" w:eastAsia="zh-CN"/>
              </w:rPr>
              <w:t>1%，扣0.5分，扣完为止。</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实际到位资金：一定时期（本年度或项目期）内实际落实到具体项目的资金。</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计划投入资金：一定时期（本年度或项目期）内计划投入到具体项目的资金。</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w:t>
            </w:r>
          </w:p>
        </w:tc>
      </w:tr>
      <w:tr>
        <w:tblPrEx>
          <w:tblCellMar>
            <w:top w:w="0" w:type="dxa"/>
            <w:left w:w="108" w:type="dxa"/>
            <w:bottom w:w="0" w:type="dxa"/>
            <w:right w:w="108" w:type="dxa"/>
          </w:tblCellMar>
        </w:tblPrEx>
        <w:trPr>
          <w:trHeight w:val="90"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预算执行率</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5</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eastAsia="zh-CN"/>
              </w:rPr>
              <w:t>支出</w:t>
            </w:r>
            <w:r>
              <w:rPr>
                <w:rFonts w:hint="eastAsia" w:ascii="仿宋_GB2312" w:hAnsi="宋体" w:eastAsia="仿宋_GB2312" w:cs="宋体"/>
                <w:color w:val="000000"/>
                <w:kern w:val="0"/>
                <w:sz w:val="20"/>
                <w:szCs w:val="20"/>
              </w:rPr>
              <w:t>资金与到位资金的比率，用以反映和考核项目资金落实</w:t>
            </w:r>
            <w:r>
              <w:rPr>
                <w:rFonts w:hint="eastAsia" w:ascii="仿宋_GB2312" w:hAnsi="宋体" w:eastAsia="仿宋_GB2312" w:cs="宋体"/>
                <w:color w:val="000000"/>
                <w:kern w:val="0"/>
                <w:sz w:val="20"/>
                <w:szCs w:val="20"/>
                <w:lang w:eastAsia="zh-CN"/>
              </w:rPr>
              <w:t>执行</w:t>
            </w:r>
            <w:r>
              <w:rPr>
                <w:rFonts w:hint="eastAsia" w:ascii="仿宋_GB2312" w:hAnsi="宋体" w:eastAsia="仿宋_GB2312" w:cs="宋体"/>
                <w:color w:val="000000"/>
                <w:kern w:val="0"/>
                <w:sz w:val="20"/>
                <w:szCs w:val="20"/>
              </w:rPr>
              <w:t>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eastAsia="zh-CN"/>
              </w:rPr>
              <w:t>预算执行</w:t>
            </w:r>
            <w:r>
              <w:rPr>
                <w:rFonts w:hint="eastAsia" w:ascii="仿宋_GB2312" w:hAnsi="宋体" w:eastAsia="仿宋_GB2312" w:cs="宋体"/>
                <w:color w:val="000000"/>
                <w:kern w:val="0"/>
                <w:sz w:val="20"/>
                <w:szCs w:val="20"/>
              </w:rPr>
              <w:t>率＝（</w:t>
            </w:r>
            <w:r>
              <w:rPr>
                <w:rFonts w:hint="eastAsia" w:ascii="仿宋_GB2312" w:hAnsi="宋体" w:eastAsia="仿宋_GB2312" w:cs="宋体"/>
                <w:color w:val="000000"/>
                <w:kern w:val="0"/>
                <w:sz w:val="20"/>
                <w:szCs w:val="20"/>
                <w:lang w:eastAsia="zh-CN"/>
              </w:rPr>
              <w:t>支出</w:t>
            </w:r>
            <w:r>
              <w:rPr>
                <w:rFonts w:hint="eastAsia" w:ascii="仿宋_GB2312" w:hAnsi="宋体" w:eastAsia="仿宋_GB2312" w:cs="宋体"/>
                <w:color w:val="000000"/>
                <w:kern w:val="0"/>
                <w:sz w:val="20"/>
                <w:szCs w:val="20"/>
              </w:rPr>
              <w:t>资金</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lang w:eastAsia="zh-CN"/>
              </w:rPr>
              <w:t>预算</w:t>
            </w:r>
            <w:r>
              <w:rPr>
                <w:rFonts w:hint="eastAsia" w:ascii="仿宋_GB2312" w:hAnsi="宋体" w:eastAsia="仿宋_GB2312" w:cs="宋体"/>
                <w:color w:val="000000"/>
                <w:kern w:val="0"/>
                <w:sz w:val="20"/>
                <w:szCs w:val="20"/>
              </w:rPr>
              <w:t>资金）×</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pPr>
              <w:widowControl/>
              <w:spacing w:line="240" w:lineRule="exact"/>
              <w:rPr>
                <w:rFonts w:hint="default" w:ascii="仿宋_GB2312" w:hAnsi="宋体" w:eastAsia="仿宋_GB2312" w:cs="宋体"/>
                <w:color w:val="000000"/>
                <w:kern w:val="0"/>
                <w:sz w:val="20"/>
                <w:szCs w:val="20"/>
                <w:lang w:val="en-US"/>
              </w:rPr>
            </w:pPr>
            <w:r>
              <w:rPr>
                <w:rFonts w:hint="eastAsia" w:ascii="仿宋_GB2312" w:hAnsi="宋体" w:eastAsia="仿宋_GB2312" w:cs="宋体"/>
                <w:color w:val="000000"/>
                <w:kern w:val="0"/>
                <w:sz w:val="20"/>
                <w:szCs w:val="20"/>
                <w:lang w:eastAsia="zh-CN"/>
              </w:rPr>
              <w:t>预算执行率</w:t>
            </w:r>
            <w:r>
              <w:rPr>
                <w:rFonts w:hint="eastAsia" w:ascii="仿宋_GB2312" w:hAnsi="宋体" w:eastAsia="仿宋_GB2312" w:cs="宋体"/>
                <w:color w:val="000000"/>
                <w:kern w:val="0"/>
                <w:sz w:val="20"/>
                <w:szCs w:val="20"/>
                <w:lang w:val="en-US" w:eastAsia="zh-CN"/>
              </w:rPr>
              <w:t>100%，5分，每下降5%，扣1分，扣完为止。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rPr>
          <w:trHeight w:val="1286" w:hRule="atLeast"/>
        </w:trPr>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过程</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业务管理</w:t>
            </w: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p>
            <w:pPr>
              <w:widowControl/>
              <w:spacing w:line="240" w:lineRule="exact"/>
              <w:jc w:val="center"/>
              <w:rPr>
                <w:rFonts w:hint="eastAsia" w:ascii="仿宋_GB2312" w:hAnsi="宋体" w:eastAsia="仿宋_GB2312" w:cs="宋体"/>
                <w:color w:val="000000"/>
                <w:kern w:val="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管理制度健全性</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4</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项目实施单位的业务管理制度是否健全，用以反映和考核业务管理制度对项目顺利实施的保障情况。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pPr>
              <w:widowControl/>
              <w:spacing w:line="240" w:lineRule="exac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rPr>
              <w:t>①是否已制定或具有相应的业务管理制度；</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2分</w:t>
            </w:r>
            <w:r>
              <w:rPr>
                <w:rFonts w:hint="eastAsia" w:ascii="仿宋_GB2312" w:hAnsi="宋体" w:eastAsia="仿宋_GB2312" w:cs="宋体"/>
                <w:color w:val="000000"/>
                <w:kern w:val="0"/>
                <w:sz w:val="20"/>
                <w:szCs w:val="20"/>
                <w:lang w:eastAsia="zh-CN"/>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②业务管理制度是否合法、合规、完整</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2分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w:t>
            </w:r>
          </w:p>
        </w:tc>
      </w:tr>
      <w:tr>
        <w:tblPrEx>
          <w:tblCellMar>
            <w:top w:w="0" w:type="dxa"/>
            <w:left w:w="108" w:type="dxa"/>
            <w:bottom w:w="0" w:type="dxa"/>
            <w:right w:w="108" w:type="dxa"/>
          </w:tblCellMar>
        </w:tblPrEx>
        <w:trPr>
          <w:trHeight w:val="1544"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制度执行有效性</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4</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项目实施是否符合相关业务管理规定，用以反映和考核业务管理制度的有效执行</w:t>
            </w:r>
            <w:r>
              <w:rPr>
                <w:rFonts w:hint="eastAsia" w:ascii="仿宋_GB2312" w:hAnsi="宋体" w:eastAsia="仿宋_GB2312" w:cs="宋体"/>
                <w:color w:val="000000"/>
                <w:kern w:val="0"/>
                <w:sz w:val="20"/>
                <w:szCs w:val="20"/>
                <w:lang w:eastAsia="zh-CN"/>
              </w:rPr>
              <w:t>情况</w:t>
            </w:r>
            <w:r>
              <w:rPr>
                <w:rFonts w:hint="eastAsia" w:ascii="仿宋_GB2312" w:hAnsi="宋体" w:eastAsia="仿宋_GB2312" w:cs="宋体"/>
                <w:color w:val="000000"/>
                <w:kern w:val="0"/>
                <w:sz w:val="20"/>
                <w:szCs w:val="20"/>
              </w:rPr>
              <w:t>。</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①是否遵守相关法律法规和业务管理规定</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②项目调整及支出调整手续是否完备</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③项目合同书、验收报告、技术审定等资料是否齐全并及时归档</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lang w:eastAsia="zh-CN"/>
              </w:rPr>
              <w:t>）</w:t>
            </w:r>
            <w:r>
              <w:rPr>
                <w:rFonts w:ascii="仿宋_GB2312" w:hAnsi="宋体" w:eastAsia="仿宋_GB2312" w:cs="宋体"/>
                <w:color w:val="000000"/>
                <w:kern w:val="0"/>
                <w:sz w:val="20"/>
                <w:szCs w:val="20"/>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④项目实施的人员条件、场地设备，信息支撑等是否落实到位</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4</w:t>
            </w:r>
          </w:p>
        </w:tc>
      </w:tr>
      <w:tr>
        <w:tblPrEx>
          <w:tblCellMar>
            <w:top w:w="0" w:type="dxa"/>
            <w:left w:w="108" w:type="dxa"/>
            <w:bottom w:w="0" w:type="dxa"/>
            <w:right w:w="108" w:type="dxa"/>
          </w:tblCellMar>
        </w:tblPrEx>
        <w:trPr>
          <w:trHeight w:val="1200" w:hRule="atLeast"/>
        </w:trPr>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过程</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业务管理</w:t>
            </w: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项目质量可控性</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项目实施单位是否为达到项目质量要求而采取了必需的措施，用以反映和考核项目实施单位对项目质量的控制情况。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①是否已制定或其有相应的项目质量要求或标准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2分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②是否采取了相应的项目质量检查、验收等必需的控制措施或手段</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3分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rPr>
          <w:trHeight w:val="1200"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财务管理</w:t>
            </w: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管理制度健全性</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项目实施单位的财务制度是否健全，用以反映和考核财务管理制度对资金规范安全运行的保障情况。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①是否已制定或具有相应的项目资金管理办法</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2分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②项目资金管理办法是否符合相关财务会计制度的规定</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3分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rPr>
          <w:trHeight w:val="1680"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资金使用合规性</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项目资金使用是否符合相关的财务管理制度规定，用以反映和考核项目资金的规范运行情况。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①是否符合国家财经法规和财务管理以及有关专项资金管理办法的规定</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；②资金的拨付是否有完整的审批程序和手续</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；③项目的重大开支是否经过评估认证</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；④是否符合项目预算批复或合同规定的用途</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；⑤是否存在截留、挤占、挪用、虚列支出等情况</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1分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rPr>
          <w:trHeight w:val="1440"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财务监控有效性</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项目实施单位是否为保障资金的安全、规范运行而采取了必要的监控措施，用以反映和考核项目实施单位对资金运行的控制情况。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评价要点：</w:t>
            </w:r>
          </w:p>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①是否已制定或具有相应的监控机制</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2分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②是否采取了相应的财务检查等必要的监控措施或手段</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lang w:val="en-US" w:eastAsia="zh-CN"/>
              </w:rPr>
              <w:t>3分</w:t>
            </w:r>
            <w:r>
              <w:rPr>
                <w:rFonts w:hint="eastAsia" w:ascii="仿宋_GB2312" w:hAnsi="宋体" w:eastAsia="仿宋_GB2312" w:cs="宋体"/>
                <w:color w:val="000000"/>
                <w:kern w:val="0"/>
                <w:sz w:val="20"/>
                <w:szCs w:val="20"/>
                <w:lang w:eastAsia="zh-CN"/>
              </w:rPr>
              <w:t>）</w:t>
            </w:r>
            <w:r>
              <w:rPr>
                <w:rFonts w:hint="eastAsia" w:ascii="仿宋_GB2312" w:hAnsi="宋体" w:eastAsia="仿宋_GB2312" w:cs="宋体"/>
                <w:color w:val="000000"/>
                <w:kern w:val="0"/>
                <w:sz w:val="20"/>
                <w:szCs w:val="20"/>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rPr>
          <w:trHeight w:val="905" w:hRule="atLeast"/>
        </w:trPr>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产出</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项目产出</w:t>
            </w: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实际完成率</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项目实施的实际产出数与计划产出数的比率，用以反映和考核项目产出数量目标的实现程度。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实际完成率＝（实际产出数</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计划产出数）×</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pPr>
              <w:widowControl/>
              <w:spacing w:line="240" w:lineRule="exac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实际完成率</w:t>
            </w:r>
            <w:r>
              <w:rPr>
                <w:rFonts w:hint="eastAsia" w:ascii="仿宋_GB2312" w:hAnsi="宋体" w:eastAsia="仿宋_GB2312" w:cs="宋体"/>
                <w:color w:val="000000"/>
                <w:kern w:val="0"/>
                <w:sz w:val="20"/>
                <w:szCs w:val="20"/>
                <w:lang w:val="en-US" w:eastAsia="zh-CN"/>
              </w:rPr>
              <w:t>100%，计5分，每下降1%，扣1分，扣完为止。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rPr>
          <w:trHeight w:val="785"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完成及时率</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项目实际提前完成时间与计划完成时间的比率，用以反映和考核项目产出时效目标的实现程度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完成及时率</w:t>
            </w:r>
            <w:r>
              <w:rPr>
                <w:rFonts w:ascii="仿宋_GB2312" w:hAnsi="宋体" w:eastAsia="仿宋_GB2312" w:cs="宋体"/>
                <w:color w:val="000000"/>
                <w:kern w:val="0"/>
                <w:sz w:val="20"/>
                <w:szCs w:val="20"/>
              </w:rPr>
              <w:t>[ (</w:t>
            </w:r>
            <w:r>
              <w:rPr>
                <w:rFonts w:hint="eastAsia" w:ascii="仿宋_GB2312" w:hAnsi="宋体" w:eastAsia="仿宋_GB2312" w:cs="宋体"/>
                <w:color w:val="000000"/>
                <w:kern w:val="0"/>
                <w:sz w:val="20"/>
                <w:szCs w:val="20"/>
              </w:rPr>
              <w:t>计划完成时间</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实际完成时间）</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计划完成时间</w:t>
            </w:r>
            <w:r>
              <w:rPr>
                <w:rFonts w:ascii="仿宋_GB2312" w:hAnsi="宋体" w:eastAsia="仿宋_GB2312" w:cs="宋体"/>
                <w:color w:val="000000"/>
                <w:kern w:val="0"/>
                <w:sz w:val="20"/>
                <w:szCs w:val="20"/>
              </w:rPr>
              <w:t>] </w:t>
            </w:r>
            <w:r>
              <w:rPr>
                <w:rFonts w:hint="eastAsia" w:ascii="仿宋_GB2312" w:hAnsi="宋体" w:eastAsia="仿宋_GB2312" w:cs="宋体"/>
                <w:color w:val="000000"/>
                <w:kern w:val="0"/>
                <w:sz w:val="20"/>
                <w:szCs w:val="20"/>
              </w:rPr>
              <w:t>×</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完成及时率100%，计5分，每下降1%，扣1分，扣完为止。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rPr>
          <w:trHeight w:val="1145"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质量达标率</w:t>
            </w:r>
          </w:p>
        </w:tc>
        <w:tc>
          <w:tcPr>
            <w:tcW w:w="4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项目完成的质量达标产出数与实际产出数的比率，用以反映和考核项目产出质量目标的实现程度。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质量达标率＝（质量达标产出数</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实际产出数）</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pPr>
              <w:widowControl/>
              <w:spacing w:line="240" w:lineRule="exac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质量达标率</w:t>
            </w:r>
            <w:r>
              <w:rPr>
                <w:rFonts w:hint="eastAsia" w:ascii="仿宋_GB2312" w:hAnsi="宋体" w:eastAsia="仿宋_GB2312" w:cs="宋体"/>
                <w:color w:val="000000"/>
                <w:kern w:val="0"/>
                <w:sz w:val="20"/>
                <w:szCs w:val="20"/>
                <w:lang w:val="en-US" w:eastAsia="zh-CN"/>
              </w:rPr>
              <w:t>100%，计5分，每下降1%，扣1分，扣完为止。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rPr>
          <w:trHeight w:val="1160" w:hRule="atLeast"/>
        </w:trPr>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成本节约率</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完成项目计划工作目标的实际节约成本与计划成本的比率，用以反映和考核项目的成本节约程度。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成本节约率＝</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计划成本</w:t>
            </w:r>
            <w:r>
              <w:rPr>
                <w:rFonts w:ascii="仿宋_GB2312" w:hAnsi="宋体" w:eastAsia="仿宋_GB2312" w:cs="宋体"/>
                <w:color w:val="000000"/>
                <w:kern w:val="0"/>
                <w:sz w:val="20"/>
                <w:szCs w:val="20"/>
              </w:rPr>
              <w:t>-</w:t>
            </w:r>
            <w:r>
              <w:rPr>
                <w:rFonts w:hint="eastAsia" w:ascii="仿宋_GB2312" w:hAnsi="宋体" w:eastAsia="仿宋_GB2312" w:cs="宋体"/>
                <w:color w:val="000000"/>
                <w:kern w:val="0"/>
                <w:sz w:val="20"/>
                <w:szCs w:val="20"/>
              </w:rPr>
              <w:t>实际成本</w:t>
            </w:r>
            <w:r>
              <w:rPr>
                <w:rFonts w:ascii="仿宋_GB2312" w:hAnsi="宋体" w:eastAsia="仿宋_GB2312" w:cs="宋体"/>
                <w:color w:val="000000"/>
                <w:kern w:val="0"/>
                <w:sz w:val="20"/>
                <w:szCs w:val="20"/>
              </w:rPr>
              <w:t>) /</w:t>
            </w:r>
            <w:r>
              <w:rPr>
                <w:rFonts w:hint="eastAsia" w:ascii="仿宋_GB2312" w:hAnsi="宋体" w:eastAsia="仿宋_GB2312" w:cs="宋体"/>
                <w:color w:val="000000"/>
                <w:kern w:val="0"/>
                <w:sz w:val="20"/>
                <w:szCs w:val="20"/>
              </w:rPr>
              <w:t>计划成本×</w:t>
            </w:r>
            <w:r>
              <w:rPr>
                <w:rFonts w:ascii="仿宋_GB2312" w:hAnsi="宋体" w:eastAsia="仿宋_GB2312" w:cs="宋体"/>
                <w:color w:val="000000"/>
                <w:kern w:val="0"/>
                <w:sz w:val="20"/>
                <w:szCs w:val="20"/>
              </w:rPr>
              <w:t>100%</w:t>
            </w:r>
            <w:r>
              <w:rPr>
                <w:rFonts w:hint="eastAsia" w:ascii="仿宋_GB2312" w:hAnsi="宋体" w:eastAsia="仿宋_GB2312" w:cs="宋体"/>
                <w:color w:val="000000"/>
                <w:kern w:val="0"/>
                <w:sz w:val="20"/>
                <w:szCs w:val="20"/>
              </w:rPr>
              <w:t>。</w:t>
            </w:r>
          </w:p>
          <w:p>
            <w:pPr>
              <w:widowControl/>
              <w:spacing w:line="240" w:lineRule="exac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成本节约率</w:t>
            </w:r>
            <w:r>
              <w:rPr>
                <w:rFonts w:hint="eastAsia" w:ascii="仿宋_GB2312" w:hAnsi="宋体" w:eastAsia="仿宋_GB2312" w:cs="宋体"/>
                <w:color w:val="000000"/>
                <w:kern w:val="0"/>
                <w:sz w:val="20"/>
                <w:szCs w:val="20"/>
                <w:lang w:val="en-US" w:eastAsia="zh-CN"/>
              </w:rPr>
              <w:t>5%-10%，计5分，每下降1%，扣1分，扣完为止。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5</w:t>
            </w:r>
          </w:p>
        </w:tc>
      </w:tr>
      <w:tr>
        <w:tblPrEx>
          <w:tblCellMar>
            <w:top w:w="0" w:type="dxa"/>
            <w:left w:w="108" w:type="dxa"/>
            <w:bottom w:w="0" w:type="dxa"/>
            <w:right w:w="108" w:type="dxa"/>
          </w:tblCellMar>
        </w:tblPrEx>
        <w:tc>
          <w:tcPr>
            <w:tcW w:w="3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效果</w:t>
            </w:r>
          </w:p>
        </w:tc>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项目效益</w:t>
            </w: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经济效益</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9</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项目实施对经济发展所带来的直接或间接影响情况。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项目实施后，能够降低档案管理成本，效果显著</w:t>
            </w:r>
            <w:r>
              <w:rPr>
                <w:rFonts w:hint="eastAsia" w:ascii="仿宋_GB2312" w:hAnsi="宋体" w:eastAsia="仿宋_GB2312" w:cs="宋体"/>
                <w:color w:val="000000"/>
                <w:kern w:val="0"/>
                <w:sz w:val="20"/>
                <w:szCs w:val="20"/>
                <w:lang w:val="en-US" w:eastAsia="zh-CN"/>
              </w:rPr>
              <w:t>9分，效果一般5分，没有效果不得分。</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w:t>
            </w:r>
          </w:p>
        </w:tc>
      </w:tr>
      <w:tr>
        <w:tblPrEx>
          <w:tblCellMar>
            <w:top w:w="0" w:type="dxa"/>
            <w:left w:w="108" w:type="dxa"/>
            <w:bottom w:w="0" w:type="dxa"/>
            <w:right w:w="108" w:type="dxa"/>
          </w:tblCellMar>
        </w:tblPrEx>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社会效益</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val="en-US" w:eastAsia="zh-CN"/>
              </w:rPr>
              <w:t>9</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项目实施对社会发展所带来的直接或间接影响情况。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项目实施后，能够保证档案安全，效果显著</w:t>
            </w:r>
            <w:r>
              <w:rPr>
                <w:rFonts w:hint="eastAsia" w:ascii="仿宋_GB2312" w:hAnsi="宋体" w:eastAsia="仿宋_GB2312" w:cs="宋体"/>
                <w:color w:val="000000"/>
                <w:kern w:val="0"/>
                <w:sz w:val="20"/>
                <w:szCs w:val="20"/>
                <w:lang w:val="en-US" w:eastAsia="zh-CN"/>
              </w:rPr>
              <w:t>9分，效果一般5分，没有效果不得分。</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w:t>
            </w:r>
          </w:p>
        </w:tc>
      </w:tr>
      <w:tr>
        <w:tblPrEx>
          <w:tblCellMar>
            <w:top w:w="0" w:type="dxa"/>
            <w:left w:w="108" w:type="dxa"/>
            <w:bottom w:w="0" w:type="dxa"/>
            <w:right w:w="108" w:type="dxa"/>
          </w:tblCellMar>
        </w:tblPrEx>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可持续影响</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6</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项目后续运行及成效发挥的可持续影响情况。</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项目具有长远的发展效率，具有可持续性得</w:t>
            </w:r>
            <w:r>
              <w:rPr>
                <w:rFonts w:hint="eastAsia" w:ascii="仿宋_GB2312" w:hAnsi="宋体" w:eastAsia="仿宋_GB2312" w:cs="宋体"/>
                <w:color w:val="000000"/>
                <w:kern w:val="0"/>
                <w:sz w:val="20"/>
                <w:szCs w:val="20"/>
                <w:lang w:val="en-US" w:eastAsia="zh-CN"/>
              </w:rPr>
              <w:t>6分，否则不得分。</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w:t>
            </w:r>
          </w:p>
        </w:tc>
      </w:tr>
      <w:tr>
        <w:tblPrEx>
          <w:tblCellMar>
            <w:top w:w="0" w:type="dxa"/>
            <w:left w:w="108" w:type="dxa"/>
            <w:bottom w:w="0" w:type="dxa"/>
            <w:right w:w="108" w:type="dxa"/>
          </w:tblCellMar>
        </w:tblPrEx>
        <w:tc>
          <w:tcPr>
            <w:tcW w:w="3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0"/>
                <w:szCs w:val="20"/>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社会公众或服务对象满意度</w:t>
            </w:r>
          </w:p>
        </w:tc>
        <w:tc>
          <w:tcPr>
            <w:tcW w:w="41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6</w:t>
            </w:r>
          </w:p>
        </w:tc>
        <w:tc>
          <w:tcPr>
            <w:tcW w:w="231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社会公众或服务对象对项目实施效策的满意程度</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eastAsia="zh-CN"/>
              </w:rPr>
              <w:t>满意度</w:t>
            </w:r>
            <w:r>
              <w:rPr>
                <w:rFonts w:hint="eastAsia" w:ascii="仿宋_GB2312" w:hAnsi="宋体" w:eastAsia="仿宋_GB2312" w:cs="宋体"/>
                <w:color w:val="000000"/>
                <w:kern w:val="0"/>
                <w:sz w:val="20"/>
                <w:szCs w:val="20"/>
                <w:lang w:val="en-US" w:eastAsia="zh-CN"/>
              </w:rPr>
              <w:t>95%以上得6分，每下降1%，扣0,5分，扣完为止。</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6</w:t>
            </w:r>
          </w:p>
        </w:tc>
      </w:tr>
      <w:tr>
        <w:tblPrEx>
          <w:tblCellMar>
            <w:top w:w="0" w:type="dxa"/>
            <w:left w:w="108" w:type="dxa"/>
            <w:bottom w:w="0" w:type="dxa"/>
            <w:right w:w="108" w:type="dxa"/>
          </w:tblCellMar>
        </w:tblPrEx>
        <w:trPr>
          <w:trHeight w:val="540" w:hRule="atLeast"/>
        </w:trPr>
        <w:tc>
          <w:tcPr>
            <w:tcW w:w="1604"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color w:val="000000"/>
                <w:kern w:val="0"/>
                <w:sz w:val="10"/>
                <w:szCs w:val="10"/>
                <w:lang w:eastAsia="zh-CN"/>
              </w:rPr>
            </w:pPr>
            <w:r>
              <w:rPr>
                <w:rFonts w:hint="eastAsia" w:ascii="仿宋_GB2312" w:hAnsi="宋体" w:eastAsia="仿宋_GB2312" w:cs="宋体"/>
                <w:b/>
                <w:bCs/>
                <w:color w:val="000000"/>
                <w:kern w:val="0"/>
                <w:sz w:val="20"/>
                <w:szCs w:val="20"/>
                <w:lang w:eastAsia="zh-CN"/>
              </w:rPr>
              <w:t>得分</w:t>
            </w:r>
          </w:p>
        </w:tc>
        <w:tc>
          <w:tcPr>
            <w:tcW w:w="58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color w:val="000000"/>
                <w:kern w:val="0"/>
                <w:sz w:val="15"/>
                <w:szCs w:val="15"/>
                <w:lang w:val="en-US" w:eastAsia="zh-CN"/>
              </w:rPr>
            </w:pPr>
            <w:r>
              <w:rPr>
                <w:rFonts w:hint="eastAsia" w:ascii="仿宋_GB2312" w:hAnsi="宋体" w:eastAsia="仿宋_GB2312" w:cs="宋体"/>
                <w:b/>
                <w:bCs/>
                <w:color w:val="000000"/>
                <w:kern w:val="0"/>
                <w:sz w:val="21"/>
                <w:szCs w:val="21"/>
                <w:lang w:val="en-US" w:eastAsia="zh-CN"/>
              </w:rPr>
              <w:t>100</w:t>
            </w:r>
          </w:p>
        </w:tc>
        <w:tc>
          <w:tcPr>
            <w:tcW w:w="68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color w:val="000000"/>
                <w:kern w:val="0"/>
                <w:sz w:val="24"/>
                <w:szCs w:val="24"/>
                <w:lang w:eastAsia="zh-CN"/>
              </w:rPr>
            </w:pPr>
            <w:r>
              <w:rPr>
                <w:rFonts w:hint="eastAsia" w:ascii="仿宋_GB2312" w:hAnsi="宋体" w:eastAsia="仿宋_GB2312" w:cs="宋体"/>
                <w:b/>
                <w:bCs/>
                <w:color w:val="000000"/>
                <w:kern w:val="0"/>
                <w:sz w:val="24"/>
                <w:szCs w:val="24"/>
                <w:lang w:eastAsia="zh-CN"/>
              </w:rPr>
              <w:t>——</w:t>
            </w:r>
          </w:p>
        </w:tc>
        <w:tc>
          <w:tcPr>
            <w:tcW w:w="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b/>
                <w:bCs/>
                <w:color w:val="000000"/>
                <w:kern w:val="0"/>
                <w:sz w:val="20"/>
                <w:szCs w:val="20"/>
                <w:lang w:val="en-US" w:eastAsia="zh-CN"/>
              </w:rPr>
              <w:t>98</w:t>
            </w:r>
          </w:p>
        </w:tc>
      </w:tr>
    </w:tbl>
    <w:p/>
    <w:p>
      <w:pPr>
        <w:pStyle w:val="2"/>
        <w:rPr>
          <w:rFonts w:ascii="黑体" w:eastAsia="黑体" w:cs="黑体"/>
          <w:color w:val="000000"/>
          <w:kern w:val="0"/>
          <w:sz w:val="70"/>
          <w:szCs w:val="70"/>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BB7ED8"/>
    <w:multiLevelType w:val="singleLevel"/>
    <w:tmpl w:val="AABB7ED8"/>
    <w:lvl w:ilvl="0" w:tentative="0">
      <w:start w:val="3"/>
      <w:numFmt w:val="chineseCounting"/>
      <w:suff w:val="nothing"/>
      <w:lvlText w:val="%1、"/>
      <w:lvlJc w:val="left"/>
      <w:rPr>
        <w:rFonts w:hint="eastAsia"/>
      </w:rPr>
    </w:lvl>
  </w:abstractNum>
  <w:abstractNum w:abstractNumId="1">
    <w:nsid w:val="C03E5DD6"/>
    <w:multiLevelType w:val="singleLevel"/>
    <w:tmpl w:val="C03E5DD6"/>
    <w:lvl w:ilvl="0" w:tentative="0">
      <w:start w:val="3"/>
      <w:numFmt w:val="chineseCounting"/>
      <w:suff w:val="nothing"/>
      <w:lvlText w:val="（%1）"/>
      <w:lvlJc w:val="left"/>
      <w:rPr>
        <w:rFonts w:hint="eastAsia"/>
      </w:rPr>
    </w:lvl>
  </w:abstractNum>
  <w:abstractNum w:abstractNumId="2">
    <w:nsid w:val="DE1E443F"/>
    <w:multiLevelType w:val="singleLevel"/>
    <w:tmpl w:val="DE1E443F"/>
    <w:lvl w:ilvl="0" w:tentative="0">
      <w:start w:val="12"/>
      <w:numFmt w:val="chineseCounting"/>
      <w:suff w:val="nothing"/>
      <w:lvlText w:val="%1、"/>
      <w:lvlJc w:val="left"/>
      <w:rPr>
        <w:rFonts w:hint="eastAsia"/>
      </w:rPr>
    </w:lvl>
  </w:abstractNum>
  <w:abstractNum w:abstractNumId="3">
    <w:nsid w:val="066332F6"/>
    <w:multiLevelType w:val="singleLevel"/>
    <w:tmpl w:val="066332F6"/>
    <w:lvl w:ilvl="0" w:tentative="0">
      <w:start w:val="1"/>
      <w:numFmt w:val="chineseCounting"/>
      <w:suff w:val="nothing"/>
      <w:lvlText w:val="（%1）"/>
      <w:lvlJc w:val="left"/>
      <w:rPr>
        <w:rFonts w:hint="eastAsia"/>
      </w:rPr>
    </w:lvl>
  </w:abstractNum>
  <w:abstractNum w:abstractNumId="4">
    <w:nsid w:val="0E4F0F7B"/>
    <w:multiLevelType w:val="singleLevel"/>
    <w:tmpl w:val="0E4F0F7B"/>
    <w:lvl w:ilvl="0" w:tentative="0">
      <w:start w:val="4"/>
      <w:numFmt w:val="chineseCounting"/>
      <w:suff w:val="nothing"/>
      <w:lvlText w:val="%1、"/>
      <w:lvlJc w:val="left"/>
      <w:rPr>
        <w:rFonts w:hint="eastAsia"/>
      </w:rPr>
    </w:lvl>
  </w:abstractNum>
  <w:abstractNum w:abstractNumId="5">
    <w:nsid w:val="4B7E85FE"/>
    <w:multiLevelType w:val="singleLevel"/>
    <w:tmpl w:val="4B7E85FE"/>
    <w:lvl w:ilvl="0" w:tentative="0">
      <w:start w:val="4"/>
      <w:numFmt w:val="decimal"/>
      <w:suff w:val="nothing"/>
      <w:lvlText w:val="%1、"/>
      <w:lvlJc w:val="left"/>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IwZmM3NGZlMmRjYTQ1YzUwM2E4ODFmOTgwYzkxMmUifQ=="/>
  </w:docVars>
  <w:rsids>
    <w:rsidRoot w:val="004506F9"/>
    <w:rsid w:val="0002229B"/>
    <w:rsid w:val="000273BD"/>
    <w:rsid w:val="00034F71"/>
    <w:rsid w:val="00036333"/>
    <w:rsid w:val="00040C50"/>
    <w:rsid w:val="000415B7"/>
    <w:rsid w:val="00041E3F"/>
    <w:rsid w:val="00055DAA"/>
    <w:rsid w:val="00061F7B"/>
    <w:rsid w:val="000658A3"/>
    <w:rsid w:val="00065988"/>
    <w:rsid w:val="00070158"/>
    <w:rsid w:val="00074155"/>
    <w:rsid w:val="000873EF"/>
    <w:rsid w:val="000A3F69"/>
    <w:rsid w:val="000E6063"/>
    <w:rsid w:val="000F1B1B"/>
    <w:rsid w:val="00103957"/>
    <w:rsid w:val="00124A1F"/>
    <w:rsid w:val="00152C6D"/>
    <w:rsid w:val="00154A3E"/>
    <w:rsid w:val="00162D39"/>
    <w:rsid w:val="001678BD"/>
    <w:rsid w:val="00182373"/>
    <w:rsid w:val="001A58E0"/>
    <w:rsid w:val="001A67DB"/>
    <w:rsid w:val="001C3C29"/>
    <w:rsid w:val="001D51E5"/>
    <w:rsid w:val="001D5972"/>
    <w:rsid w:val="001E080D"/>
    <w:rsid w:val="001E2412"/>
    <w:rsid w:val="001E53D0"/>
    <w:rsid w:val="001F0C3B"/>
    <w:rsid w:val="00202C14"/>
    <w:rsid w:val="00202C82"/>
    <w:rsid w:val="002125F9"/>
    <w:rsid w:val="00214427"/>
    <w:rsid w:val="00214FE2"/>
    <w:rsid w:val="00222555"/>
    <w:rsid w:val="002258DC"/>
    <w:rsid w:val="00226CB7"/>
    <w:rsid w:val="00264552"/>
    <w:rsid w:val="00264EF9"/>
    <w:rsid w:val="00265724"/>
    <w:rsid w:val="0027426B"/>
    <w:rsid w:val="00293A6F"/>
    <w:rsid w:val="002B374B"/>
    <w:rsid w:val="002D4146"/>
    <w:rsid w:val="002E0A30"/>
    <w:rsid w:val="003130C4"/>
    <w:rsid w:val="00316C4B"/>
    <w:rsid w:val="0032192B"/>
    <w:rsid w:val="003479BD"/>
    <w:rsid w:val="0037197D"/>
    <w:rsid w:val="003768D5"/>
    <w:rsid w:val="003822E2"/>
    <w:rsid w:val="003C4197"/>
    <w:rsid w:val="003C47E6"/>
    <w:rsid w:val="003C4FC2"/>
    <w:rsid w:val="003E2331"/>
    <w:rsid w:val="00401CD6"/>
    <w:rsid w:val="00416E61"/>
    <w:rsid w:val="0042790C"/>
    <w:rsid w:val="00435D7A"/>
    <w:rsid w:val="004506F9"/>
    <w:rsid w:val="004546C9"/>
    <w:rsid w:val="004717A2"/>
    <w:rsid w:val="00473DF3"/>
    <w:rsid w:val="00487911"/>
    <w:rsid w:val="00491741"/>
    <w:rsid w:val="0049575B"/>
    <w:rsid w:val="004B0CEE"/>
    <w:rsid w:val="004E5F6F"/>
    <w:rsid w:val="00500E5F"/>
    <w:rsid w:val="00510233"/>
    <w:rsid w:val="005122EF"/>
    <w:rsid w:val="0051441A"/>
    <w:rsid w:val="00517C33"/>
    <w:rsid w:val="00517D5F"/>
    <w:rsid w:val="00521AF2"/>
    <w:rsid w:val="00523644"/>
    <w:rsid w:val="00526FCB"/>
    <w:rsid w:val="0054069E"/>
    <w:rsid w:val="0054462B"/>
    <w:rsid w:val="00544866"/>
    <w:rsid w:val="00575384"/>
    <w:rsid w:val="005767CC"/>
    <w:rsid w:val="00590D9F"/>
    <w:rsid w:val="00595D26"/>
    <w:rsid w:val="005A74E6"/>
    <w:rsid w:val="005B404E"/>
    <w:rsid w:val="005D4D55"/>
    <w:rsid w:val="005E2CFB"/>
    <w:rsid w:val="005F2103"/>
    <w:rsid w:val="005F3D1C"/>
    <w:rsid w:val="005F4441"/>
    <w:rsid w:val="0062378F"/>
    <w:rsid w:val="00623D02"/>
    <w:rsid w:val="00641842"/>
    <w:rsid w:val="00651EEC"/>
    <w:rsid w:val="00686673"/>
    <w:rsid w:val="00691E8C"/>
    <w:rsid w:val="006A22C4"/>
    <w:rsid w:val="006A348B"/>
    <w:rsid w:val="006A351B"/>
    <w:rsid w:val="006B0422"/>
    <w:rsid w:val="006C1B53"/>
    <w:rsid w:val="006D7730"/>
    <w:rsid w:val="006E16D1"/>
    <w:rsid w:val="006E5284"/>
    <w:rsid w:val="006F3EB5"/>
    <w:rsid w:val="00702E34"/>
    <w:rsid w:val="00704395"/>
    <w:rsid w:val="00710FE7"/>
    <w:rsid w:val="00717621"/>
    <w:rsid w:val="00720FF1"/>
    <w:rsid w:val="00727A53"/>
    <w:rsid w:val="007574BB"/>
    <w:rsid w:val="00770DFD"/>
    <w:rsid w:val="00787B42"/>
    <w:rsid w:val="00795ABD"/>
    <w:rsid w:val="007B02D2"/>
    <w:rsid w:val="007C4539"/>
    <w:rsid w:val="007C76F2"/>
    <w:rsid w:val="007F3657"/>
    <w:rsid w:val="00812ED5"/>
    <w:rsid w:val="008277D9"/>
    <w:rsid w:val="008313ED"/>
    <w:rsid w:val="008354ED"/>
    <w:rsid w:val="008375F6"/>
    <w:rsid w:val="0084478C"/>
    <w:rsid w:val="00863219"/>
    <w:rsid w:val="0086638C"/>
    <w:rsid w:val="008A3E8D"/>
    <w:rsid w:val="008E313B"/>
    <w:rsid w:val="008E5D5F"/>
    <w:rsid w:val="008F06B4"/>
    <w:rsid w:val="009237C4"/>
    <w:rsid w:val="009403FD"/>
    <w:rsid w:val="00944C48"/>
    <w:rsid w:val="00950252"/>
    <w:rsid w:val="009520D5"/>
    <w:rsid w:val="00967F5D"/>
    <w:rsid w:val="00971680"/>
    <w:rsid w:val="00972F66"/>
    <w:rsid w:val="009A0F95"/>
    <w:rsid w:val="009B38CD"/>
    <w:rsid w:val="009B3ADF"/>
    <w:rsid w:val="009C3B52"/>
    <w:rsid w:val="009C4801"/>
    <w:rsid w:val="009E6817"/>
    <w:rsid w:val="009E6BA4"/>
    <w:rsid w:val="009E6E9A"/>
    <w:rsid w:val="00A01D2B"/>
    <w:rsid w:val="00A134FF"/>
    <w:rsid w:val="00A26148"/>
    <w:rsid w:val="00A42218"/>
    <w:rsid w:val="00A70249"/>
    <w:rsid w:val="00A70B02"/>
    <w:rsid w:val="00A71D9F"/>
    <w:rsid w:val="00A92E9F"/>
    <w:rsid w:val="00AE4180"/>
    <w:rsid w:val="00AF44AE"/>
    <w:rsid w:val="00B175E4"/>
    <w:rsid w:val="00B313BD"/>
    <w:rsid w:val="00B33BEA"/>
    <w:rsid w:val="00B51A0F"/>
    <w:rsid w:val="00B57C9F"/>
    <w:rsid w:val="00B60A9E"/>
    <w:rsid w:val="00B61562"/>
    <w:rsid w:val="00B63572"/>
    <w:rsid w:val="00B845B3"/>
    <w:rsid w:val="00B85D8B"/>
    <w:rsid w:val="00BB4A40"/>
    <w:rsid w:val="00BD6C3E"/>
    <w:rsid w:val="00BE3674"/>
    <w:rsid w:val="00BF5B6A"/>
    <w:rsid w:val="00C03CA8"/>
    <w:rsid w:val="00C053F0"/>
    <w:rsid w:val="00C05985"/>
    <w:rsid w:val="00C0680D"/>
    <w:rsid w:val="00C10681"/>
    <w:rsid w:val="00C2433C"/>
    <w:rsid w:val="00C3049A"/>
    <w:rsid w:val="00C31B1E"/>
    <w:rsid w:val="00C77645"/>
    <w:rsid w:val="00C91B25"/>
    <w:rsid w:val="00CE04C3"/>
    <w:rsid w:val="00CE154F"/>
    <w:rsid w:val="00CE76A0"/>
    <w:rsid w:val="00D148C6"/>
    <w:rsid w:val="00D17A8A"/>
    <w:rsid w:val="00D415BA"/>
    <w:rsid w:val="00D63780"/>
    <w:rsid w:val="00D644EE"/>
    <w:rsid w:val="00D75489"/>
    <w:rsid w:val="00D83B50"/>
    <w:rsid w:val="00D85613"/>
    <w:rsid w:val="00DD06FF"/>
    <w:rsid w:val="00DD5FE9"/>
    <w:rsid w:val="00E00C7A"/>
    <w:rsid w:val="00E209CF"/>
    <w:rsid w:val="00E357F8"/>
    <w:rsid w:val="00E35DFC"/>
    <w:rsid w:val="00E37D6C"/>
    <w:rsid w:val="00E55B68"/>
    <w:rsid w:val="00E60951"/>
    <w:rsid w:val="00E67BE6"/>
    <w:rsid w:val="00E8683C"/>
    <w:rsid w:val="00E92965"/>
    <w:rsid w:val="00EA2B72"/>
    <w:rsid w:val="00EE5B9A"/>
    <w:rsid w:val="00EF5BA2"/>
    <w:rsid w:val="00F20099"/>
    <w:rsid w:val="00F74360"/>
    <w:rsid w:val="00F913E3"/>
    <w:rsid w:val="00F95DFB"/>
    <w:rsid w:val="00F96E31"/>
    <w:rsid w:val="00FA4F00"/>
    <w:rsid w:val="00FB462F"/>
    <w:rsid w:val="00FD4751"/>
    <w:rsid w:val="00FE16FA"/>
    <w:rsid w:val="00FE328A"/>
    <w:rsid w:val="00FE6269"/>
    <w:rsid w:val="00FF2032"/>
    <w:rsid w:val="00FF5CD6"/>
    <w:rsid w:val="038319BB"/>
    <w:rsid w:val="0600421D"/>
    <w:rsid w:val="0FFE67C2"/>
    <w:rsid w:val="10F17606"/>
    <w:rsid w:val="13832855"/>
    <w:rsid w:val="18520541"/>
    <w:rsid w:val="24C31560"/>
    <w:rsid w:val="269A34A3"/>
    <w:rsid w:val="297947DA"/>
    <w:rsid w:val="2BC02394"/>
    <w:rsid w:val="2C57282A"/>
    <w:rsid w:val="2F8152A6"/>
    <w:rsid w:val="2FAC18E7"/>
    <w:rsid w:val="302E54F0"/>
    <w:rsid w:val="31BC68AC"/>
    <w:rsid w:val="33053CF6"/>
    <w:rsid w:val="3F2A0E27"/>
    <w:rsid w:val="4BE05CFC"/>
    <w:rsid w:val="567D037C"/>
    <w:rsid w:val="5E4B51EE"/>
    <w:rsid w:val="5EE60058"/>
    <w:rsid w:val="60D60FC0"/>
    <w:rsid w:val="61020C1B"/>
    <w:rsid w:val="62095B41"/>
    <w:rsid w:val="717C3D17"/>
    <w:rsid w:val="79E3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widowControl/>
      <w:ind w:firstLine="420" w:firstLineChars="200"/>
      <w:jc w:val="left"/>
    </w:pPr>
    <w:rPr>
      <w:rFonts w:ascii="宋体" w:hAnsi="宋体" w:cs="宋体"/>
      <w:sz w:val="24"/>
      <w:szCs w:val="24"/>
    </w:rPr>
  </w:style>
  <w:style w:type="paragraph" w:styleId="4">
    <w:name w:val="index 5"/>
    <w:basedOn w:val="1"/>
    <w:next w:val="1"/>
    <w:semiHidden/>
    <w:qFormat/>
    <w:uiPriority w:val="99"/>
    <w:pPr>
      <w:ind w:left="1680"/>
    </w:pPr>
    <w:rPr>
      <w:rFonts w:ascii="Times New Roman" w:hAnsi="Times New Roman" w:eastAsia="宋体" w:cs="Times New Roman"/>
      <w:szCs w:val="24"/>
    </w:rPr>
  </w:style>
  <w:style w:type="paragraph" w:styleId="5">
    <w:name w:val="Balloon Text"/>
    <w:basedOn w:val="1"/>
    <w:link w:val="16"/>
    <w:semiHidden/>
    <w:unhideWhenUsed/>
    <w:qFormat/>
    <w:uiPriority w:val="99"/>
    <w:rPr>
      <w:sz w:val="18"/>
      <w:szCs w:val="18"/>
    </w:rPr>
  </w:style>
  <w:style w:type="paragraph" w:styleId="6">
    <w:name w:val="footer"/>
    <w:basedOn w:val="1"/>
    <w:next w:val="4"/>
    <w:link w:val="13"/>
    <w:unhideWhenUsed/>
    <w:qFormat/>
    <w:uiPriority w:val="0"/>
    <w:pPr>
      <w:tabs>
        <w:tab w:val="center" w:pos="4153"/>
        <w:tab w:val="right" w:pos="8306"/>
      </w:tabs>
      <w:snapToGrid w:val="0"/>
      <w:jc w:val="left"/>
    </w:pPr>
    <w:rPr>
      <w:sz w:val="18"/>
      <w:szCs w:val="18"/>
    </w:rPr>
  </w:style>
  <w:style w:type="paragraph" w:styleId="7">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Autospacing="1" w:afterAutospacing="1"/>
      <w:jc w:val="left"/>
    </w:pPr>
    <w:rPr>
      <w:rFonts w:cs="Times New Roman"/>
      <w:kern w:val="0"/>
      <w:sz w:val="24"/>
    </w:rPr>
  </w:style>
  <w:style w:type="character" w:styleId="11">
    <w:name w:val="Hyperlink"/>
    <w:basedOn w:val="10"/>
    <w:semiHidden/>
    <w:unhideWhenUsed/>
    <w:qFormat/>
    <w:uiPriority w:val="99"/>
    <w:rPr>
      <w:color w:val="0000FF"/>
      <w:u w:val="single"/>
    </w:rPr>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99"/>
    <w:pPr>
      <w:ind w:firstLine="420" w:firstLineChars="200"/>
    </w:pPr>
  </w:style>
  <w:style w:type="character" w:customStyle="1" w:styleId="16">
    <w:name w:val="批注框文本 Char"/>
    <w:basedOn w:val="10"/>
    <w:link w:val="5"/>
    <w:semiHidden/>
    <w:qFormat/>
    <w:uiPriority w:val="99"/>
    <w:rPr>
      <w:sz w:val="18"/>
      <w:szCs w:val="18"/>
    </w:rPr>
  </w:style>
  <w:style w:type="paragraph" w:customStyle="1" w:styleId="17">
    <w:name w:val="NormalIndent"/>
    <w:basedOn w:val="1"/>
    <w:qFormat/>
    <w:uiPriority w:val="0"/>
    <w:pPr>
      <w:ind w:firstLine="200" w:firstLineChars="200"/>
      <w:textAlignment w:val="baseline"/>
    </w:pPr>
    <w:rPr>
      <w:rFonts w:ascii="Calibri" w:hAnsi="Calibri" w:eastAsia="宋体" w:cs="Times New Roman"/>
      <w:szCs w:val="24"/>
    </w:rPr>
  </w:style>
  <w:style w:type="paragraph" w:customStyle="1" w:styleId="18">
    <w:name w:val="正文1"/>
    <w:basedOn w:val="1"/>
    <w:qFormat/>
    <w:uiPriority w:val="0"/>
    <w:rPr>
      <w:rFonts w:ascii="宋体" w:hAnsi="宋体" w:eastAsia="宋体" w:cs="宋体"/>
      <w:sz w:val="32"/>
      <w:szCs w:val="32"/>
    </w:rPr>
  </w:style>
  <w:style w:type="paragraph" w:customStyle="1" w:styleId="19">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57CAC-CD08-4DBC-B48F-F9A7C5A63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2734</Words>
  <Characters>15590</Characters>
  <Lines>129</Lines>
  <Paragraphs>36</Paragraphs>
  <TotalTime>4</TotalTime>
  <ScaleCrop>false</ScaleCrop>
  <LinksUpToDate>false</LinksUpToDate>
  <CharactersWithSpaces>18288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2022-09-01T08:58:00Z</dcterms:created>
  <dc:creator>李航 null</dc:creator>
  <cp:lastModifiedBy>Administrator</cp:lastModifiedBy>
  <cp:lastPrinted>2022-07-27T12:55:00Z</cp:lastPrinted>
  <dcterms:modified xsi:type="dcterms:W3CDTF">2023-10-11T03:41:45Z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DCF1F4296CFD4F228EA4B7BD4541C4DB</vt:lpwstr>
  </property>
</Properties>
</file>