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65D692">
      <w:pPr>
        <w:widowControl/>
        <w:jc w:val="center"/>
        <w:rPr>
          <w:rFonts w:hint="eastAsia" w:ascii="黑体" w:hAnsi="黑体" w:eastAsia="黑体" w:cs="Times New Roman"/>
          <w:b/>
          <w:bCs/>
          <w:color w:val="auto"/>
          <w:kern w:val="0"/>
          <w:sz w:val="44"/>
          <w:szCs w:val="44"/>
          <w:highlight w:val="none"/>
        </w:rPr>
      </w:pPr>
      <w:r>
        <w:rPr>
          <w:rFonts w:hint="eastAsia" w:ascii="黑体" w:hAnsi="黑体" w:eastAsia="黑体" w:cs="Times New Roman"/>
          <w:b/>
          <w:bCs/>
          <w:color w:val="auto"/>
          <w:kern w:val="0"/>
          <w:sz w:val="44"/>
          <w:szCs w:val="44"/>
          <w:highlight w:val="none"/>
        </w:rPr>
        <w:t>怀化市档案馆</w:t>
      </w:r>
    </w:p>
    <w:p w14:paraId="1D4FB342">
      <w:pPr>
        <w:widowControl/>
        <w:jc w:val="center"/>
        <w:rPr>
          <w:rFonts w:hint="eastAsia" w:ascii="黑体" w:hAnsi="黑体" w:eastAsia="黑体" w:cs="Times New Roman"/>
          <w:b/>
          <w:bCs/>
          <w:color w:val="auto"/>
          <w:kern w:val="0"/>
          <w:sz w:val="44"/>
          <w:szCs w:val="44"/>
          <w:highlight w:val="none"/>
        </w:rPr>
      </w:pPr>
      <w:r>
        <w:rPr>
          <w:rFonts w:hint="eastAsia" w:ascii="黑体" w:hAnsi="黑体" w:eastAsia="黑体" w:cs="Times New Roman"/>
          <w:b/>
          <w:bCs/>
          <w:color w:val="auto"/>
          <w:kern w:val="0"/>
          <w:sz w:val="44"/>
          <w:szCs w:val="44"/>
          <w:highlight w:val="none"/>
        </w:rPr>
        <w:t>2023年度部门预算公开说明</w:t>
      </w:r>
    </w:p>
    <w:p w14:paraId="3AA459F2">
      <w:pPr>
        <w:widowControl/>
        <w:spacing w:line="437" w:lineRule="atLeast"/>
        <w:ind w:firstLine="627"/>
        <w:jc w:val="left"/>
        <w:rPr>
          <w:rFonts w:ascii="等线" w:hAnsi="等线" w:eastAsia="等线" w:cs="宋体"/>
          <w:color w:val="auto"/>
          <w:kern w:val="0"/>
          <w:szCs w:val="21"/>
          <w:highlight w:val="none"/>
        </w:rPr>
      </w:pPr>
      <w:r>
        <w:rPr>
          <w:rFonts w:ascii="Calibri" w:hAnsi="Calibri" w:eastAsia="等线" w:cs="宋体"/>
          <w:color w:val="auto"/>
          <w:kern w:val="0"/>
          <w:szCs w:val="21"/>
          <w:highlight w:val="none"/>
        </w:rPr>
        <w:t> </w:t>
      </w:r>
    </w:p>
    <w:p w14:paraId="310AAA4F">
      <w:pPr>
        <w:pStyle w:val="5"/>
        <w:spacing w:beforeAutospacing="0" w:afterAutospacing="0" w:line="437" w:lineRule="atLeast"/>
        <w:jc w:val="center"/>
        <w:rPr>
          <w:rFonts w:hint="eastAsia" w:ascii="方正仿宋_GBK" w:hAnsi="方正仿宋_GBK" w:eastAsia="方正仿宋_GBK" w:cs="方正仿宋_GBK"/>
          <w:b/>
          <w:bCs/>
          <w:color w:val="auto"/>
          <w:sz w:val="32"/>
          <w:szCs w:val="32"/>
          <w:highlight w:val="none"/>
        </w:rPr>
      </w:pPr>
      <w:r>
        <w:rPr>
          <w:rFonts w:hint="eastAsia" w:ascii="方正仿宋_GBK" w:hAnsi="方正仿宋_GBK" w:eastAsia="方正仿宋_GBK" w:cs="方正仿宋_GBK"/>
          <w:b/>
          <w:bCs/>
          <w:color w:val="auto"/>
          <w:sz w:val="32"/>
          <w:szCs w:val="32"/>
          <w:highlight w:val="none"/>
        </w:rPr>
        <w:t>目 录</w:t>
      </w:r>
    </w:p>
    <w:p w14:paraId="01443F8C">
      <w:pPr>
        <w:pStyle w:val="5"/>
        <w:spacing w:beforeAutospacing="0" w:afterAutospacing="0" w:line="437" w:lineRule="atLeast"/>
        <w:jc w:val="center"/>
        <w:rPr>
          <w:rFonts w:ascii="黑体" w:hAnsi="黑体" w:eastAsia="黑体" w:cs="黑体"/>
          <w:color w:val="auto"/>
          <w:sz w:val="32"/>
          <w:szCs w:val="32"/>
          <w:highlight w:val="none"/>
        </w:rPr>
      </w:pPr>
    </w:p>
    <w:p w14:paraId="27A72ADC">
      <w:pPr>
        <w:pStyle w:val="5"/>
        <w:spacing w:beforeAutospacing="0" w:afterAutospacing="0" w:line="437" w:lineRule="atLeast"/>
        <w:rPr>
          <w:rFonts w:ascii="黑体" w:hAnsi="黑体" w:eastAsia="黑体" w:cs="黑体"/>
          <w:color w:val="auto"/>
          <w:sz w:val="32"/>
          <w:szCs w:val="32"/>
          <w:highlight w:val="none"/>
        </w:rPr>
      </w:pPr>
      <w:r>
        <w:rPr>
          <w:rFonts w:hint="eastAsia" w:ascii="黑体" w:hAnsi="黑体" w:eastAsia="黑体" w:cs="黑体"/>
          <w:color w:val="auto"/>
          <w:sz w:val="32"/>
          <w:szCs w:val="32"/>
          <w:highlight w:val="none"/>
        </w:rPr>
        <w:t>第一部分2023年部门预算说明</w:t>
      </w:r>
    </w:p>
    <w:p w14:paraId="7055F098">
      <w:pPr>
        <w:pStyle w:val="5"/>
        <w:spacing w:beforeAutospacing="0" w:afterAutospacing="0" w:line="437" w:lineRule="atLeast"/>
        <w:ind w:firstLine="627"/>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一、部门基本概况</w:t>
      </w:r>
    </w:p>
    <w:p w14:paraId="30BC2C0C">
      <w:pPr>
        <w:pStyle w:val="5"/>
        <w:spacing w:beforeAutospacing="0" w:afterAutospacing="0" w:line="437" w:lineRule="atLeast"/>
        <w:ind w:firstLine="627"/>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二、部门预算单位构成</w:t>
      </w:r>
    </w:p>
    <w:p w14:paraId="3D682F2F">
      <w:pPr>
        <w:pStyle w:val="5"/>
        <w:spacing w:beforeAutospacing="0" w:afterAutospacing="0" w:line="437" w:lineRule="atLeast"/>
        <w:ind w:firstLine="627"/>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三、部门收支总体情况</w:t>
      </w:r>
    </w:p>
    <w:p w14:paraId="0DE9DD5D">
      <w:pPr>
        <w:pStyle w:val="5"/>
        <w:spacing w:beforeAutospacing="0" w:afterAutospacing="0" w:line="437" w:lineRule="atLeast"/>
        <w:ind w:firstLine="627"/>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四、一般公共预算拨款支出</w:t>
      </w:r>
    </w:p>
    <w:p w14:paraId="59793312">
      <w:pPr>
        <w:pStyle w:val="5"/>
        <w:spacing w:beforeAutospacing="0" w:afterAutospacing="0" w:line="437" w:lineRule="atLeast"/>
        <w:ind w:firstLine="627"/>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五、政府性基金支出情况</w:t>
      </w:r>
    </w:p>
    <w:p w14:paraId="1D191F3D">
      <w:pPr>
        <w:pStyle w:val="5"/>
        <w:spacing w:beforeAutospacing="0" w:afterAutospacing="0" w:line="437" w:lineRule="atLeast"/>
        <w:ind w:firstLine="64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六、其他重要事项的情况说明</w:t>
      </w:r>
    </w:p>
    <w:p w14:paraId="3A2486E6">
      <w:pPr>
        <w:pStyle w:val="5"/>
        <w:spacing w:beforeAutospacing="0" w:afterAutospacing="0" w:line="437" w:lineRule="atLeast"/>
        <w:ind w:firstLine="64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七、专业名词解释</w:t>
      </w:r>
    </w:p>
    <w:p w14:paraId="25D6FCDF">
      <w:pPr>
        <w:pStyle w:val="5"/>
        <w:spacing w:beforeAutospacing="0" w:afterAutospacing="0" w:line="437" w:lineRule="atLeast"/>
        <w:ind w:firstLine="160" w:firstLineChars="50"/>
        <w:rPr>
          <w:rFonts w:ascii="黑体" w:hAnsi="黑体" w:eastAsia="黑体" w:cs="黑体"/>
          <w:color w:val="auto"/>
          <w:sz w:val="32"/>
          <w:szCs w:val="32"/>
          <w:highlight w:val="none"/>
        </w:rPr>
      </w:pPr>
      <w:r>
        <w:rPr>
          <w:rFonts w:hint="eastAsia" w:ascii="黑体" w:hAnsi="黑体" w:eastAsia="黑体" w:cs="黑体"/>
          <w:color w:val="auto"/>
          <w:sz w:val="32"/>
          <w:szCs w:val="32"/>
          <w:highlight w:val="none"/>
        </w:rPr>
        <w:t>第二部分2023年部门预算表</w:t>
      </w:r>
    </w:p>
    <w:p w14:paraId="6CDB89CB">
      <w:pPr>
        <w:pStyle w:val="5"/>
        <w:spacing w:beforeAutospacing="0" w:afterAutospacing="0" w:line="450" w:lineRule="atLeast"/>
        <w:ind w:firstLine="640"/>
        <w:jc w:val="both"/>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1、收支预算总表</w:t>
      </w:r>
    </w:p>
    <w:p w14:paraId="0EE01CAD">
      <w:pPr>
        <w:pStyle w:val="5"/>
        <w:spacing w:beforeAutospacing="0" w:afterAutospacing="0" w:line="450" w:lineRule="atLeast"/>
        <w:ind w:firstLine="640"/>
        <w:jc w:val="both"/>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2、收入预算总表</w:t>
      </w:r>
    </w:p>
    <w:p w14:paraId="3C2C3CC5">
      <w:pPr>
        <w:pStyle w:val="5"/>
        <w:spacing w:beforeAutospacing="0" w:afterAutospacing="0" w:line="450" w:lineRule="atLeast"/>
        <w:ind w:firstLine="640"/>
        <w:jc w:val="both"/>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3、支出预算总表</w:t>
      </w:r>
    </w:p>
    <w:p w14:paraId="3DFBAC06">
      <w:pPr>
        <w:pStyle w:val="5"/>
        <w:spacing w:beforeAutospacing="0" w:afterAutospacing="0" w:line="450" w:lineRule="atLeast"/>
        <w:ind w:firstLine="640"/>
        <w:jc w:val="both"/>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4、财政拨款收支预算总表</w:t>
      </w:r>
    </w:p>
    <w:p w14:paraId="3415E586">
      <w:pPr>
        <w:pStyle w:val="5"/>
        <w:spacing w:beforeAutospacing="0" w:afterAutospacing="0" w:line="450" w:lineRule="atLeast"/>
        <w:ind w:firstLine="640"/>
        <w:jc w:val="both"/>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5、本年一般公共预算支出预算表</w:t>
      </w:r>
    </w:p>
    <w:p w14:paraId="4F14E37C">
      <w:pPr>
        <w:pStyle w:val="5"/>
        <w:spacing w:beforeAutospacing="0" w:afterAutospacing="0" w:line="450" w:lineRule="atLeast"/>
        <w:ind w:firstLine="640"/>
        <w:jc w:val="both"/>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6、本年一般公共预算基本支出预算表</w:t>
      </w:r>
    </w:p>
    <w:p w14:paraId="24159B94">
      <w:pPr>
        <w:pStyle w:val="5"/>
        <w:spacing w:beforeAutospacing="0" w:afterAutospacing="0" w:line="450" w:lineRule="atLeast"/>
        <w:ind w:firstLine="640"/>
        <w:jc w:val="both"/>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7、</w:t>
      </w:r>
      <w:r>
        <w:rPr>
          <w:rFonts w:hint="eastAsia" w:ascii="仿宋_GB2312" w:hAnsi="仿宋_GB2312" w:eastAsia="仿宋_GB2312" w:cs="仿宋_GB2312"/>
          <w:color w:val="auto"/>
          <w:sz w:val="32"/>
          <w:szCs w:val="32"/>
          <w:highlight w:val="none"/>
          <w:lang w:val="en-US" w:eastAsia="zh-CN"/>
        </w:rPr>
        <w:t>一般公共预算</w:t>
      </w:r>
      <w:bookmarkStart w:id="2" w:name="_GoBack"/>
      <w:bookmarkEnd w:id="2"/>
      <w:r>
        <w:rPr>
          <w:rFonts w:hint="eastAsia" w:ascii="仿宋_GB2312" w:hAnsi="仿宋_GB2312" w:eastAsia="仿宋_GB2312" w:cs="仿宋_GB2312"/>
          <w:color w:val="auto"/>
          <w:sz w:val="32"/>
          <w:szCs w:val="32"/>
          <w:highlight w:val="none"/>
        </w:rPr>
        <w:t>“三公”经费支出预算表</w:t>
      </w:r>
    </w:p>
    <w:p w14:paraId="37D22C8B">
      <w:pPr>
        <w:pStyle w:val="5"/>
        <w:spacing w:beforeAutospacing="0" w:afterAutospacing="0" w:line="450" w:lineRule="atLeast"/>
        <w:ind w:firstLine="640"/>
        <w:jc w:val="both"/>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8、本年政府性基金预算支出预算表</w:t>
      </w:r>
    </w:p>
    <w:p w14:paraId="3ABF73C3">
      <w:pPr>
        <w:pStyle w:val="5"/>
        <w:spacing w:beforeAutospacing="0" w:afterAutospacing="0" w:line="450" w:lineRule="atLeast"/>
        <w:ind w:firstLine="640"/>
        <w:jc w:val="both"/>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9、国有资本经营预算支出表</w:t>
      </w:r>
    </w:p>
    <w:p w14:paraId="062CC65A">
      <w:pPr>
        <w:pStyle w:val="5"/>
        <w:spacing w:beforeAutospacing="0" w:afterAutospacing="0" w:line="450" w:lineRule="atLeast"/>
        <w:ind w:firstLine="640"/>
        <w:jc w:val="both"/>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10、项目支出绩效目标表</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在平台集中公开</w:t>
      </w:r>
      <w:r>
        <w:rPr>
          <w:rFonts w:hint="eastAsia" w:ascii="仿宋_GB2312" w:hAnsi="仿宋_GB2312" w:eastAsia="仿宋_GB2312" w:cs="仿宋_GB2312"/>
          <w:color w:val="auto"/>
          <w:sz w:val="32"/>
          <w:szCs w:val="32"/>
          <w:highlight w:val="none"/>
          <w:lang w:eastAsia="zh-CN"/>
        </w:rPr>
        <w:t>）</w:t>
      </w:r>
    </w:p>
    <w:p w14:paraId="01D83EFE">
      <w:pPr>
        <w:pStyle w:val="5"/>
        <w:spacing w:beforeAutospacing="0" w:afterAutospacing="0" w:line="450" w:lineRule="atLeast"/>
        <w:ind w:firstLine="640"/>
        <w:jc w:val="both"/>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rPr>
        <w:t>11、部门整体支出绩效目标</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在平台集中公开</w:t>
      </w:r>
      <w:r>
        <w:rPr>
          <w:rFonts w:hint="eastAsia" w:ascii="仿宋_GB2312" w:hAnsi="仿宋_GB2312" w:eastAsia="仿宋_GB2312" w:cs="仿宋_GB2312"/>
          <w:color w:val="auto"/>
          <w:sz w:val="32"/>
          <w:szCs w:val="32"/>
          <w:highlight w:val="none"/>
          <w:lang w:eastAsia="zh-CN"/>
        </w:rPr>
        <w:t>）</w:t>
      </w:r>
    </w:p>
    <w:p w14:paraId="0464F20D">
      <w:pPr>
        <w:pStyle w:val="5"/>
        <w:spacing w:beforeAutospacing="0" w:afterAutospacing="0" w:line="450" w:lineRule="atLeast"/>
        <w:ind w:firstLine="640"/>
        <w:jc w:val="both"/>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val="en-US" w:eastAsia="zh-CN"/>
        </w:rPr>
        <w:t>注：以上部门预算表中，空表表示本部门无相关收支情况。</w:t>
      </w:r>
    </w:p>
    <w:p w14:paraId="49089FA7">
      <w:pPr>
        <w:widowControl/>
        <w:spacing w:line="450" w:lineRule="atLeast"/>
        <w:rPr>
          <w:rFonts w:ascii="等线" w:hAnsi="等线" w:eastAsia="等线" w:cs="宋体"/>
          <w:color w:val="auto"/>
          <w:kern w:val="0"/>
          <w:szCs w:val="21"/>
          <w:highlight w:val="none"/>
        </w:rPr>
      </w:pPr>
      <w:r>
        <w:rPr>
          <w:rFonts w:ascii="Calibri" w:hAnsi="Calibri" w:eastAsia="等线" w:cs="宋体"/>
          <w:color w:val="auto"/>
          <w:kern w:val="0"/>
          <w:szCs w:val="21"/>
          <w:highlight w:val="none"/>
        </w:rPr>
        <w:t> </w:t>
      </w:r>
    </w:p>
    <w:p w14:paraId="381C1183">
      <w:pPr>
        <w:widowControl/>
        <w:spacing w:line="450" w:lineRule="atLeast"/>
        <w:rPr>
          <w:rFonts w:ascii="等线" w:hAnsi="等线" w:eastAsia="等线" w:cs="宋体"/>
          <w:color w:val="auto"/>
          <w:kern w:val="0"/>
          <w:szCs w:val="21"/>
          <w:highlight w:val="none"/>
        </w:rPr>
      </w:pPr>
      <w:r>
        <w:rPr>
          <w:rFonts w:ascii="Calibri" w:hAnsi="Calibri" w:eastAsia="等线" w:cs="宋体"/>
          <w:color w:val="auto"/>
          <w:kern w:val="0"/>
          <w:szCs w:val="21"/>
          <w:highlight w:val="none"/>
        </w:rPr>
        <w:t> </w:t>
      </w:r>
    </w:p>
    <w:p w14:paraId="7153BDCA">
      <w:pPr>
        <w:widowControl/>
        <w:spacing w:line="450" w:lineRule="atLeast"/>
        <w:rPr>
          <w:rFonts w:ascii="Calibri" w:hAnsi="Calibri" w:eastAsia="等线" w:cs="宋体"/>
          <w:color w:val="auto"/>
          <w:kern w:val="0"/>
          <w:szCs w:val="21"/>
          <w:highlight w:val="none"/>
        </w:rPr>
      </w:pPr>
      <w:r>
        <w:rPr>
          <w:rFonts w:ascii="Calibri" w:hAnsi="Calibri" w:eastAsia="等线" w:cs="宋体"/>
          <w:color w:val="auto"/>
          <w:kern w:val="0"/>
          <w:szCs w:val="21"/>
          <w:highlight w:val="none"/>
        </w:rPr>
        <w:t> </w:t>
      </w:r>
    </w:p>
    <w:p w14:paraId="20BBAD3E">
      <w:pPr>
        <w:widowControl/>
        <w:spacing w:line="450" w:lineRule="atLeast"/>
        <w:rPr>
          <w:rFonts w:ascii="Calibri" w:hAnsi="Calibri" w:eastAsia="等线" w:cs="宋体"/>
          <w:color w:val="auto"/>
          <w:kern w:val="0"/>
          <w:szCs w:val="21"/>
          <w:highlight w:val="none"/>
        </w:rPr>
      </w:pPr>
    </w:p>
    <w:p w14:paraId="3E639F54">
      <w:pPr>
        <w:widowControl/>
        <w:spacing w:line="450" w:lineRule="atLeast"/>
        <w:rPr>
          <w:rFonts w:ascii="Calibri" w:hAnsi="Calibri" w:eastAsia="等线" w:cs="宋体"/>
          <w:color w:val="auto"/>
          <w:kern w:val="0"/>
          <w:szCs w:val="21"/>
          <w:highlight w:val="none"/>
        </w:rPr>
      </w:pPr>
    </w:p>
    <w:p w14:paraId="4562F87A">
      <w:pPr>
        <w:widowControl/>
        <w:spacing w:line="450" w:lineRule="atLeast"/>
        <w:rPr>
          <w:rFonts w:ascii="Calibri" w:hAnsi="Calibri" w:eastAsia="等线" w:cs="宋体"/>
          <w:color w:val="auto"/>
          <w:kern w:val="0"/>
          <w:szCs w:val="21"/>
          <w:highlight w:val="none"/>
        </w:rPr>
      </w:pPr>
    </w:p>
    <w:p w14:paraId="3923658E">
      <w:pPr>
        <w:widowControl/>
        <w:spacing w:line="450" w:lineRule="atLeast"/>
        <w:rPr>
          <w:rFonts w:ascii="Calibri" w:hAnsi="Calibri" w:eastAsia="等线" w:cs="宋体"/>
          <w:color w:val="auto"/>
          <w:kern w:val="0"/>
          <w:szCs w:val="21"/>
          <w:highlight w:val="none"/>
        </w:rPr>
      </w:pPr>
    </w:p>
    <w:p w14:paraId="6F71C465">
      <w:pPr>
        <w:widowControl/>
        <w:spacing w:line="450" w:lineRule="atLeast"/>
        <w:rPr>
          <w:rFonts w:ascii="Calibri" w:hAnsi="Calibri" w:eastAsia="等线" w:cs="宋体"/>
          <w:color w:val="auto"/>
          <w:kern w:val="0"/>
          <w:szCs w:val="21"/>
          <w:highlight w:val="none"/>
        </w:rPr>
      </w:pPr>
    </w:p>
    <w:p w14:paraId="6B86926A">
      <w:pPr>
        <w:widowControl/>
        <w:spacing w:line="450" w:lineRule="atLeast"/>
        <w:rPr>
          <w:rFonts w:ascii="Calibri" w:hAnsi="Calibri" w:eastAsia="等线" w:cs="宋体"/>
          <w:color w:val="auto"/>
          <w:kern w:val="0"/>
          <w:szCs w:val="21"/>
          <w:highlight w:val="none"/>
        </w:rPr>
      </w:pPr>
    </w:p>
    <w:p w14:paraId="1F58C4F1">
      <w:pPr>
        <w:widowControl/>
        <w:spacing w:line="450" w:lineRule="atLeast"/>
        <w:rPr>
          <w:rFonts w:ascii="Calibri" w:hAnsi="Calibri" w:eastAsia="等线" w:cs="宋体"/>
          <w:color w:val="auto"/>
          <w:kern w:val="0"/>
          <w:szCs w:val="21"/>
          <w:highlight w:val="none"/>
        </w:rPr>
      </w:pPr>
    </w:p>
    <w:p w14:paraId="6F9BFA2D">
      <w:pPr>
        <w:widowControl/>
        <w:spacing w:line="450" w:lineRule="atLeast"/>
        <w:rPr>
          <w:rFonts w:ascii="Calibri" w:hAnsi="Calibri" w:eastAsia="等线" w:cs="宋体"/>
          <w:color w:val="auto"/>
          <w:kern w:val="0"/>
          <w:szCs w:val="21"/>
          <w:highlight w:val="none"/>
        </w:rPr>
      </w:pPr>
    </w:p>
    <w:p w14:paraId="07A28F78">
      <w:pPr>
        <w:widowControl/>
        <w:spacing w:line="450" w:lineRule="atLeast"/>
        <w:rPr>
          <w:rFonts w:ascii="Calibri" w:hAnsi="Calibri" w:eastAsia="等线" w:cs="宋体"/>
          <w:color w:val="auto"/>
          <w:kern w:val="0"/>
          <w:szCs w:val="21"/>
          <w:highlight w:val="none"/>
        </w:rPr>
      </w:pPr>
    </w:p>
    <w:p w14:paraId="251DD800">
      <w:pPr>
        <w:widowControl/>
        <w:spacing w:line="450" w:lineRule="atLeast"/>
        <w:rPr>
          <w:rFonts w:ascii="Calibri" w:hAnsi="Calibri" w:eastAsia="等线" w:cs="宋体"/>
          <w:color w:val="auto"/>
          <w:kern w:val="0"/>
          <w:szCs w:val="21"/>
          <w:highlight w:val="none"/>
        </w:rPr>
      </w:pPr>
    </w:p>
    <w:p w14:paraId="3FE219F9">
      <w:pPr>
        <w:widowControl/>
        <w:spacing w:line="450" w:lineRule="atLeast"/>
        <w:rPr>
          <w:rFonts w:ascii="Calibri" w:hAnsi="Calibri" w:eastAsia="等线" w:cs="宋体"/>
          <w:color w:val="auto"/>
          <w:kern w:val="0"/>
          <w:szCs w:val="21"/>
          <w:highlight w:val="none"/>
        </w:rPr>
      </w:pPr>
    </w:p>
    <w:p w14:paraId="14E9194E">
      <w:pPr>
        <w:widowControl/>
        <w:spacing w:line="450" w:lineRule="atLeast"/>
        <w:rPr>
          <w:rFonts w:ascii="Calibri" w:hAnsi="Calibri" w:eastAsia="等线" w:cs="宋体"/>
          <w:color w:val="auto"/>
          <w:kern w:val="0"/>
          <w:szCs w:val="21"/>
          <w:highlight w:val="none"/>
        </w:rPr>
      </w:pPr>
    </w:p>
    <w:p w14:paraId="25C3F22F">
      <w:pPr>
        <w:widowControl/>
        <w:spacing w:line="450" w:lineRule="atLeast"/>
        <w:rPr>
          <w:rFonts w:ascii="Calibri" w:hAnsi="Calibri" w:eastAsia="等线" w:cs="宋体"/>
          <w:color w:val="auto"/>
          <w:kern w:val="0"/>
          <w:szCs w:val="21"/>
          <w:highlight w:val="none"/>
        </w:rPr>
      </w:pPr>
    </w:p>
    <w:p w14:paraId="1EEF1E98">
      <w:pPr>
        <w:widowControl/>
        <w:spacing w:line="450" w:lineRule="atLeast"/>
        <w:rPr>
          <w:rFonts w:ascii="Calibri" w:hAnsi="Calibri" w:eastAsia="等线" w:cs="宋体"/>
          <w:color w:val="auto"/>
          <w:kern w:val="0"/>
          <w:szCs w:val="21"/>
          <w:highlight w:val="none"/>
        </w:rPr>
      </w:pPr>
    </w:p>
    <w:p w14:paraId="5EA7A9AF">
      <w:pPr>
        <w:widowControl/>
        <w:spacing w:line="450" w:lineRule="atLeast"/>
        <w:rPr>
          <w:rFonts w:ascii="Calibri" w:hAnsi="Calibri" w:eastAsia="等线" w:cs="宋体"/>
          <w:color w:val="auto"/>
          <w:kern w:val="0"/>
          <w:szCs w:val="21"/>
          <w:highlight w:val="none"/>
        </w:rPr>
      </w:pPr>
    </w:p>
    <w:p w14:paraId="02D52462">
      <w:pPr>
        <w:pStyle w:val="5"/>
        <w:spacing w:beforeAutospacing="0" w:afterAutospacing="0" w:line="450" w:lineRule="atLeast"/>
        <w:jc w:val="both"/>
        <w:rPr>
          <w:rFonts w:hint="eastAsia" w:ascii="等线" w:hAnsi="等线" w:eastAsia="等线"/>
          <w:color w:val="auto"/>
          <w:szCs w:val="21"/>
          <w:highlight w:val="none"/>
        </w:rPr>
      </w:pPr>
    </w:p>
    <w:p w14:paraId="40A63290">
      <w:pPr>
        <w:pStyle w:val="5"/>
        <w:spacing w:beforeAutospacing="0" w:afterAutospacing="0" w:line="450" w:lineRule="atLeast"/>
        <w:ind w:firstLine="640"/>
        <w:jc w:val="center"/>
        <w:rPr>
          <w:rFonts w:ascii="黑体" w:hAnsi="黑体" w:eastAsia="黑体" w:cs="黑体"/>
          <w:color w:val="auto"/>
          <w:sz w:val="44"/>
          <w:szCs w:val="44"/>
          <w:highlight w:val="none"/>
        </w:rPr>
      </w:pPr>
      <w:r>
        <w:rPr>
          <w:rFonts w:hint="eastAsia" w:ascii="等线" w:hAnsi="等线" w:eastAsia="等线"/>
          <w:color w:val="auto"/>
          <w:szCs w:val="21"/>
          <w:highlight w:val="none"/>
        </w:rPr>
        <w:t> </w:t>
      </w:r>
      <w:r>
        <w:rPr>
          <w:rFonts w:hint="eastAsia" w:ascii="黑体" w:hAnsi="黑体" w:eastAsia="黑体" w:cs="黑体"/>
          <w:color w:val="auto"/>
          <w:sz w:val="44"/>
          <w:szCs w:val="44"/>
          <w:highlight w:val="none"/>
        </w:rPr>
        <w:t>第一部分2023年部门预算说明</w:t>
      </w:r>
    </w:p>
    <w:p w14:paraId="46E6CE80">
      <w:pPr>
        <w:widowControl/>
        <w:spacing w:line="450" w:lineRule="atLeast"/>
        <w:jc w:val="left"/>
        <w:rPr>
          <w:rFonts w:ascii="等线" w:hAnsi="等线" w:eastAsia="等线" w:cs="宋体"/>
          <w:color w:val="auto"/>
          <w:kern w:val="0"/>
          <w:szCs w:val="21"/>
          <w:highlight w:val="none"/>
        </w:rPr>
      </w:pPr>
      <w:r>
        <w:rPr>
          <w:rFonts w:hint="eastAsia" w:ascii="等线" w:hAnsi="等线" w:eastAsia="等线" w:cs="宋体"/>
          <w:color w:val="auto"/>
          <w:kern w:val="0"/>
          <w:szCs w:val="21"/>
          <w:highlight w:val="none"/>
        </w:rPr>
        <w:t> </w:t>
      </w:r>
    </w:p>
    <w:p w14:paraId="659E335B">
      <w:pPr>
        <w:widowControl/>
        <w:spacing w:line="437" w:lineRule="atLeast"/>
        <w:ind w:firstLine="627"/>
        <w:jc w:val="left"/>
        <w:rPr>
          <w:rFonts w:ascii="等线" w:hAnsi="等线" w:eastAsia="等线" w:cs="宋体"/>
          <w:color w:val="auto"/>
          <w:kern w:val="0"/>
          <w:szCs w:val="21"/>
          <w:highlight w:val="none"/>
        </w:rPr>
      </w:pPr>
      <w:r>
        <w:rPr>
          <w:rFonts w:hint="eastAsia" w:ascii="黑体" w:hAnsi="黑体" w:eastAsia="黑体" w:cs="宋体"/>
          <w:color w:val="auto"/>
          <w:kern w:val="0"/>
          <w:sz w:val="32"/>
          <w:szCs w:val="32"/>
          <w:highlight w:val="none"/>
        </w:rPr>
        <w:t>一、部门基本概况</w:t>
      </w:r>
    </w:p>
    <w:p w14:paraId="5E709F72">
      <w:pPr>
        <w:widowControl/>
        <w:spacing w:line="437" w:lineRule="atLeast"/>
        <w:ind w:firstLine="630"/>
        <w:rPr>
          <w:rFonts w:ascii="等线" w:hAnsi="等线" w:eastAsia="等线" w:cs="宋体"/>
          <w:color w:val="auto"/>
          <w:kern w:val="0"/>
          <w:szCs w:val="21"/>
          <w:highlight w:val="none"/>
        </w:rPr>
      </w:pPr>
      <w:r>
        <w:rPr>
          <w:rFonts w:hint="eastAsia" w:ascii="仿宋" w:hAnsi="仿宋" w:eastAsia="仿宋" w:cs="宋体"/>
          <w:b/>
          <w:bCs/>
          <w:color w:val="auto"/>
          <w:kern w:val="0"/>
          <w:sz w:val="32"/>
          <w:szCs w:val="32"/>
          <w:highlight w:val="none"/>
        </w:rPr>
        <w:t>（一）部门职责</w:t>
      </w:r>
    </w:p>
    <w:p w14:paraId="131E90B7">
      <w:pPr>
        <w:pStyle w:val="5"/>
        <w:spacing w:before="0" w:beforeAutospacing="0" w:after="0" w:afterAutospacing="0" w:line="437" w:lineRule="atLeast"/>
        <w:ind w:firstLine="627"/>
        <w:jc w:val="both"/>
        <w:rPr>
          <w:rFonts w:ascii="仿宋_GB2312" w:hAnsi="仿宋" w:eastAsia="仿宋_GB2312" w:cs="仿宋_GB2312"/>
          <w:color w:val="auto"/>
          <w:kern w:val="2"/>
          <w:sz w:val="32"/>
          <w:szCs w:val="32"/>
          <w:highlight w:val="none"/>
        </w:rPr>
      </w:pPr>
      <w:r>
        <w:rPr>
          <w:rFonts w:hint="eastAsia" w:ascii="仿宋_GB2312" w:hAnsi="仿宋" w:eastAsia="仿宋_GB2312" w:cs="仿宋_GB2312"/>
          <w:color w:val="auto"/>
          <w:kern w:val="2"/>
          <w:sz w:val="32"/>
          <w:szCs w:val="32"/>
          <w:highlight w:val="none"/>
        </w:rPr>
        <w:t>根据2019年怀化市机构改革要求，由原来的怀化市档案局参照公务员管理、财政全额拨款的正处级事业单位，改为怀化市档案馆，系中共怀化市委办公室所属财政全额拨款的正处级公益一类事业单位。担负着收集、征集和接收本馆保管范围内按规定移交进馆的各类档案资料，以及对全市35万余卷（册）档案资料的保管保护、对馆藏档案严格按照规定进行科学整理、编目、鉴定、数字化、技术保护及开发利用等职能。</w:t>
      </w:r>
    </w:p>
    <w:p w14:paraId="53464444">
      <w:pPr>
        <w:pStyle w:val="5"/>
        <w:spacing w:before="0" w:beforeAutospacing="0" w:after="0" w:afterAutospacing="0" w:line="437" w:lineRule="atLeast"/>
        <w:ind w:firstLine="627"/>
        <w:jc w:val="both"/>
        <w:rPr>
          <w:rFonts w:ascii="仿宋" w:hAnsi="仿宋" w:eastAsia="仿宋"/>
          <w:b/>
          <w:bCs/>
          <w:color w:val="auto"/>
          <w:sz w:val="32"/>
          <w:szCs w:val="32"/>
          <w:highlight w:val="none"/>
        </w:rPr>
      </w:pPr>
      <w:r>
        <w:rPr>
          <w:rFonts w:hint="eastAsia" w:ascii="仿宋" w:hAnsi="仿宋" w:eastAsia="仿宋"/>
          <w:b/>
          <w:bCs/>
          <w:color w:val="auto"/>
          <w:sz w:val="32"/>
          <w:szCs w:val="32"/>
          <w:highlight w:val="none"/>
        </w:rPr>
        <w:t>（二）机构设置情况</w:t>
      </w:r>
    </w:p>
    <w:p w14:paraId="58FF4E60">
      <w:pPr>
        <w:pStyle w:val="5"/>
        <w:spacing w:before="0" w:beforeAutospacing="0" w:after="0" w:afterAutospacing="0" w:line="437" w:lineRule="atLeast"/>
        <w:ind w:firstLine="800" w:firstLineChars="250"/>
        <w:jc w:val="both"/>
        <w:rPr>
          <w:rFonts w:ascii="仿宋_GB2312" w:hAnsi="仿宋" w:eastAsia="仿宋_GB2312" w:cs="仿宋_GB2312"/>
          <w:color w:val="auto"/>
          <w:kern w:val="2"/>
          <w:sz w:val="32"/>
          <w:szCs w:val="32"/>
          <w:highlight w:val="none"/>
        </w:rPr>
      </w:pPr>
      <w:r>
        <w:rPr>
          <w:rFonts w:hint="eastAsia" w:ascii="仿宋_GB2312" w:hAnsi="仿宋" w:eastAsia="仿宋_GB2312" w:cs="仿宋_GB2312"/>
          <w:color w:val="auto"/>
          <w:kern w:val="2"/>
          <w:sz w:val="32"/>
          <w:szCs w:val="32"/>
          <w:highlight w:val="none"/>
        </w:rPr>
        <w:t>怀化市档案馆作为一级部门预算单位，内设科室为：办公室、管理利用科、征集编研科、科技教育科、业务指导科、法制科。</w:t>
      </w:r>
    </w:p>
    <w:p w14:paraId="665BF928">
      <w:pPr>
        <w:widowControl/>
        <w:spacing w:line="437" w:lineRule="atLeast"/>
        <w:ind w:firstLine="640"/>
        <w:rPr>
          <w:rFonts w:ascii="等线" w:hAnsi="等线" w:eastAsia="等线" w:cs="宋体"/>
          <w:color w:val="auto"/>
          <w:kern w:val="0"/>
          <w:szCs w:val="21"/>
          <w:highlight w:val="none"/>
        </w:rPr>
      </w:pPr>
      <w:r>
        <w:rPr>
          <w:rFonts w:hint="eastAsia" w:ascii="黑体" w:hAnsi="黑体" w:eastAsia="黑体" w:cs="宋体"/>
          <w:color w:val="auto"/>
          <w:kern w:val="0"/>
          <w:sz w:val="32"/>
          <w:szCs w:val="32"/>
          <w:highlight w:val="none"/>
        </w:rPr>
        <w:t>二、部门预算单位构成</w:t>
      </w:r>
    </w:p>
    <w:p w14:paraId="7239DBF9">
      <w:pPr>
        <w:pStyle w:val="5"/>
        <w:spacing w:before="0" w:beforeAutospacing="0" w:after="0" w:afterAutospacing="0" w:line="437" w:lineRule="atLeast"/>
        <w:ind w:firstLine="627"/>
        <w:jc w:val="both"/>
        <w:rPr>
          <w:rFonts w:ascii="仿宋_GB2312" w:hAnsi="仿宋" w:eastAsia="仿宋_GB2312" w:cs="仿宋_GB2312"/>
          <w:color w:val="auto"/>
          <w:kern w:val="2"/>
          <w:sz w:val="32"/>
          <w:szCs w:val="32"/>
          <w:highlight w:val="none"/>
        </w:rPr>
      </w:pPr>
      <w:r>
        <w:rPr>
          <w:rFonts w:hint="eastAsia" w:ascii="仿宋_GB2312" w:hAnsi="仿宋" w:eastAsia="仿宋_GB2312" w:cs="仿宋_GB2312"/>
          <w:color w:val="auto"/>
          <w:kern w:val="2"/>
          <w:sz w:val="32"/>
          <w:szCs w:val="32"/>
          <w:highlight w:val="none"/>
        </w:rPr>
        <w:t>怀化市档案馆作为一级部门预算单位，纳入2023年部门预算编制范围的只有市怀化市档案馆本级。</w:t>
      </w:r>
    </w:p>
    <w:p w14:paraId="6FD91457">
      <w:pPr>
        <w:widowControl/>
        <w:spacing w:line="437" w:lineRule="atLeast"/>
        <w:ind w:firstLine="640" w:firstLineChars="200"/>
        <w:rPr>
          <w:rFonts w:ascii="等线" w:hAnsi="等线" w:eastAsia="等线" w:cs="宋体"/>
          <w:color w:val="auto"/>
          <w:kern w:val="0"/>
          <w:szCs w:val="21"/>
          <w:highlight w:val="none"/>
        </w:rPr>
      </w:pPr>
      <w:r>
        <w:rPr>
          <w:rFonts w:hint="eastAsia" w:ascii="黑体" w:hAnsi="黑体" w:eastAsia="黑体" w:cs="宋体"/>
          <w:color w:val="auto"/>
          <w:kern w:val="0"/>
          <w:sz w:val="32"/>
          <w:szCs w:val="32"/>
          <w:highlight w:val="none"/>
        </w:rPr>
        <w:t>三、部门收支总体情况</w:t>
      </w:r>
    </w:p>
    <w:p w14:paraId="4837E552">
      <w:pPr>
        <w:widowControl/>
        <w:spacing w:line="437" w:lineRule="atLeast"/>
        <w:ind w:firstLine="600"/>
        <w:rPr>
          <w:rFonts w:ascii="仿宋_GB2312" w:hAnsi="仿宋" w:eastAsia="仿宋_GB2312" w:cs="仿宋_GB2312"/>
          <w:color w:val="auto"/>
          <w:sz w:val="32"/>
          <w:szCs w:val="32"/>
          <w:highlight w:val="none"/>
        </w:rPr>
      </w:pPr>
      <w:r>
        <w:rPr>
          <w:rFonts w:hint="eastAsia" w:ascii="仿宋_GB2312" w:hAnsi="仿宋" w:eastAsia="仿宋_GB2312" w:cs="仿宋_GB2312"/>
          <w:color w:val="auto"/>
          <w:sz w:val="32"/>
          <w:szCs w:val="32"/>
          <w:highlight w:val="none"/>
        </w:rPr>
        <w:t>2023年部门预算包括本单位预算内的收支情况。</w:t>
      </w:r>
    </w:p>
    <w:p w14:paraId="1EB01D43">
      <w:pPr>
        <w:widowControl/>
        <w:spacing w:line="437" w:lineRule="atLeast"/>
        <w:ind w:firstLine="588"/>
        <w:rPr>
          <w:rFonts w:ascii="仿宋_GB2312" w:hAnsi="仿宋" w:eastAsia="仿宋_GB2312" w:cs="仿宋_GB2312"/>
          <w:color w:val="auto"/>
          <w:sz w:val="32"/>
          <w:szCs w:val="32"/>
          <w:highlight w:val="none"/>
        </w:rPr>
      </w:pPr>
      <w:r>
        <w:rPr>
          <w:rFonts w:hint="eastAsia" w:ascii="仿宋_GB2312" w:hAnsi="仿宋" w:eastAsia="仿宋_GB2312" w:cs="宋体"/>
          <w:b/>
          <w:bCs/>
          <w:color w:val="auto"/>
          <w:kern w:val="0"/>
          <w:sz w:val="32"/>
          <w:szCs w:val="32"/>
          <w:highlight w:val="none"/>
        </w:rPr>
        <w:t>（一）收入预算</w:t>
      </w:r>
      <w:r>
        <w:rPr>
          <w:rFonts w:hint="eastAsia" w:ascii="仿宋_GB2312" w:hAnsi="仿宋" w:eastAsia="仿宋_GB2312" w:cs="仿宋_GB2312"/>
          <w:color w:val="auto"/>
          <w:sz w:val="32"/>
          <w:szCs w:val="32"/>
          <w:highlight w:val="none"/>
        </w:rPr>
        <w:t>：包括一般公共预算、政府性基金、国有资本经营预算等财政拨款收入，以及经营收入、事业收入等单位资金。2023年本部门收入预算341.42万元，其中，一般公共预算拨款341.42万元，收入较上年增加47.59万元，增长1</w:t>
      </w:r>
      <w:r>
        <w:rPr>
          <w:rFonts w:ascii="仿宋_GB2312" w:hAnsi="仿宋" w:eastAsia="仿宋_GB2312" w:cs="仿宋_GB2312"/>
          <w:color w:val="auto"/>
          <w:sz w:val="32"/>
          <w:szCs w:val="32"/>
          <w:highlight w:val="none"/>
        </w:rPr>
        <w:t>6.20%</w:t>
      </w:r>
      <w:r>
        <w:rPr>
          <w:rFonts w:hint="eastAsia" w:ascii="仿宋_GB2312" w:hAnsi="仿宋" w:eastAsia="仿宋_GB2312" w:cs="仿宋_GB2312"/>
          <w:color w:val="auto"/>
          <w:sz w:val="32"/>
          <w:szCs w:val="32"/>
          <w:highlight w:val="none"/>
        </w:rPr>
        <w:t>，主要原因是基础性绩效奖和退休人员一次性生活补助纳入了预算，人员经费增加。</w:t>
      </w:r>
    </w:p>
    <w:p w14:paraId="0B82A687">
      <w:pPr>
        <w:widowControl/>
        <w:spacing w:line="420" w:lineRule="atLeast"/>
        <w:ind w:firstLine="640"/>
        <w:rPr>
          <w:rFonts w:ascii="仿宋_GB2312" w:hAnsi="仿宋" w:eastAsia="仿宋_GB2312" w:cs="宋体"/>
          <w:color w:val="auto"/>
          <w:kern w:val="0"/>
          <w:sz w:val="32"/>
          <w:szCs w:val="32"/>
          <w:highlight w:val="none"/>
        </w:rPr>
      </w:pPr>
      <w:r>
        <w:rPr>
          <w:rFonts w:hint="eastAsia" w:ascii="仿宋_GB2312" w:hAnsi="仿宋" w:eastAsia="仿宋_GB2312" w:cs="宋体"/>
          <w:b/>
          <w:bCs/>
          <w:color w:val="auto"/>
          <w:kern w:val="0"/>
          <w:sz w:val="32"/>
          <w:szCs w:val="32"/>
          <w:highlight w:val="none"/>
        </w:rPr>
        <w:t>（二）支出预算</w:t>
      </w:r>
      <w:r>
        <w:rPr>
          <w:rFonts w:hint="eastAsia" w:ascii="仿宋" w:hAnsi="仿宋" w:eastAsia="仿宋" w:cs="宋体"/>
          <w:color w:val="auto"/>
          <w:kern w:val="0"/>
          <w:sz w:val="30"/>
          <w:szCs w:val="30"/>
          <w:highlight w:val="none"/>
        </w:rPr>
        <w:t>：</w:t>
      </w:r>
      <w:r>
        <w:rPr>
          <w:rFonts w:hint="eastAsia" w:ascii="仿宋_GB2312" w:hAnsi="仿宋" w:eastAsia="仿宋_GB2312" w:cs="宋体"/>
          <w:color w:val="auto"/>
          <w:kern w:val="0"/>
          <w:sz w:val="32"/>
          <w:szCs w:val="32"/>
          <w:highlight w:val="none"/>
        </w:rPr>
        <w:t>202</w:t>
      </w:r>
      <w:r>
        <w:rPr>
          <w:rFonts w:hint="eastAsia" w:ascii="仿宋" w:hAnsi="仿宋" w:eastAsia="仿宋" w:cs="宋体"/>
          <w:color w:val="auto"/>
          <w:kern w:val="0"/>
          <w:sz w:val="32"/>
          <w:szCs w:val="32"/>
          <w:highlight w:val="none"/>
        </w:rPr>
        <w:t>3</w:t>
      </w:r>
      <w:r>
        <w:rPr>
          <w:rFonts w:hint="eastAsia" w:ascii="仿宋_GB2312" w:hAnsi="仿宋" w:eastAsia="仿宋_GB2312" w:cs="宋体"/>
          <w:color w:val="auto"/>
          <w:kern w:val="0"/>
          <w:sz w:val="32"/>
          <w:szCs w:val="32"/>
          <w:highlight w:val="none"/>
        </w:rPr>
        <w:t>年本部门支出预算</w:t>
      </w:r>
      <w:r>
        <w:rPr>
          <w:rFonts w:ascii="仿宋" w:hAnsi="仿宋" w:eastAsia="仿宋" w:cs="宋体"/>
          <w:color w:val="auto"/>
          <w:kern w:val="0"/>
          <w:sz w:val="32"/>
          <w:szCs w:val="32"/>
          <w:highlight w:val="none"/>
        </w:rPr>
        <w:t>341.42</w:t>
      </w:r>
      <w:r>
        <w:rPr>
          <w:rFonts w:hint="eastAsia" w:ascii="仿宋_GB2312" w:hAnsi="仿宋" w:eastAsia="仿宋_GB2312" w:cs="宋体"/>
          <w:color w:val="auto"/>
          <w:kern w:val="0"/>
          <w:sz w:val="32"/>
          <w:szCs w:val="32"/>
          <w:highlight w:val="none"/>
        </w:rPr>
        <w:t>万元，其中，</w:t>
      </w:r>
      <w:bookmarkStart w:id="0" w:name="_Hlk179829373"/>
      <w:r>
        <w:rPr>
          <w:rFonts w:hint="eastAsia" w:ascii="仿宋_GB2312" w:hAnsi="仿宋" w:eastAsia="仿宋_GB2312" w:cs="宋体"/>
          <w:color w:val="auto"/>
          <w:kern w:val="0"/>
          <w:sz w:val="32"/>
          <w:szCs w:val="32"/>
          <w:highlight w:val="none"/>
        </w:rPr>
        <w:t>一般公共服务支出</w:t>
      </w:r>
      <w:r>
        <w:rPr>
          <w:rFonts w:ascii="仿宋_GB2312" w:hAnsi="仿宋" w:eastAsia="仿宋_GB2312" w:cs="宋体"/>
          <w:color w:val="auto"/>
          <w:kern w:val="0"/>
          <w:sz w:val="32"/>
          <w:szCs w:val="32"/>
          <w:highlight w:val="none"/>
        </w:rPr>
        <w:t>281.01</w:t>
      </w:r>
      <w:r>
        <w:rPr>
          <w:rFonts w:hint="eastAsia" w:ascii="仿宋_GB2312" w:hAnsi="仿宋" w:eastAsia="仿宋_GB2312" w:cs="宋体"/>
          <w:color w:val="auto"/>
          <w:kern w:val="0"/>
          <w:sz w:val="32"/>
          <w:szCs w:val="32"/>
          <w:highlight w:val="none"/>
        </w:rPr>
        <w:t>万元，</w:t>
      </w:r>
      <w:r>
        <w:rPr>
          <w:rFonts w:hint="eastAsia" w:ascii="仿宋_GB2312" w:hAnsi="仿宋" w:eastAsia="仿宋_GB2312" w:cs="仿宋_GB2312"/>
          <w:color w:val="auto"/>
          <w:sz w:val="32"/>
          <w:szCs w:val="32"/>
          <w:highlight w:val="none"/>
        </w:rPr>
        <w:t>社会保障和就业支出</w:t>
      </w:r>
      <w:r>
        <w:rPr>
          <w:rFonts w:ascii="仿宋_GB2312" w:hAnsi="仿宋" w:eastAsia="仿宋_GB2312" w:cs="仿宋_GB2312"/>
          <w:color w:val="auto"/>
          <w:sz w:val="32"/>
          <w:szCs w:val="32"/>
          <w:highlight w:val="none"/>
        </w:rPr>
        <w:t>48.35</w:t>
      </w:r>
      <w:r>
        <w:rPr>
          <w:rFonts w:hint="eastAsia" w:ascii="仿宋_GB2312" w:hAnsi="仿宋" w:eastAsia="仿宋_GB2312" w:cs="仿宋_GB2312"/>
          <w:color w:val="auto"/>
          <w:sz w:val="32"/>
          <w:szCs w:val="32"/>
          <w:highlight w:val="none"/>
        </w:rPr>
        <w:t>万元，卫生健康支出</w:t>
      </w:r>
      <w:r>
        <w:rPr>
          <w:rFonts w:ascii="仿宋_GB2312" w:hAnsi="仿宋" w:eastAsia="仿宋_GB2312" w:cs="仿宋_GB2312"/>
          <w:color w:val="auto"/>
          <w:sz w:val="32"/>
          <w:szCs w:val="32"/>
          <w:highlight w:val="none"/>
        </w:rPr>
        <w:t>12.06</w:t>
      </w:r>
      <w:r>
        <w:rPr>
          <w:rFonts w:hint="eastAsia" w:ascii="仿宋_GB2312" w:hAnsi="仿宋" w:eastAsia="仿宋_GB2312" w:cs="仿宋_GB2312"/>
          <w:color w:val="auto"/>
          <w:sz w:val="32"/>
          <w:szCs w:val="32"/>
          <w:highlight w:val="none"/>
        </w:rPr>
        <w:t>万元，</w:t>
      </w:r>
      <w:bookmarkEnd w:id="0"/>
      <w:r>
        <w:rPr>
          <w:rFonts w:hint="eastAsia" w:ascii="仿宋_GB2312" w:hAnsi="仿宋" w:eastAsia="仿宋_GB2312" w:cs="宋体"/>
          <w:color w:val="auto"/>
          <w:kern w:val="0"/>
          <w:sz w:val="32"/>
          <w:szCs w:val="32"/>
          <w:highlight w:val="none"/>
        </w:rPr>
        <w:t>支出较上年增加</w:t>
      </w:r>
      <w:r>
        <w:rPr>
          <w:rFonts w:hint="eastAsia" w:ascii="仿宋" w:hAnsi="仿宋" w:eastAsia="仿宋" w:cs="宋体"/>
          <w:color w:val="auto"/>
          <w:kern w:val="0"/>
          <w:sz w:val="32"/>
          <w:szCs w:val="32"/>
          <w:highlight w:val="none"/>
        </w:rPr>
        <w:t>47.59</w:t>
      </w:r>
      <w:r>
        <w:rPr>
          <w:rFonts w:hint="eastAsia" w:ascii="仿宋_GB2312" w:hAnsi="仿宋" w:eastAsia="仿宋_GB2312" w:cs="宋体"/>
          <w:color w:val="auto"/>
          <w:kern w:val="0"/>
          <w:sz w:val="32"/>
          <w:szCs w:val="32"/>
          <w:highlight w:val="none"/>
        </w:rPr>
        <w:t>万元，增长1</w:t>
      </w:r>
      <w:r>
        <w:rPr>
          <w:rFonts w:ascii="仿宋_GB2312" w:hAnsi="仿宋" w:eastAsia="仿宋_GB2312" w:cs="宋体"/>
          <w:color w:val="auto"/>
          <w:kern w:val="0"/>
          <w:sz w:val="32"/>
          <w:szCs w:val="32"/>
          <w:highlight w:val="none"/>
        </w:rPr>
        <w:t>6.20%</w:t>
      </w:r>
      <w:r>
        <w:rPr>
          <w:rFonts w:hint="eastAsia" w:ascii="仿宋_GB2312" w:hAnsi="仿宋" w:eastAsia="仿宋_GB2312" w:cs="宋体"/>
          <w:color w:val="auto"/>
          <w:kern w:val="0"/>
          <w:sz w:val="32"/>
          <w:szCs w:val="32"/>
          <w:highlight w:val="none"/>
        </w:rPr>
        <w:t>，主要原因如下：</w:t>
      </w:r>
    </w:p>
    <w:p w14:paraId="2BF86F3F">
      <w:pPr>
        <w:widowControl/>
        <w:spacing w:line="420" w:lineRule="atLeast"/>
        <w:ind w:firstLine="640"/>
        <w:rPr>
          <w:rFonts w:ascii="仿宋_GB2312" w:hAnsi="仿宋" w:eastAsia="仿宋_GB2312" w:cs="仿宋_GB2312"/>
          <w:color w:val="auto"/>
          <w:sz w:val="32"/>
          <w:szCs w:val="32"/>
          <w:highlight w:val="none"/>
        </w:rPr>
      </w:pPr>
      <w:r>
        <w:rPr>
          <w:rFonts w:hint="eastAsia" w:ascii="仿宋_GB2312" w:hAnsi="仿宋" w:eastAsia="仿宋_GB2312" w:cs="宋体"/>
          <w:color w:val="auto"/>
          <w:kern w:val="0"/>
          <w:sz w:val="32"/>
          <w:szCs w:val="32"/>
          <w:highlight w:val="none"/>
        </w:rPr>
        <w:t>1、基本支出较上年增加</w:t>
      </w:r>
      <w:r>
        <w:rPr>
          <w:rFonts w:ascii="仿宋_GB2312" w:hAnsi="仿宋" w:eastAsia="仿宋_GB2312" w:cs="宋体"/>
          <w:color w:val="auto"/>
          <w:kern w:val="0"/>
          <w:sz w:val="32"/>
          <w:szCs w:val="32"/>
          <w:highlight w:val="none"/>
        </w:rPr>
        <w:t>53.69</w:t>
      </w:r>
      <w:r>
        <w:rPr>
          <w:rFonts w:hint="eastAsia" w:ascii="仿宋_GB2312" w:hAnsi="仿宋" w:eastAsia="仿宋_GB2312" w:cs="宋体"/>
          <w:color w:val="auto"/>
          <w:kern w:val="0"/>
          <w:sz w:val="32"/>
          <w:szCs w:val="32"/>
          <w:highlight w:val="none"/>
        </w:rPr>
        <w:t>万元，主要原因是</w:t>
      </w:r>
      <w:r>
        <w:rPr>
          <w:rFonts w:hint="eastAsia" w:ascii="仿宋_GB2312" w:hAnsi="仿宋" w:eastAsia="仿宋_GB2312" w:cs="仿宋_GB2312"/>
          <w:color w:val="auto"/>
          <w:sz w:val="32"/>
          <w:szCs w:val="32"/>
          <w:highlight w:val="none"/>
        </w:rPr>
        <w:t>基础性绩效奖和退休人员一次性生活补助纳入了预算，人员经费增加。</w:t>
      </w:r>
    </w:p>
    <w:p w14:paraId="015E2E7D">
      <w:pPr>
        <w:widowControl/>
        <w:spacing w:line="420" w:lineRule="atLeast"/>
        <w:ind w:firstLine="640"/>
        <w:rPr>
          <w:rFonts w:ascii="仿宋_GB2312" w:hAnsi="仿宋" w:eastAsia="仿宋_GB2312" w:cs="宋体"/>
          <w:color w:val="auto"/>
          <w:kern w:val="0"/>
          <w:sz w:val="32"/>
          <w:szCs w:val="32"/>
          <w:highlight w:val="none"/>
        </w:rPr>
      </w:pPr>
      <w:r>
        <w:rPr>
          <w:rFonts w:hint="eastAsia" w:ascii="仿宋_GB2312" w:hAnsi="仿宋" w:eastAsia="仿宋_GB2312" w:cs="宋体"/>
          <w:color w:val="auto"/>
          <w:kern w:val="0"/>
          <w:sz w:val="32"/>
          <w:szCs w:val="32"/>
          <w:highlight w:val="none"/>
        </w:rPr>
        <w:t>2、项目支出较上年减少6</w:t>
      </w:r>
      <w:r>
        <w:rPr>
          <w:rFonts w:ascii="仿宋_GB2312" w:hAnsi="仿宋" w:eastAsia="仿宋_GB2312" w:cs="宋体"/>
          <w:color w:val="auto"/>
          <w:kern w:val="0"/>
          <w:sz w:val="32"/>
          <w:szCs w:val="32"/>
          <w:highlight w:val="none"/>
        </w:rPr>
        <w:t>.10</w:t>
      </w:r>
      <w:r>
        <w:rPr>
          <w:rFonts w:hint="eastAsia" w:ascii="仿宋_GB2312" w:hAnsi="仿宋" w:eastAsia="仿宋_GB2312" w:cs="宋体"/>
          <w:color w:val="auto"/>
          <w:kern w:val="0"/>
          <w:sz w:val="32"/>
          <w:szCs w:val="32"/>
          <w:highlight w:val="none"/>
        </w:rPr>
        <w:t>万元，主要原因是财政压减项目经费。</w:t>
      </w:r>
    </w:p>
    <w:p w14:paraId="359243FA">
      <w:pPr>
        <w:widowControl/>
        <w:spacing w:line="437" w:lineRule="atLeast"/>
        <w:ind w:firstLine="640"/>
        <w:rPr>
          <w:rFonts w:ascii="等线" w:hAnsi="等线" w:eastAsia="等线" w:cs="宋体"/>
          <w:color w:val="auto"/>
          <w:kern w:val="0"/>
          <w:szCs w:val="21"/>
          <w:highlight w:val="none"/>
        </w:rPr>
      </w:pPr>
      <w:r>
        <w:rPr>
          <w:rFonts w:hint="eastAsia" w:ascii="黑体" w:hAnsi="黑体" w:eastAsia="黑体" w:cs="宋体"/>
          <w:color w:val="auto"/>
          <w:kern w:val="0"/>
          <w:sz w:val="32"/>
          <w:szCs w:val="32"/>
          <w:highlight w:val="none"/>
        </w:rPr>
        <w:t>四、一般公共预算拨款支出</w:t>
      </w:r>
    </w:p>
    <w:p w14:paraId="568EFF4D">
      <w:pPr>
        <w:widowControl/>
        <w:spacing w:line="437" w:lineRule="atLeast"/>
        <w:ind w:firstLine="640" w:firstLineChars="200"/>
        <w:rPr>
          <w:rFonts w:ascii="仿宋_GB2312" w:hAnsi="仿宋" w:eastAsia="仿宋_GB2312" w:cs="仿宋_GB2312"/>
          <w:color w:val="auto"/>
          <w:sz w:val="32"/>
          <w:szCs w:val="32"/>
          <w:highlight w:val="none"/>
        </w:rPr>
      </w:pPr>
      <w:r>
        <w:rPr>
          <w:rFonts w:hint="eastAsia" w:ascii="仿宋_GB2312" w:hAnsi="仿宋" w:eastAsia="仿宋_GB2312" w:cs="仿宋_GB2312"/>
          <w:color w:val="auto"/>
          <w:sz w:val="32"/>
          <w:szCs w:val="32"/>
          <w:highlight w:val="none"/>
        </w:rPr>
        <w:t>2023年一般公共预算拨款支出</w:t>
      </w:r>
      <w:r>
        <w:rPr>
          <w:rFonts w:ascii="仿宋_GB2312" w:hAnsi="仿宋" w:eastAsia="仿宋_GB2312" w:cs="仿宋_GB2312"/>
          <w:color w:val="auto"/>
          <w:sz w:val="32"/>
          <w:szCs w:val="32"/>
          <w:highlight w:val="none"/>
        </w:rPr>
        <w:t>341.42</w:t>
      </w:r>
      <w:r>
        <w:rPr>
          <w:rFonts w:hint="eastAsia" w:ascii="仿宋_GB2312" w:hAnsi="仿宋" w:eastAsia="仿宋_GB2312" w:cs="仿宋_GB2312"/>
          <w:color w:val="auto"/>
          <w:sz w:val="32"/>
          <w:szCs w:val="32"/>
          <w:highlight w:val="none"/>
        </w:rPr>
        <w:t>万元，其中，</w:t>
      </w:r>
      <w:r>
        <w:rPr>
          <w:rFonts w:hint="eastAsia" w:ascii="仿宋_GB2312" w:hAnsi="仿宋" w:eastAsia="仿宋_GB2312" w:cs="宋体"/>
          <w:color w:val="auto"/>
          <w:kern w:val="0"/>
          <w:sz w:val="32"/>
          <w:szCs w:val="32"/>
          <w:highlight w:val="none"/>
        </w:rPr>
        <w:t>一般公共服务支出</w:t>
      </w:r>
      <w:r>
        <w:rPr>
          <w:rFonts w:ascii="仿宋_GB2312" w:hAnsi="仿宋" w:eastAsia="仿宋_GB2312" w:cs="宋体"/>
          <w:color w:val="auto"/>
          <w:kern w:val="0"/>
          <w:sz w:val="32"/>
          <w:szCs w:val="32"/>
          <w:highlight w:val="none"/>
        </w:rPr>
        <w:t>281.01</w:t>
      </w:r>
      <w:r>
        <w:rPr>
          <w:rFonts w:hint="eastAsia" w:ascii="仿宋_GB2312" w:hAnsi="仿宋" w:eastAsia="仿宋_GB2312" w:cs="宋体"/>
          <w:color w:val="auto"/>
          <w:kern w:val="0"/>
          <w:sz w:val="32"/>
          <w:szCs w:val="32"/>
          <w:highlight w:val="none"/>
        </w:rPr>
        <w:t>万元，</w:t>
      </w:r>
      <w:r>
        <w:rPr>
          <w:rFonts w:hint="eastAsia" w:ascii="仿宋_GB2312" w:hAnsi="仿宋_GB2312" w:eastAsia="仿宋_GB2312" w:cs="仿宋_GB2312"/>
          <w:color w:val="auto"/>
          <w:sz w:val="32"/>
          <w:szCs w:val="32"/>
          <w:highlight w:val="none"/>
        </w:rPr>
        <w:t>占</w:t>
      </w:r>
      <w:r>
        <w:rPr>
          <w:rFonts w:hint="eastAsia" w:ascii="仿宋_GB2312" w:hAnsi="仿宋_GB2312" w:eastAsia="仿宋_GB2312" w:cs="仿宋_GB2312"/>
          <w:color w:val="auto"/>
          <w:sz w:val="32"/>
          <w:szCs w:val="32"/>
          <w:highlight w:val="none"/>
          <w:lang w:val="en-US" w:eastAsia="zh-CN"/>
        </w:rPr>
        <w:t>82.31</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eastAsia="zh-CN"/>
        </w:rPr>
        <w:t>；</w:t>
      </w:r>
      <w:r>
        <w:rPr>
          <w:rFonts w:hint="eastAsia" w:ascii="仿宋_GB2312" w:hAnsi="仿宋" w:eastAsia="仿宋_GB2312" w:cs="仿宋_GB2312"/>
          <w:color w:val="auto"/>
          <w:sz w:val="32"/>
          <w:szCs w:val="32"/>
          <w:highlight w:val="none"/>
        </w:rPr>
        <w:t>社会保障和就业支出</w:t>
      </w:r>
      <w:r>
        <w:rPr>
          <w:rFonts w:ascii="仿宋_GB2312" w:hAnsi="仿宋" w:eastAsia="仿宋_GB2312" w:cs="仿宋_GB2312"/>
          <w:color w:val="auto"/>
          <w:sz w:val="32"/>
          <w:szCs w:val="32"/>
          <w:highlight w:val="none"/>
        </w:rPr>
        <w:t>48.35</w:t>
      </w:r>
      <w:r>
        <w:rPr>
          <w:rFonts w:hint="eastAsia" w:ascii="仿宋_GB2312" w:hAnsi="仿宋" w:eastAsia="仿宋_GB2312" w:cs="仿宋_GB2312"/>
          <w:color w:val="auto"/>
          <w:sz w:val="32"/>
          <w:szCs w:val="32"/>
          <w:highlight w:val="none"/>
        </w:rPr>
        <w:t>万元，</w:t>
      </w:r>
      <w:r>
        <w:rPr>
          <w:rFonts w:hint="eastAsia" w:ascii="仿宋_GB2312" w:hAnsi="仿宋_GB2312" w:eastAsia="仿宋_GB2312" w:cs="仿宋_GB2312"/>
          <w:color w:val="auto"/>
          <w:sz w:val="32"/>
          <w:szCs w:val="32"/>
          <w:highlight w:val="none"/>
        </w:rPr>
        <w:t>占</w:t>
      </w:r>
      <w:r>
        <w:rPr>
          <w:rFonts w:hint="eastAsia" w:ascii="仿宋_GB2312" w:hAnsi="仿宋_GB2312" w:eastAsia="仿宋_GB2312" w:cs="仿宋_GB2312"/>
          <w:color w:val="auto"/>
          <w:sz w:val="32"/>
          <w:szCs w:val="32"/>
          <w:highlight w:val="none"/>
          <w:lang w:val="en-US" w:eastAsia="zh-CN"/>
        </w:rPr>
        <w:t>14.16</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eastAsia="zh-CN"/>
        </w:rPr>
        <w:t>；</w:t>
      </w:r>
      <w:r>
        <w:rPr>
          <w:rFonts w:hint="eastAsia" w:ascii="仿宋_GB2312" w:hAnsi="仿宋" w:eastAsia="仿宋_GB2312" w:cs="仿宋_GB2312"/>
          <w:color w:val="auto"/>
          <w:sz w:val="32"/>
          <w:szCs w:val="32"/>
          <w:highlight w:val="none"/>
        </w:rPr>
        <w:t>卫生健康支出</w:t>
      </w:r>
      <w:r>
        <w:rPr>
          <w:rFonts w:ascii="仿宋_GB2312" w:hAnsi="仿宋" w:eastAsia="仿宋_GB2312" w:cs="仿宋_GB2312"/>
          <w:color w:val="auto"/>
          <w:sz w:val="32"/>
          <w:szCs w:val="32"/>
          <w:highlight w:val="none"/>
        </w:rPr>
        <w:t>12.06</w:t>
      </w:r>
      <w:r>
        <w:rPr>
          <w:rFonts w:hint="eastAsia" w:ascii="仿宋_GB2312" w:hAnsi="仿宋" w:eastAsia="仿宋_GB2312" w:cs="仿宋_GB2312"/>
          <w:color w:val="auto"/>
          <w:sz w:val="32"/>
          <w:szCs w:val="32"/>
          <w:highlight w:val="none"/>
        </w:rPr>
        <w:t>万元，</w:t>
      </w:r>
      <w:r>
        <w:rPr>
          <w:rFonts w:hint="eastAsia" w:ascii="仿宋_GB2312" w:hAnsi="仿宋_GB2312" w:eastAsia="仿宋_GB2312" w:cs="仿宋_GB2312"/>
          <w:color w:val="auto"/>
          <w:sz w:val="32"/>
          <w:szCs w:val="32"/>
          <w:highlight w:val="none"/>
        </w:rPr>
        <w:t>占</w:t>
      </w:r>
      <w:r>
        <w:rPr>
          <w:rFonts w:hint="eastAsia" w:ascii="仿宋_GB2312" w:hAnsi="仿宋_GB2312" w:eastAsia="仿宋_GB2312" w:cs="仿宋_GB2312"/>
          <w:color w:val="auto"/>
          <w:sz w:val="32"/>
          <w:szCs w:val="32"/>
          <w:highlight w:val="none"/>
          <w:lang w:val="en-US" w:eastAsia="zh-CN"/>
        </w:rPr>
        <w:t>3.53</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eastAsia="zh-CN"/>
        </w:rPr>
        <w:t>；</w:t>
      </w:r>
      <w:r>
        <w:rPr>
          <w:rFonts w:hint="eastAsia" w:ascii="仿宋_GB2312" w:hAnsi="仿宋" w:eastAsia="仿宋_GB2312" w:cs="仿宋_GB2312"/>
          <w:color w:val="auto"/>
          <w:sz w:val="32"/>
          <w:szCs w:val="32"/>
          <w:highlight w:val="none"/>
        </w:rPr>
        <w:t>具体安排情况如下：</w:t>
      </w:r>
    </w:p>
    <w:p w14:paraId="3BD1FAF2">
      <w:pPr>
        <w:widowControl/>
        <w:spacing w:line="437" w:lineRule="atLeast"/>
        <w:ind w:firstLine="600"/>
        <w:rPr>
          <w:rFonts w:ascii="仿宋_GB2312" w:hAnsi="仿宋" w:eastAsia="仿宋_GB2312" w:cs="仿宋_GB2312"/>
          <w:color w:val="auto"/>
          <w:sz w:val="32"/>
          <w:szCs w:val="32"/>
          <w:highlight w:val="none"/>
        </w:rPr>
      </w:pPr>
      <w:r>
        <w:rPr>
          <w:rFonts w:hint="eastAsia" w:ascii="仿宋_GB2312" w:hAnsi="仿宋" w:eastAsia="仿宋_GB2312" w:cs="宋体"/>
          <w:b/>
          <w:bCs/>
          <w:color w:val="auto"/>
          <w:kern w:val="0"/>
          <w:sz w:val="32"/>
          <w:szCs w:val="32"/>
          <w:highlight w:val="none"/>
        </w:rPr>
        <w:t>（一）基本支出</w:t>
      </w:r>
      <w:r>
        <w:rPr>
          <w:rFonts w:hint="eastAsia" w:ascii="仿宋_GB2312" w:hAnsi="仿宋" w:eastAsia="仿宋_GB2312" w:cs="仿宋_GB2312"/>
          <w:color w:val="auto"/>
          <w:sz w:val="32"/>
          <w:szCs w:val="32"/>
          <w:highlight w:val="none"/>
        </w:rPr>
        <w:t>：2023年本部门基本支出预算</w:t>
      </w:r>
      <w:r>
        <w:rPr>
          <w:rFonts w:ascii="仿宋_GB2312" w:hAnsi="仿宋" w:eastAsia="仿宋_GB2312" w:cs="仿宋_GB2312"/>
          <w:color w:val="auto"/>
          <w:sz w:val="32"/>
          <w:szCs w:val="32"/>
          <w:highlight w:val="none"/>
        </w:rPr>
        <w:t>310.92</w:t>
      </w:r>
      <w:r>
        <w:rPr>
          <w:rFonts w:hint="eastAsia" w:ascii="仿宋_GB2312" w:hAnsi="仿宋" w:eastAsia="仿宋_GB2312" w:cs="仿宋_GB2312"/>
          <w:color w:val="auto"/>
          <w:sz w:val="32"/>
          <w:szCs w:val="32"/>
          <w:highlight w:val="none"/>
        </w:rPr>
        <w:t>万元，是指为保障单位机构正常运转、完成日常工作任务而发生的各项支出，包括用于基本工资82.07万元、津贴补贴40.50万元、奖金56.93万元、住房公积金2</w:t>
      </w:r>
      <w:r>
        <w:rPr>
          <w:rFonts w:ascii="仿宋_GB2312" w:hAnsi="仿宋" w:eastAsia="仿宋_GB2312" w:cs="仿宋_GB2312"/>
          <w:color w:val="auto"/>
          <w:sz w:val="32"/>
          <w:szCs w:val="32"/>
          <w:highlight w:val="none"/>
        </w:rPr>
        <w:t>3.33</w:t>
      </w:r>
      <w:r>
        <w:rPr>
          <w:rFonts w:hint="eastAsia" w:ascii="仿宋_GB2312" w:hAnsi="仿宋" w:eastAsia="仿宋_GB2312" w:cs="仿宋_GB2312"/>
          <w:color w:val="auto"/>
          <w:sz w:val="32"/>
          <w:szCs w:val="32"/>
          <w:highlight w:val="none"/>
        </w:rPr>
        <w:t>万元、绩效工资2</w:t>
      </w:r>
      <w:r>
        <w:rPr>
          <w:rFonts w:ascii="仿宋_GB2312" w:hAnsi="仿宋" w:eastAsia="仿宋_GB2312" w:cs="仿宋_GB2312"/>
          <w:color w:val="auto"/>
          <w:sz w:val="32"/>
          <w:szCs w:val="32"/>
          <w:highlight w:val="none"/>
        </w:rPr>
        <w:t>.93</w:t>
      </w:r>
      <w:r>
        <w:rPr>
          <w:rFonts w:hint="eastAsia" w:ascii="仿宋_GB2312" w:hAnsi="仿宋" w:eastAsia="仿宋_GB2312" w:cs="仿宋_GB2312"/>
          <w:color w:val="auto"/>
          <w:sz w:val="32"/>
          <w:szCs w:val="32"/>
          <w:highlight w:val="none"/>
        </w:rPr>
        <w:t>万元、机关事业单位基本养老保险缴费2</w:t>
      </w:r>
      <w:r>
        <w:rPr>
          <w:rFonts w:ascii="仿宋_GB2312" w:hAnsi="仿宋" w:eastAsia="仿宋_GB2312" w:cs="仿宋_GB2312"/>
          <w:color w:val="auto"/>
          <w:sz w:val="32"/>
          <w:szCs w:val="32"/>
          <w:highlight w:val="none"/>
        </w:rPr>
        <w:t>8.38</w:t>
      </w:r>
      <w:r>
        <w:rPr>
          <w:rFonts w:hint="eastAsia" w:ascii="仿宋_GB2312" w:hAnsi="仿宋" w:eastAsia="仿宋_GB2312" w:cs="仿宋_GB2312"/>
          <w:color w:val="auto"/>
          <w:sz w:val="32"/>
          <w:szCs w:val="32"/>
          <w:highlight w:val="none"/>
        </w:rPr>
        <w:t>万元、职工基本医疗保险缴费1</w:t>
      </w:r>
      <w:r>
        <w:rPr>
          <w:rFonts w:ascii="仿宋_GB2312" w:hAnsi="仿宋" w:eastAsia="仿宋_GB2312" w:cs="仿宋_GB2312"/>
          <w:color w:val="auto"/>
          <w:sz w:val="32"/>
          <w:szCs w:val="32"/>
          <w:highlight w:val="none"/>
        </w:rPr>
        <w:t>2.06</w:t>
      </w:r>
      <w:r>
        <w:rPr>
          <w:rFonts w:hint="eastAsia" w:ascii="仿宋_GB2312" w:hAnsi="仿宋" w:eastAsia="仿宋_GB2312" w:cs="仿宋_GB2312"/>
          <w:color w:val="auto"/>
          <w:sz w:val="32"/>
          <w:szCs w:val="32"/>
          <w:highlight w:val="none"/>
        </w:rPr>
        <w:t>万元、其他工资福利支出4</w:t>
      </w:r>
      <w:r>
        <w:rPr>
          <w:rFonts w:ascii="仿宋_GB2312" w:hAnsi="仿宋" w:eastAsia="仿宋_GB2312" w:cs="仿宋_GB2312"/>
          <w:color w:val="auto"/>
          <w:sz w:val="32"/>
          <w:szCs w:val="32"/>
          <w:highlight w:val="none"/>
        </w:rPr>
        <w:t>.10</w:t>
      </w:r>
      <w:r>
        <w:rPr>
          <w:rFonts w:hint="eastAsia" w:ascii="仿宋_GB2312" w:hAnsi="仿宋" w:eastAsia="仿宋_GB2312" w:cs="仿宋_GB2312"/>
          <w:color w:val="auto"/>
          <w:sz w:val="32"/>
          <w:szCs w:val="32"/>
          <w:highlight w:val="none"/>
        </w:rPr>
        <w:t>万元、其他对个人和家庭的补助18万元、工会经费</w:t>
      </w:r>
      <w:r>
        <w:rPr>
          <w:rFonts w:ascii="仿宋_GB2312" w:hAnsi="仿宋" w:eastAsia="仿宋_GB2312" w:cs="仿宋_GB2312"/>
          <w:color w:val="auto"/>
          <w:sz w:val="32"/>
          <w:szCs w:val="32"/>
          <w:highlight w:val="none"/>
        </w:rPr>
        <w:t>3.51</w:t>
      </w:r>
      <w:r>
        <w:rPr>
          <w:rFonts w:hint="eastAsia" w:ascii="仿宋_GB2312" w:hAnsi="仿宋" w:eastAsia="仿宋_GB2312" w:cs="仿宋_GB2312"/>
          <w:color w:val="auto"/>
          <w:sz w:val="32"/>
          <w:szCs w:val="32"/>
          <w:highlight w:val="none"/>
        </w:rPr>
        <w:t>元、办公费</w:t>
      </w:r>
      <w:r>
        <w:rPr>
          <w:rFonts w:ascii="仿宋_GB2312" w:hAnsi="仿宋" w:eastAsia="仿宋_GB2312" w:cs="仿宋_GB2312"/>
          <w:color w:val="auto"/>
          <w:sz w:val="32"/>
          <w:szCs w:val="32"/>
          <w:highlight w:val="none"/>
        </w:rPr>
        <w:t>5</w:t>
      </w:r>
      <w:r>
        <w:rPr>
          <w:rFonts w:hint="eastAsia" w:ascii="仿宋_GB2312" w:hAnsi="仿宋" w:eastAsia="仿宋_GB2312" w:cs="仿宋_GB2312"/>
          <w:color w:val="auto"/>
          <w:sz w:val="32"/>
          <w:szCs w:val="32"/>
          <w:highlight w:val="none"/>
        </w:rPr>
        <w:t>万元、公务接待费</w:t>
      </w:r>
      <w:r>
        <w:rPr>
          <w:rFonts w:ascii="仿宋_GB2312" w:hAnsi="仿宋" w:eastAsia="仿宋_GB2312" w:cs="仿宋_GB2312"/>
          <w:color w:val="auto"/>
          <w:sz w:val="32"/>
          <w:szCs w:val="32"/>
          <w:highlight w:val="none"/>
        </w:rPr>
        <w:t>0.15</w:t>
      </w:r>
      <w:r>
        <w:rPr>
          <w:rFonts w:hint="eastAsia" w:ascii="仿宋_GB2312" w:hAnsi="仿宋" w:eastAsia="仿宋_GB2312" w:cs="仿宋_GB2312"/>
          <w:color w:val="auto"/>
          <w:sz w:val="32"/>
          <w:szCs w:val="32"/>
          <w:highlight w:val="none"/>
        </w:rPr>
        <w:t>万元、公务用车运行维护费</w:t>
      </w:r>
      <w:r>
        <w:rPr>
          <w:rFonts w:ascii="仿宋_GB2312" w:hAnsi="仿宋" w:eastAsia="仿宋_GB2312" w:cs="仿宋_GB2312"/>
          <w:color w:val="auto"/>
          <w:sz w:val="32"/>
          <w:szCs w:val="32"/>
          <w:highlight w:val="none"/>
        </w:rPr>
        <w:t>4</w:t>
      </w:r>
      <w:r>
        <w:rPr>
          <w:rFonts w:hint="eastAsia" w:ascii="仿宋_GB2312" w:hAnsi="仿宋" w:eastAsia="仿宋_GB2312" w:cs="仿宋_GB2312"/>
          <w:color w:val="auto"/>
          <w:sz w:val="32"/>
          <w:szCs w:val="32"/>
          <w:highlight w:val="none"/>
        </w:rPr>
        <w:t>万元。</w:t>
      </w:r>
    </w:p>
    <w:p w14:paraId="0B63E6C0">
      <w:pPr>
        <w:widowControl/>
        <w:spacing w:line="450" w:lineRule="atLeast"/>
        <w:ind w:firstLine="600"/>
        <w:rPr>
          <w:rFonts w:ascii="仿宋_GB2312" w:hAnsi="仿宋" w:eastAsia="仿宋_GB2312" w:cs="仿宋_GB2312"/>
          <w:color w:val="auto"/>
          <w:sz w:val="32"/>
          <w:szCs w:val="32"/>
          <w:highlight w:val="none"/>
        </w:rPr>
      </w:pPr>
      <w:r>
        <w:rPr>
          <w:rFonts w:hint="eastAsia" w:ascii="仿宋_GB2312" w:hAnsi="仿宋" w:eastAsia="仿宋_GB2312" w:cs="宋体"/>
          <w:b/>
          <w:bCs/>
          <w:color w:val="auto"/>
          <w:kern w:val="0"/>
          <w:sz w:val="32"/>
          <w:szCs w:val="32"/>
          <w:highlight w:val="none"/>
        </w:rPr>
        <w:t>（二）项目支出</w:t>
      </w:r>
      <w:r>
        <w:rPr>
          <w:rFonts w:hint="eastAsia" w:ascii="仿宋_GB2312" w:hAnsi="仿宋" w:eastAsia="仿宋_GB2312" w:cs="仿宋_GB2312"/>
          <w:color w:val="auto"/>
          <w:sz w:val="32"/>
          <w:szCs w:val="32"/>
          <w:highlight w:val="none"/>
        </w:rPr>
        <w:t>：2023年本部门项目支出预算30.50万元，是指单位为完成特定行政工作任务或事业发展目标而发生的支出，包括有关事业发展专项、专项业务费、基本建设支出等。2</w:t>
      </w:r>
      <w:r>
        <w:rPr>
          <w:rFonts w:ascii="仿宋_GB2312" w:hAnsi="仿宋" w:eastAsia="仿宋_GB2312" w:cs="仿宋_GB2312"/>
          <w:color w:val="auto"/>
          <w:sz w:val="32"/>
          <w:szCs w:val="32"/>
          <w:highlight w:val="none"/>
        </w:rPr>
        <w:t>023</w:t>
      </w:r>
      <w:r>
        <w:rPr>
          <w:rFonts w:hint="eastAsia" w:ascii="仿宋_GB2312" w:hAnsi="仿宋" w:eastAsia="仿宋_GB2312" w:cs="仿宋_GB2312"/>
          <w:color w:val="auto"/>
          <w:sz w:val="32"/>
          <w:szCs w:val="32"/>
          <w:highlight w:val="none"/>
        </w:rPr>
        <w:t>年本单位只有一个项目：档案日常管理和征集费30.50万元，主要用于档案馆日常管理和征集工作的费用支出。</w:t>
      </w:r>
    </w:p>
    <w:p w14:paraId="0DF2457D">
      <w:pPr>
        <w:widowControl/>
        <w:spacing w:line="437" w:lineRule="atLeast"/>
        <w:ind w:firstLine="640"/>
        <w:rPr>
          <w:rFonts w:ascii="等线" w:hAnsi="等线" w:eastAsia="等线" w:cs="宋体"/>
          <w:color w:val="auto"/>
          <w:kern w:val="0"/>
          <w:szCs w:val="21"/>
          <w:highlight w:val="none"/>
        </w:rPr>
      </w:pPr>
      <w:r>
        <w:rPr>
          <w:rFonts w:hint="eastAsia" w:ascii="黑体" w:hAnsi="黑体" w:eastAsia="黑体" w:cs="宋体"/>
          <w:color w:val="auto"/>
          <w:kern w:val="0"/>
          <w:sz w:val="32"/>
          <w:szCs w:val="32"/>
          <w:highlight w:val="none"/>
        </w:rPr>
        <w:t>五、政府性基金支出情况</w:t>
      </w:r>
    </w:p>
    <w:p w14:paraId="7895690B">
      <w:pPr>
        <w:pStyle w:val="5"/>
        <w:spacing w:beforeAutospacing="0" w:afterAutospacing="0" w:line="437" w:lineRule="atLeast"/>
        <w:ind w:firstLine="640" w:firstLineChars="200"/>
        <w:jc w:val="both"/>
        <w:rPr>
          <w:rFonts w:ascii="仿宋_GB2312" w:hAnsi="仿宋" w:eastAsia="仿宋_GB2312" w:cs="仿宋_GB2312"/>
          <w:color w:val="auto"/>
          <w:sz w:val="32"/>
          <w:szCs w:val="32"/>
          <w:highlight w:val="none"/>
        </w:rPr>
      </w:pPr>
      <w:r>
        <w:rPr>
          <w:rFonts w:hint="eastAsia" w:ascii="仿宋_GB2312" w:hAnsi="仿宋" w:eastAsia="仿宋_GB2312" w:cs="仿宋_GB2312"/>
          <w:color w:val="auto"/>
          <w:sz w:val="32"/>
          <w:szCs w:val="32"/>
          <w:highlight w:val="none"/>
        </w:rPr>
        <w:t>2023年本部门无政府性基金安排的支出。</w:t>
      </w:r>
    </w:p>
    <w:p w14:paraId="0AB2813B">
      <w:pPr>
        <w:widowControl/>
        <w:spacing w:line="437" w:lineRule="atLeast"/>
        <w:ind w:firstLine="640" w:firstLineChars="200"/>
        <w:rPr>
          <w:rFonts w:ascii="等线" w:hAnsi="等线" w:eastAsia="等线" w:cs="宋体"/>
          <w:color w:val="auto"/>
          <w:kern w:val="0"/>
          <w:szCs w:val="21"/>
          <w:highlight w:val="none"/>
        </w:rPr>
      </w:pPr>
      <w:r>
        <w:rPr>
          <w:rFonts w:hint="eastAsia" w:ascii="黑体" w:hAnsi="黑体" w:eastAsia="黑体" w:cs="宋体"/>
          <w:color w:val="auto"/>
          <w:kern w:val="0"/>
          <w:sz w:val="32"/>
          <w:szCs w:val="32"/>
          <w:highlight w:val="none"/>
        </w:rPr>
        <w:t>六、其他重要事项的情况说明</w:t>
      </w:r>
    </w:p>
    <w:p w14:paraId="34D00532">
      <w:pPr>
        <w:widowControl/>
        <w:spacing w:line="437" w:lineRule="atLeast"/>
        <w:ind w:left="660"/>
        <w:rPr>
          <w:rFonts w:ascii="等线" w:hAnsi="等线" w:eastAsia="等线" w:cs="宋体"/>
          <w:color w:val="auto"/>
          <w:kern w:val="0"/>
          <w:szCs w:val="21"/>
          <w:highlight w:val="none"/>
        </w:rPr>
      </w:pPr>
      <w:r>
        <w:rPr>
          <w:rFonts w:hint="eastAsia" w:ascii="仿宋_GB2312" w:hAnsi="仿宋" w:eastAsia="仿宋_GB2312" w:cs="宋体"/>
          <w:b/>
          <w:bCs/>
          <w:color w:val="auto"/>
          <w:kern w:val="0"/>
          <w:sz w:val="32"/>
          <w:szCs w:val="32"/>
          <w:highlight w:val="none"/>
        </w:rPr>
        <w:t>（一）“三公”经费预算</w:t>
      </w:r>
    </w:p>
    <w:p w14:paraId="0AD82AFC">
      <w:pPr>
        <w:widowControl/>
        <w:spacing w:line="437" w:lineRule="atLeast"/>
        <w:rPr>
          <w:rFonts w:ascii="仿宋_GB2312" w:hAnsi="仿宋" w:eastAsia="仿宋_GB2312" w:cs="仿宋_GB2312"/>
          <w:color w:val="auto"/>
          <w:kern w:val="0"/>
          <w:sz w:val="32"/>
          <w:szCs w:val="32"/>
          <w:highlight w:val="none"/>
        </w:rPr>
      </w:pPr>
      <w:r>
        <w:rPr>
          <w:rFonts w:hint="eastAsia" w:ascii="仿宋" w:hAnsi="仿宋" w:eastAsia="仿宋" w:cs="宋体"/>
          <w:color w:val="auto"/>
          <w:kern w:val="0"/>
          <w:sz w:val="32"/>
          <w:szCs w:val="32"/>
          <w:highlight w:val="none"/>
        </w:rPr>
        <w:t> </w:t>
      </w:r>
      <w:r>
        <w:rPr>
          <w:rFonts w:hint="eastAsia" w:ascii="仿宋" w:hAnsi="仿宋" w:eastAsia="仿宋" w:cs="宋体"/>
          <w:color w:val="auto"/>
          <w:kern w:val="0"/>
          <w:sz w:val="30"/>
          <w:szCs w:val="30"/>
          <w:highlight w:val="none"/>
        </w:rPr>
        <w:t>   </w:t>
      </w:r>
      <w:r>
        <w:rPr>
          <w:rFonts w:hint="eastAsia" w:ascii="仿宋_GB2312" w:hAnsi="仿宋" w:eastAsia="仿宋_GB2312" w:cs="仿宋_GB2312"/>
          <w:color w:val="auto"/>
          <w:kern w:val="0"/>
          <w:sz w:val="32"/>
          <w:szCs w:val="32"/>
          <w:highlight w:val="none"/>
        </w:rPr>
        <w:t> 2023年市档案馆安排“三公”经费预算数为4.15万元，其中，公务接待费0.15万元，公务用车购置及公务用车运行费4万元</w:t>
      </w:r>
      <w:r>
        <w:rPr>
          <w:rFonts w:hint="eastAsia" w:ascii="仿宋_GB2312" w:hAnsi="仿宋" w:eastAsia="仿宋_GB2312" w:cs="仿宋_GB2312"/>
          <w:color w:val="auto"/>
          <w:kern w:val="0"/>
          <w:sz w:val="32"/>
          <w:szCs w:val="32"/>
          <w:highlight w:val="none"/>
          <w:lang w:val="en-US" w:eastAsia="zh-CN"/>
        </w:rPr>
        <w:t>（其中，公务用车购置费0.00万元，公务用车运行费4万元）</w:t>
      </w:r>
      <w:r>
        <w:rPr>
          <w:rFonts w:hint="eastAsia" w:ascii="仿宋_GB2312" w:hAnsi="仿宋" w:eastAsia="仿宋_GB2312" w:cs="仿宋_GB2312"/>
          <w:color w:val="auto"/>
          <w:kern w:val="0"/>
          <w:sz w:val="32"/>
          <w:szCs w:val="32"/>
          <w:highlight w:val="none"/>
        </w:rPr>
        <w:t>，因公出国（境）费0万元。2023年“三公”经费预算较上年减少1.35万元，下降了24.55%，主要因为公务接待费减少了1.35万元。</w:t>
      </w:r>
    </w:p>
    <w:p w14:paraId="47DEFD1A">
      <w:pPr>
        <w:widowControl/>
        <w:spacing w:line="437" w:lineRule="atLeast"/>
        <w:ind w:firstLine="643"/>
        <w:rPr>
          <w:rFonts w:ascii="等线" w:hAnsi="等线" w:eastAsia="等线" w:cs="宋体"/>
          <w:color w:val="auto"/>
          <w:kern w:val="0"/>
          <w:szCs w:val="21"/>
          <w:highlight w:val="none"/>
        </w:rPr>
      </w:pPr>
      <w:r>
        <w:rPr>
          <w:rFonts w:hint="eastAsia" w:ascii="仿宋_GB2312" w:hAnsi="仿宋" w:eastAsia="仿宋_GB2312" w:cs="宋体"/>
          <w:b/>
          <w:bCs/>
          <w:color w:val="auto"/>
          <w:kern w:val="0"/>
          <w:sz w:val="32"/>
          <w:szCs w:val="32"/>
          <w:highlight w:val="none"/>
        </w:rPr>
        <w:t>（二）机关运行经费</w:t>
      </w:r>
      <w:r>
        <w:rPr>
          <w:rFonts w:ascii="Times New Roman" w:hAnsi="Times New Roman" w:eastAsia="等线" w:cs="Times New Roman"/>
          <w:color w:val="auto"/>
          <w:kern w:val="0"/>
          <w:szCs w:val="21"/>
          <w:highlight w:val="none"/>
        </w:rPr>
        <w:t> </w:t>
      </w:r>
    </w:p>
    <w:p w14:paraId="3BB9AC70">
      <w:pPr>
        <w:widowControl/>
        <w:spacing w:line="437" w:lineRule="atLeast"/>
        <w:ind w:firstLine="640" w:firstLineChars="200"/>
        <w:rPr>
          <w:rFonts w:ascii="仿宋_GB2312" w:hAnsi="仿宋" w:eastAsia="仿宋_GB2312" w:cs="仿宋_GB2312"/>
          <w:color w:val="auto"/>
          <w:kern w:val="0"/>
          <w:sz w:val="32"/>
          <w:szCs w:val="32"/>
          <w:highlight w:val="none"/>
        </w:rPr>
      </w:pPr>
      <w:r>
        <w:rPr>
          <w:rFonts w:hint="eastAsia" w:ascii="仿宋_GB2312" w:hAnsi="仿宋" w:eastAsia="仿宋_GB2312" w:cs="仿宋_GB2312"/>
          <w:color w:val="auto"/>
          <w:kern w:val="0"/>
          <w:sz w:val="32"/>
          <w:szCs w:val="32"/>
          <w:highlight w:val="none"/>
        </w:rPr>
        <w:t>2023年怀化市档案馆机关运行经费</w:t>
      </w:r>
      <w:r>
        <w:rPr>
          <w:rFonts w:ascii="仿宋_GB2312" w:hAnsi="仿宋" w:eastAsia="仿宋_GB2312" w:cs="仿宋_GB2312"/>
          <w:color w:val="auto"/>
          <w:kern w:val="0"/>
          <w:sz w:val="32"/>
          <w:szCs w:val="32"/>
          <w:highlight w:val="none"/>
        </w:rPr>
        <w:t>24</w:t>
      </w:r>
      <w:r>
        <w:rPr>
          <w:rFonts w:hint="eastAsia" w:ascii="仿宋_GB2312" w:hAnsi="仿宋" w:eastAsia="仿宋_GB2312" w:cs="仿宋_GB2312"/>
          <w:color w:val="auto"/>
          <w:kern w:val="0"/>
          <w:sz w:val="32"/>
          <w:szCs w:val="32"/>
          <w:highlight w:val="none"/>
        </w:rPr>
        <w:t>万元，较上年减少2.40万元，下降1</w:t>
      </w:r>
      <w:r>
        <w:rPr>
          <w:rFonts w:ascii="仿宋_GB2312" w:hAnsi="仿宋" w:eastAsia="仿宋_GB2312" w:cs="仿宋_GB2312"/>
          <w:color w:val="auto"/>
          <w:kern w:val="0"/>
          <w:sz w:val="32"/>
          <w:szCs w:val="32"/>
          <w:highlight w:val="none"/>
        </w:rPr>
        <w:t>1.11%</w:t>
      </w:r>
      <w:r>
        <w:rPr>
          <w:rFonts w:hint="eastAsia" w:ascii="仿宋_GB2312" w:hAnsi="仿宋" w:eastAsia="仿宋_GB2312" w:cs="仿宋_GB2312"/>
          <w:color w:val="auto"/>
          <w:kern w:val="0"/>
          <w:sz w:val="32"/>
          <w:szCs w:val="32"/>
          <w:highlight w:val="none"/>
        </w:rPr>
        <w:t>，原因是2人退休，主要用于：办公费5万元；公务接待费0.15万元；公务用车运行维护费4万元；工会经费1万元；其他商品服务支出13.85万元。</w:t>
      </w:r>
    </w:p>
    <w:p w14:paraId="226B5E08">
      <w:pPr>
        <w:widowControl/>
        <w:spacing w:line="450" w:lineRule="atLeast"/>
        <w:ind w:firstLine="643"/>
        <w:rPr>
          <w:rFonts w:ascii="等线" w:hAnsi="等线" w:eastAsia="等线" w:cs="宋体"/>
          <w:color w:val="auto"/>
          <w:kern w:val="0"/>
          <w:szCs w:val="21"/>
          <w:highlight w:val="none"/>
        </w:rPr>
      </w:pPr>
      <w:r>
        <w:rPr>
          <w:rFonts w:hint="eastAsia" w:ascii="仿宋_GB2312" w:hAnsi="仿宋" w:eastAsia="仿宋_GB2312" w:cs="宋体"/>
          <w:b/>
          <w:bCs/>
          <w:color w:val="auto"/>
          <w:kern w:val="0"/>
          <w:sz w:val="32"/>
          <w:szCs w:val="32"/>
          <w:highlight w:val="none"/>
        </w:rPr>
        <w:t>（三）政府采购情况</w:t>
      </w:r>
    </w:p>
    <w:p w14:paraId="40A448EC">
      <w:pPr>
        <w:pStyle w:val="5"/>
        <w:spacing w:beforeAutospacing="0" w:afterAutospacing="0" w:line="437" w:lineRule="atLeast"/>
        <w:ind w:firstLine="640" w:firstLineChars="200"/>
        <w:jc w:val="both"/>
        <w:rPr>
          <w:rFonts w:hint="eastAsia" w:ascii="仿宋_GB2312" w:hAnsi="仿宋" w:eastAsia="仿宋_GB2312" w:cs="仿宋_GB2312"/>
          <w:color w:val="auto"/>
          <w:kern w:val="0"/>
          <w:sz w:val="32"/>
          <w:szCs w:val="32"/>
          <w:highlight w:val="none"/>
          <w:lang w:val="en-US" w:eastAsia="zh-CN" w:bidi="ar-SA"/>
        </w:rPr>
      </w:pPr>
      <w:r>
        <w:rPr>
          <w:rFonts w:hint="eastAsia" w:ascii="仿宋_GB2312" w:hAnsi="仿宋" w:eastAsia="仿宋_GB2312" w:cs="仿宋_GB2312"/>
          <w:color w:val="auto"/>
          <w:kern w:val="0"/>
          <w:sz w:val="32"/>
          <w:szCs w:val="32"/>
          <w:highlight w:val="none"/>
          <w:lang w:val="en-US" w:eastAsia="zh-CN" w:bidi="ar-SA"/>
        </w:rPr>
        <w:t>2023年本部门政府采购预算总额0万元，其中。货物类采购0万元；工程类采购预算0万元；服务类采购预算0万元。</w:t>
      </w:r>
    </w:p>
    <w:p w14:paraId="35C55D3B">
      <w:pPr>
        <w:widowControl/>
        <w:spacing w:line="437" w:lineRule="atLeast"/>
        <w:ind w:firstLine="643"/>
        <w:rPr>
          <w:rFonts w:ascii="等线" w:hAnsi="等线" w:eastAsia="等线" w:cs="宋体"/>
          <w:color w:val="auto"/>
          <w:kern w:val="0"/>
          <w:szCs w:val="21"/>
          <w:highlight w:val="none"/>
        </w:rPr>
      </w:pPr>
      <w:r>
        <w:rPr>
          <w:rFonts w:hint="eastAsia" w:ascii="仿宋_GB2312" w:hAnsi="仿宋" w:eastAsia="仿宋_GB2312" w:cs="宋体"/>
          <w:b/>
          <w:bCs/>
          <w:color w:val="auto"/>
          <w:kern w:val="0"/>
          <w:sz w:val="32"/>
          <w:szCs w:val="32"/>
          <w:highlight w:val="none"/>
        </w:rPr>
        <w:t>（四）预算绩效管理情况</w:t>
      </w:r>
    </w:p>
    <w:p w14:paraId="58F6747F">
      <w:pPr>
        <w:widowControl/>
        <w:spacing w:line="450" w:lineRule="atLeast"/>
        <w:ind w:firstLine="640" w:firstLineChars="200"/>
        <w:rPr>
          <w:rFonts w:ascii="仿宋_GB2312" w:hAnsi="仿宋" w:eastAsia="仿宋_GB2312" w:cs="仿宋_GB2312"/>
          <w:color w:val="auto"/>
          <w:kern w:val="0"/>
          <w:sz w:val="32"/>
          <w:szCs w:val="32"/>
          <w:highlight w:val="none"/>
        </w:rPr>
      </w:pPr>
      <w:r>
        <w:rPr>
          <w:rFonts w:hint="eastAsia" w:ascii="仿宋_GB2312" w:hAnsi="仿宋" w:eastAsia="仿宋_GB2312" w:cs="仿宋_GB2312"/>
          <w:color w:val="auto"/>
          <w:kern w:val="0"/>
          <w:sz w:val="32"/>
          <w:szCs w:val="32"/>
          <w:highlight w:val="none"/>
        </w:rPr>
        <w:t>按照市本级预算绩效管理工作的总体要求，</w:t>
      </w:r>
      <w:r>
        <w:rPr>
          <w:rFonts w:hint="eastAsia" w:ascii="仿宋_GB2312" w:hAnsi="仿宋" w:eastAsia="仿宋_GB2312" w:cs="仿宋_GB2312"/>
          <w:color w:val="auto"/>
          <w:sz w:val="32"/>
          <w:szCs w:val="32"/>
          <w:highlight w:val="none"/>
        </w:rPr>
        <w:t>本部门所有支出实行绩效目标管理。</w:t>
      </w:r>
      <w:r>
        <w:rPr>
          <w:rFonts w:hint="eastAsia" w:ascii="仿宋_GB2312" w:hAnsi="仿宋" w:eastAsia="仿宋_GB2312" w:cs="仿宋_GB2312"/>
          <w:color w:val="auto"/>
          <w:kern w:val="0"/>
          <w:sz w:val="32"/>
          <w:szCs w:val="32"/>
          <w:highlight w:val="none"/>
        </w:rPr>
        <w:t>2023年部门整体绩效目标金额为341.42万元，</w:t>
      </w:r>
      <w:r>
        <w:rPr>
          <w:rFonts w:hint="eastAsia" w:ascii="仿宋_GB2312" w:hAnsi="仿宋" w:eastAsia="仿宋_GB2312" w:cs="仿宋_GB2312"/>
          <w:color w:val="auto"/>
          <w:sz w:val="32"/>
          <w:szCs w:val="32"/>
          <w:highlight w:val="none"/>
        </w:rPr>
        <w:t>其中，基本支出</w:t>
      </w:r>
      <w:r>
        <w:rPr>
          <w:rFonts w:ascii="仿宋_GB2312" w:hAnsi="仿宋" w:eastAsia="仿宋_GB2312" w:cs="仿宋_GB2312"/>
          <w:color w:val="auto"/>
          <w:sz w:val="32"/>
          <w:szCs w:val="32"/>
          <w:highlight w:val="none"/>
        </w:rPr>
        <w:t>310.92</w:t>
      </w:r>
      <w:r>
        <w:rPr>
          <w:rFonts w:hint="eastAsia" w:ascii="仿宋_GB2312" w:hAnsi="仿宋" w:eastAsia="仿宋_GB2312" w:cs="仿宋_GB2312"/>
          <w:color w:val="auto"/>
          <w:sz w:val="32"/>
          <w:szCs w:val="32"/>
          <w:highlight w:val="none"/>
        </w:rPr>
        <w:t>万元，项目支出</w:t>
      </w:r>
      <w:r>
        <w:rPr>
          <w:rFonts w:ascii="仿宋_GB2312" w:hAnsi="仿宋" w:eastAsia="仿宋_GB2312" w:cs="仿宋_GB2312"/>
          <w:color w:val="auto"/>
          <w:sz w:val="32"/>
          <w:szCs w:val="32"/>
          <w:highlight w:val="none"/>
        </w:rPr>
        <w:t>30.50</w:t>
      </w:r>
      <w:r>
        <w:rPr>
          <w:rFonts w:hint="eastAsia" w:ascii="仿宋_GB2312" w:hAnsi="仿宋" w:eastAsia="仿宋_GB2312" w:cs="仿宋_GB2312"/>
          <w:color w:val="auto"/>
          <w:sz w:val="32"/>
          <w:szCs w:val="32"/>
          <w:highlight w:val="none"/>
        </w:rPr>
        <w:t>万元，</w:t>
      </w:r>
      <w:r>
        <w:rPr>
          <w:rFonts w:hint="eastAsia" w:ascii="仿宋_GB2312" w:hAnsi="仿宋" w:eastAsia="仿宋_GB2312" w:cs="仿宋_GB2312"/>
          <w:color w:val="auto"/>
          <w:kern w:val="0"/>
          <w:sz w:val="32"/>
          <w:szCs w:val="32"/>
          <w:highlight w:val="none"/>
        </w:rPr>
        <w:t>编报绩效目标的项目1个：档案日常管理和征集费30.50万元，实行项目绩效目标管理。</w:t>
      </w:r>
    </w:p>
    <w:p w14:paraId="7E90103A">
      <w:pPr>
        <w:widowControl/>
        <w:spacing w:line="437" w:lineRule="atLeast"/>
        <w:ind w:firstLine="482"/>
        <w:rPr>
          <w:rFonts w:ascii="等线" w:hAnsi="等线" w:eastAsia="等线" w:cs="宋体"/>
          <w:color w:val="auto"/>
          <w:kern w:val="0"/>
          <w:szCs w:val="21"/>
          <w:highlight w:val="none"/>
        </w:rPr>
      </w:pPr>
      <w:r>
        <w:rPr>
          <w:rFonts w:hint="eastAsia" w:ascii="仿宋_GB2312" w:hAnsi="仿宋" w:eastAsia="仿宋_GB2312" w:cs="宋体"/>
          <w:b/>
          <w:bCs/>
          <w:color w:val="auto"/>
          <w:kern w:val="0"/>
          <w:sz w:val="32"/>
          <w:szCs w:val="32"/>
          <w:highlight w:val="none"/>
        </w:rPr>
        <w:t>（五）国有资产占用情况</w:t>
      </w:r>
    </w:p>
    <w:p w14:paraId="53C84D9C">
      <w:pPr>
        <w:widowControl/>
        <w:spacing w:line="450" w:lineRule="atLeast"/>
        <w:ind w:firstLine="600"/>
        <w:rPr>
          <w:rFonts w:hint="eastAsia" w:ascii="仿宋_GB2312" w:hAnsi="仿宋" w:eastAsia="仿宋_GB2312" w:cs="仿宋_GB2312"/>
          <w:color w:val="auto"/>
          <w:kern w:val="0"/>
          <w:sz w:val="32"/>
          <w:szCs w:val="32"/>
          <w:highlight w:val="none"/>
        </w:rPr>
      </w:pPr>
      <w:r>
        <w:rPr>
          <w:rFonts w:hint="eastAsia" w:ascii="仿宋_GB2312" w:hAnsi="仿宋" w:eastAsia="仿宋_GB2312" w:cs="仿宋_GB2312"/>
          <w:color w:val="auto"/>
          <w:kern w:val="0"/>
          <w:sz w:val="32"/>
          <w:szCs w:val="32"/>
          <w:highlight w:val="none"/>
        </w:rPr>
        <w:t>1.截至2022年12月底，本单位共有公务用车1辆，</w:t>
      </w:r>
      <w:bookmarkStart w:id="1" w:name="_Hlk179834417"/>
      <w:r>
        <w:rPr>
          <w:rFonts w:hint="eastAsia" w:ascii="仿宋_GB2312" w:hAnsi="仿宋" w:eastAsia="仿宋_GB2312" w:cs="仿宋_GB2312"/>
          <w:color w:val="auto"/>
          <w:kern w:val="0"/>
          <w:sz w:val="32"/>
          <w:szCs w:val="32"/>
          <w:highlight w:val="none"/>
        </w:rPr>
        <w:t>其中，机要通信用车0辆，应急保障用车0辆，执法执勤用车0辆，特种专业技术用车0辆，其他按照规定配备的公务用车</w:t>
      </w:r>
      <w:r>
        <w:rPr>
          <w:rFonts w:ascii="仿宋_GB2312" w:hAnsi="仿宋" w:eastAsia="仿宋_GB2312" w:cs="仿宋_GB2312"/>
          <w:color w:val="auto"/>
          <w:kern w:val="0"/>
          <w:sz w:val="32"/>
          <w:szCs w:val="32"/>
          <w:highlight w:val="none"/>
        </w:rPr>
        <w:t>1</w:t>
      </w:r>
      <w:r>
        <w:rPr>
          <w:rFonts w:hint="eastAsia" w:ascii="仿宋_GB2312" w:hAnsi="仿宋" w:eastAsia="仿宋_GB2312" w:cs="仿宋_GB2312"/>
          <w:color w:val="auto"/>
          <w:kern w:val="0"/>
          <w:sz w:val="32"/>
          <w:szCs w:val="32"/>
          <w:highlight w:val="none"/>
        </w:rPr>
        <w:t>辆；单位价值5</w:t>
      </w:r>
      <w:r>
        <w:rPr>
          <w:rFonts w:ascii="仿宋_GB2312" w:hAnsi="仿宋" w:eastAsia="仿宋_GB2312" w:cs="仿宋_GB2312"/>
          <w:color w:val="auto"/>
          <w:kern w:val="0"/>
          <w:sz w:val="32"/>
          <w:szCs w:val="32"/>
          <w:highlight w:val="none"/>
        </w:rPr>
        <w:t>0</w:t>
      </w:r>
      <w:r>
        <w:rPr>
          <w:rFonts w:hint="eastAsia" w:ascii="仿宋_GB2312" w:hAnsi="仿宋" w:eastAsia="仿宋_GB2312" w:cs="仿宋_GB2312"/>
          <w:color w:val="auto"/>
          <w:kern w:val="0"/>
          <w:sz w:val="32"/>
          <w:szCs w:val="32"/>
          <w:highlight w:val="none"/>
        </w:rPr>
        <w:t>万元以上通用设备0台，单位价值1</w:t>
      </w:r>
      <w:r>
        <w:rPr>
          <w:rFonts w:ascii="仿宋_GB2312" w:hAnsi="仿宋" w:eastAsia="仿宋_GB2312" w:cs="仿宋_GB2312"/>
          <w:color w:val="auto"/>
          <w:kern w:val="0"/>
          <w:sz w:val="32"/>
          <w:szCs w:val="32"/>
          <w:highlight w:val="none"/>
        </w:rPr>
        <w:t>00</w:t>
      </w:r>
      <w:r>
        <w:rPr>
          <w:rFonts w:hint="eastAsia" w:ascii="仿宋_GB2312" w:hAnsi="仿宋" w:eastAsia="仿宋_GB2312" w:cs="仿宋_GB2312"/>
          <w:color w:val="auto"/>
          <w:kern w:val="0"/>
          <w:sz w:val="32"/>
          <w:szCs w:val="32"/>
          <w:highlight w:val="none"/>
        </w:rPr>
        <w:t>万元以上专用设备0台。</w:t>
      </w:r>
      <w:bookmarkEnd w:id="1"/>
      <w:r>
        <w:rPr>
          <w:rFonts w:hint="eastAsia" w:ascii="仿宋_GB2312" w:hAnsi="仿宋" w:eastAsia="仿宋_GB2312" w:cs="仿宋_GB2312"/>
          <w:color w:val="auto"/>
          <w:kern w:val="0"/>
          <w:sz w:val="32"/>
          <w:szCs w:val="32"/>
          <w:highlight w:val="none"/>
        </w:rPr>
        <w:t>2</w:t>
      </w:r>
      <w:r>
        <w:rPr>
          <w:rFonts w:ascii="仿宋_GB2312" w:hAnsi="仿宋" w:eastAsia="仿宋_GB2312" w:cs="仿宋_GB2312"/>
          <w:color w:val="auto"/>
          <w:kern w:val="0"/>
          <w:sz w:val="32"/>
          <w:szCs w:val="32"/>
          <w:highlight w:val="none"/>
        </w:rPr>
        <w:t>023</w:t>
      </w:r>
      <w:r>
        <w:rPr>
          <w:rFonts w:hint="eastAsia" w:ascii="仿宋_GB2312" w:hAnsi="仿宋" w:eastAsia="仿宋_GB2312" w:cs="仿宋_GB2312"/>
          <w:color w:val="auto"/>
          <w:kern w:val="0"/>
          <w:sz w:val="32"/>
          <w:szCs w:val="32"/>
          <w:highlight w:val="none"/>
        </w:rPr>
        <w:t>年拟新增配备公务用车0辆，其中，机要通信用车0辆，应急保障用车0辆，执法执勤用车0辆，特种专业技术用车0辆，其他按照规定配备的公务用车0辆；增增单位价值5</w:t>
      </w:r>
      <w:r>
        <w:rPr>
          <w:rFonts w:ascii="仿宋_GB2312" w:hAnsi="仿宋" w:eastAsia="仿宋_GB2312" w:cs="仿宋_GB2312"/>
          <w:color w:val="auto"/>
          <w:kern w:val="0"/>
          <w:sz w:val="32"/>
          <w:szCs w:val="32"/>
          <w:highlight w:val="none"/>
        </w:rPr>
        <w:t>0</w:t>
      </w:r>
      <w:r>
        <w:rPr>
          <w:rFonts w:hint="eastAsia" w:ascii="仿宋_GB2312" w:hAnsi="仿宋" w:eastAsia="仿宋_GB2312" w:cs="仿宋_GB2312"/>
          <w:color w:val="auto"/>
          <w:kern w:val="0"/>
          <w:sz w:val="32"/>
          <w:szCs w:val="32"/>
          <w:highlight w:val="none"/>
        </w:rPr>
        <w:t>万元以上通用设备0台，单位价值1</w:t>
      </w:r>
      <w:r>
        <w:rPr>
          <w:rFonts w:ascii="仿宋_GB2312" w:hAnsi="仿宋" w:eastAsia="仿宋_GB2312" w:cs="仿宋_GB2312"/>
          <w:color w:val="auto"/>
          <w:kern w:val="0"/>
          <w:sz w:val="32"/>
          <w:szCs w:val="32"/>
          <w:highlight w:val="none"/>
        </w:rPr>
        <w:t>00</w:t>
      </w:r>
      <w:r>
        <w:rPr>
          <w:rFonts w:hint="eastAsia" w:ascii="仿宋_GB2312" w:hAnsi="仿宋" w:eastAsia="仿宋_GB2312" w:cs="仿宋_GB2312"/>
          <w:color w:val="auto"/>
          <w:kern w:val="0"/>
          <w:sz w:val="32"/>
          <w:szCs w:val="32"/>
          <w:highlight w:val="none"/>
        </w:rPr>
        <w:t>万元以上专用设备0台。</w:t>
      </w:r>
    </w:p>
    <w:p w14:paraId="1E723544">
      <w:pPr>
        <w:widowControl/>
        <w:spacing w:line="437" w:lineRule="atLeast"/>
        <w:ind w:firstLine="643"/>
        <w:rPr>
          <w:rFonts w:ascii="等线" w:hAnsi="等线" w:eastAsia="等线" w:cs="宋体"/>
          <w:color w:val="auto"/>
          <w:kern w:val="0"/>
          <w:szCs w:val="21"/>
          <w:highlight w:val="none"/>
        </w:rPr>
      </w:pPr>
      <w:r>
        <w:rPr>
          <w:rFonts w:hint="eastAsia" w:ascii="仿宋" w:hAnsi="仿宋" w:eastAsia="仿宋" w:cs="宋体"/>
          <w:b/>
          <w:bCs/>
          <w:color w:val="auto"/>
          <w:kern w:val="0"/>
          <w:sz w:val="32"/>
          <w:szCs w:val="32"/>
          <w:highlight w:val="none"/>
        </w:rPr>
        <w:t>（六）</w:t>
      </w:r>
      <w:r>
        <w:rPr>
          <w:rFonts w:hint="eastAsia" w:ascii="仿宋_GB2312" w:hAnsi="仿宋" w:eastAsia="仿宋_GB2312" w:cs="宋体"/>
          <w:b/>
          <w:bCs/>
          <w:color w:val="auto"/>
          <w:kern w:val="0"/>
          <w:sz w:val="32"/>
          <w:szCs w:val="32"/>
          <w:highlight w:val="none"/>
        </w:rPr>
        <w:t>一般性支出情况</w:t>
      </w:r>
    </w:p>
    <w:p w14:paraId="20AC16AB">
      <w:pPr>
        <w:widowControl/>
        <w:spacing w:line="450" w:lineRule="atLeast"/>
        <w:ind w:firstLine="600"/>
        <w:rPr>
          <w:rFonts w:ascii="仿宋_GB2312" w:hAnsi="仿宋" w:eastAsia="仿宋_GB2312" w:cs="仿宋_GB2312"/>
          <w:color w:val="auto"/>
          <w:kern w:val="0"/>
          <w:sz w:val="32"/>
          <w:szCs w:val="32"/>
          <w:highlight w:val="none"/>
        </w:rPr>
      </w:pPr>
      <w:r>
        <w:rPr>
          <w:rFonts w:hint="eastAsia" w:ascii="仿宋_GB2312" w:hAnsi="仿宋" w:eastAsia="仿宋_GB2312" w:cs="仿宋_GB2312"/>
          <w:color w:val="auto"/>
          <w:kern w:val="0"/>
          <w:sz w:val="32"/>
          <w:szCs w:val="32"/>
          <w:highlight w:val="none"/>
        </w:rPr>
        <w:t>1.2023年本部门无会议费预算。</w:t>
      </w:r>
    </w:p>
    <w:p w14:paraId="078E1030">
      <w:pPr>
        <w:widowControl/>
        <w:spacing w:line="450" w:lineRule="atLeast"/>
        <w:ind w:firstLine="600"/>
        <w:rPr>
          <w:rFonts w:ascii="仿宋_GB2312" w:hAnsi="仿宋" w:eastAsia="仿宋_GB2312" w:cs="仿宋_GB2312"/>
          <w:color w:val="auto"/>
          <w:kern w:val="0"/>
          <w:sz w:val="32"/>
          <w:szCs w:val="32"/>
          <w:highlight w:val="none"/>
        </w:rPr>
      </w:pPr>
      <w:r>
        <w:rPr>
          <w:rFonts w:hint="eastAsia" w:ascii="仿宋_GB2312" w:hAnsi="仿宋" w:eastAsia="仿宋_GB2312" w:cs="仿宋_GB2312"/>
          <w:color w:val="auto"/>
          <w:kern w:val="0"/>
          <w:sz w:val="32"/>
          <w:szCs w:val="32"/>
          <w:highlight w:val="none"/>
        </w:rPr>
        <w:t>2.2023年本部门无培训费预算。</w:t>
      </w:r>
    </w:p>
    <w:p w14:paraId="491784AA">
      <w:pPr>
        <w:widowControl/>
        <w:spacing w:line="450" w:lineRule="atLeast"/>
        <w:ind w:firstLine="600"/>
        <w:rPr>
          <w:rFonts w:ascii="仿宋_GB2312" w:hAnsi="仿宋" w:eastAsia="仿宋_GB2312" w:cs="仿宋_GB2312"/>
          <w:color w:val="auto"/>
          <w:kern w:val="0"/>
          <w:sz w:val="32"/>
          <w:szCs w:val="32"/>
          <w:highlight w:val="none"/>
        </w:rPr>
      </w:pPr>
      <w:r>
        <w:rPr>
          <w:rFonts w:hint="eastAsia" w:ascii="仿宋_GB2312" w:hAnsi="仿宋" w:eastAsia="仿宋_GB2312" w:cs="仿宋_GB2312"/>
          <w:color w:val="auto"/>
          <w:kern w:val="0"/>
          <w:sz w:val="32"/>
          <w:szCs w:val="32"/>
          <w:highlight w:val="none"/>
        </w:rPr>
        <w:t>3.2023年本部门无举办节庆、晚会、论坛、赛事等预算。</w:t>
      </w:r>
    </w:p>
    <w:p w14:paraId="1DD30DBE">
      <w:pPr>
        <w:widowControl/>
        <w:spacing w:line="437" w:lineRule="atLeast"/>
        <w:ind w:firstLine="640"/>
        <w:rPr>
          <w:rFonts w:ascii="等线" w:hAnsi="等线" w:eastAsia="等线" w:cs="宋体"/>
          <w:color w:val="auto"/>
          <w:kern w:val="0"/>
          <w:szCs w:val="21"/>
          <w:highlight w:val="none"/>
        </w:rPr>
      </w:pPr>
      <w:r>
        <w:rPr>
          <w:rFonts w:hint="eastAsia" w:ascii="黑体" w:hAnsi="黑体" w:eastAsia="黑体" w:cs="宋体"/>
          <w:color w:val="auto"/>
          <w:kern w:val="0"/>
          <w:sz w:val="32"/>
          <w:szCs w:val="32"/>
          <w:highlight w:val="none"/>
        </w:rPr>
        <w:t>七、专业名词解释</w:t>
      </w:r>
    </w:p>
    <w:p w14:paraId="3AD464AB">
      <w:pPr>
        <w:widowControl/>
        <w:spacing w:line="450" w:lineRule="atLeast"/>
        <w:ind w:firstLine="600"/>
        <w:rPr>
          <w:rFonts w:ascii="仿宋_GB2312" w:hAnsi="仿宋" w:eastAsia="仿宋_GB2312" w:cs="仿宋_GB2312"/>
          <w:color w:val="auto"/>
          <w:kern w:val="0"/>
          <w:sz w:val="32"/>
          <w:szCs w:val="32"/>
          <w:highlight w:val="none"/>
        </w:rPr>
      </w:pPr>
      <w:r>
        <w:rPr>
          <w:rFonts w:hint="eastAsia" w:ascii="仿宋_GB2312" w:hAnsi="仿宋" w:eastAsia="仿宋_GB2312" w:cs="仿宋_GB2312"/>
          <w:color w:val="auto"/>
          <w:kern w:val="0"/>
          <w:sz w:val="32"/>
          <w:szCs w:val="32"/>
          <w:highlight w:val="none"/>
        </w:rPr>
        <w:t>1.机关运行经费：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w:t>
      </w:r>
    </w:p>
    <w:p w14:paraId="7A071AD2">
      <w:pPr>
        <w:widowControl/>
        <w:spacing w:line="450" w:lineRule="atLeast"/>
        <w:ind w:firstLine="600"/>
        <w:rPr>
          <w:rFonts w:ascii="仿宋_GB2312" w:hAnsi="仿宋" w:eastAsia="仿宋_GB2312" w:cs="仿宋_GB2312"/>
          <w:color w:val="auto"/>
          <w:kern w:val="0"/>
          <w:sz w:val="32"/>
          <w:szCs w:val="32"/>
          <w:highlight w:val="none"/>
        </w:rPr>
      </w:pPr>
      <w:r>
        <w:rPr>
          <w:rFonts w:hint="eastAsia" w:ascii="仿宋_GB2312" w:hAnsi="仿宋" w:eastAsia="仿宋_GB2312" w:cs="仿宋_GB2312"/>
          <w:color w:val="auto"/>
          <w:kern w:val="0"/>
          <w:sz w:val="32"/>
          <w:szCs w:val="32"/>
          <w:highlight w:val="none"/>
        </w:rPr>
        <w:t>2.“三公”经费：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14:paraId="1EB0C509">
      <w:pPr>
        <w:widowControl/>
        <w:spacing w:line="450" w:lineRule="atLeast"/>
        <w:ind w:firstLine="600"/>
        <w:rPr>
          <w:rFonts w:ascii="仿宋_GB2312" w:hAnsi="仿宋" w:eastAsia="仿宋_GB2312" w:cs="仿宋_GB2312"/>
          <w:color w:val="auto"/>
          <w:kern w:val="0"/>
          <w:sz w:val="32"/>
          <w:szCs w:val="32"/>
          <w:highlight w:val="none"/>
        </w:rPr>
      </w:pPr>
      <w:r>
        <w:rPr>
          <w:rFonts w:hint="eastAsia" w:ascii="仿宋_GB2312" w:hAnsi="仿宋" w:eastAsia="仿宋_GB2312" w:cs="仿宋_GB2312"/>
          <w:color w:val="auto"/>
          <w:kern w:val="0"/>
          <w:sz w:val="32"/>
          <w:szCs w:val="32"/>
          <w:highlight w:val="none"/>
        </w:rPr>
        <w:t>旅费、会议费、福利费、日常维修费、办公用房水电费、办公用房取暖费、办公用房物业管理费、公务用车运行维护费以及其他费用。</w:t>
      </w:r>
    </w:p>
    <w:p w14:paraId="6FDCFF8D">
      <w:pPr>
        <w:widowControl/>
        <w:spacing w:line="450" w:lineRule="atLeast"/>
        <w:ind w:firstLine="600"/>
        <w:rPr>
          <w:rFonts w:ascii="仿宋_GB2312" w:hAnsi="仿宋" w:eastAsia="仿宋_GB2312" w:cs="仿宋_GB2312"/>
          <w:color w:val="auto"/>
          <w:kern w:val="0"/>
          <w:sz w:val="32"/>
          <w:szCs w:val="32"/>
          <w:highlight w:val="none"/>
        </w:rPr>
      </w:pPr>
      <w:r>
        <w:rPr>
          <w:rFonts w:hint="eastAsia" w:ascii="仿宋_GB2312" w:hAnsi="仿宋" w:eastAsia="仿宋_GB2312" w:cs="仿宋_GB2312"/>
          <w:color w:val="auto"/>
          <w:kern w:val="0"/>
          <w:sz w:val="32"/>
          <w:szCs w:val="32"/>
          <w:highlight w:val="none"/>
        </w:rPr>
        <w:t>2.“三公”经费：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14:paraId="312C8ED4">
      <w:pPr>
        <w:widowControl/>
        <w:spacing w:line="450" w:lineRule="atLeast"/>
        <w:ind w:firstLine="600"/>
        <w:rPr>
          <w:rFonts w:ascii="仿宋_GB2312" w:hAnsi="仿宋" w:eastAsia="仿宋_GB2312" w:cs="仿宋_GB2312"/>
          <w:color w:val="auto"/>
          <w:kern w:val="0"/>
          <w:sz w:val="32"/>
          <w:szCs w:val="32"/>
          <w:highlight w:val="none"/>
        </w:rPr>
      </w:pPr>
    </w:p>
    <w:p w14:paraId="162C91F9">
      <w:pPr>
        <w:widowControl/>
        <w:spacing w:line="450" w:lineRule="atLeast"/>
        <w:ind w:firstLine="600"/>
        <w:jc w:val="left"/>
        <w:rPr>
          <w:rFonts w:ascii="仿宋_GB2312" w:hAnsi="仿宋" w:eastAsia="仿宋_GB2312" w:cs="仿宋_GB2312"/>
          <w:color w:val="auto"/>
          <w:kern w:val="0"/>
          <w:sz w:val="32"/>
          <w:szCs w:val="32"/>
          <w:highlight w:val="none"/>
        </w:rPr>
      </w:pPr>
    </w:p>
    <w:p w14:paraId="11B1B3CB">
      <w:pPr>
        <w:widowControl/>
        <w:spacing w:line="450" w:lineRule="atLeast"/>
        <w:ind w:firstLine="600"/>
        <w:jc w:val="left"/>
        <w:rPr>
          <w:rFonts w:ascii="仿宋_GB2312" w:hAnsi="仿宋" w:eastAsia="仿宋_GB2312" w:cs="仿宋_GB2312"/>
          <w:color w:val="auto"/>
          <w:kern w:val="0"/>
          <w:sz w:val="32"/>
          <w:szCs w:val="32"/>
          <w:highlight w:val="none"/>
        </w:rPr>
      </w:pPr>
    </w:p>
    <w:p w14:paraId="68EDE5DB">
      <w:pPr>
        <w:widowControl/>
        <w:spacing w:line="450" w:lineRule="atLeast"/>
        <w:ind w:firstLine="600"/>
        <w:jc w:val="left"/>
        <w:rPr>
          <w:rFonts w:ascii="仿宋_GB2312" w:hAnsi="仿宋" w:eastAsia="仿宋_GB2312" w:cs="仿宋_GB2312"/>
          <w:color w:val="auto"/>
          <w:kern w:val="0"/>
          <w:sz w:val="32"/>
          <w:szCs w:val="32"/>
          <w:highlight w:val="none"/>
        </w:rPr>
      </w:pPr>
    </w:p>
    <w:p w14:paraId="2A09539E">
      <w:pPr>
        <w:widowControl/>
        <w:spacing w:line="450" w:lineRule="atLeast"/>
        <w:ind w:firstLine="600"/>
        <w:jc w:val="left"/>
        <w:rPr>
          <w:rFonts w:ascii="仿宋_GB2312" w:hAnsi="仿宋" w:eastAsia="仿宋_GB2312" w:cs="仿宋_GB2312"/>
          <w:color w:val="auto"/>
          <w:kern w:val="0"/>
          <w:sz w:val="32"/>
          <w:szCs w:val="32"/>
          <w:highlight w:val="none"/>
        </w:rPr>
      </w:pPr>
    </w:p>
    <w:p w14:paraId="440B158D">
      <w:pPr>
        <w:widowControl/>
        <w:spacing w:line="450" w:lineRule="atLeast"/>
        <w:ind w:firstLine="600"/>
        <w:jc w:val="left"/>
        <w:rPr>
          <w:rFonts w:ascii="仿宋_GB2312" w:hAnsi="仿宋" w:eastAsia="仿宋_GB2312" w:cs="仿宋_GB2312"/>
          <w:color w:val="auto"/>
          <w:kern w:val="0"/>
          <w:sz w:val="32"/>
          <w:szCs w:val="32"/>
          <w:highlight w:val="none"/>
        </w:rPr>
      </w:pPr>
      <w:r>
        <w:rPr>
          <w:rFonts w:hint="eastAsia" w:ascii="仿宋_GB2312" w:hAnsi="仿宋" w:eastAsia="仿宋_GB2312" w:cs="仿宋_GB2312"/>
          <w:color w:val="auto"/>
          <w:kern w:val="0"/>
          <w:sz w:val="32"/>
          <w:szCs w:val="32"/>
          <w:highlight w:val="none"/>
        </w:rPr>
        <w:t xml:space="preserve"> </w:t>
      </w:r>
      <w:r>
        <w:rPr>
          <w:rFonts w:ascii="仿宋_GB2312" w:hAnsi="仿宋" w:eastAsia="仿宋_GB2312" w:cs="仿宋_GB2312"/>
          <w:color w:val="auto"/>
          <w:kern w:val="0"/>
          <w:sz w:val="32"/>
          <w:szCs w:val="32"/>
          <w:highlight w:val="none"/>
        </w:rPr>
        <w:t xml:space="preserve"> </w:t>
      </w:r>
    </w:p>
    <w:p w14:paraId="4D1CAC08">
      <w:pPr>
        <w:widowControl/>
        <w:spacing w:line="450" w:lineRule="atLeast"/>
        <w:ind w:firstLine="1920" w:firstLineChars="600"/>
        <w:rPr>
          <w:rFonts w:hint="eastAsia" w:ascii="黑体" w:hAnsi="黑体" w:eastAsia="黑体" w:cs="宋体"/>
          <w:color w:val="auto"/>
          <w:kern w:val="0"/>
          <w:sz w:val="32"/>
          <w:szCs w:val="32"/>
          <w:highlight w:val="none"/>
        </w:rPr>
      </w:pPr>
    </w:p>
    <w:p w14:paraId="0F868236">
      <w:pPr>
        <w:widowControl/>
        <w:spacing w:line="450" w:lineRule="atLeast"/>
        <w:jc w:val="both"/>
        <w:rPr>
          <w:rFonts w:hint="eastAsia" w:ascii="黑体" w:hAnsi="黑体" w:eastAsia="黑体" w:cs="宋体"/>
          <w:color w:val="auto"/>
          <w:kern w:val="0"/>
          <w:sz w:val="44"/>
          <w:szCs w:val="44"/>
          <w:highlight w:val="none"/>
        </w:rPr>
      </w:pPr>
    </w:p>
    <w:p w14:paraId="228F0B61">
      <w:pPr>
        <w:widowControl/>
        <w:spacing w:line="450" w:lineRule="atLeast"/>
        <w:jc w:val="center"/>
        <w:rPr>
          <w:rFonts w:ascii="黑体" w:hAnsi="黑体" w:eastAsia="黑体" w:cs="宋体"/>
          <w:color w:val="auto"/>
          <w:kern w:val="0"/>
          <w:sz w:val="44"/>
          <w:szCs w:val="44"/>
          <w:highlight w:val="none"/>
        </w:rPr>
      </w:pPr>
      <w:r>
        <w:rPr>
          <w:rFonts w:hint="eastAsia" w:ascii="黑体" w:hAnsi="黑体" w:eastAsia="黑体" w:cs="宋体"/>
          <w:color w:val="auto"/>
          <w:kern w:val="0"/>
          <w:sz w:val="44"/>
          <w:szCs w:val="44"/>
          <w:highlight w:val="none"/>
        </w:rPr>
        <w:t>第二部分2</w:t>
      </w:r>
      <w:r>
        <w:rPr>
          <w:rFonts w:ascii="黑体" w:hAnsi="黑体" w:eastAsia="黑体" w:cs="宋体"/>
          <w:color w:val="auto"/>
          <w:kern w:val="0"/>
          <w:sz w:val="44"/>
          <w:szCs w:val="44"/>
          <w:highlight w:val="none"/>
        </w:rPr>
        <w:t>023</w:t>
      </w:r>
      <w:r>
        <w:rPr>
          <w:rFonts w:hint="eastAsia" w:ascii="黑体" w:hAnsi="黑体" w:eastAsia="黑体" w:cs="宋体"/>
          <w:color w:val="auto"/>
          <w:kern w:val="0"/>
          <w:sz w:val="44"/>
          <w:szCs w:val="44"/>
          <w:highlight w:val="none"/>
        </w:rPr>
        <w:t>年部门预算表</w:t>
      </w:r>
    </w:p>
    <w:p w14:paraId="21862709">
      <w:pPr>
        <w:widowControl/>
        <w:spacing w:line="450" w:lineRule="atLeast"/>
        <w:ind w:firstLine="2560" w:firstLineChars="800"/>
        <w:jc w:val="both"/>
        <w:rPr>
          <w:rFonts w:ascii="黑体" w:hAnsi="黑体" w:eastAsia="黑体" w:cs="宋体"/>
          <w:color w:val="auto"/>
          <w:kern w:val="0"/>
          <w:sz w:val="32"/>
          <w:szCs w:val="32"/>
          <w:highlight w:val="none"/>
        </w:rPr>
      </w:pPr>
      <w:r>
        <w:rPr>
          <w:rFonts w:hint="eastAsia" w:ascii="仿宋_GB2312" w:hAnsi="仿宋" w:eastAsia="仿宋_GB2312" w:cs="仿宋_GB2312"/>
          <w:color w:val="auto"/>
          <w:kern w:val="0"/>
          <w:sz w:val="32"/>
          <w:szCs w:val="32"/>
          <w:highlight w:val="none"/>
        </w:rPr>
        <w:t>（详情见公开附表）</w:t>
      </w:r>
    </w:p>
    <w:p w14:paraId="5C4C7DB8">
      <w:pPr>
        <w:rPr>
          <w:color w:val="auto"/>
          <w:highlight w:val="none"/>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仿宋_GBK">
    <w:panose1 w:val="02000000000000000000"/>
    <w:charset w:val="86"/>
    <w:family w:val="auto"/>
    <w:pitch w:val="default"/>
    <w:sig w:usb0="A00002BF" w:usb1="38CF7CFA" w:usb2="00082016" w:usb3="00000000" w:csb0="00040001"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46"/>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mE4YWE2NWM2NjkyMzUxOGRkNDNkNjJlMmYxYjJlZDkifQ=="/>
    <w:docVar w:name="KSO_WPS_MARK_KEY" w:val="fda015a3-ed98-470e-a21f-a1a8f6d89920"/>
  </w:docVars>
  <w:rsids>
    <w:rsidRoot w:val="00CA27EC"/>
    <w:rsid w:val="0004746B"/>
    <w:rsid w:val="00096C54"/>
    <w:rsid w:val="000C48A4"/>
    <w:rsid w:val="000D0739"/>
    <w:rsid w:val="000E243C"/>
    <w:rsid w:val="001000F1"/>
    <w:rsid w:val="00150E8E"/>
    <w:rsid w:val="001A64BB"/>
    <w:rsid w:val="0022181C"/>
    <w:rsid w:val="003075A9"/>
    <w:rsid w:val="0035085C"/>
    <w:rsid w:val="003622AB"/>
    <w:rsid w:val="00395776"/>
    <w:rsid w:val="0040402F"/>
    <w:rsid w:val="00413BC5"/>
    <w:rsid w:val="00426773"/>
    <w:rsid w:val="00482998"/>
    <w:rsid w:val="004B07BD"/>
    <w:rsid w:val="004B2699"/>
    <w:rsid w:val="00502D2C"/>
    <w:rsid w:val="00514623"/>
    <w:rsid w:val="0051631F"/>
    <w:rsid w:val="0051743A"/>
    <w:rsid w:val="005C0734"/>
    <w:rsid w:val="005C7A5A"/>
    <w:rsid w:val="005E5082"/>
    <w:rsid w:val="006008C3"/>
    <w:rsid w:val="00624B2B"/>
    <w:rsid w:val="00624BE3"/>
    <w:rsid w:val="006C7B07"/>
    <w:rsid w:val="00730BFE"/>
    <w:rsid w:val="00780063"/>
    <w:rsid w:val="007F6346"/>
    <w:rsid w:val="0080237C"/>
    <w:rsid w:val="0080592C"/>
    <w:rsid w:val="00872AD9"/>
    <w:rsid w:val="00873994"/>
    <w:rsid w:val="00885682"/>
    <w:rsid w:val="008A3A55"/>
    <w:rsid w:val="008E09C3"/>
    <w:rsid w:val="008F48CA"/>
    <w:rsid w:val="00903F2B"/>
    <w:rsid w:val="00934667"/>
    <w:rsid w:val="00977151"/>
    <w:rsid w:val="009A330F"/>
    <w:rsid w:val="009B5A2C"/>
    <w:rsid w:val="00A15CFF"/>
    <w:rsid w:val="00A3399D"/>
    <w:rsid w:val="00A33A18"/>
    <w:rsid w:val="00A87D06"/>
    <w:rsid w:val="00B25BE7"/>
    <w:rsid w:val="00B27321"/>
    <w:rsid w:val="00BB0CDD"/>
    <w:rsid w:val="00CA27EC"/>
    <w:rsid w:val="00CA58A7"/>
    <w:rsid w:val="00D31CC2"/>
    <w:rsid w:val="00D52DCB"/>
    <w:rsid w:val="00E10F2C"/>
    <w:rsid w:val="00E73750"/>
    <w:rsid w:val="00F80283"/>
    <w:rsid w:val="00F8740A"/>
    <w:rsid w:val="00F97F03"/>
    <w:rsid w:val="00FB326B"/>
    <w:rsid w:val="00FE10D1"/>
    <w:rsid w:val="03130EDA"/>
    <w:rsid w:val="3C3245BA"/>
    <w:rsid w:val="3F3009FB"/>
    <w:rsid w:val="5D525C4E"/>
    <w:rsid w:val="5E542DCB"/>
    <w:rsid w:val="74A54DD1"/>
    <w:rsid w:val="EF635A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link w:val="9"/>
    <w:qFormat/>
    <w:uiPriority w:val="9"/>
    <w:pPr>
      <w:widowControl/>
      <w:spacing w:before="100" w:beforeAutospacing="1" w:after="100" w:afterAutospacing="1"/>
      <w:jc w:val="left"/>
      <w:outlineLvl w:val="1"/>
    </w:pPr>
    <w:rPr>
      <w:rFonts w:ascii="宋体" w:hAnsi="宋体" w:eastAsia="宋体" w:cs="宋体"/>
      <w:b/>
      <w:bCs/>
      <w:kern w:val="0"/>
      <w:sz w:val="36"/>
      <w:szCs w:val="36"/>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0"/>
    <w:pPr>
      <w:widowControl/>
      <w:spacing w:before="100" w:beforeAutospacing="1" w:after="100" w:afterAutospacing="1"/>
      <w:jc w:val="left"/>
    </w:pPr>
    <w:rPr>
      <w:rFonts w:ascii="宋体" w:hAnsi="宋体" w:eastAsia="宋体" w:cs="宋体"/>
      <w:kern w:val="0"/>
      <w:sz w:val="24"/>
      <w:szCs w:val="24"/>
    </w:rPr>
  </w:style>
  <w:style w:type="character" w:styleId="8">
    <w:name w:val="Hyperlink"/>
    <w:basedOn w:val="7"/>
    <w:semiHidden/>
    <w:unhideWhenUsed/>
    <w:qFormat/>
    <w:uiPriority w:val="99"/>
    <w:rPr>
      <w:color w:val="0000FF"/>
      <w:u w:val="single"/>
    </w:rPr>
  </w:style>
  <w:style w:type="character" w:customStyle="1" w:styleId="9">
    <w:name w:val="标题 2 字符"/>
    <w:basedOn w:val="7"/>
    <w:link w:val="2"/>
    <w:qFormat/>
    <w:uiPriority w:val="9"/>
    <w:rPr>
      <w:rFonts w:ascii="宋体" w:hAnsi="宋体" w:eastAsia="宋体" w:cs="宋体"/>
      <w:b/>
      <w:bCs/>
      <w:kern w:val="0"/>
      <w:sz w:val="36"/>
      <w:szCs w:val="36"/>
    </w:rPr>
  </w:style>
  <w:style w:type="character" w:customStyle="1" w:styleId="10">
    <w:name w:val="页眉 字符"/>
    <w:basedOn w:val="7"/>
    <w:link w:val="4"/>
    <w:qFormat/>
    <w:uiPriority w:val="99"/>
    <w:rPr>
      <w:sz w:val="18"/>
      <w:szCs w:val="18"/>
    </w:rPr>
  </w:style>
  <w:style w:type="character" w:customStyle="1" w:styleId="11">
    <w:name w:val="页脚 字符"/>
    <w:basedOn w:val="7"/>
    <w:link w:val="3"/>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2688</Words>
  <Characters>2977</Characters>
  <Lines>21</Lines>
  <Paragraphs>6</Paragraphs>
  <TotalTime>42</TotalTime>
  <ScaleCrop>false</ScaleCrop>
  <LinksUpToDate>false</LinksUpToDate>
  <CharactersWithSpaces>2980</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2024-10-14T19:38:00Z</dcterms:created>
  <dc:creator>Administrator</dc:creator>
  <cp:lastModifiedBy>29002</cp:lastModifiedBy>
  <dcterms:modified xsi:type="dcterms:W3CDTF">2024-10-25T02:43:40Z</dcterms:modified>
  <cp:revision>73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DA78FD6889F2430DAA0A45F3CCD8B51C_12</vt:lpwstr>
  </property>
</Properties>
</file>