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kinsoku/>
        <w:wordWrap/>
        <w:overflowPunct/>
        <w:topLinePunct w:val="0"/>
        <w:bidi w:val="0"/>
        <w:snapToGrid/>
        <w:spacing w:line="600" w:lineRule="exact"/>
        <w:ind w:left="0" w:leftChars="0" w:right="0" w:rightChars="0" w:firstLine="960" w:firstLineChars="200"/>
        <w:jc w:val="both"/>
        <w:textAlignment w:val="auto"/>
        <w:rPr>
          <w:rFonts w:hint="eastAsia" w:ascii="黑体" w:hAnsi="黑体" w:eastAsia="黑体" w:cs="黑体"/>
          <w:bCs/>
          <w:color w:val="auto"/>
          <w:kern w:val="0"/>
          <w:sz w:val="48"/>
          <w:szCs w:val="48"/>
          <w:lang w:val="en-US" w:eastAsia="zh-CN" w:bidi="ar-SA"/>
        </w:rPr>
      </w:pPr>
      <w:r>
        <w:rPr>
          <w:rFonts w:hint="eastAsia" w:ascii="黑体" w:hAnsi="黑体" w:eastAsia="黑体" w:cs="黑体"/>
          <w:bCs/>
          <w:color w:val="auto"/>
          <w:kern w:val="0"/>
          <w:sz w:val="48"/>
          <w:szCs w:val="48"/>
          <w:lang w:val="en-US" w:eastAsia="zh-CN" w:bidi="ar-SA"/>
        </w:rPr>
        <w:t>202</w:t>
      </w:r>
      <w:r>
        <w:rPr>
          <w:rFonts w:hint="eastAsia" w:hAnsi="黑体" w:cs="黑体"/>
          <w:bCs/>
          <w:color w:val="auto"/>
          <w:kern w:val="0"/>
          <w:sz w:val="48"/>
          <w:szCs w:val="48"/>
          <w:lang w:val="en-US" w:eastAsia="zh-CN" w:bidi="ar-SA"/>
        </w:rPr>
        <w:t>2</w:t>
      </w:r>
      <w:r>
        <w:rPr>
          <w:rFonts w:hint="eastAsia" w:ascii="黑体" w:hAnsi="黑体" w:eastAsia="黑体" w:cs="黑体"/>
          <w:bCs/>
          <w:color w:val="auto"/>
          <w:kern w:val="0"/>
          <w:sz w:val="48"/>
          <w:szCs w:val="48"/>
          <w:lang w:val="en-US" w:eastAsia="zh-CN" w:bidi="ar-SA"/>
        </w:rPr>
        <w:t>年度怀化市档案馆部门决算</w:t>
      </w:r>
    </w:p>
    <w:p>
      <w:pPr>
        <w:pStyle w:val="8"/>
        <w:spacing w:line="500" w:lineRule="exact"/>
        <w:jc w:val="both"/>
        <w:rPr>
          <w:b/>
          <w:sz w:val="36"/>
          <w:szCs w:val="28"/>
        </w:rPr>
      </w:pPr>
    </w:p>
    <w:p>
      <w:pPr>
        <w:pStyle w:val="8"/>
        <w:spacing w:line="500" w:lineRule="exact"/>
        <w:jc w:val="center"/>
        <w:rPr>
          <w:b/>
          <w:sz w:val="36"/>
          <w:szCs w:val="28"/>
        </w:rPr>
      </w:pPr>
      <w:r>
        <w:rPr>
          <w:rFonts w:hint="eastAsia"/>
          <w:b/>
          <w:sz w:val="36"/>
          <w:szCs w:val="28"/>
        </w:rPr>
        <w:t>目录</w:t>
      </w:r>
    </w:p>
    <w:p>
      <w:pPr>
        <w:pStyle w:val="8"/>
        <w:keepNext w:val="0"/>
        <w:keepLines w:val="0"/>
        <w:pageBreakBefore w:val="0"/>
        <w:kinsoku/>
        <w:wordWrap/>
        <w:topLinePunct w:val="0"/>
        <w:bidi w:val="0"/>
        <w:spacing w:line="600" w:lineRule="exact"/>
        <w:ind w:right="0" w:rightChars="0" w:firstLine="643" w:firstLineChars="200"/>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第一部分 怀化市档案馆部门概况</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8"/>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第二部分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8"/>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部门决算情况说明</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八、政府性基金预算收入支出决算情况</w:t>
      </w:r>
      <w:r>
        <w:rPr>
          <w:rFonts w:hint="eastAsia" w:ascii="仿宋_GB2312" w:hAnsi="仿宋_GB2312" w:eastAsia="仿宋_GB2312" w:cs="仿宋_GB2312"/>
          <w:color w:val="000000"/>
          <w:kern w:val="0"/>
          <w:sz w:val="28"/>
          <w:szCs w:val="28"/>
          <w:lang w:eastAsia="zh-CN"/>
        </w:rPr>
        <w:t>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w:t>
      </w:r>
      <w:r>
        <w:rPr>
          <w:rFonts w:hint="eastAsia" w:ascii="仿宋_GB2312" w:hAnsi="仿宋_GB2312" w:eastAsia="仿宋_GB2312" w:cs="仿宋_GB2312"/>
          <w:sz w:val="28"/>
          <w:szCs w:val="28"/>
        </w:rPr>
        <w:t>国有资本经营预算财政拨款支出决算</w:t>
      </w:r>
      <w:r>
        <w:rPr>
          <w:rFonts w:hint="eastAsia" w:ascii="仿宋_GB2312" w:hAnsi="仿宋_GB2312" w:eastAsia="仿宋_GB2312" w:cs="仿宋_GB2312"/>
          <w:sz w:val="28"/>
          <w:szCs w:val="28"/>
          <w:lang w:eastAsia="zh-CN"/>
        </w:rPr>
        <w:t>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8"/>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8"/>
        <w:spacing w:line="500" w:lineRule="exact"/>
        <w:ind w:firstLine="960" w:firstLineChars="300"/>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p>
    <w:p>
      <w:pPr>
        <w:keepNext w:val="0"/>
        <w:keepLines w:val="0"/>
        <w:pageBreakBefore w:val="0"/>
        <w:widowControl/>
        <w:kinsoku/>
        <w:wordWrap/>
        <w:overflowPunct/>
        <w:topLinePunct w:val="0"/>
        <w:bidi w:val="0"/>
        <w:snapToGrid/>
        <w:spacing w:line="600" w:lineRule="exact"/>
        <w:ind w:firstLine="964" w:firstLineChars="300"/>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第五部分 附件</w:t>
      </w:r>
    </w:p>
    <w:p>
      <w:pPr>
        <w:pStyle w:val="8"/>
        <w:spacing w:line="500" w:lineRule="exact"/>
        <w:ind w:firstLine="900" w:firstLineChars="300"/>
        <w:rPr>
          <w:rFonts w:hint="eastAsia" w:ascii="仿宋" w:hAnsi="仿宋" w:eastAsia="仿宋" w:cs="仿宋"/>
          <w:b w:val="0"/>
          <w:bCs/>
          <w:sz w:val="30"/>
          <w:szCs w:val="30"/>
        </w:rPr>
      </w:pPr>
      <w:r>
        <w:rPr>
          <w:rFonts w:hint="eastAsia" w:ascii="仿宋" w:hAnsi="仿宋" w:eastAsia="仿宋" w:cs="仿宋"/>
          <w:sz w:val="30"/>
          <w:szCs w:val="30"/>
          <w:lang w:eastAsia="zh-CN"/>
        </w:rPr>
        <w:t>一、</w:t>
      </w:r>
      <w:r>
        <w:rPr>
          <w:rFonts w:hint="eastAsia" w:ascii="仿宋" w:hAnsi="仿宋" w:eastAsia="仿宋" w:cs="仿宋"/>
          <w:b w:val="0"/>
          <w:bCs/>
          <w:sz w:val="30"/>
          <w:szCs w:val="30"/>
        </w:rPr>
        <w:t>部门决算表</w:t>
      </w:r>
    </w:p>
    <w:p>
      <w:pPr>
        <w:jc w:val="cente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二、</w:t>
      </w:r>
      <w:r>
        <w:rPr>
          <w:rFonts w:hint="eastAsia" w:ascii="仿宋" w:hAnsi="仿宋" w:eastAsia="仿宋" w:cs="仿宋"/>
          <w:sz w:val="30"/>
          <w:szCs w:val="30"/>
        </w:rPr>
        <w:t>2022年度怀化市档案馆部门整体支出绩效自评报告</w:t>
      </w:r>
    </w:p>
    <w:p>
      <w:pPr>
        <w:rPr>
          <w:rFonts w:eastAsia="楷体_GB2312"/>
          <w:b/>
          <w:sz w:val="32"/>
          <w:szCs w:val="32"/>
        </w:rPr>
      </w:pPr>
    </w:p>
    <w:p>
      <w:pPr>
        <w:pStyle w:val="2"/>
        <w:ind w:left="0" w:leftChars="0" w:firstLine="630" w:firstLineChars="300"/>
        <w:rPr>
          <w:rFonts w:hint="eastAsia"/>
          <w:lang w:eastAsia="zh-CN"/>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rPr>
          <w:rFonts w:hint="eastAsia" w:ascii="方正小标宋_GBK" w:hAnsi="方正小标宋_GBK" w:eastAsia="方正小标宋_GBK" w:cs="方正小标宋_GBK"/>
          <w:sz w:val="72"/>
          <w:szCs w:val="72"/>
        </w:rPr>
      </w:pPr>
    </w:p>
    <w:p>
      <w:pPr>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8"/>
        <w:keepNext w:val="0"/>
        <w:keepLines w:val="0"/>
        <w:pageBreakBefore w:val="0"/>
        <w:kinsoku/>
        <w:wordWrap/>
        <w:topLinePunct w:val="0"/>
        <w:bidi w:val="0"/>
        <w:spacing w:line="600" w:lineRule="exact"/>
        <w:ind w:right="0" w:rightChars="0" w:firstLine="1084" w:firstLineChars="300"/>
        <w:jc w:val="both"/>
        <w:rPr>
          <w:rFonts w:hint="eastAsia" w:ascii="方正小标宋_GBK" w:hAnsi="方正小标宋_GBK" w:eastAsia="方正小标宋_GBK" w:cs="方正小标宋_GBK"/>
          <w:b/>
          <w:bCs w:val="0"/>
          <w:color w:val="auto"/>
          <w:kern w:val="0"/>
          <w:sz w:val="36"/>
          <w:szCs w:val="36"/>
          <w:lang w:val="en-US" w:eastAsia="zh-CN" w:bidi="ar-SA"/>
        </w:rPr>
      </w:pPr>
      <w:r>
        <w:rPr>
          <w:rFonts w:hint="eastAsia" w:ascii="方正小标宋_GBK" w:hAnsi="方正小标宋_GBK" w:eastAsia="方正小标宋_GBK" w:cs="方正小标宋_GBK"/>
          <w:b/>
          <w:bCs w:val="0"/>
          <w:color w:val="auto"/>
          <w:kern w:val="0"/>
          <w:sz w:val="36"/>
          <w:szCs w:val="36"/>
          <w:lang w:val="en-US" w:eastAsia="zh-CN" w:bidi="ar-SA"/>
        </w:rPr>
        <w:t>第一部分 怀化市档案馆概况</w:t>
      </w:r>
    </w:p>
    <w:p>
      <w:pPr>
        <w:pStyle w:val="9"/>
        <w:keepNext w:val="0"/>
        <w:keepLines w:val="0"/>
        <w:pageBreakBefore w:val="0"/>
        <w:kinsoku/>
        <w:wordWrap/>
        <w:topLinePunct w:val="0"/>
        <w:bidi w:val="0"/>
        <w:spacing w:line="600" w:lineRule="exact"/>
        <w:ind w:left="0" w:leftChars="0" w:right="0" w:rightChars="0" w:firstLine="960" w:firstLineChars="300"/>
        <w:jc w:val="left"/>
        <w:rPr>
          <w:rFonts w:hint="eastAsia" w:ascii="黑体" w:hAnsi="黑体" w:eastAsia="黑体" w:cs="黑体"/>
          <w:sz w:val="32"/>
          <w:szCs w:val="32"/>
        </w:rPr>
      </w:pPr>
      <w:r>
        <w:rPr>
          <w:rFonts w:hint="eastAsia" w:ascii="黑体" w:hAnsi="黑体" w:eastAsia="黑体" w:cs="黑体"/>
          <w:sz w:val="32"/>
          <w:szCs w:val="32"/>
        </w:rPr>
        <w:t>一、 部门职责</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一）负责本馆日常运转工作和内外联系、综合协调；负责制定档案馆各项内部管理制度，起草有关文件和综合性文字材料；负责会议组织、文电处理、统计年报、信访、保密、国有资产管理及其他行政事务管理工作；负责财务、人事、劳动工资、计生、绩效考核、综合治理、安全保卫、后勤服务、综合信息上报工作；负责全市档案专业技术资格申报审查工作。</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二）负责应用先进技术和方法对馆藏档案资料进行科学保管工作，维护档案安全；对馆藏档案资料进行整理、销毁、统计和编制检索工具、全宗介绍等；负责馆藏档案资料、市政府公开信息及现行文件的预约和来馆查阅服务；负责本馆查阅利用情况综合和统计；负责档案利用效果的收集和典型经验总结上报；负责档案馆库房设施设备运行、维护管理和库房保洁工作。</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（三）负责公布档案史料，并开展馆藏档案史料的开发、编研和发行工作；负责开展档案学术理论研究和科研工作，组织全市档案编研优秀成果的评审与申报； 负责开展档案宣传和档案文化建设，围绕市委市政府中心工作和社会重点、热点问题举办档案展览；负责爱国主义教育基地的建设、管理和对外开放；负责接收市直单位和其他组织按规定移交进馆的档案资料；负责市政府公开信息和现行文件的征集接收；负责调查、征集散存在社会上的珍贵档案资料；负责馆藏档案开放鉴定，定期向社会公布开放档案目录；负责对馆藏档案资料进行技术抢救和保护修复工作。</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（四） 负责市直单位和其他组织电子、声像档案的接收、存储工作；负责开展馆藏档案资料缩微、数字化、模数转换、复制等工作；负责馆藏档案目录、全文和多媒体数据库建设工作。负责本馆计算机网络、门户网站、办公自动化、数字化设备等信息化基础设施建设及管理与运行维护工作，保障计算机信息系统安全；负责档案数字资源的日常维护及安全保管、统计分析、备份迁移、共享发布等工作。负责承担党和国家领导人、省领导、重要人物来怀化及外事接待活动中形成的照片、录音、录像档案的采集及其接收、整理；承担市领导公务活动及本市重要人物的照片、录音、录像档案的采集及其接收、整理；承担市内重要会议、重大活动、重大事件的照片、录音、录像档案的采集及其接收、整理；定点、定时采集市内记录城乡建设与发展的声像档案 ；负责市内非物质文化遗产和重要名胜档案资料的采集与整理；组织市本级口述档案的采集与整理；提供照片、录音、录像档案资料的开发利用。</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(五)承办市委、市政府交办的其他事项。</w:t>
      </w:r>
    </w:p>
    <w:p>
      <w:pPr>
        <w:keepNext w:val="0"/>
        <w:keepLines w:val="0"/>
        <w:pageBreakBefore w:val="0"/>
        <w:widowControl/>
        <w:kinsoku/>
        <w:wordWrap/>
        <w:topLinePunct w:val="0"/>
        <w:bidi w:val="0"/>
        <w:spacing w:line="600" w:lineRule="exact"/>
        <w:ind w:left="0" w:leftChars="0" w:right="0" w:rightChars="0"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color w:val="3D3D3D"/>
          <w:sz w:val="32"/>
          <w:szCs w:val="32"/>
        </w:rPr>
      </w:pPr>
      <w:r>
        <w:rPr>
          <w:rFonts w:hint="eastAsia" w:ascii="仿宋" w:hAnsi="仿宋" w:eastAsia="仿宋" w:cs="仿宋"/>
          <w:bCs/>
          <w:sz w:val="32"/>
          <w:szCs w:val="32"/>
        </w:rPr>
        <w:t>（一）内设机构设置。市档案馆内设4个职能部(室)：怀化市档案馆办公室；怀化市档案馆管理利用部；怀化市档案馆编研和征收鉴定部；怀化市档案馆科技信息部（电子档案部）</w:t>
      </w:r>
      <w:r>
        <w:rPr>
          <w:rFonts w:hint="eastAsia" w:ascii="仿宋" w:hAnsi="仿宋" w:eastAsia="仿宋" w:cs="仿宋"/>
          <w:color w:val="3D3D3D"/>
          <w:sz w:val="32"/>
          <w:szCs w:val="32"/>
        </w:rPr>
        <w:t>。</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（二）决算单位构成。市档案馆为一级部门预算单位， 202</w:t>
      </w:r>
      <w:r>
        <w:rPr>
          <w:rFonts w:hint="eastAsia" w:ascii="仿宋" w:hAnsi="仿宋" w:eastAsia="仿宋" w:cs="仿宋"/>
          <w:bCs/>
          <w:sz w:val="32"/>
          <w:szCs w:val="32"/>
          <w:lang w:val="en-US" w:eastAsia="zh-CN"/>
        </w:rPr>
        <w:t>2</w:t>
      </w:r>
      <w:r>
        <w:rPr>
          <w:rFonts w:hint="eastAsia" w:ascii="仿宋" w:hAnsi="仿宋" w:eastAsia="仿宋" w:cs="仿宋"/>
          <w:bCs/>
          <w:sz w:val="32"/>
          <w:szCs w:val="32"/>
        </w:rPr>
        <w:t>年部门决算汇总公开单位构成就是市档案馆本级。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8"/>
        <w:jc w:val="center"/>
        <w:rPr>
          <w:rFonts w:hint="eastAsia" w:ascii="方正小标宋_GBK" w:hAnsi="方正小标宋_GBK" w:eastAsia="方正小标宋_GBK" w:cs="方正小标宋_GBK"/>
          <w:sz w:val="84"/>
          <w:szCs w:val="84"/>
        </w:rPr>
      </w:pPr>
    </w:p>
    <w:p>
      <w:pPr>
        <w:pStyle w:val="8"/>
        <w:keepNext w:val="0"/>
        <w:keepLines w:val="0"/>
        <w:pageBreakBefore w:val="0"/>
        <w:numPr>
          <w:ilvl w:val="0"/>
          <w:numId w:val="1"/>
        </w:numPr>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部门决算表</w:t>
      </w:r>
    </w:p>
    <w:p>
      <w:pPr>
        <w:pStyle w:val="8"/>
        <w:keepNext w:val="0"/>
        <w:keepLines w:val="0"/>
        <w:pageBreakBefore w:val="0"/>
        <w:numPr>
          <w:ilvl w:val="0"/>
          <w:numId w:val="0"/>
        </w:numPr>
        <w:kinsoku/>
        <w:wordWrap/>
        <w:overflowPunct/>
        <w:topLinePunct w:val="0"/>
        <w:bidi w:val="0"/>
        <w:snapToGrid/>
        <w:spacing w:line="60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详情见附件）</w:t>
      </w:r>
    </w:p>
    <w:p>
      <w:pPr>
        <w:pStyle w:val="8"/>
        <w:jc w:val="center"/>
        <w:rPr>
          <w:rFonts w:hint="eastAsia" w:ascii="方正小标宋_GBK" w:hAnsi="方正小标宋_GBK" w:eastAsia="方正小标宋_GBK" w:cs="方正小标宋_GBK"/>
          <w:sz w:val="84"/>
          <w:szCs w:val="84"/>
        </w:rPr>
      </w:pPr>
    </w:p>
    <w:p>
      <w:pPr>
        <w:jc w:val="center"/>
        <w:rPr>
          <w:sz w:val="72"/>
          <w:szCs w:val="72"/>
        </w:rPr>
      </w:pPr>
    </w:p>
    <w:p/>
    <w:p/>
    <w:p/>
    <w:p/>
    <w:p/>
    <w:p/>
    <w:p/>
    <w:p/>
    <w:p/>
    <w:p/>
    <w:p/>
    <w:p/>
    <w:p/>
    <w:p/>
    <w:p/>
    <w:p/>
    <w:p/>
    <w:p/>
    <w:p/>
    <w:p/>
    <w:p/>
    <w:p/>
    <w:p/>
    <w:p/>
    <w:p/>
    <w:p/>
    <w:p/>
    <w:p>
      <w:pPr>
        <w:pStyle w:val="2"/>
      </w:pPr>
    </w:p>
    <w:p>
      <w:pPr>
        <w:pStyle w:val="2"/>
      </w:pPr>
    </w:p>
    <w:p/>
    <w:p/>
    <w:p>
      <w:pPr>
        <w:pStyle w:val="8"/>
        <w:keepNext w:val="0"/>
        <w:keepLines w:val="0"/>
        <w:pageBreakBefore w:val="0"/>
        <w:numPr>
          <w:ilvl w:val="0"/>
          <w:numId w:val="1"/>
        </w:numPr>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202</w:t>
      </w:r>
      <w:r>
        <w:rPr>
          <w:rFonts w:hint="eastAsia" w:ascii="方正小标宋_GBK" w:hAnsi="方正小标宋_GBK" w:eastAsia="方正小标宋_GBK" w:cs="方正小标宋_GBK"/>
          <w:b/>
          <w:bCs/>
          <w:sz w:val="36"/>
          <w:szCs w:val="36"/>
          <w:lang w:val="en-US" w:eastAsia="zh-CN"/>
        </w:rPr>
        <w:t>2</w:t>
      </w:r>
      <w:r>
        <w:rPr>
          <w:rFonts w:hint="eastAsia" w:ascii="方正小标宋_GBK" w:hAnsi="方正小标宋_GBK" w:eastAsia="方正小标宋_GBK" w:cs="方正小标宋_GBK"/>
          <w:b/>
          <w:bCs/>
          <w:sz w:val="36"/>
          <w:szCs w:val="36"/>
        </w:rPr>
        <w:t>年度部门决算情况说明</w:t>
      </w:r>
    </w:p>
    <w:p>
      <w:pPr>
        <w:widowControl/>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各401.69</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25.92</w:t>
      </w:r>
      <w:r>
        <w:rPr>
          <w:rFonts w:hint="eastAsia" w:ascii="仿宋" w:hAnsi="仿宋" w:eastAsia="仿宋" w:cs="仿宋"/>
          <w:sz w:val="32"/>
          <w:szCs w:val="32"/>
        </w:rPr>
        <w:t>万元，增长</w:t>
      </w:r>
      <w:r>
        <w:rPr>
          <w:rFonts w:hint="eastAsia" w:ascii="仿宋" w:hAnsi="仿宋" w:eastAsia="仿宋" w:cs="仿宋"/>
          <w:sz w:val="32"/>
          <w:szCs w:val="32"/>
          <w:lang w:val="en-US" w:eastAsia="zh-CN"/>
        </w:rPr>
        <w:t>6.9</w:t>
      </w:r>
      <w:r>
        <w:rPr>
          <w:rFonts w:hint="eastAsia" w:ascii="仿宋" w:hAnsi="仿宋" w:eastAsia="仿宋" w:cs="仿宋"/>
          <w:sz w:val="32"/>
          <w:szCs w:val="32"/>
        </w:rPr>
        <w:t>%，</w:t>
      </w:r>
      <w:bookmarkStart w:id="0" w:name="_Hlk112756587"/>
      <w:bookmarkStart w:id="1" w:name="_Hlk112756644"/>
      <w:r>
        <w:rPr>
          <w:rFonts w:hint="eastAsia" w:ascii="仿宋" w:hAnsi="仿宋" w:eastAsia="仿宋" w:cs="仿宋"/>
          <w:sz w:val="32"/>
          <w:szCs w:val="32"/>
        </w:rPr>
        <w:t>主要是因为</w:t>
      </w:r>
      <w:bookmarkStart w:id="2" w:name="_Hlk112755979"/>
      <w:r>
        <w:rPr>
          <w:rFonts w:hint="eastAsia" w:ascii="仿宋" w:hAnsi="仿宋" w:eastAsia="仿宋" w:cs="仿宋"/>
          <w:sz w:val="32"/>
          <w:szCs w:val="32"/>
        </w:rPr>
        <w:t>增加了</w:t>
      </w:r>
      <w:bookmarkEnd w:id="2"/>
      <w:r>
        <w:rPr>
          <w:rFonts w:hint="eastAsia" w:ascii="仿宋" w:hAnsi="仿宋" w:eastAsia="仿宋" w:cs="仿宋"/>
          <w:sz w:val="32"/>
          <w:szCs w:val="32"/>
        </w:rPr>
        <w:t>库房配套设施建设经费。</w:t>
      </w:r>
      <w:bookmarkEnd w:id="0"/>
    </w:p>
    <w:bookmarkEnd w:id="1"/>
    <w:p>
      <w:pPr>
        <w:pStyle w:val="8"/>
        <w:keepNext w:val="0"/>
        <w:keepLines w:val="0"/>
        <w:pageBreakBefore w:val="0"/>
        <w:kinsoku/>
        <w:wordWrap/>
        <w:topLinePunct w:val="0"/>
        <w:bidi w:val="0"/>
        <w:spacing w:line="600" w:lineRule="exact"/>
        <w:ind w:left="0" w:leftChars="0" w:right="0" w:rightChars="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年度收入合计</w:t>
      </w:r>
      <w:r>
        <w:rPr>
          <w:rFonts w:hint="eastAsia" w:ascii="仿宋" w:hAnsi="仿宋" w:eastAsia="仿宋" w:cs="仿宋"/>
          <w:sz w:val="32"/>
          <w:szCs w:val="32"/>
          <w:lang w:val="en-US" w:eastAsia="zh-CN"/>
        </w:rPr>
        <w:t>400.3</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400.3</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%；上级补助收入0万元，占0%；事业收入0万元，占0%；经营收入0万元，占0%；附属单位上缴收入0万元，占0%</w:t>
      </w:r>
      <w:r>
        <w:rPr>
          <w:rFonts w:hint="eastAsia" w:ascii="仿宋" w:hAnsi="仿宋" w:eastAsia="仿宋" w:cs="仿宋"/>
          <w:sz w:val="32"/>
          <w:szCs w:val="32"/>
          <w:lang w:eastAsia="zh-CN"/>
        </w:rPr>
        <w:t>，</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年度支出合计</w:t>
      </w:r>
      <w:r>
        <w:rPr>
          <w:rFonts w:hint="eastAsia" w:ascii="仿宋" w:hAnsi="仿宋" w:eastAsia="仿宋" w:cs="仿宋"/>
          <w:sz w:val="32"/>
          <w:szCs w:val="32"/>
          <w:lang w:val="en-US" w:eastAsia="zh-CN"/>
        </w:rPr>
        <w:t>401.69</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329.46</w:t>
      </w:r>
      <w:r>
        <w:rPr>
          <w:rFonts w:hint="eastAsia" w:ascii="仿宋" w:hAnsi="仿宋" w:eastAsia="仿宋" w:cs="仿宋"/>
          <w:sz w:val="32"/>
          <w:szCs w:val="32"/>
        </w:rPr>
        <w:t>万元，占</w:t>
      </w:r>
      <w:r>
        <w:rPr>
          <w:rFonts w:hint="eastAsia" w:ascii="仿宋" w:hAnsi="仿宋" w:eastAsia="仿宋" w:cs="仿宋"/>
          <w:sz w:val="32"/>
          <w:szCs w:val="32"/>
          <w:lang w:val="en-US" w:eastAsia="zh-CN"/>
        </w:rPr>
        <w:t>82.02</w:t>
      </w:r>
      <w:r>
        <w:rPr>
          <w:rFonts w:hint="eastAsia" w:ascii="仿宋" w:hAnsi="仿宋" w:eastAsia="仿宋" w:cs="仿宋"/>
          <w:sz w:val="32"/>
          <w:szCs w:val="32"/>
        </w:rPr>
        <w:t>%；项目支出</w:t>
      </w:r>
      <w:r>
        <w:rPr>
          <w:rFonts w:hint="eastAsia" w:ascii="仿宋" w:hAnsi="仿宋" w:eastAsia="仿宋" w:cs="仿宋"/>
          <w:sz w:val="32"/>
          <w:szCs w:val="32"/>
          <w:lang w:val="en-US" w:eastAsia="zh-CN"/>
        </w:rPr>
        <w:t>72.23</w:t>
      </w:r>
      <w:r>
        <w:rPr>
          <w:rFonts w:hint="eastAsia" w:ascii="仿宋" w:hAnsi="仿宋" w:eastAsia="仿宋" w:cs="仿宋"/>
          <w:sz w:val="32"/>
          <w:szCs w:val="32"/>
        </w:rPr>
        <w:t>万元，占</w:t>
      </w:r>
      <w:r>
        <w:rPr>
          <w:rFonts w:hint="eastAsia" w:ascii="仿宋" w:hAnsi="仿宋" w:eastAsia="仿宋" w:cs="仿宋"/>
          <w:sz w:val="32"/>
          <w:szCs w:val="32"/>
          <w:lang w:val="en-US" w:eastAsia="zh-CN"/>
        </w:rPr>
        <w:t>17.98</w:t>
      </w:r>
      <w:r>
        <w:rPr>
          <w:rFonts w:hint="eastAsia" w:ascii="仿宋" w:hAnsi="仿宋" w:eastAsia="仿宋" w:cs="仿宋"/>
          <w:sz w:val="32"/>
          <w:szCs w:val="32"/>
        </w:rPr>
        <w:t>%；上缴上级支出0万元，占0%；经营支出0万元，占0%；对附属单位补助支出0万元，占0%。</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各400.30</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25.03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6.67</w:t>
      </w:r>
      <w:r>
        <w:rPr>
          <w:rFonts w:hint="eastAsia" w:ascii="仿宋" w:hAnsi="仿宋" w:eastAsia="仿宋" w:cs="仿宋"/>
          <w:sz w:val="32"/>
          <w:szCs w:val="32"/>
        </w:rPr>
        <w:t>%，主要是因为增加了库房配套设施建设经费。</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400.30</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25.03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6.67</w:t>
      </w:r>
      <w:r>
        <w:rPr>
          <w:rFonts w:hint="eastAsia" w:ascii="仿宋" w:hAnsi="仿宋" w:eastAsia="仿宋" w:cs="仿宋"/>
          <w:sz w:val="32"/>
          <w:szCs w:val="32"/>
        </w:rPr>
        <w:t>%，主要是因为主要是因为增加了库房配套设施建设经费支出。</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400.30</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341.39</w:t>
      </w:r>
      <w:r>
        <w:rPr>
          <w:rFonts w:hint="eastAsia" w:ascii="仿宋" w:hAnsi="仿宋" w:eastAsia="仿宋" w:cs="仿宋"/>
          <w:sz w:val="32"/>
          <w:szCs w:val="32"/>
        </w:rPr>
        <w:t>万元，占</w:t>
      </w:r>
      <w:r>
        <w:rPr>
          <w:rFonts w:hint="eastAsia" w:ascii="仿宋" w:hAnsi="仿宋" w:eastAsia="仿宋" w:cs="仿宋"/>
          <w:sz w:val="32"/>
          <w:szCs w:val="32"/>
          <w:lang w:val="en-US" w:eastAsia="zh-CN"/>
        </w:rPr>
        <w:t>85.28</w:t>
      </w:r>
      <w:r>
        <w:rPr>
          <w:rFonts w:hint="eastAsia" w:ascii="仿宋" w:hAnsi="仿宋" w:eastAsia="仿宋" w:cs="仿宋"/>
          <w:sz w:val="32"/>
          <w:szCs w:val="32"/>
        </w:rPr>
        <w:t>%；社会保障和就业支出（类）</w:t>
      </w:r>
      <w:r>
        <w:rPr>
          <w:rFonts w:hint="eastAsia" w:ascii="仿宋" w:hAnsi="仿宋" w:eastAsia="仿宋" w:cs="仿宋"/>
          <w:sz w:val="32"/>
          <w:szCs w:val="32"/>
          <w:lang w:val="en-US" w:eastAsia="zh-CN"/>
        </w:rPr>
        <w:t>45.08</w:t>
      </w:r>
      <w:r>
        <w:rPr>
          <w:rFonts w:hint="eastAsia" w:ascii="仿宋" w:hAnsi="仿宋" w:eastAsia="仿宋" w:cs="仿宋"/>
          <w:sz w:val="32"/>
          <w:szCs w:val="32"/>
        </w:rPr>
        <w:t>万元，占</w:t>
      </w:r>
      <w:r>
        <w:rPr>
          <w:rFonts w:hint="eastAsia" w:ascii="仿宋" w:hAnsi="仿宋" w:eastAsia="仿宋" w:cs="仿宋"/>
          <w:sz w:val="32"/>
          <w:szCs w:val="32"/>
          <w:lang w:val="en-US" w:eastAsia="zh-CN"/>
        </w:rPr>
        <w:t>11.26</w:t>
      </w:r>
      <w:r>
        <w:rPr>
          <w:rFonts w:hint="eastAsia" w:ascii="仿宋" w:hAnsi="仿宋" w:eastAsia="仿宋" w:cs="仿宋"/>
          <w:sz w:val="32"/>
          <w:szCs w:val="32"/>
        </w:rPr>
        <w:t>%；卫生健康支出（类）</w:t>
      </w:r>
      <w:r>
        <w:rPr>
          <w:rFonts w:hint="eastAsia" w:ascii="仿宋" w:hAnsi="仿宋" w:eastAsia="仿宋" w:cs="仿宋"/>
          <w:sz w:val="32"/>
          <w:szCs w:val="32"/>
          <w:lang w:val="en-US" w:eastAsia="zh-CN"/>
        </w:rPr>
        <w:t>13.83</w:t>
      </w:r>
      <w:r>
        <w:rPr>
          <w:rFonts w:hint="eastAsia" w:ascii="仿宋" w:hAnsi="仿宋" w:eastAsia="仿宋" w:cs="仿宋"/>
          <w:sz w:val="32"/>
          <w:szCs w:val="32"/>
        </w:rPr>
        <w:t>万元，占</w:t>
      </w:r>
      <w:r>
        <w:rPr>
          <w:rFonts w:hint="eastAsia" w:ascii="仿宋" w:hAnsi="仿宋" w:eastAsia="仿宋" w:cs="仿宋"/>
          <w:sz w:val="32"/>
          <w:szCs w:val="32"/>
          <w:lang w:val="en-US" w:eastAsia="zh-CN"/>
        </w:rPr>
        <w:t>2.96</w:t>
      </w:r>
      <w:r>
        <w:rPr>
          <w:rFonts w:hint="eastAsia" w:ascii="仿宋" w:hAnsi="仿宋" w:eastAsia="仿宋" w:cs="仿宋"/>
          <w:sz w:val="32"/>
          <w:szCs w:val="32"/>
        </w:rPr>
        <w:t>%。</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年度财政拨款支出年初预算数为</w:t>
      </w:r>
      <w:r>
        <w:rPr>
          <w:rFonts w:hint="eastAsia" w:ascii="仿宋" w:hAnsi="仿宋" w:eastAsia="仿宋" w:cs="仿宋"/>
          <w:sz w:val="32"/>
          <w:szCs w:val="32"/>
          <w:lang w:val="en-US" w:eastAsia="zh-CN"/>
        </w:rPr>
        <w:t>234.81</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400.30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170.48</w:t>
      </w:r>
      <w:r>
        <w:rPr>
          <w:rFonts w:hint="eastAsia" w:ascii="仿宋" w:hAnsi="仿宋" w:eastAsia="仿宋" w:cs="仿宋"/>
          <w:sz w:val="32"/>
          <w:szCs w:val="32"/>
        </w:rPr>
        <w:t>%，其中：</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1、一般公共服务支出（类）档案事务（款）行政运行（项）。</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bookmarkStart w:id="3" w:name="_Hlk112758002"/>
      <w:r>
        <w:rPr>
          <w:rFonts w:hint="eastAsia" w:ascii="仿宋" w:hAnsi="仿宋" w:eastAsia="仿宋" w:cs="仿宋"/>
          <w:sz w:val="32"/>
          <w:szCs w:val="32"/>
        </w:rPr>
        <w:t>年初预算为</w:t>
      </w:r>
      <w:r>
        <w:rPr>
          <w:rFonts w:hint="eastAsia" w:ascii="仿宋" w:hAnsi="仿宋" w:eastAsia="仿宋" w:cs="仿宋"/>
          <w:sz w:val="32"/>
          <w:szCs w:val="32"/>
          <w:lang w:val="en-US" w:eastAsia="zh-CN"/>
        </w:rPr>
        <w:t>181.33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223.78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123.41</w:t>
      </w:r>
      <w:r>
        <w:rPr>
          <w:rFonts w:hint="eastAsia" w:ascii="仿宋" w:hAnsi="仿宋" w:eastAsia="仿宋" w:cs="仿宋"/>
          <w:sz w:val="32"/>
          <w:szCs w:val="32"/>
        </w:rPr>
        <w:t>%，决算数大于年初预算数的主要原因是： 202</w:t>
      </w:r>
      <w:r>
        <w:rPr>
          <w:rFonts w:hint="eastAsia" w:ascii="仿宋" w:hAnsi="仿宋" w:eastAsia="仿宋" w:cs="仿宋"/>
          <w:sz w:val="32"/>
          <w:szCs w:val="32"/>
          <w:lang w:val="en-US" w:eastAsia="zh-CN"/>
        </w:rPr>
        <w:t>2</w:t>
      </w:r>
      <w:r>
        <w:rPr>
          <w:rFonts w:hint="eastAsia" w:ascii="仿宋" w:hAnsi="仿宋" w:eastAsia="仿宋" w:cs="仿宋"/>
          <w:sz w:val="32"/>
          <w:szCs w:val="32"/>
        </w:rPr>
        <w:t>年发放在职人员202</w:t>
      </w:r>
      <w:r>
        <w:rPr>
          <w:rFonts w:hint="eastAsia" w:ascii="仿宋" w:hAnsi="仿宋" w:eastAsia="仿宋" w:cs="仿宋"/>
          <w:sz w:val="32"/>
          <w:szCs w:val="32"/>
          <w:lang w:val="en-US" w:eastAsia="zh-CN"/>
        </w:rPr>
        <w:t>1</w:t>
      </w:r>
      <w:r>
        <w:rPr>
          <w:rFonts w:hint="eastAsia" w:ascii="仿宋" w:hAnsi="仿宋" w:eastAsia="仿宋" w:cs="仿宋"/>
          <w:sz w:val="32"/>
          <w:szCs w:val="32"/>
        </w:rPr>
        <w:t>年度奖金未纳入年初预算，年中调整预算。</w:t>
      </w:r>
    </w:p>
    <w:bookmarkEnd w:id="3"/>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2、一般公共服务支出（类）档案事务（款）档案馆（项）。</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年初预算为36.60万元，支出决算为</w:t>
      </w:r>
      <w:r>
        <w:rPr>
          <w:rFonts w:hint="eastAsia" w:ascii="仿宋" w:hAnsi="仿宋" w:eastAsia="仿宋" w:cs="仿宋"/>
          <w:sz w:val="32"/>
          <w:szCs w:val="32"/>
          <w:lang w:val="en-US" w:eastAsia="zh-CN"/>
        </w:rPr>
        <w:t>65.93</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181.14</w:t>
      </w:r>
      <w:r>
        <w:rPr>
          <w:rFonts w:hint="eastAsia" w:ascii="仿宋" w:hAnsi="仿宋" w:eastAsia="仿宋" w:cs="仿宋"/>
          <w:sz w:val="32"/>
          <w:szCs w:val="32"/>
        </w:rPr>
        <w:t>%，决算数大于年初预算数的主要原因是：增加了库房配套设施建设经费。</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3、社会保障和就业支出（类）行政事业单位养老支出（款）行政事业单位离退休（项）。</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bookmarkStart w:id="4" w:name="_Hlk112758242"/>
      <w:r>
        <w:rPr>
          <w:rFonts w:hint="eastAsia" w:ascii="仿宋" w:hAnsi="仿宋" w:eastAsia="仿宋" w:cs="仿宋"/>
          <w:sz w:val="32"/>
          <w:szCs w:val="32"/>
        </w:rPr>
        <w:t>年初预算为14.23万元，支出决算为</w:t>
      </w:r>
      <w:r>
        <w:rPr>
          <w:rFonts w:hint="eastAsia" w:ascii="仿宋" w:hAnsi="仿宋" w:eastAsia="仿宋" w:cs="仿宋"/>
          <w:sz w:val="32"/>
          <w:szCs w:val="32"/>
          <w:lang w:val="en-US" w:eastAsia="zh-CN"/>
        </w:rPr>
        <w:t>1.14</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8.01</w:t>
      </w:r>
      <w:r>
        <w:rPr>
          <w:rFonts w:hint="eastAsia" w:ascii="仿宋" w:hAnsi="仿宋" w:eastAsia="仿宋" w:cs="仿宋"/>
          <w:sz w:val="32"/>
          <w:szCs w:val="32"/>
        </w:rPr>
        <w:t>%，决算数小于年初预算数的主要原因是：</w:t>
      </w:r>
      <w:bookmarkEnd w:id="4"/>
      <w:r>
        <w:rPr>
          <w:rFonts w:hint="eastAsia" w:ascii="仿宋" w:hAnsi="仿宋" w:eastAsia="仿宋" w:cs="仿宋"/>
          <w:sz w:val="32"/>
          <w:szCs w:val="32"/>
        </w:rPr>
        <w:t>预算欠精准。</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4</w:t>
      </w:r>
      <w:bookmarkStart w:id="5" w:name="_Hlk112758447"/>
      <w:r>
        <w:rPr>
          <w:rFonts w:hint="eastAsia" w:ascii="仿宋" w:hAnsi="仿宋" w:eastAsia="仿宋" w:cs="仿宋"/>
          <w:b/>
          <w:bCs/>
          <w:sz w:val="32"/>
          <w:szCs w:val="32"/>
        </w:rPr>
        <w:t>、社会保障和就业支出（类）行政事业单位养老支出（款）机关事业单位基本养老保险缴费支出（项）</w:t>
      </w:r>
      <w:bookmarkEnd w:id="5"/>
      <w:r>
        <w:rPr>
          <w:rFonts w:hint="eastAsia" w:ascii="仿宋" w:hAnsi="仿宋" w:eastAsia="仿宋" w:cs="仿宋"/>
          <w:b/>
          <w:bCs/>
          <w:sz w:val="32"/>
          <w:szCs w:val="32"/>
        </w:rPr>
        <w:t>。</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14.23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18.83</w:t>
      </w:r>
      <w:r>
        <w:rPr>
          <w:rFonts w:hint="eastAsia" w:ascii="仿宋" w:hAnsi="仿宋" w:eastAsia="仿宋" w:cs="仿宋"/>
          <w:sz w:val="32"/>
          <w:szCs w:val="32"/>
        </w:rPr>
        <w:t>万元，年初预算为0万元，无法计算完成比例。决算数大于年初预算数的主要原因是：机关事业单位养老保险费支出未纳入年初预算，为财政追加预算支出项目，年中调整预算。</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5、社会保障和就业支出（类）行政事业单位养老支出（款）</w:t>
      </w:r>
      <w:bookmarkStart w:id="6" w:name="_Hlk112758531"/>
      <w:r>
        <w:rPr>
          <w:rFonts w:hint="eastAsia" w:ascii="仿宋" w:hAnsi="仿宋" w:eastAsia="仿宋" w:cs="仿宋"/>
          <w:b/>
          <w:bCs/>
          <w:sz w:val="32"/>
          <w:szCs w:val="32"/>
        </w:rPr>
        <w:t>基他行政事业单位养老支出</w:t>
      </w:r>
      <w:bookmarkEnd w:id="6"/>
      <w:r>
        <w:rPr>
          <w:rFonts w:hint="eastAsia" w:ascii="仿宋" w:hAnsi="仿宋" w:eastAsia="仿宋" w:cs="仿宋"/>
          <w:b/>
          <w:bCs/>
          <w:sz w:val="32"/>
          <w:szCs w:val="32"/>
        </w:rPr>
        <w:t>（项）。</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14.23</w:t>
      </w:r>
      <w:r>
        <w:rPr>
          <w:rFonts w:hint="eastAsia" w:ascii="仿宋" w:hAnsi="仿宋" w:eastAsia="仿宋" w:cs="仿宋"/>
          <w:sz w:val="32"/>
          <w:szCs w:val="32"/>
        </w:rPr>
        <w:t>万元，支出决算为18.36万元，完成年初预算的</w:t>
      </w:r>
      <w:r>
        <w:rPr>
          <w:rFonts w:hint="eastAsia" w:ascii="仿宋" w:hAnsi="仿宋" w:eastAsia="仿宋" w:cs="仿宋"/>
          <w:sz w:val="32"/>
          <w:szCs w:val="32"/>
          <w:lang w:val="en-US" w:eastAsia="zh-CN"/>
        </w:rPr>
        <w:t>129.02</w:t>
      </w:r>
      <w:r>
        <w:rPr>
          <w:rFonts w:hint="eastAsia" w:ascii="仿宋" w:hAnsi="仿宋" w:eastAsia="仿宋" w:cs="仿宋"/>
          <w:sz w:val="32"/>
          <w:szCs w:val="32"/>
        </w:rPr>
        <w:t>%。决算数大于年初预算数的主要原因是：基他行政事业单位养老支出未纳入年初预算，为财政追加预算支出项目，年中调整预算。</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6、卫生健康支出（类）行政事业单位医疗（款）行政单位医疗（项）。</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color w:val="000000"/>
          <w:sz w:val="32"/>
          <w:szCs w:val="32"/>
        </w:rPr>
      </w:pPr>
      <w:bookmarkStart w:id="7" w:name="_Hlk112758748"/>
      <w:r>
        <w:rPr>
          <w:rFonts w:hint="eastAsia" w:ascii="仿宋" w:hAnsi="仿宋" w:eastAsia="仿宋" w:cs="仿宋"/>
          <w:sz w:val="32"/>
          <w:szCs w:val="32"/>
        </w:rPr>
        <w:t>年初预算为0万元，支出决算为</w:t>
      </w:r>
      <w:r>
        <w:rPr>
          <w:rFonts w:hint="eastAsia" w:ascii="仿宋" w:hAnsi="仿宋" w:eastAsia="仿宋" w:cs="仿宋"/>
          <w:sz w:val="32"/>
          <w:szCs w:val="32"/>
          <w:lang w:val="en-US" w:eastAsia="zh-CN"/>
        </w:rPr>
        <w:t>12.53</w:t>
      </w:r>
      <w:r>
        <w:rPr>
          <w:rFonts w:hint="eastAsia" w:ascii="仿宋" w:hAnsi="仿宋" w:eastAsia="仿宋" w:cs="仿宋"/>
          <w:sz w:val="32"/>
          <w:szCs w:val="32"/>
        </w:rPr>
        <w:t>万元，年初预算为0万元，无法计算完成比例。决算数大于年初预算数的主要原因是：行政事业单位医疗支出</w:t>
      </w:r>
      <w:r>
        <w:rPr>
          <w:rFonts w:hint="eastAsia" w:ascii="仿宋" w:hAnsi="仿宋" w:eastAsia="仿宋" w:cs="仿宋"/>
          <w:color w:val="000000"/>
          <w:sz w:val="32"/>
          <w:szCs w:val="32"/>
        </w:rPr>
        <w:t>未纳入年初预算，为财政追加预算支出项目，年中调整预算。</w:t>
      </w:r>
    </w:p>
    <w:bookmarkEnd w:id="7"/>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7、卫生健康支出（类）行政事业单位医疗（款）</w:t>
      </w:r>
      <w:bookmarkStart w:id="8" w:name="_Hlk112758765"/>
      <w:r>
        <w:rPr>
          <w:rFonts w:hint="eastAsia" w:ascii="仿宋" w:hAnsi="仿宋" w:eastAsia="仿宋" w:cs="仿宋"/>
          <w:b/>
          <w:bCs/>
          <w:sz w:val="32"/>
          <w:szCs w:val="32"/>
        </w:rPr>
        <w:t>其他行政事业单位医疗支出</w:t>
      </w:r>
      <w:bookmarkEnd w:id="8"/>
      <w:r>
        <w:rPr>
          <w:rFonts w:hint="eastAsia" w:ascii="仿宋" w:hAnsi="仿宋" w:eastAsia="仿宋" w:cs="仿宋"/>
          <w:b/>
          <w:bCs/>
          <w:sz w:val="32"/>
          <w:szCs w:val="32"/>
        </w:rPr>
        <w:t>（项）。</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color w:val="000000"/>
          <w:sz w:val="32"/>
          <w:szCs w:val="32"/>
        </w:rPr>
      </w:pPr>
      <w:r>
        <w:rPr>
          <w:rFonts w:hint="eastAsia" w:ascii="仿宋" w:hAnsi="仿宋" w:eastAsia="仿宋" w:cs="仿宋"/>
          <w:sz w:val="32"/>
          <w:szCs w:val="32"/>
        </w:rPr>
        <w:t>年初预算为0万元，支出决算为</w:t>
      </w:r>
      <w:r>
        <w:rPr>
          <w:rFonts w:hint="eastAsia" w:ascii="仿宋" w:hAnsi="仿宋" w:eastAsia="仿宋" w:cs="仿宋"/>
          <w:sz w:val="32"/>
          <w:szCs w:val="32"/>
          <w:lang w:val="en-US" w:eastAsia="zh-CN"/>
        </w:rPr>
        <w:t>12.53</w:t>
      </w:r>
      <w:r>
        <w:rPr>
          <w:rFonts w:hint="eastAsia" w:ascii="仿宋" w:hAnsi="仿宋" w:eastAsia="仿宋" w:cs="仿宋"/>
          <w:sz w:val="32"/>
          <w:szCs w:val="32"/>
        </w:rPr>
        <w:t>万元，年初预算为0万元，无法计算完成比例。决算数大于年初预算数的主要原因是：其他行政事业单位医疗支出</w:t>
      </w:r>
      <w:r>
        <w:rPr>
          <w:rFonts w:hint="eastAsia" w:ascii="仿宋" w:hAnsi="仿宋" w:eastAsia="仿宋" w:cs="仿宋"/>
          <w:color w:val="000000"/>
          <w:sz w:val="32"/>
          <w:szCs w:val="32"/>
        </w:rPr>
        <w:t>未纳入年初预算，为财政追加预算支出项目，年中调整预算。</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i/>
          <w:color w:val="FF0000"/>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年度财政拨款基本支出</w:t>
      </w:r>
      <w:r>
        <w:rPr>
          <w:rFonts w:hint="eastAsia" w:ascii="仿宋" w:hAnsi="仿宋" w:eastAsia="仿宋" w:cs="仿宋"/>
          <w:sz w:val="32"/>
          <w:szCs w:val="32"/>
          <w:lang w:val="en-US" w:eastAsia="zh-CN"/>
        </w:rPr>
        <w:t>328.07</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296.95</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90.51</w:t>
      </w:r>
      <w:r>
        <w:rPr>
          <w:rFonts w:hint="eastAsia" w:ascii="仿宋" w:hAnsi="仿宋" w:eastAsia="仿宋" w:cs="仿宋"/>
          <w:sz w:val="32"/>
          <w:szCs w:val="32"/>
        </w:rPr>
        <w:t>%,主要包括基本工资、津贴补贴、奖金、基本养老保险、基本医疗保险、生活补助等；公用经费</w:t>
      </w:r>
      <w:r>
        <w:rPr>
          <w:rFonts w:hint="eastAsia" w:ascii="仿宋" w:hAnsi="仿宋" w:eastAsia="仿宋" w:cs="仿宋"/>
          <w:sz w:val="32"/>
          <w:szCs w:val="32"/>
          <w:lang w:val="en-US" w:eastAsia="zh-CN"/>
        </w:rPr>
        <w:t>31.13</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9.49</w:t>
      </w:r>
      <w:r>
        <w:rPr>
          <w:rFonts w:hint="eastAsia" w:ascii="仿宋" w:hAnsi="仿宋" w:eastAsia="仿宋" w:cs="仿宋"/>
          <w:sz w:val="32"/>
          <w:szCs w:val="32"/>
        </w:rPr>
        <w:t>%，主要包括办公费、印刷费、咨询费、邮电费、劳务费、差旅费、公务用车运行维护费、其他商品和服务支出等。</w:t>
      </w:r>
    </w:p>
    <w:p>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年度“三公”经费财政拨款支出预算为5.27万元，支出决算为4.40万元，完成预算的83.49%，其中：因公出国（境）费支出预算为0万元，支出决算为0万元，完成预算的0%。</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公务接待费支出预算为1.</w:t>
      </w:r>
      <w:r>
        <w:rPr>
          <w:rFonts w:hint="eastAsia" w:ascii="仿宋" w:hAnsi="仿宋" w:eastAsia="仿宋" w:cs="仿宋"/>
          <w:sz w:val="32"/>
          <w:szCs w:val="32"/>
          <w:lang w:val="en-US" w:eastAsia="zh-CN"/>
        </w:rPr>
        <w:t>27</w:t>
      </w:r>
      <w:r>
        <w:rPr>
          <w:rFonts w:hint="eastAsia" w:ascii="仿宋" w:hAnsi="仿宋" w:eastAsia="仿宋" w:cs="仿宋"/>
          <w:sz w:val="32"/>
          <w:szCs w:val="32"/>
        </w:rPr>
        <w:t>万元，支出决算为0.</w:t>
      </w:r>
      <w:r>
        <w:rPr>
          <w:rFonts w:hint="eastAsia" w:ascii="仿宋" w:hAnsi="仿宋" w:eastAsia="仿宋" w:cs="仿宋"/>
          <w:sz w:val="32"/>
          <w:szCs w:val="32"/>
          <w:lang w:val="en-US" w:eastAsia="zh-CN"/>
        </w:rPr>
        <w:t>07</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5.51</w:t>
      </w:r>
      <w:r>
        <w:rPr>
          <w:rFonts w:hint="eastAsia" w:ascii="仿宋" w:hAnsi="仿宋" w:eastAsia="仿宋" w:cs="仿宋"/>
          <w:sz w:val="32"/>
          <w:szCs w:val="32"/>
        </w:rPr>
        <w:t>%，决算数</w:t>
      </w:r>
      <w:r>
        <w:rPr>
          <w:rFonts w:hint="eastAsia" w:ascii="仿宋" w:hAnsi="仿宋" w:eastAsia="仿宋" w:cs="仿宋"/>
          <w:sz w:val="32"/>
          <w:szCs w:val="32"/>
          <w:lang w:eastAsia="zh-CN"/>
        </w:rPr>
        <w:t>小于</w:t>
      </w:r>
      <w:r>
        <w:rPr>
          <w:rFonts w:hint="eastAsia" w:ascii="仿宋" w:hAnsi="仿宋" w:eastAsia="仿宋" w:cs="仿宋"/>
          <w:sz w:val="32"/>
          <w:szCs w:val="32"/>
        </w:rPr>
        <w:t>预算数的主要原因是严格遵照中央八项规定以及省、市有关规定，加强“三公”经费管理，压缩了“三公”经费支出。与上年相比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0.71</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91.03</w:t>
      </w:r>
      <w:r>
        <w:rPr>
          <w:rFonts w:hint="eastAsia" w:ascii="仿宋" w:hAnsi="仿宋" w:eastAsia="仿宋" w:cs="仿宋"/>
          <w:sz w:val="32"/>
          <w:szCs w:val="32"/>
        </w:rPr>
        <w:t>%,</w:t>
      </w:r>
      <w:r>
        <w:rPr>
          <w:rFonts w:hint="eastAsia" w:ascii="仿宋" w:hAnsi="仿宋" w:eastAsia="仿宋" w:cs="仿宋"/>
          <w:sz w:val="32"/>
          <w:szCs w:val="32"/>
          <w:lang w:eastAsia="zh-CN"/>
        </w:rPr>
        <w:t>减少</w:t>
      </w:r>
      <w:r>
        <w:rPr>
          <w:rFonts w:hint="eastAsia" w:ascii="仿宋" w:hAnsi="仿宋" w:eastAsia="仿宋" w:cs="仿宋"/>
          <w:sz w:val="32"/>
          <w:szCs w:val="32"/>
        </w:rPr>
        <w:t>的主要是</w:t>
      </w:r>
      <w:r>
        <w:rPr>
          <w:rFonts w:hint="eastAsia" w:ascii="仿宋" w:hAnsi="仿宋" w:eastAsia="仿宋" w:cs="仿宋"/>
          <w:sz w:val="32"/>
          <w:szCs w:val="32"/>
          <w:lang w:eastAsia="zh-CN"/>
        </w:rPr>
        <w:t>由于疫情原因</w:t>
      </w:r>
      <w:r>
        <w:rPr>
          <w:rFonts w:hint="eastAsia" w:ascii="仿宋" w:hAnsi="仿宋" w:eastAsia="仿宋" w:cs="仿宋"/>
          <w:sz w:val="32"/>
          <w:szCs w:val="32"/>
        </w:rPr>
        <w:t>接待来人次数</w:t>
      </w:r>
      <w:r>
        <w:rPr>
          <w:rFonts w:hint="eastAsia" w:ascii="仿宋" w:hAnsi="仿宋" w:eastAsia="仿宋" w:cs="仿宋"/>
          <w:sz w:val="32"/>
          <w:szCs w:val="32"/>
          <w:lang w:eastAsia="zh-CN"/>
        </w:rPr>
        <w:t>减少</w:t>
      </w:r>
      <w:r>
        <w:rPr>
          <w:rFonts w:hint="eastAsia" w:ascii="仿宋" w:hAnsi="仿宋" w:eastAsia="仿宋" w:cs="仿宋"/>
          <w:sz w:val="32"/>
          <w:szCs w:val="32"/>
        </w:rPr>
        <w:t>。</w:t>
      </w:r>
    </w:p>
    <w:p>
      <w:pPr>
        <w:pStyle w:val="8"/>
        <w:keepNext w:val="0"/>
        <w:keepLines w:val="0"/>
        <w:pageBreakBefore w:val="0"/>
        <w:kinsoku/>
        <w:wordWrap/>
        <w:topLinePunct w:val="0"/>
        <w:bidi w:val="0"/>
        <w:spacing w:line="600" w:lineRule="exact"/>
        <w:ind w:left="0" w:leftChars="0" w:right="0" w:righ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公务用车购置费支出预算为0万元，支出决算为0万元，决算数与年初预算数持平主要原因按预算执行，与上年数持平，主要原因是厉行节约，减少开支。</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4.00</w:t>
      </w:r>
      <w:r>
        <w:rPr>
          <w:rFonts w:hint="eastAsia" w:ascii="仿宋" w:hAnsi="仿宋" w:eastAsia="仿宋" w:cs="仿宋"/>
          <w:sz w:val="32"/>
          <w:szCs w:val="32"/>
        </w:rPr>
        <w:t>万元，决算为</w:t>
      </w:r>
      <w:r>
        <w:rPr>
          <w:rFonts w:hint="eastAsia" w:ascii="仿宋" w:hAnsi="仿宋" w:eastAsia="仿宋" w:cs="仿宋"/>
          <w:sz w:val="32"/>
          <w:szCs w:val="32"/>
          <w:lang w:val="en-US" w:eastAsia="zh-CN"/>
        </w:rPr>
        <w:t>2.37</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59.25</w:t>
      </w:r>
      <w:r>
        <w:rPr>
          <w:rFonts w:hint="eastAsia" w:ascii="仿宋" w:hAnsi="仿宋" w:eastAsia="仿宋" w:cs="仿宋"/>
          <w:sz w:val="32"/>
          <w:szCs w:val="32"/>
        </w:rPr>
        <w:t>%，决算数小于预算数的主要原因是决算数小于预算数的主要原因是严格遵照中央八项规定以及省、市有关规定，加强“三公”经费管理，压缩了“三公”经费支出，</w:t>
      </w:r>
      <w:r>
        <w:rPr>
          <w:rFonts w:hint="eastAsia" w:ascii="仿宋" w:hAnsi="仿宋" w:eastAsia="仿宋" w:cs="仿宋"/>
          <w:sz w:val="32"/>
          <w:szCs w:val="32"/>
          <w:lang w:eastAsia="zh-CN"/>
        </w:rPr>
        <w:t>加之疫情原因减少出车次数</w:t>
      </w:r>
      <w:r>
        <w:rPr>
          <w:rFonts w:hint="eastAsia" w:ascii="仿宋" w:hAnsi="仿宋" w:eastAsia="仿宋" w:cs="仿宋"/>
          <w:sz w:val="32"/>
          <w:szCs w:val="32"/>
        </w:rPr>
        <w:t>，与上年相比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1.25</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34.53</w:t>
      </w:r>
      <w:r>
        <w:rPr>
          <w:rFonts w:hint="eastAsia" w:ascii="仿宋" w:hAnsi="仿宋" w:eastAsia="仿宋" w:cs="仿宋"/>
          <w:sz w:val="32"/>
          <w:szCs w:val="32"/>
        </w:rPr>
        <w:t>%,</w:t>
      </w:r>
      <w:r>
        <w:rPr>
          <w:rFonts w:hint="eastAsia" w:ascii="仿宋" w:hAnsi="仿宋" w:eastAsia="仿宋" w:cs="仿宋"/>
          <w:sz w:val="32"/>
          <w:szCs w:val="32"/>
          <w:lang w:eastAsia="zh-CN"/>
        </w:rPr>
        <w:t>减少</w:t>
      </w:r>
      <w:r>
        <w:rPr>
          <w:rFonts w:hint="eastAsia" w:ascii="仿宋" w:hAnsi="仿宋" w:eastAsia="仿宋" w:cs="仿宋"/>
          <w:sz w:val="32"/>
          <w:szCs w:val="32"/>
        </w:rPr>
        <w:t>的主要是</w:t>
      </w:r>
      <w:r>
        <w:rPr>
          <w:rFonts w:hint="eastAsia" w:ascii="仿宋" w:hAnsi="仿宋" w:eastAsia="仿宋" w:cs="仿宋"/>
          <w:sz w:val="32"/>
          <w:szCs w:val="32"/>
          <w:lang w:eastAsia="zh-CN"/>
        </w:rPr>
        <w:t>疫情原因减少出车次数。</w:t>
      </w:r>
    </w:p>
    <w:p>
      <w:pPr>
        <w:pStyle w:val="8"/>
        <w:keepNext w:val="0"/>
        <w:keepLines w:val="0"/>
        <w:pageBreakBefore w:val="0"/>
        <w:kinsoku/>
        <w:wordWrap/>
        <w:topLinePunct w:val="0"/>
        <w:bidi w:val="0"/>
        <w:spacing w:line="600" w:lineRule="exact"/>
        <w:ind w:left="0" w:leftChars="0" w:right="0" w:rightChars="0" w:firstLine="643" w:firstLineChars="200"/>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0.07</w:t>
      </w:r>
      <w:r>
        <w:rPr>
          <w:rFonts w:hint="eastAsia" w:ascii="仿宋" w:hAnsi="仿宋" w:eastAsia="仿宋" w:cs="仿宋"/>
          <w:sz w:val="32"/>
          <w:szCs w:val="32"/>
        </w:rPr>
        <w:t>万元，占</w:t>
      </w:r>
      <w:r>
        <w:rPr>
          <w:rFonts w:hint="eastAsia" w:ascii="仿宋" w:hAnsi="仿宋" w:eastAsia="仿宋" w:cs="仿宋"/>
          <w:sz w:val="32"/>
          <w:szCs w:val="32"/>
          <w:lang w:val="en-US" w:eastAsia="zh-CN"/>
        </w:rPr>
        <w:t>2.87%</w:t>
      </w:r>
      <w:r>
        <w:rPr>
          <w:rFonts w:hint="eastAsia" w:ascii="仿宋" w:hAnsi="仿宋" w:eastAsia="仿宋" w:cs="仿宋"/>
          <w:sz w:val="32"/>
          <w:szCs w:val="32"/>
        </w:rPr>
        <w:t>,因公出国（境）费支出决算0万元，占0%,公务用车购置费及运行维护费支出决算</w:t>
      </w:r>
      <w:r>
        <w:rPr>
          <w:rFonts w:hint="eastAsia" w:ascii="仿宋" w:hAnsi="仿宋" w:eastAsia="仿宋" w:cs="仿宋"/>
          <w:sz w:val="32"/>
          <w:szCs w:val="32"/>
          <w:lang w:val="en-US" w:eastAsia="zh-CN"/>
        </w:rPr>
        <w:t>2.37</w:t>
      </w:r>
      <w:r>
        <w:rPr>
          <w:rFonts w:hint="eastAsia" w:ascii="仿宋" w:hAnsi="仿宋" w:eastAsia="仿宋" w:cs="仿宋"/>
          <w:sz w:val="32"/>
          <w:szCs w:val="32"/>
        </w:rPr>
        <w:t>万元，占</w:t>
      </w:r>
      <w:r>
        <w:rPr>
          <w:rFonts w:hint="eastAsia" w:ascii="仿宋" w:hAnsi="仿宋" w:eastAsia="仿宋" w:cs="仿宋"/>
          <w:sz w:val="32"/>
          <w:szCs w:val="32"/>
          <w:lang w:val="en-US" w:eastAsia="zh-CN"/>
        </w:rPr>
        <w:t>97.13</w:t>
      </w:r>
      <w:r>
        <w:rPr>
          <w:rFonts w:hint="eastAsia" w:ascii="仿宋" w:hAnsi="仿宋" w:eastAsia="仿宋" w:cs="仿宋"/>
          <w:sz w:val="32"/>
          <w:szCs w:val="32"/>
        </w:rPr>
        <w:t>%。其中：</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1、因公出国（境）费支出决算为0万元，全年安排因公出国（境）团组0个，累计0人次。</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2、公务接待费支出决算为0.</w:t>
      </w:r>
      <w:r>
        <w:rPr>
          <w:rFonts w:hint="eastAsia" w:ascii="仿宋" w:hAnsi="仿宋" w:eastAsia="仿宋" w:cs="仿宋"/>
          <w:sz w:val="32"/>
          <w:szCs w:val="32"/>
          <w:lang w:val="en-US" w:eastAsia="zh-CN"/>
        </w:rPr>
        <w:t>07</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2</w:t>
      </w:r>
      <w:r>
        <w:rPr>
          <w:rFonts w:hint="eastAsia" w:ascii="仿宋" w:hAnsi="仿宋" w:eastAsia="仿宋" w:cs="仿宋"/>
          <w:sz w:val="32"/>
          <w:szCs w:val="32"/>
        </w:rPr>
        <w:t>个、来宾</w:t>
      </w:r>
      <w:r>
        <w:rPr>
          <w:rFonts w:hint="eastAsia" w:ascii="仿宋" w:hAnsi="仿宋" w:eastAsia="仿宋" w:cs="仿宋"/>
          <w:sz w:val="32"/>
          <w:szCs w:val="32"/>
          <w:lang w:val="en-US" w:eastAsia="zh-CN"/>
        </w:rPr>
        <w:t>7</w:t>
      </w:r>
      <w:r>
        <w:rPr>
          <w:rFonts w:hint="eastAsia" w:ascii="仿宋" w:hAnsi="仿宋" w:eastAsia="仿宋" w:cs="仿宋"/>
          <w:sz w:val="32"/>
          <w:szCs w:val="32"/>
        </w:rPr>
        <w:t>人次，主要是档案业务单位来人发生的接待支出。</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2.37</w:t>
      </w:r>
      <w:r>
        <w:rPr>
          <w:rFonts w:hint="eastAsia" w:ascii="仿宋" w:hAnsi="仿宋" w:eastAsia="仿宋" w:cs="仿宋"/>
          <w:sz w:val="32"/>
          <w:szCs w:val="32"/>
        </w:rPr>
        <w:t>万元，其中：公务用车购置费0万元，0更新公务用车0辆。公务用车运行维护费</w:t>
      </w:r>
      <w:r>
        <w:rPr>
          <w:rFonts w:hint="eastAsia" w:ascii="仿宋" w:hAnsi="仿宋" w:eastAsia="仿宋" w:cs="仿宋"/>
          <w:sz w:val="32"/>
          <w:szCs w:val="32"/>
          <w:lang w:val="en-US" w:eastAsia="zh-CN"/>
        </w:rPr>
        <w:t>2.37</w:t>
      </w:r>
      <w:r>
        <w:rPr>
          <w:rFonts w:hint="eastAsia" w:ascii="仿宋" w:hAnsi="仿宋" w:eastAsia="仿宋" w:cs="仿宋"/>
          <w:sz w:val="32"/>
          <w:szCs w:val="32"/>
        </w:rPr>
        <w:t>万元，主要是车辆油料、车辆通行费、维修费支出，截止202</w:t>
      </w:r>
      <w:r>
        <w:rPr>
          <w:rFonts w:hint="eastAsia" w:ascii="仿宋" w:hAnsi="仿宋" w:eastAsia="仿宋" w:cs="仿宋"/>
          <w:sz w:val="32"/>
          <w:szCs w:val="32"/>
          <w:lang w:val="en-US" w:eastAsia="zh-CN"/>
        </w:rPr>
        <w:t>2</w:t>
      </w:r>
      <w:r>
        <w:rPr>
          <w:rFonts w:hint="eastAsia" w:ascii="仿宋" w:hAnsi="仿宋" w:eastAsia="仿宋" w:cs="仿宋"/>
          <w:sz w:val="32"/>
          <w:szCs w:val="32"/>
        </w:rPr>
        <w:t>年12月31日，我单位开支财政拨款的公务用车保有量为1辆。</w:t>
      </w:r>
    </w:p>
    <w:p>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eastAsia="zh-CN"/>
        </w:rPr>
        <w:t>说明</w:t>
      </w:r>
    </w:p>
    <w:p>
      <w:pPr>
        <w:pStyle w:val="5"/>
        <w:keepNext w:val="0"/>
        <w:keepLines w:val="0"/>
        <w:pageBreakBefore w:val="0"/>
        <w:widowControl/>
        <w:kinsoku/>
        <w:wordWrap/>
        <w:topLinePunct w:val="0"/>
        <w:bidi w:val="0"/>
        <w:spacing w:beforeAutospacing="0" w:afterAutospacing="0" w:line="600" w:lineRule="exact"/>
        <w:ind w:left="0" w:leftChars="0" w:right="0" w:rightChars="0" w:firstLine="640" w:firstLineChars="200"/>
        <w:jc w:val="both"/>
        <w:rPr>
          <w:rFonts w:hint="eastAsia" w:ascii="仿宋" w:hAnsi="仿宋" w:eastAsia="仿宋" w:cs="仿宋"/>
          <w:kern w:val="2"/>
          <w:sz w:val="32"/>
          <w:szCs w:val="32"/>
          <w:lang w:eastAsia="zh-CN"/>
        </w:rPr>
      </w:pPr>
      <w:r>
        <w:rPr>
          <w:rFonts w:hint="eastAsia" w:ascii="仿宋" w:hAnsi="仿宋" w:eastAsia="仿宋" w:cs="仿宋"/>
          <w:kern w:val="2"/>
          <w:sz w:val="32"/>
          <w:szCs w:val="32"/>
        </w:rPr>
        <w:t>202</w:t>
      </w:r>
      <w:r>
        <w:rPr>
          <w:rFonts w:hint="eastAsia" w:ascii="仿宋" w:hAnsi="仿宋" w:eastAsia="仿宋" w:cs="仿宋"/>
          <w:kern w:val="2"/>
          <w:sz w:val="32"/>
          <w:szCs w:val="32"/>
          <w:lang w:val="en-US" w:eastAsia="zh-CN"/>
        </w:rPr>
        <w:t>2</w:t>
      </w:r>
      <w:r>
        <w:rPr>
          <w:rFonts w:hint="eastAsia" w:ascii="仿宋" w:hAnsi="仿宋" w:eastAsia="仿宋" w:cs="仿宋"/>
          <w:kern w:val="2"/>
          <w:sz w:val="32"/>
          <w:szCs w:val="32"/>
        </w:rPr>
        <w:t>年度本单位无</w:t>
      </w:r>
      <w:r>
        <w:rPr>
          <w:rFonts w:hint="eastAsia" w:ascii="仿宋" w:hAnsi="仿宋" w:eastAsia="仿宋" w:cs="仿宋"/>
          <w:b w:val="0"/>
          <w:bCs/>
          <w:sz w:val="32"/>
          <w:szCs w:val="32"/>
        </w:rPr>
        <w:t>政府性基金预算收入支出</w:t>
      </w:r>
      <w:r>
        <w:rPr>
          <w:rFonts w:hint="eastAsia" w:ascii="仿宋" w:hAnsi="仿宋" w:eastAsia="仿宋" w:cs="仿宋"/>
          <w:b w:val="0"/>
          <w:bCs/>
          <w:sz w:val="32"/>
          <w:szCs w:val="32"/>
          <w:lang w:eastAsia="zh-CN"/>
        </w:rPr>
        <w:t>。</w:t>
      </w:r>
    </w:p>
    <w:p>
      <w:pPr>
        <w:pStyle w:val="8"/>
        <w:spacing w:line="5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九</w:t>
      </w:r>
      <w:r>
        <w:rPr>
          <w:rFonts w:hint="eastAsia" w:ascii="黑体" w:hAnsi="黑体" w:eastAsia="黑体" w:cs="黑体"/>
          <w:sz w:val="32"/>
          <w:szCs w:val="32"/>
        </w:rPr>
        <w:t>、国有资本经营预算财政拨款支出决算</w:t>
      </w:r>
      <w:r>
        <w:rPr>
          <w:rFonts w:hint="eastAsia" w:hAnsi="黑体" w:cs="黑体"/>
          <w:sz w:val="32"/>
          <w:szCs w:val="32"/>
          <w:lang w:eastAsia="zh-CN"/>
        </w:rPr>
        <w:t>情况说明</w:t>
      </w:r>
      <w:bookmarkStart w:id="11" w:name="_GoBack"/>
      <w:bookmarkEnd w:id="11"/>
    </w:p>
    <w:p>
      <w:pPr>
        <w:pStyle w:val="5"/>
        <w:keepNext w:val="0"/>
        <w:keepLines w:val="0"/>
        <w:pageBreakBefore w:val="0"/>
        <w:widowControl/>
        <w:kinsoku/>
        <w:wordWrap/>
        <w:topLinePunct w:val="0"/>
        <w:bidi w:val="0"/>
        <w:spacing w:beforeAutospacing="0" w:afterAutospacing="0" w:line="600" w:lineRule="exact"/>
        <w:ind w:right="0" w:rightChars="0" w:firstLine="320" w:firstLineChars="100"/>
        <w:jc w:val="both"/>
        <w:rPr>
          <w:rFonts w:hint="eastAsia" w:ascii="仿宋" w:hAnsi="仿宋" w:eastAsia="仿宋" w:cs="仿宋"/>
          <w:kern w:val="2"/>
          <w:sz w:val="32"/>
          <w:szCs w:val="32"/>
        </w:rPr>
      </w:pPr>
      <w:r>
        <w:rPr>
          <w:rFonts w:hint="eastAsia" w:ascii="Times New Roman" w:hAnsi="Times New Roman" w:eastAsia="仿宋_GB2312"/>
          <w:sz w:val="32"/>
          <w:szCs w:val="32"/>
        </w:rPr>
        <w:t xml:space="preserve"> </w:t>
      </w:r>
      <w:r>
        <w:rPr>
          <w:rFonts w:hint="eastAsia" w:ascii="仿宋" w:hAnsi="仿宋" w:eastAsia="仿宋" w:cs="仿宋"/>
          <w:kern w:val="2"/>
          <w:sz w:val="32"/>
          <w:szCs w:val="32"/>
        </w:rPr>
        <w:t>202</w:t>
      </w:r>
      <w:r>
        <w:rPr>
          <w:rFonts w:hint="eastAsia" w:ascii="仿宋" w:hAnsi="仿宋" w:eastAsia="仿宋" w:cs="仿宋"/>
          <w:kern w:val="2"/>
          <w:sz w:val="32"/>
          <w:szCs w:val="32"/>
          <w:lang w:val="en-US" w:eastAsia="zh-CN"/>
        </w:rPr>
        <w:t>2</w:t>
      </w:r>
      <w:r>
        <w:rPr>
          <w:rFonts w:hint="eastAsia" w:ascii="仿宋" w:hAnsi="仿宋" w:eastAsia="仿宋" w:cs="仿宋"/>
          <w:kern w:val="2"/>
          <w:sz w:val="32"/>
          <w:szCs w:val="32"/>
        </w:rPr>
        <w:t>年度本单位无国有资本经营预算财政拨款收支。</w:t>
      </w:r>
    </w:p>
    <w:p>
      <w:pPr>
        <w:pStyle w:val="8"/>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黑体" w:hAnsi="黑体" w:eastAsia="黑体" w:cs="黑体"/>
          <w:b/>
          <w:sz w:val="32"/>
          <w:szCs w:val="32"/>
        </w:rPr>
      </w:pPr>
      <w:r>
        <w:rPr>
          <w:rFonts w:hint="eastAsia" w:ascii="黑体" w:hAnsi="黑体" w:eastAsia="黑体" w:cs="黑体"/>
          <w:b/>
          <w:sz w:val="32"/>
          <w:szCs w:val="32"/>
          <w:lang w:eastAsia="zh-CN"/>
        </w:rPr>
        <w:t>十</w:t>
      </w:r>
      <w:r>
        <w:rPr>
          <w:rFonts w:hint="eastAsia" w:ascii="黑体" w:hAnsi="黑体" w:eastAsia="黑体" w:cs="黑体"/>
          <w:b/>
          <w:sz w:val="32"/>
          <w:szCs w:val="32"/>
        </w:rPr>
        <w:t>、关于机关运行经费支出说明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2</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31.13</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19.27</w:t>
      </w:r>
      <w:r>
        <w:rPr>
          <w:rFonts w:hint="eastAsia" w:ascii="仿宋" w:hAnsi="仿宋" w:eastAsia="仿宋" w:cs="仿宋"/>
          <w:sz w:val="32"/>
          <w:szCs w:val="32"/>
        </w:rPr>
        <w:t>万元，降低</w:t>
      </w:r>
      <w:r>
        <w:rPr>
          <w:rFonts w:hint="eastAsia" w:ascii="仿宋" w:hAnsi="仿宋" w:eastAsia="仿宋" w:cs="仿宋"/>
          <w:sz w:val="32"/>
          <w:szCs w:val="32"/>
          <w:lang w:val="en-US" w:eastAsia="zh-CN"/>
        </w:rPr>
        <w:t>38.23</w:t>
      </w:r>
      <w:r>
        <w:rPr>
          <w:rFonts w:hint="eastAsia" w:ascii="仿宋" w:hAnsi="仿宋" w:eastAsia="仿宋" w:cs="仿宋"/>
          <w:sz w:val="32"/>
          <w:szCs w:val="32"/>
        </w:rPr>
        <w:t>%。主要原因是：根据中央、省以及市委市政府的相关要求，要牢固树立过“紧日子”思想，厉行勤俭节约，继续压减一般性支出</w:t>
      </w:r>
      <w:r>
        <w:rPr>
          <w:rFonts w:hint="eastAsia" w:ascii="仿宋" w:hAnsi="仿宋" w:eastAsia="仿宋" w:cs="仿宋"/>
          <w:color w:val="3D3D3D"/>
          <w:sz w:val="32"/>
          <w:szCs w:val="32"/>
        </w:rPr>
        <w:t>。</w:t>
      </w:r>
    </w:p>
    <w:p>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年本部门开支会议费0万元；开支业务培训费</w:t>
      </w:r>
      <w:r>
        <w:rPr>
          <w:rFonts w:hint="eastAsia" w:ascii="仿宋" w:hAnsi="仿宋" w:eastAsia="仿宋" w:cs="仿宋"/>
          <w:sz w:val="32"/>
          <w:szCs w:val="32"/>
          <w:lang w:val="en-US" w:eastAsia="zh-CN"/>
        </w:rPr>
        <w:t>0.09</w:t>
      </w:r>
      <w:r>
        <w:rPr>
          <w:rFonts w:hint="eastAsia" w:ascii="仿宋" w:hAnsi="仿宋" w:eastAsia="仿宋" w:cs="仿宋"/>
          <w:sz w:val="32"/>
          <w:szCs w:val="32"/>
        </w:rPr>
        <w:t>万元，用于开展业务培训，人数</w:t>
      </w:r>
      <w:r>
        <w:rPr>
          <w:rFonts w:hint="eastAsia" w:ascii="仿宋" w:hAnsi="仿宋" w:eastAsia="仿宋" w:cs="仿宋"/>
          <w:sz w:val="32"/>
          <w:szCs w:val="32"/>
          <w:lang w:val="en-US" w:eastAsia="zh-CN"/>
        </w:rPr>
        <w:t>3</w:t>
      </w:r>
      <w:r>
        <w:rPr>
          <w:rFonts w:hint="eastAsia" w:ascii="仿宋" w:hAnsi="仿宋" w:eastAsia="仿宋" w:cs="仿宋"/>
          <w:sz w:val="32"/>
          <w:szCs w:val="32"/>
        </w:rPr>
        <w:t>人，内容为档案业务培训</w:t>
      </w:r>
      <w:r>
        <w:rPr>
          <w:rFonts w:hint="eastAsia" w:ascii="仿宋" w:hAnsi="仿宋" w:eastAsia="仿宋" w:cs="仿宋"/>
          <w:sz w:val="32"/>
          <w:szCs w:val="32"/>
          <w:lang w:eastAsia="zh-CN"/>
        </w:rPr>
        <w:t>；无晚会等活动，未举办节庆、晚会、赛事、活动等。</w:t>
      </w:r>
    </w:p>
    <w:p>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2</w:t>
      </w:r>
      <w:r>
        <w:rPr>
          <w:rFonts w:hint="eastAsia" w:ascii="仿宋" w:hAnsi="仿宋" w:eastAsia="仿宋" w:cs="仿宋"/>
          <w:sz w:val="32"/>
          <w:szCs w:val="32"/>
        </w:rPr>
        <w:t>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2</w:t>
      </w:r>
      <w:r>
        <w:rPr>
          <w:rFonts w:hint="eastAsia" w:ascii="仿宋" w:hAnsi="仿宋" w:eastAsia="仿宋" w:cs="仿宋"/>
          <w:sz w:val="32"/>
          <w:szCs w:val="32"/>
        </w:rPr>
        <w:t>年12月31日，部门（单位）共有车辆1辆，其中，主要领导干部用车0辆，机要通信用车0辆、应急保障用车0辆、执法执勤用车0辆、特种专业技术用车0辆、其他用车1辆，其他用车主要是单位公务用车；单位价值50万元以上通用设备0台（套）；单位价值100万元以上专用设备0台（套）。</w:t>
      </w:r>
    </w:p>
    <w:p>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keepNext w:val="0"/>
        <w:keepLines w:val="0"/>
        <w:pageBreakBefore w:val="0"/>
        <w:kinsoku/>
        <w:wordWrap/>
        <w:topLinePunct w:val="0"/>
        <w:autoSpaceDE w:val="0"/>
        <w:autoSpaceDN w:val="0"/>
        <w:bidi w:val="0"/>
        <w:adjustRightInd w:val="0"/>
        <w:spacing w:line="600" w:lineRule="exact"/>
        <w:ind w:left="0" w:leftChars="0" w:right="0" w:rightChars="0" w:firstLine="643" w:firstLineChars="200"/>
        <w:jc w:val="left"/>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（1）绩效管理评价工作开展情况</w:t>
      </w:r>
      <w:r>
        <w:rPr>
          <w:rFonts w:hint="eastAsia" w:ascii="仿宋" w:hAnsi="仿宋" w:eastAsia="仿宋" w:cs="仿宋"/>
          <w:color w:val="000000"/>
          <w:kern w:val="0"/>
          <w:sz w:val="32"/>
          <w:szCs w:val="32"/>
        </w:rPr>
        <w:t>。</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根据预算绩效管理要求，我部门组织对202</w:t>
      </w: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 年度一般公共预算项目支出全面开展绩效自评，共涉及资金36.60万元，占一般公共预算项目支出总额的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年度无政府性基金预算项目支出，无国有资本经营预算项目支出。</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组织对怀化市档案馆（本级）单位开展整体支出绩效评价，涉及一般公共预算支出</w:t>
      </w:r>
      <w:r>
        <w:rPr>
          <w:rFonts w:hint="eastAsia" w:ascii="仿宋" w:hAnsi="仿宋" w:eastAsia="仿宋" w:cs="仿宋"/>
          <w:sz w:val="32"/>
          <w:szCs w:val="32"/>
          <w:lang w:val="en-US" w:eastAsia="zh-CN"/>
        </w:rPr>
        <w:t>400.30</w:t>
      </w:r>
      <w:r>
        <w:rPr>
          <w:rFonts w:hint="eastAsia" w:ascii="仿宋" w:hAnsi="仿宋" w:eastAsia="仿宋" w:cs="仿宋"/>
          <w:sz w:val="32"/>
          <w:szCs w:val="32"/>
        </w:rPr>
        <w:t xml:space="preserve"> 万元，政府性基金预算支出0万元。从评价情况来看，评价形成了客观、准确、全面、完整的绩效自评报告。</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（2）部门决算中项目绩效自评结果。</w:t>
      </w:r>
    </w:p>
    <w:p>
      <w:pPr>
        <w:pStyle w:val="8"/>
        <w:keepNext w:val="0"/>
        <w:keepLines w:val="0"/>
        <w:pageBreakBefore w:val="0"/>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根据年初设定的绩效目标，项目绩效自评得分为98分。项目全年预算数为36.60万元，执行数为36.60万元，完成预算的100%。项目绩效目标完成情况：检查维修库房设施每月1次，每周一、三、五定期对档案库房进行安全检查，认真做好库房温湿度记录和防火、防盗、防霉、防虫等十防工作，确保档案资料万无一失。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下一步改进措施：预算编制进一步准确、完整。</w:t>
      </w:r>
    </w:p>
    <w:p>
      <w:pPr>
        <w:pStyle w:val="8"/>
        <w:keepNext w:val="0"/>
        <w:keepLines w:val="0"/>
        <w:pageBreakBefore w:val="0"/>
        <w:numPr>
          <w:ilvl w:val="0"/>
          <w:numId w:val="2"/>
        </w:numPr>
        <w:kinsoku/>
        <w:wordWrap/>
        <w:topLinePunct w:val="0"/>
        <w:bidi w:val="0"/>
        <w:spacing w:line="600" w:lineRule="exact"/>
        <w:ind w:left="0" w:leftChars="0" w:right="0" w:rightChars="0" w:firstLine="640" w:firstLineChars="200"/>
        <w:rPr>
          <w:rFonts w:hint="eastAsia" w:ascii="仿宋" w:hAnsi="仿宋" w:eastAsia="仿宋" w:cs="仿宋"/>
          <w:sz w:val="32"/>
          <w:szCs w:val="32"/>
        </w:rPr>
      </w:pPr>
      <w:r>
        <w:rPr>
          <w:rFonts w:hint="eastAsia" w:ascii="仿宋" w:hAnsi="仿宋" w:eastAsia="仿宋" w:cs="仿宋"/>
          <w:sz w:val="32"/>
          <w:szCs w:val="32"/>
        </w:rPr>
        <w:t>部门评价项目绩效评价结果。</w:t>
      </w:r>
    </w:p>
    <w:p>
      <w:pPr>
        <w:pStyle w:val="8"/>
        <w:keepNext w:val="0"/>
        <w:keepLines w:val="0"/>
        <w:pageBreakBefore w:val="0"/>
        <w:numPr>
          <w:ilvl w:val="0"/>
          <w:numId w:val="0"/>
        </w:numPr>
        <w:kinsoku/>
        <w:wordWrap/>
        <w:topLinePunct w:val="0"/>
        <w:bidi w:val="0"/>
        <w:spacing w:line="600" w:lineRule="exact"/>
        <w:ind w:right="0" w:righ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部门评</w:t>
      </w:r>
      <w:r>
        <w:rPr>
          <w:rFonts w:hint="eastAsia" w:ascii="仿宋" w:hAnsi="仿宋" w:eastAsia="仿宋" w:cs="仿宋"/>
          <w:sz w:val="32"/>
          <w:szCs w:val="32"/>
          <w:lang w:eastAsia="zh-CN"/>
        </w:rPr>
        <w:t>价</w:t>
      </w:r>
      <w:r>
        <w:rPr>
          <w:rFonts w:hint="eastAsia" w:ascii="仿宋" w:hAnsi="仿宋" w:eastAsia="仿宋" w:cs="仿宋"/>
          <w:sz w:val="32"/>
          <w:szCs w:val="32"/>
        </w:rPr>
        <w:t>报告</w:t>
      </w:r>
      <w:r>
        <w:rPr>
          <w:rFonts w:hint="eastAsia" w:ascii="仿宋" w:hAnsi="仿宋" w:eastAsia="仿宋" w:cs="仿宋"/>
          <w:sz w:val="32"/>
          <w:szCs w:val="32"/>
          <w:lang w:eastAsia="zh-CN"/>
        </w:rPr>
        <w:t>见附件。</w:t>
      </w:r>
    </w:p>
    <w:p>
      <w:pPr>
        <w:pStyle w:val="8"/>
        <w:jc w:val="center"/>
        <w:rPr>
          <w:sz w:val="72"/>
          <w:szCs w:val="72"/>
        </w:rPr>
      </w:pPr>
    </w:p>
    <w:p>
      <w:pPr>
        <w:pStyle w:val="8"/>
        <w:jc w:val="center"/>
        <w:rPr>
          <w:sz w:val="72"/>
          <w:szCs w:val="72"/>
        </w:rPr>
      </w:pPr>
    </w:p>
    <w:p>
      <w:pPr>
        <w:pStyle w:val="8"/>
        <w:jc w:val="center"/>
        <w:rPr>
          <w:sz w:val="72"/>
          <w:szCs w:val="72"/>
        </w:rPr>
      </w:pPr>
    </w:p>
    <w:p>
      <w:pPr>
        <w:pStyle w:val="8"/>
        <w:jc w:val="center"/>
        <w:rPr>
          <w:sz w:val="72"/>
          <w:szCs w:val="72"/>
        </w:rPr>
      </w:pPr>
    </w:p>
    <w:p>
      <w:pPr>
        <w:pStyle w:val="8"/>
        <w:jc w:val="both"/>
        <w:rPr>
          <w:rFonts w:hint="eastAsia" w:ascii="方正小标宋_GBK" w:hAnsi="方正小标宋_GBK" w:eastAsia="方正小标宋_GBK" w:cs="方正小标宋_GBK"/>
          <w:sz w:val="72"/>
          <w:szCs w:val="72"/>
        </w:rPr>
      </w:pPr>
    </w:p>
    <w:p>
      <w:pPr>
        <w:pStyle w:val="8"/>
        <w:jc w:val="both"/>
        <w:rPr>
          <w:rFonts w:hint="eastAsia" w:ascii="方正小标宋_GBK" w:hAnsi="方正小标宋_GBK" w:eastAsia="方正小标宋_GBK" w:cs="方正小标宋_GBK"/>
          <w:sz w:val="72"/>
          <w:szCs w:val="72"/>
        </w:rPr>
      </w:pPr>
    </w:p>
    <w:p>
      <w:pPr>
        <w:pStyle w:val="8"/>
        <w:jc w:val="both"/>
        <w:rPr>
          <w:rFonts w:hint="eastAsia" w:ascii="方正小标宋_GBK" w:hAnsi="方正小标宋_GBK" w:eastAsia="方正小标宋_GBK" w:cs="方正小标宋_GBK"/>
          <w:sz w:val="72"/>
          <w:szCs w:val="72"/>
        </w:rPr>
      </w:pPr>
    </w:p>
    <w:p>
      <w:pPr>
        <w:pStyle w:val="8"/>
        <w:jc w:val="both"/>
        <w:rPr>
          <w:rFonts w:hint="eastAsia" w:ascii="方正小标宋_GBK" w:hAnsi="方正小标宋_GBK" w:eastAsia="方正小标宋_GBK" w:cs="方正小标宋_GBK"/>
          <w:sz w:val="72"/>
          <w:szCs w:val="72"/>
        </w:rPr>
      </w:pPr>
    </w:p>
    <w:p>
      <w:pPr>
        <w:pStyle w:val="8"/>
        <w:jc w:val="center"/>
        <w:rPr>
          <w:rFonts w:hint="eastAsia" w:ascii="方正小标宋_GBK" w:hAnsi="方正小标宋_GBK" w:eastAsia="方正小标宋_GBK" w:cs="方正小标宋_GBK"/>
          <w:sz w:val="72"/>
          <w:szCs w:val="72"/>
        </w:rPr>
      </w:pPr>
    </w:p>
    <w:p>
      <w:pPr>
        <w:keepNext w:val="0"/>
        <w:keepLines w:val="0"/>
        <w:pageBreakBefore w:val="0"/>
        <w:widowControl/>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第四部分 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
    <w:p/>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财政拨款收入：指财政当年拨付的资金。包括一般公共预算财政拨款和政府性基金财政拨款。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上级补助收入：指事业单位从主管部门和上级单位取得的非财政补助收入。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事业收入：指事业单位开展专业业务活动及辅助活动所取得的收入。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经营收入：指事业单位在专业业务活动及其辅助活动之外开展非独立核算经营活动取得的收入。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附属单位上缴收入：指事业单位附属独立核算单位按照有关规定上缴的收入。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其他收入：指除上述“财政拨款收入”、“事业收入”、“经营收入”等以外的收入。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年初结转和结余：指以前年度尚未完成、结转到本年按有关规定继续使用的资金。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结余分配：指事业单位按规定从非财政补助结余中分配的事业基金和职工福利基金等。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年末结转和结余：指本年度或以前年度预算安排、因客观条件发生变化无法按原计划实施，需要延迟到以后年度按有关规定继续使用的资金。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基本支出：指为保障机构正常运转、完成日常工作任务而发生的人员支出和公用支出。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项目支出：指在基本支出之外为完成特定行政任务和事业发展目标所发生的支出。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经营支出：指事业单位在专业业务活动及其辅助活动之外开展非独立核算经营活动所发生的支出。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42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keepNext w:val="0"/>
        <w:keepLines w:val="0"/>
        <w:pageBreakBefore w:val="0"/>
        <w:kinsoku/>
        <w:wordWrap/>
        <w:overflowPunct/>
        <w:topLinePunct w:val="0"/>
        <w:bidi w:val="0"/>
        <w:snapToGrid/>
        <w:spacing w:line="600" w:lineRule="exact"/>
        <w:textAlignment w:val="auto"/>
        <w:rPr>
          <w:rFonts w:hint="eastAsia"/>
        </w:rPr>
      </w:pP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bCs/>
          <w:kern w:val="0"/>
          <w:sz w:val="36"/>
          <w:szCs w:val="36"/>
          <w:lang w:val="en-US" w:eastAsia="zh-CN"/>
        </w:rPr>
      </w:pPr>
      <w:r>
        <w:rPr>
          <w:rFonts w:hint="eastAsia" w:ascii="方正小标宋_GBK" w:hAnsi="方正小标宋_GBK" w:eastAsia="方正小标宋_GBK" w:cs="方正小标宋_GBK"/>
          <w:bCs/>
          <w:kern w:val="0"/>
          <w:sz w:val="36"/>
          <w:szCs w:val="36"/>
          <w:lang w:val="en-US" w:eastAsia="zh-CN" w:bidi="ar-SA"/>
        </w:rPr>
        <w:t xml:space="preserve">第五部分 </w:t>
      </w:r>
      <w:r>
        <w:rPr>
          <w:rFonts w:hint="eastAsia" w:ascii="方正小标宋_GBK" w:hAnsi="方正小标宋_GBK" w:eastAsia="方正小标宋_GBK" w:cs="方正小标宋_GBK"/>
          <w:bCs/>
          <w:kern w:val="0"/>
          <w:sz w:val="36"/>
          <w:szCs w:val="36"/>
          <w:lang w:val="en-US" w:eastAsia="zh-CN"/>
        </w:rPr>
        <w:t>附件</w:t>
      </w:r>
    </w:p>
    <w:p/>
    <w:p/>
    <w:p/>
    <w:p>
      <w:pPr>
        <w:jc w:val="both"/>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2022年度怀化市档案馆部门整体支出绩效自评报告</w:t>
      </w:r>
    </w:p>
    <w:p>
      <w:pPr>
        <w:rPr>
          <w:rFonts w:eastAsia="楷体_GB2312"/>
          <w:b/>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spacing w:line="600" w:lineRule="exact"/>
        <w:rPr>
          <w:rFonts w:eastAsia="仿宋_GB2312"/>
          <w:sz w:val="32"/>
          <w:szCs w:val="32"/>
        </w:rPr>
      </w:pPr>
    </w:p>
    <w:p>
      <w:pPr>
        <w:spacing w:line="600" w:lineRule="exact"/>
        <w:jc w:val="center"/>
        <w:rPr>
          <w:rFonts w:eastAsia="仿宋_GB2312"/>
          <w:sz w:val="32"/>
          <w:szCs w:val="32"/>
        </w:rPr>
      </w:pPr>
    </w:p>
    <w:p>
      <w:pPr>
        <w:spacing w:line="600" w:lineRule="exact"/>
        <w:jc w:val="center"/>
        <w:rPr>
          <w:rFonts w:eastAsia="仿宋_GB2312"/>
          <w:sz w:val="32"/>
          <w:szCs w:val="32"/>
        </w:rPr>
      </w:pPr>
    </w:p>
    <w:p>
      <w:pPr>
        <w:spacing w:line="600" w:lineRule="exact"/>
        <w:jc w:val="center"/>
        <w:rPr>
          <w:rFonts w:eastAsia="仿宋_GB2312"/>
          <w:sz w:val="32"/>
          <w:szCs w:val="32"/>
        </w:rPr>
      </w:pPr>
    </w:p>
    <w:p>
      <w:pPr>
        <w:spacing w:line="600" w:lineRule="exact"/>
        <w:jc w:val="center"/>
        <w:rPr>
          <w:rFonts w:eastAsia="仿宋_GB2312"/>
          <w:sz w:val="32"/>
          <w:szCs w:val="32"/>
        </w:rPr>
      </w:pPr>
    </w:p>
    <w:p>
      <w:pPr>
        <w:spacing w:line="600" w:lineRule="exact"/>
        <w:jc w:val="center"/>
        <w:rPr>
          <w:rFonts w:hint="eastAsia" w:eastAsia="仿宋_GB2312"/>
          <w:sz w:val="32"/>
          <w:szCs w:val="32"/>
        </w:rPr>
      </w:pPr>
      <w:r>
        <w:rPr>
          <w:rFonts w:eastAsia="仿宋_GB2312"/>
          <w:sz w:val="32"/>
          <w:szCs w:val="32"/>
        </w:rPr>
        <w:t>单位名称：</w:t>
      </w:r>
      <w:r>
        <w:rPr>
          <w:rFonts w:hint="eastAsia" w:eastAsia="仿宋_GB2312"/>
          <w:sz w:val="32"/>
          <w:szCs w:val="32"/>
        </w:rPr>
        <w:t>怀化市档案馆</w:t>
      </w:r>
    </w:p>
    <w:p>
      <w:pPr>
        <w:spacing w:line="600" w:lineRule="exact"/>
        <w:jc w:val="center"/>
        <w:rPr>
          <w:rFonts w:eastAsia="楷体_GB2312"/>
          <w:sz w:val="32"/>
          <w:szCs w:val="32"/>
        </w:rPr>
      </w:pPr>
      <w:r>
        <w:rPr>
          <w:rFonts w:hint="eastAsia" w:eastAsia="楷体_GB2312"/>
          <w:sz w:val="32"/>
          <w:szCs w:val="32"/>
        </w:rPr>
        <w:t>2022</w:t>
      </w:r>
      <w:r>
        <w:rPr>
          <w:rFonts w:eastAsia="楷体_GB2312"/>
          <w:sz w:val="32"/>
          <w:szCs w:val="32"/>
        </w:rPr>
        <w:t>年</w:t>
      </w:r>
      <w:r>
        <w:rPr>
          <w:rFonts w:hint="eastAsia" w:eastAsia="楷体_GB2312"/>
          <w:sz w:val="32"/>
          <w:szCs w:val="32"/>
        </w:rPr>
        <w:t>6</w:t>
      </w:r>
      <w:r>
        <w:rPr>
          <w:rFonts w:eastAsia="楷体_GB2312"/>
          <w:sz w:val="32"/>
          <w:szCs w:val="32"/>
        </w:rPr>
        <w:t>月</w:t>
      </w:r>
      <w:r>
        <w:rPr>
          <w:rFonts w:hint="eastAsia" w:eastAsia="楷体_GB2312"/>
          <w:sz w:val="32"/>
          <w:szCs w:val="32"/>
        </w:rPr>
        <w:t>28</w:t>
      </w:r>
      <w:r>
        <w:rPr>
          <w:rFonts w:eastAsia="楷体_GB2312"/>
          <w:sz w:val="32"/>
          <w:szCs w:val="32"/>
        </w:rPr>
        <w:t>日</w:t>
      </w:r>
    </w:p>
    <w:p>
      <w:pPr>
        <w:widowControl/>
        <w:shd w:val="clear" w:color="auto" w:fill="FFFFFF"/>
        <w:spacing w:line="600" w:lineRule="atLeast"/>
        <w:jc w:val="center"/>
        <w:rPr>
          <w:rFonts w:hint="eastAsia" w:eastAsia="仿宋_GB2312"/>
          <w:b/>
          <w:spacing w:val="-2"/>
          <w:sz w:val="44"/>
          <w:szCs w:val="56"/>
        </w:rPr>
      </w:pPr>
    </w:p>
    <w:p>
      <w:pPr>
        <w:widowControl/>
        <w:shd w:val="clear" w:color="auto" w:fill="FFFFFF"/>
        <w:spacing w:line="600" w:lineRule="atLeast"/>
        <w:jc w:val="center"/>
        <w:rPr>
          <w:rFonts w:hint="eastAsia" w:eastAsia="仿宋_GB2312"/>
          <w:b/>
          <w:spacing w:val="-2"/>
          <w:sz w:val="44"/>
          <w:szCs w:val="56"/>
        </w:rPr>
      </w:pPr>
    </w:p>
    <w:p>
      <w:pPr>
        <w:widowControl/>
        <w:shd w:val="clear" w:color="auto" w:fill="FFFFFF"/>
        <w:spacing w:line="600" w:lineRule="atLeast"/>
        <w:jc w:val="center"/>
        <w:rPr>
          <w:rFonts w:hint="eastAsia" w:eastAsia="仿宋_GB2312"/>
          <w:b/>
          <w:spacing w:val="-2"/>
          <w:sz w:val="44"/>
          <w:szCs w:val="56"/>
        </w:rPr>
      </w:pPr>
    </w:p>
    <w:p>
      <w:pPr>
        <w:widowControl/>
        <w:shd w:val="clear" w:color="auto" w:fill="FFFFFF"/>
        <w:spacing w:line="600" w:lineRule="atLeast"/>
        <w:jc w:val="center"/>
        <w:rPr>
          <w:rFonts w:hint="eastAsia" w:eastAsia="仿宋_GB2312"/>
          <w:b/>
          <w:spacing w:val="-2"/>
          <w:sz w:val="44"/>
          <w:szCs w:val="56"/>
        </w:rPr>
      </w:pPr>
    </w:p>
    <w:p>
      <w:pPr>
        <w:widowControl/>
        <w:shd w:val="clear" w:color="auto" w:fill="FFFFFF"/>
        <w:spacing w:line="600" w:lineRule="atLeast"/>
        <w:jc w:val="center"/>
        <w:rPr>
          <w:rFonts w:hint="eastAsia" w:eastAsia="仿宋_GB2312"/>
          <w:b/>
          <w:spacing w:val="-2"/>
          <w:sz w:val="44"/>
          <w:szCs w:val="56"/>
        </w:rPr>
      </w:pPr>
    </w:p>
    <w:p>
      <w:pPr>
        <w:widowControl/>
        <w:shd w:val="clear" w:color="auto" w:fill="FFFFFF"/>
        <w:spacing w:line="600" w:lineRule="atLeast"/>
        <w:jc w:val="center"/>
        <w:rPr>
          <w:rFonts w:hint="eastAsia" w:eastAsia="仿宋_GB2312"/>
          <w:b/>
          <w:spacing w:val="-2"/>
          <w:sz w:val="44"/>
          <w:szCs w:val="56"/>
        </w:rPr>
      </w:pPr>
    </w:p>
    <w:p>
      <w:pPr>
        <w:widowControl/>
        <w:shd w:val="clear" w:color="auto" w:fill="FFFFFF"/>
        <w:spacing w:line="600" w:lineRule="atLeast"/>
        <w:jc w:val="center"/>
        <w:rPr>
          <w:rFonts w:hint="eastAsia" w:ascii="方正小标宋_GBK" w:hAnsi="方正小标宋_GBK" w:eastAsia="方正小标宋_GBK" w:cs="方正小标宋_GBK"/>
          <w:b/>
          <w:spacing w:val="-2"/>
          <w:sz w:val="36"/>
          <w:szCs w:val="36"/>
        </w:rPr>
      </w:pPr>
      <w:r>
        <w:rPr>
          <w:rFonts w:hint="eastAsia" w:ascii="方正小标宋_GBK" w:hAnsi="方正小标宋_GBK" w:eastAsia="方正小标宋_GBK" w:cs="方正小标宋_GBK"/>
          <w:b/>
          <w:spacing w:val="-2"/>
          <w:sz w:val="36"/>
          <w:szCs w:val="36"/>
        </w:rPr>
        <w:t>怀化市档案馆</w:t>
      </w:r>
    </w:p>
    <w:p>
      <w:pPr>
        <w:widowControl/>
        <w:shd w:val="clear" w:color="auto" w:fill="FFFFFF"/>
        <w:spacing w:line="600" w:lineRule="atLeast"/>
        <w:jc w:val="center"/>
        <w:rPr>
          <w:rFonts w:hint="eastAsia" w:ascii="方正小标宋_GBK" w:hAnsi="方正小标宋_GBK" w:eastAsia="方正小标宋_GBK" w:cs="方正小标宋_GBK"/>
          <w:b/>
          <w:spacing w:val="-2"/>
          <w:sz w:val="36"/>
          <w:szCs w:val="36"/>
        </w:rPr>
      </w:pPr>
      <w:r>
        <w:rPr>
          <w:rFonts w:hint="eastAsia" w:ascii="方正小标宋_GBK" w:hAnsi="方正小标宋_GBK" w:eastAsia="方正小标宋_GBK" w:cs="方正小标宋_GBK"/>
          <w:b/>
          <w:spacing w:val="-2"/>
          <w:sz w:val="36"/>
          <w:szCs w:val="36"/>
        </w:rPr>
        <w:t>部门整体支出绩效评价报告</w:t>
      </w:r>
    </w:p>
    <w:p>
      <w:pPr>
        <w:widowControl/>
        <w:shd w:val="clear" w:color="auto" w:fill="FFFFFF"/>
        <w:spacing w:line="600" w:lineRule="atLeast"/>
        <w:jc w:val="center"/>
        <w:rPr>
          <w:rFonts w:hint="eastAsia" w:ascii="方正小标宋_GBK" w:hAnsi="方正小标宋_GBK" w:eastAsia="方正小标宋_GBK" w:cs="方正小标宋_GBK"/>
          <w:b/>
          <w:spacing w:val="-2"/>
          <w:sz w:val="36"/>
          <w:szCs w:val="36"/>
        </w:rPr>
      </w:pPr>
    </w:p>
    <w:p>
      <w:pPr>
        <w:pStyle w:val="2"/>
        <w:rPr>
          <w:rFonts w:hint="eastAsia" w:eastAsia="仿宋_GB2312"/>
          <w:b/>
          <w:spacing w:val="-2"/>
          <w:sz w:val="40"/>
          <w:szCs w:val="52"/>
        </w:rPr>
      </w:pPr>
    </w:p>
    <w:p>
      <w:pPr>
        <w:pStyle w:val="2"/>
        <w:rPr>
          <w:rFonts w:hint="eastAsia" w:eastAsia="仿宋_GB2312"/>
          <w:b/>
          <w:spacing w:val="-2"/>
          <w:sz w:val="40"/>
          <w:szCs w:val="52"/>
        </w:rPr>
      </w:pPr>
    </w:p>
    <w:p>
      <w:pPr>
        <w:widowControl/>
        <w:shd w:val="clear" w:color="auto" w:fill="FFFFFF"/>
        <w:spacing w:line="600" w:lineRule="atLeast"/>
        <w:ind w:firstLine="640"/>
        <w:rPr>
          <w:rFonts w:hint="eastAsia" w:ascii="黑体" w:hAnsi="黑体" w:eastAsia="黑体" w:cs="黑体"/>
          <w:bCs/>
          <w:spacing w:val="-2"/>
          <w:sz w:val="32"/>
          <w:szCs w:val="21"/>
        </w:rPr>
      </w:pPr>
      <w:r>
        <w:rPr>
          <w:rFonts w:hint="eastAsia" w:ascii="黑体" w:hAnsi="黑体" w:eastAsia="黑体" w:cs="黑体"/>
          <w:bCs/>
          <w:spacing w:val="-2"/>
          <w:sz w:val="32"/>
          <w:szCs w:val="32"/>
        </w:rPr>
        <w:t>一、部门概况</w:t>
      </w:r>
    </w:p>
    <w:p>
      <w:pPr>
        <w:widowControl/>
        <w:shd w:val="clear" w:color="auto" w:fill="FFFFFF"/>
        <w:spacing w:line="600" w:lineRule="atLeas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（一）部门基本情况</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1、在职人员情况</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我单位202</w:t>
      </w:r>
      <w:r>
        <w:rPr>
          <w:rFonts w:eastAsia="仿宋_GB2312" w:cs="仿宋_GB2312"/>
          <w:spacing w:val="-2"/>
          <w:sz w:val="32"/>
          <w:szCs w:val="32"/>
        </w:rPr>
        <w:t>2</w:t>
      </w:r>
      <w:r>
        <w:rPr>
          <w:rFonts w:hint="eastAsia" w:eastAsia="仿宋_GB2312" w:cs="仿宋_GB2312"/>
          <w:spacing w:val="-2"/>
          <w:sz w:val="32"/>
          <w:szCs w:val="32"/>
        </w:rPr>
        <w:t>年人员编制数18人，年末在职在编人员18人。</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2、机构设置</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怀化市档案馆作为一级部门预算单位，内设科室为：办公室；管理利用部；编研和征收鉴定部；科技信息部。</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3、部门职能</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根据2019年怀化市机构改革要求，由原来的怀化市档案局参照公务员管理、财政全额拨款的正处级事业单位，改为怀化市档案馆，系中共怀化市委办公室所属财政全额拨款的正处级公益一类事业单位。担负着收集、征集和接收本馆保管范围内按规定移交进馆的各类档案资料，以及对全市30万余卷（册）档案资料的保管保护、对馆藏档案严格按照规定进行科学整理、编目、鉴定、数字化、技术保护及开发利用等职能。</w:t>
      </w:r>
    </w:p>
    <w:p>
      <w:pPr>
        <w:widowControl/>
        <w:numPr>
          <w:ilvl w:val="0"/>
          <w:numId w:val="3"/>
        </w:numPr>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主要任务</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（1）深入贯彻落实习近平总书记对档案工作的重要批示精神，抓好新修订档案法的学习贯彻。</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（2）抓紧抓实党史学习教育。</w:t>
      </w:r>
    </w:p>
    <w:p>
      <w:pPr>
        <w:widowControl/>
        <w:shd w:val="clear" w:color="auto" w:fill="FFFFFF"/>
        <w:spacing w:line="600" w:lineRule="atLeast"/>
        <w:ind w:firstLine="640"/>
        <w:rPr>
          <w:rFonts w:eastAsia="仿宋_GB2312" w:cs="仿宋_GB2312"/>
          <w:spacing w:val="-2"/>
          <w:sz w:val="32"/>
          <w:szCs w:val="32"/>
        </w:rPr>
      </w:pPr>
      <w:r>
        <w:rPr>
          <w:rFonts w:hint="eastAsia" w:eastAsia="仿宋_GB2312" w:cs="仿宋_GB2312"/>
          <w:spacing w:val="-2"/>
          <w:sz w:val="32"/>
          <w:szCs w:val="32"/>
        </w:rPr>
        <w:t>（3）扩容提质，强化档案资源建设。</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（4）抓实档案保管利用服务。</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（5）着力推进档案信息化建设。</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（6）抓实抓好档案征集编研和学会工作。</w:t>
      </w:r>
    </w:p>
    <w:p>
      <w:pPr>
        <w:widowControl/>
        <w:shd w:val="clear" w:color="auto" w:fill="FFFFFF"/>
        <w:spacing w:line="600" w:lineRule="atLeas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（二）部门整体支出情况</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1、收入预算，202</w:t>
      </w:r>
      <w:r>
        <w:rPr>
          <w:rFonts w:eastAsia="仿宋_GB2312" w:cs="仿宋_GB2312"/>
          <w:spacing w:val="-2"/>
          <w:sz w:val="32"/>
          <w:szCs w:val="32"/>
        </w:rPr>
        <w:t>2</w:t>
      </w:r>
      <w:r>
        <w:rPr>
          <w:rFonts w:hint="eastAsia" w:eastAsia="仿宋_GB2312" w:cs="仿宋_GB2312"/>
          <w:spacing w:val="-2"/>
          <w:sz w:val="32"/>
          <w:szCs w:val="32"/>
        </w:rPr>
        <w:t>年年初预算数</w:t>
      </w:r>
      <w:r>
        <w:rPr>
          <w:rFonts w:eastAsia="仿宋_GB2312" w:cs="仿宋_GB2312"/>
          <w:spacing w:val="-2"/>
          <w:sz w:val="32"/>
          <w:szCs w:val="32"/>
        </w:rPr>
        <w:t>293.83</w:t>
      </w:r>
      <w:r>
        <w:rPr>
          <w:rFonts w:hint="eastAsia" w:eastAsia="仿宋_GB2312" w:cs="仿宋_GB2312"/>
          <w:spacing w:val="-2"/>
          <w:sz w:val="32"/>
          <w:szCs w:val="32"/>
        </w:rPr>
        <w:t>万元，均为一般公共预算拨款。收入较去年增加6</w:t>
      </w:r>
      <w:r>
        <w:rPr>
          <w:rFonts w:eastAsia="仿宋_GB2312" w:cs="仿宋_GB2312"/>
          <w:spacing w:val="-2"/>
          <w:sz w:val="32"/>
          <w:szCs w:val="32"/>
        </w:rPr>
        <w:t>.11</w:t>
      </w:r>
      <w:r>
        <w:rPr>
          <w:rFonts w:hint="eastAsia" w:eastAsia="仿宋_GB2312" w:cs="仿宋_GB2312"/>
          <w:spacing w:val="-2"/>
          <w:sz w:val="32"/>
          <w:szCs w:val="32"/>
        </w:rPr>
        <w:t>万元，主要原因专</w:t>
      </w:r>
      <w:r>
        <w:rPr>
          <w:rFonts w:eastAsia="仿宋_GB2312" w:cs="仿宋_GB2312"/>
          <w:spacing w:val="-2"/>
          <w:sz w:val="32"/>
          <w:szCs w:val="32"/>
        </w:rPr>
        <w:t>项目经费</w:t>
      </w:r>
      <w:r>
        <w:rPr>
          <w:rFonts w:hint="eastAsia" w:eastAsia="仿宋_GB2312" w:cs="仿宋_GB2312"/>
          <w:spacing w:val="-2"/>
          <w:sz w:val="32"/>
          <w:szCs w:val="32"/>
        </w:rPr>
        <w:t>增加1</w:t>
      </w:r>
      <w:r>
        <w:rPr>
          <w:rFonts w:eastAsia="仿宋_GB2312" w:cs="仿宋_GB2312"/>
          <w:spacing w:val="-2"/>
          <w:sz w:val="32"/>
          <w:szCs w:val="32"/>
        </w:rPr>
        <w:t>4.47%</w:t>
      </w:r>
      <w:r>
        <w:rPr>
          <w:rFonts w:hint="eastAsia" w:eastAsia="仿宋_GB2312" w:cs="仿宋_GB2312"/>
          <w:spacing w:val="-2"/>
          <w:sz w:val="32"/>
          <w:szCs w:val="32"/>
        </w:rPr>
        <w:t>。</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2、支出预算，202</w:t>
      </w:r>
      <w:r>
        <w:rPr>
          <w:rFonts w:eastAsia="仿宋_GB2312" w:cs="仿宋_GB2312"/>
          <w:spacing w:val="-2"/>
          <w:sz w:val="32"/>
          <w:szCs w:val="32"/>
        </w:rPr>
        <w:t>2</w:t>
      </w:r>
      <w:r>
        <w:rPr>
          <w:rFonts w:hint="eastAsia" w:eastAsia="仿宋_GB2312" w:cs="仿宋_GB2312"/>
          <w:spacing w:val="-2"/>
          <w:sz w:val="32"/>
          <w:szCs w:val="32"/>
        </w:rPr>
        <w:t>年年初预算数</w:t>
      </w:r>
      <w:r>
        <w:rPr>
          <w:rFonts w:eastAsia="仿宋_GB2312" w:cs="仿宋_GB2312"/>
          <w:spacing w:val="-2"/>
          <w:sz w:val="32"/>
          <w:szCs w:val="32"/>
        </w:rPr>
        <w:t>293.83</w:t>
      </w:r>
      <w:r>
        <w:rPr>
          <w:rFonts w:hint="eastAsia" w:eastAsia="仿宋_GB2312" w:cs="仿宋_GB2312"/>
          <w:spacing w:val="-2"/>
          <w:sz w:val="32"/>
          <w:szCs w:val="32"/>
        </w:rPr>
        <w:t>万元，其中工资福利支出</w:t>
      </w:r>
      <w:r>
        <w:rPr>
          <w:rFonts w:eastAsia="仿宋_GB2312" w:cs="仿宋_GB2312"/>
          <w:spacing w:val="-2"/>
          <w:sz w:val="32"/>
          <w:szCs w:val="32"/>
        </w:rPr>
        <w:t>197.17</w:t>
      </w:r>
      <w:r>
        <w:rPr>
          <w:rFonts w:hint="eastAsia" w:eastAsia="仿宋_GB2312" w:cs="仿宋_GB2312"/>
          <w:spacing w:val="-2"/>
          <w:sz w:val="32"/>
          <w:szCs w:val="32"/>
        </w:rPr>
        <w:t>万元，商品和服务支出</w:t>
      </w:r>
      <w:r>
        <w:rPr>
          <w:rFonts w:eastAsia="仿宋_GB2312" w:cs="仿宋_GB2312"/>
          <w:spacing w:val="-2"/>
          <w:sz w:val="32"/>
          <w:szCs w:val="32"/>
        </w:rPr>
        <w:t>84.39</w:t>
      </w:r>
      <w:r>
        <w:rPr>
          <w:rFonts w:hint="eastAsia" w:eastAsia="仿宋_GB2312" w:cs="仿宋_GB2312"/>
          <w:spacing w:val="-2"/>
          <w:sz w:val="32"/>
          <w:szCs w:val="32"/>
        </w:rPr>
        <w:t>万元，对个人和家庭的补助</w:t>
      </w:r>
      <w:r>
        <w:rPr>
          <w:rFonts w:eastAsia="仿宋_GB2312" w:cs="仿宋_GB2312"/>
          <w:spacing w:val="-2"/>
          <w:sz w:val="32"/>
          <w:szCs w:val="32"/>
        </w:rPr>
        <w:t>12.27</w:t>
      </w:r>
      <w:r>
        <w:rPr>
          <w:rFonts w:hint="eastAsia" w:eastAsia="仿宋_GB2312" w:cs="仿宋_GB2312"/>
          <w:spacing w:val="-2"/>
          <w:sz w:val="32"/>
          <w:szCs w:val="32"/>
        </w:rPr>
        <w:t>万元。支出较去年增加</w:t>
      </w:r>
      <w:r>
        <w:rPr>
          <w:rFonts w:eastAsia="仿宋_GB2312" w:cs="仿宋_GB2312"/>
          <w:spacing w:val="-2"/>
          <w:sz w:val="32"/>
          <w:szCs w:val="32"/>
        </w:rPr>
        <w:t>6.11</w:t>
      </w:r>
      <w:r>
        <w:rPr>
          <w:rFonts w:hint="eastAsia" w:eastAsia="仿宋_GB2312" w:cs="仿宋_GB2312"/>
          <w:spacing w:val="-2"/>
          <w:sz w:val="32"/>
          <w:szCs w:val="32"/>
        </w:rPr>
        <w:t>万元，主要原因是专项经费增加1</w:t>
      </w:r>
      <w:r>
        <w:rPr>
          <w:rFonts w:eastAsia="仿宋_GB2312" w:cs="仿宋_GB2312"/>
          <w:spacing w:val="-2"/>
          <w:sz w:val="32"/>
          <w:szCs w:val="32"/>
        </w:rPr>
        <w:t>4.47</w:t>
      </w:r>
      <w:r>
        <w:rPr>
          <w:rFonts w:hint="eastAsia" w:eastAsia="仿宋_GB2312" w:cs="仿宋_GB2312"/>
          <w:spacing w:val="-2"/>
          <w:sz w:val="32"/>
          <w:szCs w:val="32"/>
        </w:rPr>
        <w:t>%。</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3、支出决算，202</w:t>
      </w:r>
      <w:r>
        <w:rPr>
          <w:rFonts w:eastAsia="仿宋_GB2312" w:cs="仿宋_GB2312"/>
          <w:spacing w:val="-2"/>
          <w:sz w:val="32"/>
          <w:szCs w:val="32"/>
        </w:rPr>
        <w:t>2</w:t>
      </w:r>
      <w:r>
        <w:rPr>
          <w:rFonts w:hint="eastAsia" w:eastAsia="仿宋_GB2312" w:cs="仿宋_GB2312"/>
          <w:spacing w:val="-2"/>
          <w:sz w:val="32"/>
          <w:szCs w:val="32"/>
        </w:rPr>
        <w:t>年决算支出数</w:t>
      </w:r>
      <w:r>
        <w:rPr>
          <w:rFonts w:eastAsia="仿宋_GB2312" w:cs="仿宋_GB2312"/>
          <w:spacing w:val="-2"/>
          <w:sz w:val="32"/>
          <w:szCs w:val="32"/>
        </w:rPr>
        <w:t>401.69</w:t>
      </w:r>
      <w:r>
        <w:rPr>
          <w:rFonts w:hint="eastAsia" w:eastAsia="仿宋_GB2312" w:cs="仿宋_GB2312"/>
          <w:spacing w:val="-2"/>
          <w:sz w:val="32"/>
          <w:szCs w:val="32"/>
        </w:rPr>
        <w:t>万元，其中，一般公共服务支出</w:t>
      </w:r>
      <w:r>
        <w:rPr>
          <w:rFonts w:eastAsia="仿宋_GB2312" w:cs="仿宋_GB2312"/>
          <w:spacing w:val="-2"/>
          <w:sz w:val="32"/>
          <w:szCs w:val="32"/>
        </w:rPr>
        <w:t>341.39</w:t>
      </w:r>
      <w:r>
        <w:rPr>
          <w:rFonts w:hint="eastAsia" w:eastAsia="仿宋_GB2312" w:cs="仿宋_GB2312"/>
          <w:spacing w:val="-2"/>
          <w:sz w:val="32"/>
          <w:szCs w:val="32"/>
        </w:rPr>
        <w:t>万元、社会保障和就业支出</w:t>
      </w:r>
      <w:r>
        <w:rPr>
          <w:rFonts w:eastAsia="仿宋_GB2312" w:cs="仿宋_GB2312"/>
          <w:spacing w:val="-2"/>
          <w:sz w:val="32"/>
          <w:szCs w:val="32"/>
        </w:rPr>
        <w:t>45.08</w:t>
      </w:r>
      <w:r>
        <w:rPr>
          <w:rFonts w:hint="eastAsia" w:eastAsia="仿宋_GB2312" w:cs="仿宋_GB2312"/>
          <w:spacing w:val="-2"/>
          <w:sz w:val="32"/>
          <w:szCs w:val="32"/>
        </w:rPr>
        <w:t>万元、卫生健康支出</w:t>
      </w:r>
      <w:r>
        <w:rPr>
          <w:rFonts w:eastAsia="仿宋_GB2312" w:cs="仿宋_GB2312"/>
          <w:spacing w:val="-2"/>
          <w:sz w:val="32"/>
          <w:szCs w:val="32"/>
        </w:rPr>
        <w:t>13.83</w:t>
      </w:r>
      <w:r>
        <w:rPr>
          <w:rFonts w:hint="eastAsia" w:eastAsia="仿宋_GB2312" w:cs="仿宋_GB2312"/>
          <w:spacing w:val="-2"/>
          <w:sz w:val="32"/>
          <w:szCs w:val="32"/>
        </w:rPr>
        <w:t>万元、其他支出</w:t>
      </w:r>
      <w:r>
        <w:rPr>
          <w:rFonts w:eastAsia="仿宋_GB2312" w:cs="仿宋_GB2312"/>
          <w:spacing w:val="-2"/>
          <w:sz w:val="32"/>
          <w:szCs w:val="32"/>
        </w:rPr>
        <w:t>1.39</w:t>
      </w:r>
      <w:r>
        <w:rPr>
          <w:rFonts w:hint="eastAsia" w:eastAsia="仿宋_GB2312" w:cs="仿宋_GB2312"/>
          <w:spacing w:val="-2"/>
          <w:sz w:val="32"/>
          <w:szCs w:val="32"/>
        </w:rPr>
        <w:t>万元。</w:t>
      </w:r>
    </w:p>
    <w:p>
      <w:pPr>
        <w:widowControl/>
        <w:shd w:val="clear" w:color="auto" w:fill="FFFFFF"/>
        <w:spacing w:line="600" w:lineRule="atLeast"/>
        <w:ind w:firstLine="640"/>
        <w:rPr>
          <w:rFonts w:hint="eastAsia" w:ascii="黑体" w:hAnsi="黑体" w:eastAsia="黑体" w:cs="黑体"/>
          <w:bCs/>
          <w:spacing w:val="-2"/>
          <w:sz w:val="32"/>
          <w:szCs w:val="21"/>
        </w:rPr>
      </w:pPr>
      <w:r>
        <w:rPr>
          <w:rFonts w:hint="eastAsia" w:ascii="黑体" w:hAnsi="黑体" w:eastAsia="黑体" w:cs="黑体"/>
          <w:bCs/>
          <w:spacing w:val="-2"/>
          <w:sz w:val="32"/>
          <w:szCs w:val="32"/>
        </w:rPr>
        <w:t>二、部门整体支出管理及使用情况</w:t>
      </w:r>
    </w:p>
    <w:p>
      <w:pPr>
        <w:widowControl/>
        <w:shd w:val="clear" w:color="auto" w:fill="FFFFFF"/>
        <w:spacing w:line="600" w:lineRule="atLeas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（一）基本支出</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1．基本支出总体情况</w:t>
      </w:r>
    </w:p>
    <w:p>
      <w:pPr>
        <w:widowControl/>
        <w:shd w:val="clear" w:color="auto" w:fill="FFFFFF"/>
        <w:spacing w:line="600" w:lineRule="atLeast"/>
        <w:ind w:firstLine="640"/>
        <w:rPr>
          <w:rFonts w:eastAsia="仿宋_GB2312" w:cs="仿宋_GB2312"/>
          <w:spacing w:val="-2"/>
          <w:sz w:val="32"/>
          <w:szCs w:val="32"/>
        </w:rPr>
      </w:pPr>
      <w:r>
        <w:rPr>
          <w:rFonts w:hint="eastAsia" w:eastAsia="仿宋_GB2312" w:cs="仿宋_GB2312"/>
          <w:spacing w:val="-2"/>
          <w:sz w:val="32"/>
          <w:szCs w:val="32"/>
        </w:rPr>
        <w:t>202</w:t>
      </w:r>
      <w:r>
        <w:rPr>
          <w:rFonts w:eastAsia="仿宋_GB2312" w:cs="仿宋_GB2312"/>
          <w:spacing w:val="-2"/>
          <w:sz w:val="32"/>
          <w:szCs w:val="32"/>
        </w:rPr>
        <w:t>2</w:t>
      </w:r>
      <w:r>
        <w:rPr>
          <w:rFonts w:hint="eastAsia" w:eastAsia="仿宋_GB2312" w:cs="仿宋_GB2312"/>
          <w:spacing w:val="-2"/>
          <w:sz w:val="32"/>
          <w:szCs w:val="32"/>
        </w:rPr>
        <w:t>年部门预算总收入</w:t>
      </w:r>
      <w:r>
        <w:rPr>
          <w:rFonts w:eastAsia="仿宋_GB2312" w:cs="仿宋_GB2312"/>
          <w:spacing w:val="-2"/>
          <w:sz w:val="32"/>
          <w:szCs w:val="32"/>
        </w:rPr>
        <w:t>293.83</w:t>
      </w:r>
      <w:r>
        <w:rPr>
          <w:rFonts w:hint="eastAsia" w:eastAsia="仿宋_GB2312" w:cs="仿宋_GB2312"/>
          <w:spacing w:val="-2"/>
          <w:sz w:val="32"/>
          <w:szCs w:val="32"/>
        </w:rPr>
        <w:t>万元，均为一般公共预算拨款</w:t>
      </w:r>
      <w:r>
        <w:rPr>
          <w:rFonts w:eastAsia="仿宋_GB2312"/>
          <w:sz w:val="32"/>
          <w:szCs w:val="32"/>
        </w:rPr>
        <w:t>。</w:t>
      </w:r>
      <w:r>
        <w:rPr>
          <w:rFonts w:hint="eastAsia" w:eastAsia="仿宋_GB2312"/>
          <w:sz w:val="32"/>
          <w:szCs w:val="32"/>
        </w:rPr>
        <w:t>202</w:t>
      </w:r>
      <w:r>
        <w:rPr>
          <w:rFonts w:eastAsia="仿宋_GB2312"/>
          <w:sz w:val="32"/>
          <w:szCs w:val="32"/>
        </w:rPr>
        <w:t>2年部门决算总</w:t>
      </w:r>
      <w:r>
        <w:rPr>
          <w:rFonts w:hint="eastAsia" w:eastAsia="仿宋_GB2312"/>
          <w:sz w:val="32"/>
          <w:szCs w:val="32"/>
        </w:rPr>
        <w:t>支出</w:t>
      </w:r>
      <w:r>
        <w:rPr>
          <w:rFonts w:eastAsia="仿宋_GB2312"/>
          <w:sz w:val="32"/>
          <w:szCs w:val="32"/>
        </w:rPr>
        <w:t>401.69万元，</w:t>
      </w:r>
      <w:r>
        <w:rPr>
          <w:rFonts w:hint="eastAsia" w:eastAsia="仿宋_GB2312" w:cs="仿宋_GB2312"/>
          <w:spacing w:val="-2"/>
          <w:sz w:val="32"/>
          <w:szCs w:val="32"/>
        </w:rPr>
        <w:t>均为一般公共预算拨款</w:t>
      </w:r>
      <w:r>
        <w:rPr>
          <w:rFonts w:hint="eastAsia" w:eastAsia="仿宋_GB2312"/>
          <w:sz w:val="32"/>
          <w:szCs w:val="32"/>
        </w:rPr>
        <w:t>。</w:t>
      </w:r>
    </w:p>
    <w:p>
      <w:pPr>
        <w:widowControl/>
        <w:shd w:val="clear" w:color="auto" w:fill="FFFFFF"/>
        <w:spacing w:line="600" w:lineRule="atLeast"/>
        <w:ind w:firstLine="640"/>
        <w:rPr>
          <w:rFonts w:hint="eastAsia" w:eastAsia="仿宋_GB2312" w:cs="仿宋_GB2312"/>
          <w:spacing w:val="-2"/>
          <w:sz w:val="32"/>
          <w:szCs w:val="32"/>
        </w:rPr>
      </w:pPr>
      <w:r>
        <w:rPr>
          <w:rFonts w:hint="eastAsia" w:eastAsia="仿宋_GB2312" w:cs="仿宋_GB2312"/>
          <w:spacing w:val="-2"/>
          <w:sz w:val="32"/>
          <w:szCs w:val="32"/>
        </w:rPr>
        <w:t>202</w:t>
      </w:r>
      <w:r>
        <w:rPr>
          <w:rFonts w:eastAsia="仿宋_GB2312" w:cs="仿宋_GB2312"/>
          <w:spacing w:val="-2"/>
          <w:sz w:val="32"/>
          <w:szCs w:val="32"/>
        </w:rPr>
        <w:t>2</w:t>
      </w:r>
      <w:r>
        <w:rPr>
          <w:rFonts w:hint="eastAsia" w:eastAsia="仿宋_GB2312" w:cs="仿宋_GB2312"/>
          <w:spacing w:val="-2"/>
          <w:sz w:val="32"/>
          <w:szCs w:val="32"/>
        </w:rPr>
        <w:t>年部门决算总支出</w:t>
      </w:r>
      <w:r>
        <w:rPr>
          <w:rFonts w:eastAsia="仿宋_GB2312"/>
          <w:sz w:val="32"/>
          <w:szCs w:val="32"/>
        </w:rPr>
        <w:t>401.69</w:t>
      </w:r>
      <w:r>
        <w:rPr>
          <w:rFonts w:hint="eastAsia" w:eastAsia="仿宋_GB2312" w:cs="仿宋_GB2312"/>
          <w:spacing w:val="-2"/>
          <w:sz w:val="32"/>
          <w:szCs w:val="32"/>
        </w:rPr>
        <w:t>万元，其中：基本支出3</w:t>
      </w:r>
      <w:r>
        <w:rPr>
          <w:rFonts w:eastAsia="仿宋_GB2312" w:cs="仿宋_GB2312"/>
          <w:spacing w:val="-2"/>
          <w:sz w:val="32"/>
          <w:szCs w:val="32"/>
        </w:rPr>
        <w:t>29.46</w:t>
      </w:r>
      <w:r>
        <w:rPr>
          <w:rFonts w:hint="eastAsia" w:eastAsia="仿宋_GB2312" w:cs="仿宋_GB2312"/>
          <w:spacing w:val="-2"/>
          <w:sz w:val="32"/>
          <w:szCs w:val="32"/>
        </w:rPr>
        <w:t>万元，项目支出7</w:t>
      </w:r>
      <w:r>
        <w:rPr>
          <w:rFonts w:eastAsia="仿宋_GB2312" w:cs="仿宋_GB2312"/>
          <w:spacing w:val="-2"/>
          <w:sz w:val="32"/>
          <w:szCs w:val="32"/>
        </w:rPr>
        <w:t>2.23</w:t>
      </w:r>
      <w:r>
        <w:rPr>
          <w:rFonts w:hint="eastAsia" w:eastAsia="仿宋_GB2312" w:cs="仿宋_GB2312"/>
          <w:spacing w:val="-2"/>
          <w:sz w:val="32"/>
          <w:szCs w:val="32"/>
        </w:rPr>
        <w:t>万元，基本支出包括：</w:t>
      </w:r>
      <w:r>
        <w:rPr>
          <w:rFonts w:hint="eastAsia" w:eastAsia="仿宋_GB2312"/>
          <w:sz w:val="32"/>
          <w:szCs w:val="32"/>
        </w:rPr>
        <w:t>人员经费</w:t>
      </w:r>
      <w:r>
        <w:rPr>
          <w:rFonts w:eastAsia="仿宋_GB2312"/>
          <w:sz w:val="32"/>
          <w:szCs w:val="32"/>
        </w:rPr>
        <w:t>298.34</w:t>
      </w:r>
      <w:r>
        <w:rPr>
          <w:rFonts w:hint="eastAsia" w:eastAsia="仿宋_GB2312"/>
          <w:sz w:val="32"/>
          <w:szCs w:val="32"/>
        </w:rPr>
        <w:t>万元、公用经费</w:t>
      </w:r>
      <w:r>
        <w:rPr>
          <w:rFonts w:eastAsia="仿宋_GB2312"/>
          <w:sz w:val="32"/>
          <w:szCs w:val="32"/>
        </w:rPr>
        <w:t>31.12</w:t>
      </w:r>
      <w:r>
        <w:rPr>
          <w:rFonts w:hint="eastAsia" w:eastAsia="仿宋_GB2312"/>
          <w:sz w:val="32"/>
          <w:szCs w:val="32"/>
        </w:rPr>
        <w:t>万元</w:t>
      </w:r>
      <w:r>
        <w:rPr>
          <w:rFonts w:hint="eastAsia" w:eastAsia="仿宋_GB2312" w:cs="仿宋_GB2312"/>
          <w:spacing w:val="-2"/>
          <w:sz w:val="32"/>
          <w:szCs w:val="32"/>
        </w:rPr>
        <w:t>。</w:t>
      </w:r>
    </w:p>
    <w:p>
      <w:pPr>
        <w:pStyle w:val="13"/>
        <w:widowControl/>
        <w:spacing w:line="56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“三公经费”支出使用和管理情况</w:t>
      </w:r>
    </w:p>
    <w:p>
      <w:pPr>
        <w:pStyle w:val="13"/>
        <w:widowControl/>
        <w:spacing w:line="56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（1）20</w:t>
      </w:r>
      <w:r>
        <w:rPr>
          <w:rFonts w:hint="eastAsia" w:ascii="Times New Roman" w:hAnsi="Times New Roman" w:eastAsia="仿宋_GB2312"/>
          <w:sz w:val="32"/>
          <w:szCs w:val="32"/>
        </w:rPr>
        <w:t>2</w:t>
      </w:r>
      <w:r>
        <w:rPr>
          <w:rFonts w:ascii="Times New Roman" w:hAnsi="Times New Roman" w:eastAsia="仿宋_GB2312"/>
          <w:sz w:val="32"/>
          <w:szCs w:val="32"/>
        </w:rPr>
        <w:t>2年“三公经费支出情况”</w:t>
      </w:r>
    </w:p>
    <w:p>
      <w:pPr>
        <w:pStyle w:val="13"/>
        <w:widowControl/>
        <w:spacing w:line="560" w:lineRule="exact"/>
        <w:ind w:left="210" w:leftChars="100" w:firstLine="420"/>
        <w:jc w:val="right"/>
        <w:rPr>
          <w:rFonts w:ascii="Times New Roman" w:hAnsi="Times New Roman"/>
          <w:szCs w:val="21"/>
        </w:rPr>
      </w:pPr>
      <w:r>
        <w:rPr>
          <w:rFonts w:ascii="Times New Roman" w:hAnsi="Times New Roman"/>
          <w:szCs w:val="21"/>
        </w:rPr>
        <w:t>单位：万元</w:t>
      </w:r>
    </w:p>
    <w:tbl>
      <w:tblPr>
        <w:tblStyle w:val="6"/>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2083"/>
        <w:gridCol w:w="2083"/>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spacing w:line="360" w:lineRule="auto"/>
              <w:ind w:firstLine="422" w:firstLineChars="200"/>
              <w:jc w:val="center"/>
              <w:rPr>
                <w:b/>
                <w:szCs w:val="21"/>
              </w:rPr>
            </w:pPr>
            <w:r>
              <w:rPr>
                <w:b/>
                <w:szCs w:val="21"/>
              </w:rPr>
              <w:t>费用项目</w:t>
            </w:r>
          </w:p>
        </w:tc>
        <w:tc>
          <w:tcPr>
            <w:tcW w:w="2083" w:type="dxa"/>
            <w:noWrap w:val="0"/>
            <w:vAlign w:val="center"/>
          </w:tcPr>
          <w:p>
            <w:pPr>
              <w:spacing w:line="360" w:lineRule="auto"/>
              <w:jc w:val="center"/>
              <w:rPr>
                <w:b/>
                <w:szCs w:val="21"/>
              </w:rPr>
            </w:pPr>
            <w:r>
              <w:rPr>
                <w:b/>
                <w:szCs w:val="21"/>
              </w:rPr>
              <w:t>本年预算金额</w:t>
            </w:r>
          </w:p>
        </w:tc>
        <w:tc>
          <w:tcPr>
            <w:tcW w:w="2083" w:type="dxa"/>
            <w:noWrap w:val="0"/>
            <w:vAlign w:val="center"/>
          </w:tcPr>
          <w:p>
            <w:pPr>
              <w:spacing w:line="360" w:lineRule="auto"/>
              <w:jc w:val="center"/>
              <w:rPr>
                <w:b/>
                <w:szCs w:val="21"/>
              </w:rPr>
            </w:pPr>
            <w:r>
              <w:rPr>
                <w:b/>
                <w:szCs w:val="21"/>
              </w:rPr>
              <w:t>本年决算金额</w:t>
            </w:r>
          </w:p>
        </w:tc>
        <w:tc>
          <w:tcPr>
            <w:tcW w:w="2083" w:type="dxa"/>
            <w:noWrap w:val="0"/>
            <w:vAlign w:val="center"/>
          </w:tcPr>
          <w:p>
            <w:pPr>
              <w:spacing w:line="360" w:lineRule="auto"/>
              <w:jc w:val="center"/>
              <w:rPr>
                <w:b/>
                <w:szCs w:val="21"/>
              </w:rPr>
            </w:pPr>
            <w:r>
              <w:rPr>
                <w:b/>
                <w:szCs w:val="21"/>
              </w:rPr>
              <w:t>结余“-”/超支“+”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083" w:type="dxa"/>
            <w:noWrap w:val="0"/>
            <w:vAlign w:val="center"/>
          </w:tcPr>
          <w:p>
            <w:pPr>
              <w:widowControl/>
              <w:jc w:val="center"/>
              <w:textAlignment w:val="center"/>
              <w:rPr>
                <w:szCs w:val="21"/>
              </w:rPr>
            </w:pPr>
            <w:r>
              <w:rPr>
                <w:rFonts w:hint="eastAsia" w:ascii="宋体" w:hAnsi="宋体" w:cs="宋体"/>
                <w:color w:val="000000"/>
                <w:kern w:val="0"/>
                <w:szCs w:val="21"/>
                <w:lang w:bidi="ar"/>
              </w:rPr>
              <w:t>公务接待费</w:t>
            </w:r>
          </w:p>
        </w:tc>
        <w:tc>
          <w:tcPr>
            <w:tcW w:w="2083" w:type="dxa"/>
            <w:noWrap w:val="0"/>
            <w:vAlign w:val="center"/>
          </w:tcPr>
          <w:p>
            <w:pPr>
              <w:widowControl/>
              <w:jc w:val="right"/>
              <w:textAlignment w:val="center"/>
              <w:rPr>
                <w:szCs w:val="21"/>
              </w:rPr>
            </w:pPr>
            <w:r>
              <w:rPr>
                <w:rFonts w:hint="eastAsia"/>
                <w:color w:val="000000"/>
                <w:kern w:val="0"/>
                <w:szCs w:val="21"/>
                <w:lang w:val="en-US" w:eastAsia="zh-CN" w:bidi="ar"/>
              </w:rPr>
              <w:t>1.27</w:t>
            </w:r>
            <w:r>
              <w:rPr>
                <w:color w:val="000000"/>
                <w:kern w:val="0"/>
                <w:szCs w:val="21"/>
                <w:lang w:bidi="ar"/>
              </w:rPr>
              <w:t xml:space="preserve"> </w:t>
            </w:r>
          </w:p>
        </w:tc>
        <w:tc>
          <w:tcPr>
            <w:tcW w:w="2083" w:type="dxa"/>
            <w:noWrap w:val="0"/>
            <w:vAlign w:val="center"/>
          </w:tcPr>
          <w:p>
            <w:pPr>
              <w:widowControl/>
              <w:jc w:val="right"/>
              <w:textAlignment w:val="center"/>
              <w:rPr>
                <w:szCs w:val="21"/>
              </w:rPr>
            </w:pPr>
            <w:r>
              <w:rPr>
                <w:color w:val="000000"/>
                <w:kern w:val="0"/>
                <w:szCs w:val="21"/>
                <w:lang w:bidi="ar"/>
              </w:rPr>
              <w:t xml:space="preserve">0.07 </w:t>
            </w:r>
          </w:p>
        </w:tc>
        <w:tc>
          <w:tcPr>
            <w:tcW w:w="2083" w:type="dxa"/>
            <w:noWrap w:val="0"/>
            <w:vAlign w:val="center"/>
          </w:tcPr>
          <w:p>
            <w:pPr>
              <w:widowControl/>
              <w:jc w:val="right"/>
              <w:textAlignment w:val="center"/>
              <w:rPr>
                <w:rFonts w:hint="eastAsia" w:eastAsiaTheme="minorEastAsia"/>
                <w:szCs w:val="21"/>
                <w:lang w:eastAsia="zh-CN"/>
              </w:rPr>
            </w:pPr>
            <w:r>
              <w:rPr>
                <w:color w:val="000000"/>
                <w:kern w:val="0"/>
                <w:szCs w:val="21"/>
                <w:lang w:bidi="ar"/>
              </w:rPr>
              <w:t>-1.</w:t>
            </w:r>
            <w:r>
              <w:rPr>
                <w:rFonts w:hint="eastAsia"/>
                <w:color w:val="000000"/>
                <w:kern w:val="0"/>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widowControl/>
              <w:jc w:val="center"/>
              <w:textAlignment w:val="center"/>
              <w:rPr>
                <w:szCs w:val="21"/>
              </w:rPr>
            </w:pPr>
            <w:r>
              <w:rPr>
                <w:rFonts w:hint="eastAsia" w:ascii="宋体" w:hAnsi="宋体" w:cs="宋体"/>
                <w:color w:val="000000"/>
                <w:kern w:val="0"/>
                <w:szCs w:val="21"/>
                <w:lang w:bidi="ar"/>
              </w:rPr>
              <w:t>公务用车购置及运行维护费</w:t>
            </w:r>
          </w:p>
        </w:tc>
        <w:tc>
          <w:tcPr>
            <w:tcW w:w="2083" w:type="dxa"/>
            <w:noWrap w:val="0"/>
            <w:vAlign w:val="center"/>
          </w:tcPr>
          <w:p>
            <w:pPr>
              <w:widowControl/>
              <w:jc w:val="right"/>
              <w:textAlignment w:val="center"/>
              <w:rPr>
                <w:szCs w:val="21"/>
              </w:rPr>
            </w:pPr>
            <w:r>
              <w:rPr>
                <w:color w:val="000000"/>
                <w:kern w:val="0"/>
                <w:szCs w:val="21"/>
                <w:lang w:bidi="ar"/>
              </w:rPr>
              <w:t>4.00</w:t>
            </w:r>
          </w:p>
        </w:tc>
        <w:tc>
          <w:tcPr>
            <w:tcW w:w="2083" w:type="dxa"/>
            <w:noWrap w:val="0"/>
            <w:vAlign w:val="center"/>
          </w:tcPr>
          <w:p>
            <w:pPr>
              <w:widowControl/>
              <w:jc w:val="right"/>
              <w:textAlignment w:val="center"/>
              <w:rPr>
                <w:szCs w:val="21"/>
              </w:rPr>
            </w:pPr>
            <w:r>
              <w:rPr>
                <w:color w:val="000000"/>
                <w:kern w:val="0"/>
                <w:szCs w:val="21"/>
                <w:lang w:bidi="ar"/>
              </w:rPr>
              <w:t xml:space="preserve">2.37 </w:t>
            </w:r>
          </w:p>
        </w:tc>
        <w:tc>
          <w:tcPr>
            <w:tcW w:w="2083" w:type="dxa"/>
            <w:noWrap w:val="0"/>
            <w:vAlign w:val="center"/>
          </w:tcPr>
          <w:p>
            <w:pPr>
              <w:widowControl/>
              <w:jc w:val="right"/>
              <w:textAlignment w:val="center"/>
              <w:rPr>
                <w:szCs w:val="21"/>
              </w:rPr>
            </w:pPr>
            <w:r>
              <w:rPr>
                <w:color w:val="000000"/>
                <w:kern w:val="0"/>
                <w:szCs w:val="21"/>
                <w:lang w:bidi="ar"/>
              </w:rPr>
              <w:t xml:space="preserve">-1.63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083" w:type="dxa"/>
            <w:noWrap w:val="0"/>
            <w:vAlign w:val="center"/>
          </w:tcPr>
          <w:p>
            <w:pPr>
              <w:widowControl/>
              <w:jc w:val="center"/>
              <w:textAlignment w:val="center"/>
              <w:rPr>
                <w:szCs w:val="21"/>
              </w:rPr>
            </w:pPr>
            <w:r>
              <w:rPr>
                <w:rFonts w:hint="eastAsia" w:ascii="宋体" w:hAnsi="宋体" w:cs="宋体"/>
                <w:color w:val="000000"/>
                <w:kern w:val="0"/>
                <w:szCs w:val="21"/>
                <w:lang w:bidi="ar"/>
              </w:rPr>
              <w:t>因公出国费用</w:t>
            </w:r>
          </w:p>
        </w:tc>
        <w:tc>
          <w:tcPr>
            <w:tcW w:w="2083" w:type="dxa"/>
            <w:noWrap w:val="0"/>
            <w:vAlign w:val="center"/>
          </w:tcPr>
          <w:p>
            <w:pPr>
              <w:jc w:val="right"/>
              <w:rPr>
                <w:szCs w:val="21"/>
              </w:rPr>
            </w:pPr>
            <w:r>
              <w:rPr>
                <w:rFonts w:hint="eastAsia"/>
                <w:szCs w:val="21"/>
              </w:rPr>
              <w:t>0.00</w:t>
            </w:r>
          </w:p>
        </w:tc>
        <w:tc>
          <w:tcPr>
            <w:tcW w:w="2083" w:type="dxa"/>
            <w:noWrap w:val="0"/>
            <w:vAlign w:val="center"/>
          </w:tcPr>
          <w:p>
            <w:pPr>
              <w:jc w:val="right"/>
              <w:rPr>
                <w:szCs w:val="21"/>
              </w:rPr>
            </w:pPr>
            <w:r>
              <w:rPr>
                <w:rFonts w:hint="eastAsia"/>
                <w:szCs w:val="21"/>
              </w:rPr>
              <w:t>0.00</w:t>
            </w:r>
          </w:p>
        </w:tc>
        <w:tc>
          <w:tcPr>
            <w:tcW w:w="2083" w:type="dxa"/>
            <w:noWrap w:val="0"/>
            <w:vAlign w:val="center"/>
          </w:tcPr>
          <w:p>
            <w:pPr>
              <w:jc w:val="right"/>
              <w:rPr>
                <w:szCs w:val="21"/>
              </w:rPr>
            </w:pPr>
            <w:r>
              <w:rPr>
                <w:rFonts w:hint="eastAsia"/>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2083" w:type="dxa"/>
            <w:noWrap w:val="0"/>
            <w:vAlign w:val="bottom"/>
          </w:tcPr>
          <w:p>
            <w:pPr>
              <w:jc w:val="center"/>
              <w:rPr>
                <w:rFonts w:hint="eastAsia"/>
                <w:b/>
                <w:szCs w:val="21"/>
              </w:rPr>
            </w:pPr>
            <w:r>
              <w:rPr>
                <w:rFonts w:hint="eastAsia"/>
                <w:b/>
                <w:szCs w:val="21"/>
              </w:rPr>
              <w:t>合计</w:t>
            </w:r>
          </w:p>
        </w:tc>
        <w:tc>
          <w:tcPr>
            <w:tcW w:w="2083" w:type="dxa"/>
            <w:noWrap w:val="0"/>
            <w:vAlign w:val="center"/>
          </w:tcPr>
          <w:p>
            <w:pPr>
              <w:widowControl/>
              <w:jc w:val="right"/>
              <w:textAlignment w:val="center"/>
              <w:rPr>
                <w:rFonts w:hint="default" w:eastAsiaTheme="minorEastAsia"/>
                <w:b/>
                <w:szCs w:val="21"/>
                <w:lang w:val="en-US" w:eastAsia="zh-CN"/>
              </w:rPr>
            </w:pPr>
            <w:r>
              <w:rPr>
                <w:rFonts w:hint="eastAsia"/>
                <w:color w:val="000000"/>
                <w:kern w:val="0"/>
                <w:szCs w:val="21"/>
                <w:lang w:val="en-US" w:eastAsia="zh-CN" w:bidi="ar"/>
              </w:rPr>
              <w:t>5.27</w:t>
            </w:r>
          </w:p>
        </w:tc>
        <w:tc>
          <w:tcPr>
            <w:tcW w:w="2083" w:type="dxa"/>
            <w:noWrap w:val="0"/>
            <w:vAlign w:val="center"/>
          </w:tcPr>
          <w:p>
            <w:pPr>
              <w:widowControl/>
              <w:jc w:val="right"/>
              <w:textAlignment w:val="center"/>
              <w:rPr>
                <w:b/>
                <w:szCs w:val="21"/>
              </w:rPr>
            </w:pPr>
            <w:r>
              <w:rPr>
                <w:color w:val="000000"/>
                <w:kern w:val="0"/>
                <w:szCs w:val="21"/>
                <w:lang w:bidi="ar"/>
              </w:rPr>
              <w:t>2.44</w:t>
            </w:r>
          </w:p>
        </w:tc>
        <w:tc>
          <w:tcPr>
            <w:tcW w:w="2083" w:type="dxa"/>
            <w:noWrap w:val="0"/>
            <w:vAlign w:val="center"/>
          </w:tcPr>
          <w:p>
            <w:pPr>
              <w:widowControl/>
              <w:jc w:val="right"/>
              <w:textAlignment w:val="center"/>
              <w:rPr>
                <w:b/>
                <w:szCs w:val="21"/>
              </w:rPr>
            </w:pPr>
            <w:r>
              <w:rPr>
                <w:color w:val="000000"/>
                <w:kern w:val="0"/>
                <w:szCs w:val="21"/>
                <w:lang w:bidi="ar"/>
              </w:rPr>
              <w:t>-3.06</w:t>
            </w:r>
          </w:p>
        </w:tc>
      </w:tr>
    </w:tbl>
    <w:p>
      <w:pPr>
        <w:pStyle w:val="13"/>
        <w:widowControl/>
        <w:spacing w:line="360" w:lineRule="auto"/>
        <w:ind w:left="210" w:leftChars="100" w:firstLine="640"/>
        <w:rPr>
          <w:rFonts w:ascii="Times New Roman" w:hAnsi="Times New Roman" w:eastAsia="仿宋_GB2312"/>
          <w:sz w:val="32"/>
          <w:szCs w:val="32"/>
        </w:rPr>
      </w:pPr>
      <w:r>
        <w:rPr>
          <w:rFonts w:ascii="Times New Roman" w:hAnsi="Times New Roman" w:eastAsia="仿宋_GB2312"/>
          <w:sz w:val="32"/>
          <w:szCs w:val="32"/>
        </w:rPr>
        <w:t>从上表分析，20</w:t>
      </w:r>
      <w:r>
        <w:rPr>
          <w:rFonts w:hint="eastAsia" w:ascii="Times New Roman" w:hAnsi="Times New Roman" w:eastAsia="仿宋_GB2312"/>
          <w:sz w:val="32"/>
          <w:szCs w:val="32"/>
        </w:rPr>
        <w:t>2</w:t>
      </w:r>
      <w:r>
        <w:rPr>
          <w:rFonts w:ascii="Times New Roman" w:hAnsi="Times New Roman" w:eastAsia="仿宋_GB2312"/>
          <w:sz w:val="32"/>
          <w:szCs w:val="32"/>
        </w:rPr>
        <w:t>2年三公经费预算支出</w:t>
      </w:r>
      <w:r>
        <w:rPr>
          <w:rFonts w:hint="eastAsia" w:ascii="Times New Roman" w:hAnsi="Times New Roman" w:eastAsia="仿宋_GB2312"/>
          <w:sz w:val="32"/>
          <w:szCs w:val="32"/>
          <w:lang w:val="en-US" w:eastAsia="zh-CN"/>
        </w:rPr>
        <w:t>5.27</w:t>
      </w:r>
      <w:r>
        <w:rPr>
          <w:rFonts w:ascii="Times New Roman" w:hAnsi="Times New Roman" w:eastAsia="仿宋_GB2312"/>
          <w:sz w:val="32"/>
          <w:szCs w:val="32"/>
        </w:rPr>
        <w:t>万元，决算支出</w:t>
      </w:r>
      <w:r>
        <w:rPr>
          <w:rFonts w:hint="eastAsia" w:ascii="Times New Roman" w:hAnsi="Times New Roman" w:eastAsia="仿宋_GB2312"/>
          <w:sz w:val="32"/>
          <w:szCs w:val="32"/>
          <w:lang w:val="en-US" w:eastAsia="zh-CN"/>
        </w:rPr>
        <w:t>2.44</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2.83</w:t>
      </w:r>
      <w:r>
        <w:rPr>
          <w:rFonts w:ascii="Times New Roman" w:hAnsi="Times New Roman" w:eastAsia="仿宋_GB2312"/>
          <w:sz w:val="32"/>
          <w:szCs w:val="32"/>
        </w:rPr>
        <w:t>万元，三公经费总额控制在预算范围内。</w:t>
      </w:r>
    </w:p>
    <w:p>
      <w:pPr>
        <w:pStyle w:val="13"/>
        <w:widowControl/>
        <w:spacing w:line="360" w:lineRule="auto"/>
        <w:ind w:left="210" w:leftChars="100" w:firstLine="640"/>
        <w:rPr>
          <w:rFonts w:ascii="Times New Roman" w:hAnsi="Times New Roman" w:eastAsia="仿宋_GB2312"/>
          <w:sz w:val="32"/>
          <w:szCs w:val="32"/>
          <w:highlight w:val="yellow"/>
        </w:rPr>
      </w:pPr>
      <w:r>
        <w:rPr>
          <w:rFonts w:ascii="Times New Roman" w:hAnsi="Times New Roman" w:eastAsia="仿宋_GB2312"/>
          <w:sz w:val="32"/>
          <w:szCs w:val="32"/>
        </w:rPr>
        <w:t>从三公经费的支出明细项目分析，公务接待费支出0.07万元，结余</w:t>
      </w:r>
      <w:r>
        <w:rPr>
          <w:rFonts w:hint="eastAsia" w:ascii="Times New Roman" w:hAnsi="Times New Roman" w:eastAsia="仿宋_GB2312"/>
          <w:sz w:val="32"/>
          <w:szCs w:val="32"/>
          <w:lang w:val="en-US" w:eastAsia="zh-CN"/>
        </w:rPr>
        <w:t>1.2</w:t>
      </w:r>
      <w:r>
        <w:rPr>
          <w:rFonts w:ascii="Times New Roman" w:hAnsi="Times New Roman" w:eastAsia="仿宋_GB2312"/>
          <w:sz w:val="32"/>
          <w:szCs w:val="32"/>
        </w:rPr>
        <w:t>万元；</w:t>
      </w:r>
      <w:r>
        <w:rPr>
          <w:rFonts w:hint="eastAsia" w:ascii="Times New Roman" w:hAnsi="Times New Roman" w:eastAsia="仿宋_GB2312"/>
          <w:sz w:val="32"/>
          <w:szCs w:val="32"/>
        </w:rPr>
        <w:t>公务用车购置及运行维护费</w:t>
      </w:r>
      <w:r>
        <w:rPr>
          <w:rFonts w:ascii="Times New Roman" w:hAnsi="Times New Roman" w:eastAsia="仿宋_GB2312"/>
          <w:sz w:val="32"/>
          <w:szCs w:val="32"/>
        </w:rPr>
        <w:t>支出2.37万元，结余1.63万元；因公出国费用支出</w:t>
      </w:r>
      <w:r>
        <w:rPr>
          <w:rFonts w:hint="eastAsia" w:ascii="Times New Roman" w:hAnsi="Times New Roman" w:eastAsia="仿宋_GB2312"/>
          <w:sz w:val="32"/>
          <w:szCs w:val="32"/>
        </w:rPr>
        <w:t>0.00</w:t>
      </w:r>
      <w:r>
        <w:rPr>
          <w:rFonts w:ascii="Times New Roman" w:hAnsi="Times New Roman" w:eastAsia="仿宋_GB2312"/>
          <w:sz w:val="32"/>
          <w:szCs w:val="32"/>
        </w:rPr>
        <w:t>万元，</w:t>
      </w:r>
      <w:r>
        <w:rPr>
          <w:rFonts w:hint="eastAsia" w:ascii="Times New Roman" w:hAnsi="Times New Roman" w:eastAsia="仿宋_GB2312"/>
          <w:sz w:val="32"/>
          <w:szCs w:val="32"/>
        </w:rPr>
        <w:t>未超支结余，</w:t>
      </w:r>
      <w:r>
        <w:rPr>
          <w:rFonts w:ascii="Times New Roman" w:hAnsi="Times New Roman" w:eastAsia="仿宋_GB2312"/>
          <w:sz w:val="32"/>
          <w:szCs w:val="32"/>
        </w:rPr>
        <w:t>三公经费明细均在</w:t>
      </w:r>
      <w:r>
        <w:rPr>
          <w:rFonts w:hint="eastAsia" w:ascii="Times New Roman" w:hAnsi="Times New Roman" w:eastAsia="仿宋_GB2312"/>
          <w:sz w:val="32"/>
          <w:szCs w:val="32"/>
        </w:rPr>
        <w:t>预算</w:t>
      </w:r>
      <w:r>
        <w:rPr>
          <w:rFonts w:ascii="Times New Roman" w:hAnsi="Times New Roman" w:eastAsia="仿宋_GB2312"/>
          <w:sz w:val="32"/>
          <w:szCs w:val="32"/>
        </w:rPr>
        <w:t>控制</w:t>
      </w:r>
      <w:r>
        <w:rPr>
          <w:rFonts w:hint="eastAsia" w:ascii="Times New Roman" w:hAnsi="Times New Roman" w:eastAsia="仿宋_GB2312"/>
          <w:sz w:val="32"/>
          <w:szCs w:val="32"/>
        </w:rPr>
        <w:t>内</w:t>
      </w:r>
      <w:r>
        <w:rPr>
          <w:rFonts w:ascii="Times New Roman" w:hAnsi="Times New Roman" w:eastAsia="仿宋_GB2312"/>
          <w:sz w:val="32"/>
          <w:szCs w:val="32"/>
        </w:rPr>
        <w:t>。</w:t>
      </w:r>
    </w:p>
    <w:p>
      <w:pPr>
        <w:pStyle w:val="13"/>
        <w:widowControl/>
        <w:spacing w:line="56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（2）与上年度比较“三公经费”控制情况</w:t>
      </w:r>
    </w:p>
    <w:p>
      <w:pPr>
        <w:widowControl/>
        <w:shd w:val="clear" w:color="auto" w:fill="FFFFFF"/>
        <w:spacing w:line="600" w:lineRule="atLeast"/>
        <w:ind w:firstLine="643"/>
      </w:pPr>
      <w:r>
        <w:rPr>
          <w:rFonts w:hint="eastAsia" w:eastAsia="仿宋_GB2312"/>
          <w:sz w:val="32"/>
          <w:szCs w:val="32"/>
        </w:rPr>
        <w:t>我馆较202</w:t>
      </w:r>
      <w:r>
        <w:rPr>
          <w:rFonts w:hint="eastAsia" w:eastAsia="仿宋_GB2312"/>
          <w:sz w:val="32"/>
          <w:szCs w:val="32"/>
          <w:lang w:val="en-US" w:eastAsia="zh-CN"/>
        </w:rPr>
        <w:t>1</w:t>
      </w:r>
      <w:r>
        <w:rPr>
          <w:rFonts w:hint="eastAsia" w:eastAsia="仿宋_GB2312"/>
          <w:sz w:val="32"/>
          <w:szCs w:val="32"/>
        </w:rPr>
        <w:t>年度三公经费支出减少</w:t>
      </w:r>
      <w:r>
        <w:rPr>
          <w:rFonts w:eastAsia="仿宋_GB2312"/>
          <w:sz w:val="32"/>
          <w:szCs w:val="32"/>
        </w:rPr>
        <w:t>44.55</w:t>
      </w:r>
      <w:r>
        <w:rPr>
          <w:rFonts w:hint="eastAsia" w:eastAsia="仿宋_GB2312"/>
          <w:sz w:val="32"/>
          <w:szCs w:val="32"/>
        </w:rPr>
        <w:t>%，主要是公务接待和公务用车运行维护费都相应地减少。</w:t>
      </w:r>
    </w:p>
    <w:p>
      <w:pPr>
        <w:widowControl/>
        <w:shd w:val="clear" w:color="auto" w:fill="FFFFFF"/>
        <w:spacing w:line="600" w:lineRule="atLeast"/>
        <w:ind w:firstLine="643"/>
        <w:rPr>
          <w:rFonts w:hint="eastAsia" w:ascii="楷体_GB2312" w:hAnsi="楷体_GB2312" w:eastAsia="楷体_GB2312" w:cs="楷体_GB2312"/>
          <w:bCs/>
          <w:spacing w:val="-2"/>
          <w:sz w:val="32"/>
          <w:szCs w:val="21"/>
        </w:rPr>
      </w:pPr>
      <w:r>
        <w:rPr>
          <w:rFonts w:hint="eastAsia" w:ascii="楷体_GB2312" w:hAnsi="楷体_GB2312" w:eastAsia="楷体_GB2312" w:cs="楷体_GB2312"/>
          <w:bCs/>
          <w:spacing w:val="-2"/>
          <w:sz w:val="32"/>
          <w:szCs w:val="32"/>
        </w:rPr>
        <w:t>（二）专项支出</w:t>
      </w:r>
    </w:p>
    <w:p>
      <w:pPr>
        <w:pStyle w:val="5"/>
        <w:shd w:val="clear" w:color="auto" w:fill="FFFFFF"/>
        <w:spacing w:before="0" w:beforeAutospacing="0" w:after="0" w:afterAutospacing="0" w:line="360" w:lineRule="auto"/>
        <w:ind w:firstLine="707" w:firstLineChars="221"/>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r>
        <w:rPr>
          <w:rFonts w:hint="eastAsia" w:ascii="Times New Roman" w:hAnsi="Times New Roman" w:eastAsia="仿宋_GB2312" w:cs="Times New Roman"/>
          <w:sz w:val="32"/>
          <w:szCs w:val="32"/>
        </w:rPr>
        <w:t>专项</w:t>
      </w:r>
      <w:r>
        <w:rPr>
          <w:rFonts w:ascii="Times New Roman" w:hAnsi="Times New Roman" w:eastAsia="仿宋_GB2312" w:cs="Times New Roman"/>
          <w:sz w:val="32"/>
          <w:szCs w:val="32"/>
        </w:rPr>
        <w:t>支出是在基本支出之外为完成其特定的工作任务而发生的支出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rPr>
        <w:t>馆</w:t>
      </w:r>
      <w:r>
        <w:rPr>
          <w:rFonts w:ascii="Times New Roman" w:hAnsi="Times New Roman" w:eastAsia="仿宋_GB2312" w:cs="Times New Roman"/>
          <w:sz w:val="32"/>
          <w:szCs w:val="32"/>
        </w:rPr>
        <w:t>的项目支出</w:t>
      </w:r>
      <w:r>
        <w:rPr>
          <w:rFonts w:hint="eastAsia" w:ascii="Times New Roman" w:hAnsi="Times New Roman" w:eastAsia="仿宋_GB2312" w:cs="Times New Roman"/>
          <w:sz w:val="32"/>
          <w:szCs w:val="32"/>
        </w:rPr>
        <w:t>主要用于档案馆有关事业发展专项、专项业务费、基本建设支出等方面。</w:t>
      </w:r>
    </w:p>
    <w:p>
      <w:pPr>
        <w:pStyle w:val="5"/>
        <w:shd w:val="clear" w:color="auto" w:fill="FFFFFF"/>
        <w:spacing w:before="0" w:beforeAutospacing="0" w:after="0" w:afterAutospacing="0" w:line="360" w:lineRule="auto"/>
        <w:ind w:firstLine="707" w:firstLineChars="221"/>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项目资金实际使用情况</w:t>
      </w:r>
    </w:p>
    <w:p>
      <w:pPr>
        <w:pStyle w:val="5"/>
        <w:shd w:val="clear" w:color="auto" w:fill="FFFFFF"/>
        <w:spacing w:before="0" w:beforeAutospacing="0" w:after="0" w:afterAutospacing="0" w:line="360" w:lineRule="auto"/>
        <w:ind w:firstLine="707" w:firstLineChars="221"/>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2年年初预算项目支出</w:t>
      </w:r>
      <w:r>
        <w:rPr>
          <w:rFonts w:hint="eastAsia" w:ascii="Times New Roman" w:hAnsi="Times New Roman" w:eastAsia="仿宋_GB2312" w:cs="Times New Roman"/>
          <w:sz w:val="32"/>
          <w:szCs w:val="32"/>
        </w:rPr>
        <w:t>批复金额</w:t>
      </w:r>
      <w:bookmarkStart w:id="9" w:name="_Hlk42203504"/>
      <w:r>
        <w:rPr>
          <w:rFonts w:hint="eastAsia" w:ascii="Times New Roman" w:hAnsi="Times New Roman" w:eastAsia="仿宋_GB2312" w:cs="Times New Roman"/>
          <w:sz w:val="32"/>
          <w:szCs w:val="32"/>
        </w:rPr>
        <w:t>36.60</w:t>
      </w:r>
      <w:r>
        <w:rPr>
          <w:rFonts w:ascii="Times New Roman" w:hAnsi="Times New Roman" w:eastAsia="仿宋_GB2312" w:cs="Times New Roman"/>
          <w:sz w:val="32"/>
          <w:szCs w:val="32"/>
        </w:rPr>
        <w:t>万元</w:t>
      </w:r>
      <w:bookmarkEnd w:id="9"/>
      <w:r>
        <w:rPr>
          <w:rFonts w:hint="eastAsia" w:ascii="Times New Roman" w:hAnsi="Times New Roman" w:eastAsia="仿宋_GB2312" w:cs="Times New Roman"/>
          <w:sz w:val="32"/>
          <w:szCs w:val="32"/>
        </w:rPr>
        <w:t>，为档案日常管理和征集费</w:t>
      </w:r>
      <w:r>
        <w:rPr>
          <w:rFonts w:ascii="Times New Roman" w:hAnsi="Times New Roman" w:eastAsia="仿宋_GB2312" w:cs="Times New Roman"/>
          <w:sz w:val="32"/>
          <w:szCs w:val="32"/>
        </w:rPr>
        <w:t>。</w:t>
      </w:r>
    </w:p>
    <w:p>
      <w:pPr>
        <w:pStyle w:val="5"/>
        <w:shd w:val="clear" w:color="auto" w:fill="FFFFFF"/>
        <w:spacing w:before="0" w:beforeAutospacing="0" w:after="0" w:afterAutospacing="0" w:line="360" w:lineRule="auto"/>
        <w:ind w:firstLine="707" w:firstLineChars="221"/>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2年决算项目支出</w:t>
      </w:r>
      <w:r>
        <w:rPr>
          <w:rFonts w:hint="eastAsia" w:ascii="Times New Roman" w:hAnsi="Times New Roman" w:eastAsia="仿宋_GB2312" w:cs="Times New Roman"/>
          <w:sz w:val="32"/>
          <w:szCs w:val="32"/>
        </w:rPr>
        <w:t>金额</w:t>
      </w:r>
      <w:r>
        <w:rPr>
          <w:rFonts w:ascii="Times New Roman" w:hAnsi="Times New Roman" w:eastAsia="仿宋_GB2312" w:cs="Times New Roman"/>
          <w:sz w:val="32"/>
          <w:szCs w:val="32"/>
        </w:rPr>
        <w:t>72.23</w:t>
      </w:r>
      <w:r>
        <w:rPr>
          <w:rFonts w:hint="eastAsia" w:ascii="Times New Roman" w:hAnsi="Times New Roman" w:eastAsia="仿宋_GB2312" w:cs="Times New Roman"/>
          <w:sz w:val="32"/>
          <w:szCs w:val="32"/>
        </w:rPr>
        <w:t>万元，主要是档案日常管理和征集费3</w:t>
      </w:r>
      <w:r>
        <w:rPr>
          <w:rFonts w:ascii="Times New Roman" w:hAnsi="Times New Roman" w:eastAsia="仿宋_GB2312" w:cs="Times New Roman"/>
          <w:sz w:val="32"/>
          <w:szCs w:val="32"/>
        </w:rPr>
        <w:t>6.60</w:t>
      </w:r>
      <w:r>
        <w:rPr>
          <w:rFonts w:hint="eastAsia" w:ascii="Times New Roman" w:hAnsi="Times New Roman" w:eastAsia="仿宋_GB2312" w:cs="Times New Roman"/>
          <w:sz w:val="32"/>
          <w:szCs w:val="32"/>
        </w:rPr>
        <w:t>万元、档案库房配套设施建设费2</w:t>
      </w:r>
      <w:r>
        <w:rPr>
          <w:rFonts w:ascii="Times New Roman" w:hAnsi="Times New Roman" w:eastAsia="仿宋_GB2312" w:cs="Times New Roman"/>
          <w:sz w:val="32"/>
          <w:szCs w:val="32"/>
        </w:rPr>
        <w:t>4.11</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电梯安装质保金</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万元等</w:t>
      </w:r>
      <w:r>
        <w:rPr>
          <w:rFonts w:hint="eastAsia" w:ascii="Times New Roman" w:hAnsi="Times New Roman" w:eastAsia="仿宋_GB2312" w:cs="Times New Roman"/>
          <w:sz w:val="32"/>
          <w:szCs w:val="32"/>
        </w:rPr>
        <w:t>。</w:t>
      </w:r>
    </w:p>
    <w:p>
      <w:pPr>
        <w:pStyle w:val="5"/>
        <w:shd w:val="clear" w:color="auto" w:fill="FFFFFF"/>
        <w:spacing w:before="0" w:beforeAutospacing="0" w:after="0" w:afterAutospacing="0" w:line="360" w:lineRule="auto"/>
        <w:ind w:firstLine="707" w:firstLineChars="221"/>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项目资金管理情况</w:t>
      </w:r>
    </w:p>
    <w:p>
      <w:pPr>
        <w:pStyle w:val="5"/>
        <w:shd w:val="clear" w:color="auto" w:fill="FFFFFF"/>
        <w:spacing w:before="0" w:beforeAutospacing="0" w:after="0" w:afterAutospacing="0" w:line="360" w:lineRule="auto"/>
        <w:ind w:firstLine="707" w:firstLineChars="221"/>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rPr>
        <w:t>馆</w:t>
      </w:r>
      <w:r>
        <w:rPr>
          <w:rFonts w:ascii="Times New Roman" w:hAnsi="Times New Roman" w:eastAsia="仿宋_GB2312" w:cs="Times New Roman"/>
          <w:sz w:val="32"/>
          <w:szCs w:val="32"/>
        </w:rPr>
        <w:t>为加强财务管理工作，合理合规使用财政项目资金，严格按照财务管理要求，对批准的预算开支内容，做好账务设置和账务管理，</w:t>
      </w:r>
      <w:r>
        <w:rPr>
          <w:rFonts w:hint="eastAsia" w:ascii="Times New Roman" w:hAnsi="Times New Roman" w:eastAsia="仿宋_GB2312" w:cs="Times New Roman"/>
          <w:sz w:val="32"/>
          <w:szCs w:val="32"/>
        </w:rPr>
        <w:t>实行专项核算</w:t>
      </w:r>
      <w:r>
        <w:rPr>
          <w:rFonts w:ascii="Times New Roman" w:hAnsi="Times New Roman" w:eastAsia="仿宋_GB2312" w:cs="Times New Roman"/>
          <w:sz w:val="32"/>
          <w:szCs w:val="32"/>
        </w:rPr>
        <w:t>，在资金使用过程中，严把监督审核关，建立健全了内部审批制度。针对项目支出，制定了《财务</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制度》等相关制度，对资金使用审批流程、资金监督、签字权限等方面做出了详细规定。</w:t>
      </w:r>
    </w:p>
    <w:p>
      <w:pPr>
        <w:widowControl/>
        <w:numPr>
          <w:ilvl w:val="0"/>
          <w:numId w:val="4"/>
        </w:numPr>
        <w:shd w:val="clear" w:color="auto" w:fill="FFFFFF"/>
        <w:spacing w:line="600" w:lineRule="atLeast"/>
        <w:ind w:firstLine="640"/>
        <w:rPr>
          <w:rFonts w:hint="eastAsia" w:ascii="黑体" w:hAnsi="黑体" w:eastAsia="黑体" w:cs="黑体"/>
          <w:bCs/>
          <w:spacing w:val="-2"/>
          <w:sz w:val="32"/>
          <w:szCs w:val="32"/>
        </w:rPr>
      </w:pPr>
      <w:r>
        <w:rPr>
          <w:rFonts w:hint="eastAsia" w:ascii="黑体" w:hAnsi="黑体" w:eastAsia="黑体" w:cs="黑体"/>
          <w:bCs/>
          <w:spacing w:val="-2"/>
          <w:sz w:val="32"/>
          <w:szCs w:val="32"/>
        </w:rPr>
        <w:t>部门专项组织实施情况</w:t>
      </w:r>
    </w:p>
    <w:p>
      <w:pPr>
        <w:pStyle w:val="5"/>
        <w:shd w:val="clear" w:color="auto" w:fill="FFFFFF"/>
        <w:spacing w:before="0" w:beforeAutospacing="0" w:after="0" w:afterAutospacing="0" w:line="360" w:lineRule="auto"/>
        <w:ind w:firstLine="707" w:firstLineChars="221"/>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（一）项目组织情况</w:t>
      </w:r>
    </w:p>
    <w:p>
      <w:pPr>
        <w:pStyle w:val="5"/>
        <w:shd w:val="clear" w:color="auto" w:fill="FFFFFF"/>
        <w:spacing w:before="0" w:beforeAutospacing="0" w:after="0" w:afterAutospacing="0" w:line="360" w:lineRule="auto"/>
        <w:ind w:firstLine="707" w:firstLineChars="221"/>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rPr>
        <w:t>馆</w:t>
      </w:r>
      <w:r>
        <w:rPr>
          <w:rFonts w:ascii="Times New Roman" w:hAnsi="Times New Roman" w:eastAsia="仿宋_GB2312" w:cs="Times New Roman"/>
          <w:sz w:val="32"/>
          <w:szCs w:val="32"/>
        </w:rPr>
        <w:t>认真落实上级主管部门的决策部署，全面推进各项重点工作，较好的完成了各项目</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目标任务。各项目由专人负责实施，实行事项前置审批及事后支付审批制度；采购事项均按照政府采购相关规定执行，属政府采购范围的一律通过政府采购平台，按照规定流程进行采购；费用支出严格按照《财务</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制度》等制度规定的开支范围、标准、审批权限、审批流程、报销要求等进行审核。</w:t>
      </w:r>
    </w:p>
    <w:p>
      <w:pPr>
        <w:pStyle w:val="5"/>
        <w:shd w:val="clear" w:color="auto" w:fill="FFFFFF"/>
        <w:spacing w:before="0" w:beforeAutospacing="0" w:after="0" w:afterAutospacing="0" w:line="360" w:lineRule="auto"/>
        <w:ind w:firstLine="707" w:firstLineChars="221"/>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（二）项目管理情况</w:t>
      </w:r>
    </w:p>
    <w:p>
      <w:pPr>
        <w:spacing w:line="360" w:lineRule="auto"/>
        <w:ind w:firstLine="640"/>
      </w:pPr>
      <w:r>
        <w:rPr>
          <w:rFonts w:hint="eastAsia" w:eastAsia="仿宋_GB2312"/>
          <w:sz w:val="32"/>
          <w:szCs w:val="32"/>
        </w:rPr>
        <w:t>为加强项目资金管理，规范项目资金管理行为，提高项目管理水平及项目资金使用效益，我馆制定了财务管理制度、项目资金管理制度等业务管理制度，对项目管理职责、申报与组织实施、项目资金的管理、监督检查与验收等进行了规定，明确工作职责、项目实施细则、考核办法等。项目资金严格按指定用途专款专用，并接受财政部门或上级部门的检查、验收。202</w:t>
      </w:r>
      <w:r>
        <w:rPr>
          <w:rFonts w:eastAsia="仿宋_GB2312"/>
          <w:sz w:val="32"/>
          <w:szCs w:val="32"/>
        </w:rPr>
        <w:t>2</w:t>
      </w:r>
      <w:r>
        <w:rPr>
          <w:rFonts w:hint="eastAsia" w:eastAsia="仿宋_GB2312"/>
          <w:sz w:val="32"/>
          <w:szCs w:val="32"/>
        </w:rPr>
        <w:t>年本单位项目支出，基本能够严格按照相关制度规定等进行。</w:t>
      </w:r>
    </w:p>
    <w:p>
      <w:pPr>
        <w:widowControl/>
        <w:shd w:val="clear" w:color="auto" w:fill="FFFFFF"/>
        <w:spacing w:line="600" w:lineRule="atLeast"/>
        <w:ind w:firstLine="632" w:firstLineChars="200"/>
        <w:rPr>
          <w:rFonts w:hint="eastAsia" w:ascii="黑体" w:hAnsi="黑体" w:eastAsia="黑体" w:cs="黑体"/>
          <w:bCs/>
          <w:spacing w:val="-2"/>
          <w:sz w:val="32"/>
          <w:szCs w:val="21"/>
        </w:rPr>
      </w:pPr>
      <w:r>
        <w:rPr>
          <w:rFonts w:hint="eastAsia" w:ascii="黑体" w:hAnsi="黑体" w:eastAsia="黑体" w:cs="黑体"/>
          <w:bCs/>
          <w:spacing w:val="-2"/>
          <w:sz w:val="32"/>
          <w:szCs w:val="32"/>
        </w:rPr>
        <w:t>四、资产管理情况</w:t>
      </w:r>
    </w:p>
    <w:p>
      <w:pPr>
        <w:pStyle w:val="5"/>
        <w:shd w:val="clear" w:color="auto" w:fill="FFFFFF"/>
        <w:spacing w:before="0" w:beforeAutospacing="0" w:after="0" w:afterAutospacing="0" w:line="360" w:lineRule="auto"/>
        <w:ind w:firstLine="707" w:firstLineChars="221"/>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我馆根据《行政事业单位内部控制规范（试行）》、《事 业单位国有资产管理暂行办法》及省、市有关规定，制定了《固定资产管理》等制度，及时入账，定期盘点清查，按要求编报资产月报与年报。 </w:t>
      </w:r>
    </w:p>
    <w:p>
      <w:pPr>
        <w:pStyle w:val="5"/>
        <w:shd w:val="clear" w:color="auto" w:fill="FFFFFF"/>
        <w:spacing w:before="0" w:beforeAutospacing="0" w:after="0" w:afterAutospacing="0" w:line="360" w:lineRule="auto"/>
        <w:ind w:firstLine="707" w:firstLineChars="221"/>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截至202</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年12月31日，我单位固定资产原值</w:t>
      </w:r>
      <w:r>
        <w:rPr>
          <w:rFonts w:ascii="Times New Roman" w:hAnsi="Times New Roman" w:eastAsia="仿宋_GB2312" w:cs="Times New Roman"/>
          <w:sz w:val="32"/>
          <w:szCs w:val="32"/>
        </w:rPr>
        <w:t>445.79</w:t>
      </w:r>
      <w:r>
        <w:rPr>
          <w:rFonts w:hint="eastAsia" w:ascii="Times New Roman" w:hAnsi="Times New Roman" w:eastAsia="仿宋_GB2312" w:cs="Times New Roman"/>
          <w:sz w:val="32"/>
          <w:szCs w:val="32"/>
        </w:rPr>
        <w:t>万元，累计折旧</w:t>
      </w:r>
      <w:r>
        <w:rPr>
          <w:rFonts w:ascii="Times New Roman" w:hAnsi="Times New Roman" w:eastAsia="仿宋_GB2312" w:cs="Times New Roman"/>
          <w:sz w:val="32"/>
          <w:szCs w:val="32"/>
        </w:rPr>
        <w:t>350.78</w:t>
      </w:r>
      <w:r>
        <w:rPr>
          <w:rFonts w:hint="eastAsia" w:ascii="Times New Roman" w:hAnsi="Times New Roman" w:eastAsia="仿宋_GB2312" w:cs="Times New Roman"/>
          <w:sz w:val="32"/>
          <w:szCs w:val="32"/>
        </w:rPr>
        <w:t>万元，账面净值</w:t>
      </w:r>
      <w:r>
        <w:rPr>
          <w:rFonts w:ascii="Times New Roman" w:hAnsi="Times New Roman" w:eastAsia="仿宋_GB2312" w:cs="Times New Roman"/>
          <w:sz w:val="32"/>
          <w:szCs w:val="32"/>
        </w:rPr>
        <w:t>95.01</w:t>
      </w:r>
      <w:r>
        <w:rPr>
          <w:rFonts w:hint="eastAsia" w:ascii="Times New Roman" w:hAnsi="Times New Roman" w:eastAsia="仿宋_GB2312" w:cs="Times New Roman"/>
          <w:sz w:val="32"/>
          <w:szCs w:val="32"/>
        </w:rPr>
        <w:t>万元。</w:t>
      </w:r>
    </w:p>
    <w:p>
      <w:pPr>
        <w:widowControl/>
        <w:numPr>
          <w:ilvl w:val="0"/>
          <w:numId w:val="4"/>
        </w:numPr>
        <w:shd w:val="clear" w:color="auto" w:fill="FFFFFF"/>
        <w:spacing w:line="600" w:lineRule="atLeast"/>
        <w:ind w:firstLine="640"/>
        <w:rPr>
          <w:rFonts w:hint="eastAsia" w:ascii="黑体" w:hAnsi="黑体" w:eastAsia="黑体" w:cs="黑体"/>
          <w:bCs/>
          <w:spacing w:val="-2"/>
          <w:sz w:val="32"/>
          <w:szCs w:val="32"/>
        </w:rPr>
      </w:pPr>
      <w:r>
        <w:rPr>
          <w:rFonts w:hint="eastAsia" w:ascii="黑体" w:hAnsi="黑体" w:eastAsia="黑体" w:cs="黑体"/>
          <w:bCs/>
          <w:spacing w:val="-2"/>
          <w:sz w:val="32"/>
          <w:szCs w:val="32"/>
        </w:rPr>
        <w:t>部门整体支出绩效情况</w:t>
      </w:r>
    </w:p>
    <w:p>
      <w:pPr>
        <w:widowControl/>
        <w:shd w:val="clear" w:color="auto" w:fill="FFFFFF"/>
        <w:spacing w:line="360" w:lineRule="auto"/>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（一）经济性分析</w:t>
      </w:r>
    </w:p>
    <w:p>
      <w:pPr>
        <w:widowControl/>
        <w:shd w:val="clear" w:color="auto" w:fill="FFFFFF"/>
        <w:spacing w:line="360" w:lineRule="auto"/>
        <w:ind w:firstLine="640"/>
        <w:rPr>
          <w:rFonts w:hint="eastAsia" w:eastAsia="仿宋_GB2312"/>
          <w:kern w:val="0"/>
          <w:sz w:val="32"/>
          <w:szCs w:val="32"/>
        </w:rPr>
      </w:pPr>
      <w:r>
        <w:rPr>
          <w:rFonts w:hint="eastAsia" w:eastAsia="仿宋_GB2312"/>
          <w:kern w:val="0"/>
          <w:sz w:val="32"/>
          <w:szCs w:val="32"/>
        </w:rPr>
        <w:t>1、预算配置控制较好。财政供养人员控制在预算编制内，编制内在职人员控制率100%，未超过控制标准。</w:t>
      </w:r>
    </w:p>
    <w:p>
      <w:pPr>
        <w:widowControl/>
        <w:shd w:val="clear" w:color="auto" w:fill="FFFFFF"/>
        <w:spacing w:line="360" w:lineRule="auto"/>
        <w:ind w:firstLine="640"/>
        <w:rPr>
          <w:rFonts w:hint="eastAsia" w:eastAsia="仿宋_GB2312"/>
          <w:kern w:val="0"/>
          <w:sz w:val="32"/>
          <w:szCs w:val="32"/>
        </w:rPr>
      </w:pPr>
      <w:r>
        <w:rPr>
          <w:rFonts w:hint="eastAsia" w:eastAsia="仿宋_GB2312"/>
          <w:kern w:val="0"/>
          <w:sz w:val="32"/>
          <w:szCs w:val="32"/>
        </w:rPr>
        <w:t>2、预算执行与管理。202</w:t>
      </w:r>
      <w:r>
        <w:rPr>
          <w:rFonts w:eastAsia="仿宋_GB2312"/>
          <w:kern w:val="0"/>
          <w:sz w:val="32"/>
          <w:szCs w:val="32"/>
        </w:rPr>
        <w:t>2</w:t>
      </w:r>
      <w:r>
        <w:rPr>
          <w:rFonts w:hint="eastAsia" w:eastAsia="仿宋_GB2312"/>
          <w:kern w:val="0"/>
          <w:sz w:val="32"/>
          <w:szCs w:val="32"/>
        </w:rPr>
        <w:t>年财政决算收入</w:t>
      </w:r>
      <w:r>
        <w:rPr>
          <w:rFonts w:eastAsia="仿宋_GB2312"/>
          <w:kern w:val="0"/>
          <w:sz w:val="32"/>
          <w:szCs w:val="32"/>
        </w:rPr>
        <w:t>401.69</w:t>
      </w:r>
      <w:r>
        <w:rPr>
          <w:rFonts w:hint="eastAsia" w:eastAsia="仿宋_GB2312"/>
          <w:kern w:val="0"/>
          <w:sz w:val="32"/>
          <w:szCs w:val="32"/>
        </w:rPr>
        <w:t>万元，其中：一般公共预算财政拨款收入</w:t>
      </w:r>
      <w:r>
        <w:rPr>
          <w:rFonts w:eastAsia="仿宋_GB2312"/>
          <w:kern w:val="0"/>
          <w:sz w:val="32"/>
          <w:szCs w:val="32"/>
        </w:rPr>
        <w:t>400.30</w:t>
      </w:r>
      <w:r>
        <w:rPr>
          <w:rFonts w:hint="eastAsia" w:eastAsia="仿宋_GB2312"/>
          <w:kern w:val="0"/>
          <w:sz w:val="32"/>
          <w:szCs w:val="32"/>
        </w:rPr>
        <w:t>万元，上年结转</w:t>
      </w:r>
      <w:r>
        <w:rPr>
          <w:rFonts w:eastAsia="仿宋_GB2312"/>
          <w:kern w:val="0"/>
          <w:sz w:val="32"/>
          <w:szCs w:val="32"/>
        </w:rPr>
        <w:t>1.39</w:t>
      </w:r>
      <w:r>
        <w:rPr>
          <w:rFonts w:hint="eastAsia" w:eastAsia="仿宋_GB2312"/>
          <w:kern w:val="0"/>
          <w:sz w:val="32"/>
          <w:szCs w:val="32"/>
        </w:rPr>
        <w:t>万元；决算支出为</w:t>
      </w:r>
      <w:r>
        <w:rPr>
          <w:rFonts w:eastAsia="仿宋_GB2312"/>
          <w:kern w:val="0"/>
          <w:sz w:val="32"/>
          <w:szCs w:val="32"/>
        </w:rPr>
        <w:t>401.69</w:t>
      </w:r>
      <w:r>
        <w:rPr>
          <w:rFonts w:hint="eastAsia" w:eastAsia="仿宋_GB2312"/>
          <w:kern w:val="0"/>
          <w:sz w:val="32"/>
          <w:szCs w:val="32"/>
        </w:rPr>
        <w:t>万元，其中基本支出</w:t>
      </w:r>
      <w:r>
        <w:rPr>
          <w:rFonts w:eastAsia="仿宋_GB2312"/>
          <w:kern w:val="0"/>
          <w:sz w:val="32"/>
          <w:szCs w:val="32"/>
        </w:rPr>
        <w:t>329.46</w:t>
      </w:r>
      <w:r>
        <w:rPr>
          <w:rFonts w:hint="eastAsia" w:eastAsia="仿宋_GB2312"/>
          <w:kern w:val="0"/>
          <w:sz w:val="32"/>
          <w:szCs w:val="32"/>
        </w:rPr>
        <w:t>万元、项目支出</w:t>
      </w:r>
      <w:r>
        <w:rPr>
          <w:rFonts w:eastAsia="仿宋_GB2312"/>
          <w:kern w:val="0"/>
          <w:sz w:val="32"/>
          <w:szCs w:val="32"/>
        </w:rPr>
        <w:t>72.23</w:t>
      </w:r>
      <w:r>
        <w:rPr>
          <w:rFonts w:hint="eastAsia" w:eastAsia="仿宋_GB2312"/>
          <w:kern w:val="0"/>
          <w:sz w:val="32"/>
          <w:szCs w:val="32"/>
        </w:rPr>
        <w:t>万元，公用经费、三公经费等相关支出均未超过控制标准。</w:t>
      </w:r>
    </w:p>
    <w:p>
      <w:pPr>
        <w:widowControl/>
        <w:shd w:val="clear" w:color="auto" w:fill="FFFFFF"/>
        <w:spacing w:line="360" w:lineRule="auto"/>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（二）有效性和效率性分析</w:t>
      </w:r>
    </w:p>
    <w:p>
      <w:pPr>
        <w:pStyle w:val="2"/>
        <w:ind w:firstLine="640"/>
        <w:rPr>
          <w:rFonts w:ascii="Times New Roman" w:hAnsi="Times New Roman" w:eastAsia="仿宋_GB2312"/>
          <w:kern w:val="0"/>
          <w:sz w:val="32"/>
          <w:szCs w:val="32"/>
        </w:rPr>
      </w:pPr>
      <w:r>
        <w:rPr>
          <w:rFonts w:hint="eastAsia" w:ascii="Times New Roman" w:hAnsi="Times New Roman" w:eastAsia="仿宋_GB2312"/>
          <w:kern w:val="0"/>
          <w:sz w:val="32"/>
          <w:szCs w:val="32"/>
        </w:rPr>
        <w:t>通过对202</w:t>
      </w:r>
      <w:r>
        <w:rPr>
          <w:rFonts w:ascii="Times New Roman" w:hAnsi="Times New Roman" w:eastAsia="仿宋_GB2312"/>
          <w:kern w:val="0"/>
          <w:sz w:val="32"/>
          <w:szCs w:val="32"/>
        </w:rPr>
        <w:t>2</w:t>
      </w:r>
      <w:r>
        <w:rPr>
          <w:rFonts w:hint="eastAsia" w:ascii="Times New Roman" w:hAnsi="Times New Roman" w:eastAsia="仿宋_GB2312"/>
          <w:kern w:val="0"/>
          <w:sz w:val="32"/>
          <w:szCs w:val="32"/>
        </w:rPr>
        <w:t>全年工作进行梳理和总结，我馆202</w:t>
      </w:r>
      <w:r>
        <w:rPr>
          <w:rFonts w:ascii="Times New Roman" w:hAnsi="Times New Roman" w:eastAsia="仿宋_GB2312"/>
          <w:kern w:val="0"/>
          <w:sz w:val="32"/>
          <w:szCs w:val="32"/>
        </w:rPr>
        <w:t>2</w:t>
      </w:r>
      <w:r>
        <w:rPr>
          <w:rFonts w:hint="eastAsia" w:ascii="Times New Roman" w:hAnsi="Times New Roman" w:eastAsia="仿宋_GB2312"/>
          <w:kern w:val="0"/>
          <w:sz w:val="32"/>
          <w:szCs w:val="32"/>
        </w:rPr>
        <w:t>年主要产出和效益如下：</w:t>
      </w:r>
    </w:p>
    <w:p>
      <w:pPr>
        <w:autoSpaceDE w:val="0"/>
        <w:spacing w:line="540" w:lineRule="exact"/>
        <w:ind w:firstLine="640" w:firstLineChars="200"/>
        <w:rPr>
          <w:rFonts w:hint="eastAsia" w:ascii="黑体" w:hAnsi="黑体" w:eastAsia="黑体" w:cs="黑体"/>
          <w:sz w:val="32"/>
          <w:szCs w:val="32"/>
        </w:rPr>
      </w:pPr>
      <w:r>
        <w:rPr>
          <w:rFonts w:hint="eastAsia" w:ascii="黑体" w:hAnsi="黑体" w:eastAsia="黑体" w:cs="黑体"/>
          <w:color w:val="000000"/>
          <w:sz w:val="32"/>
          <w:szCs w:val="32"/>
        </w:rPr>
        <w:t>一）、学习贯彻习近平新时代中国特色社会主义思想和党的二十大精神，忠诚拥护“两个确立”坚决做到“两个维护”</w:t>
      </w:r>
    </w:p>
    <w:p>
      <w:pPr>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一是狠抓理论武装。</w:t>
      </w:r>
      <w:r>
        <w:rPr>
          <w:rFonts w:hint="eastAsia" w:ascii="仿宋_GB2312" w:hAnsi="微软雅黑" w:eastAsia="仿宋_GB2312"/>
          <w:sz w:val="32"/>
          <w:szCs w:val="32"/>
        </w:rPr>
        <w:t>坚持把学习贯彻习近平新时代中国特色社会主义思想贯穿工作始终，下半年重点组织二十大精神的学习，创新学习形式，丰富学习载体，切实加强党员干部思想政治建设。</w:t>
      </w:r>
      <w:r>
        <w:rPr>
          <w:rFonts w:hint="eastAsia" w:ascii="仿宋_GB2312" w:hAnsi="仿宋_GB2312" w:eastAsia="仿宋_GB2312" w:cs="仿宋_GB2312"/>
          <w:b/>
          <w:bCs/>
          <w:sz w:val="32"/>
          <w:szCs w:val="32"/>
        </w:rPr>
        <w:t>制定计划，严密组织。</w:t>
      </w:r>
      <w:r>
        <w:rPr>
          <w:rFonts w:hint="eastAsia" w:ascii="楷体_GB2312" w:hAnsi="微软雅黑" w:eastAsia="楷体_GB2312"/>
          <w:sz w:val="32"/>
          <w:szCs w:val="32"/>
        </w:rPr>
        <w:t>年初</w:t>
      </w:r>
      <w:r>
        <w:rPr>
          <w:rFonts w:hint="eastAsia" w:ascii="仿宋_GB2312" w:hAnsi="微软雅黑" w:eastAsia="仿宋_GB2312"/>
          <w:sz w:val="32"/>
          <w:szCs w:val="32"/>
        </w:rPr>
        <w:t>制定了理论学习计划，把全馆干部职工都纳入学习，对学习时间、内容、人员、检查等作了具体明确，</w:t>
      </w:r>
      <w:r>
        <w:rPr>
          <w:rFonts w:hint="eastAsia" w:ascii="仿宋_GB2312" w:hAnsi="仿宋_GB2312" w:eastAsia="仿宋_GB2312" w:cs="仿宋_GB2312"/>
          <w:sz w:val="32"/>
          <w:szCs w:val="32"/>
        </w:rPr>
        <w:t>着力加强对习近平新时代中国特色社会主义思想和党的十九大系列全会精神的学习</w:t>
      </w:r>
      <w:r>
        <w:rPr>
          <w:rFonts w:hint="eastAsia" w:ascii="仿宋_GB2312" w:hAnsi="微软雅黑" w:eastAsia="仿宋_GB2312"/>
          <w:sz w:val="32"/>
          <w:szCs w:val="32"/>
        </w:rPr>
        <w:t>，理论学习中心组集中学习</w:t>
      </w:r>
      <w:r>
        <w:rPr>
          <w:rFonts w:ascii="仿宋_GB2312" w:hAnsi="微软雅黑" w:eastAsia="仿宋_GB2312"/>
          <w:sz w:val="32"/>
          <w:szCs w:val="32"/>
        </w:rPr>
        <w:t>1</w:t>
      </w:r>
      <w:r>
        <w:rPr>
          <w:rFonts w:hint="eastAsia" w:ascii="仿宋_GB2312" w:hAnsi="微软雅黑" w:eastAsia="仿宋_GB2312"/>
          <w:sz w:val="32"/>
          <w:szCs w:val="32"/>
        </w:rPr>
        <w:t>1次，每次学习有理论讲解，有交流发言和小结，做到干部职工学习无遗漏、无死角，确保了学习的实效。</w:t>
      </w:r>
      <w:r>
        <w:rPr>
          <w:rFonts w:hint="eastAsia" w:ascii="楷体_GB2312" w:hAnsi="微软雅黑" w:eastAsia="楷体_GB2312"/>
          <w:b/>
          <w:bCs/>
          <w:sz w:val="32"/>
          <w:szCs w:val="32"/>
        </w:rPr>
        <w:t>丰富形式，提高效果。</w:t>
      </w:r>
      <w:r>
        <w:rPr>
          <w:rFonts w:hint="eastAsia" w:ascii="仿宋_GB2312" w:hAnsi="微软雅黑" w:eastAsia="仿宋_GB2312"/>
          <w:sz w:val="32"/>
          <w:szCs w:val="32"/>
        </w:rPr>
        <w:t>认真落实机关干部职工集中理论学习、支部</w:t>
      </w:r>
      <w:r>
        <w:rPr>
          <w:rFonts w:ascii="仿宋_GB2312" w:hAnsi="Î¢ÈíÑÅºÚ Western" w:eastAsia="仿宋_GB2312"/>
          <w:sz w:val="32"/>
          <w:szCs w:val="32"/>
        </w:rPr>
        <w:t>“</w:t>
      </w:r>
      <w:r>
        <w:rPr>
          <w:rFonts w:hint="eastAsia" w:ascii="仿宋_GB2312" w:hAnsi="微软雅黑" w:eastAsia="仿宋_GB2312"/>
          <w:sz w:val="32"/>
          <w:szCs w:val="32"/>
        </w:rPr>
        <w:t>三会一课</w:t>
      </w:r>
      <w:r>
        <w:rPr>
          <w:rFonts w:ascii="仿宋_GB2312" w:hAnsi="Î¢ÈíÑÅºÚ Western" w:eastAsia="仿宋_GB2312"/>
          <w:sz w:val="32"/>
          <w:szCs w:val="32"/>
        </w:rPr>
        <w:t>”</w:t>
      </w:r>
      <w:r>
        <w:rPr>
          <w:rFonts w:hint="eastAsia" w:ascii="仿宋_GB2312" w:hAnsi="微软雅黑" w:eastAsia="仿宋_GB2312"/>
          <w:sz w:val="32"/>
          <w:szCs w:val="32"/>
        </w:rPr>
        <w:t>学习、网上在线学习、学法用法和意识形态基础理论知识考试、自学、现场教学等学习机制，努力构建全方位、多层次学习平台。</w:t>
      </w:r>
      <w:r>
        <w:rPr>
          <w:rFonts w:hint="eastAsia" w:ascii="仿宋_GB2312" w:hAnsi="仿宋_GB2312" w:eastAsia="仿宋_GB2312" w:cs="仿宋_GB2312"/>
          <w:sz w:val="32"/>
          <w:szCs w:val="32"/>
        </w:rPr>
        <w:t>激发了干部职工爱怀化、爱档案事业的爱岗敬业热情，</w:t>
      </w:r>
      <w:r>
        <w:rPr>
          <w:rFonts w:hint="eastAsia" w:ascii="仿宋_GB2312" w:hAnsi="微软雅黑" w:eastAsia="仿宋_GB2312"/>
          <w:sz w:val="32"/>
          <w:szCs w:val="32"/>
        </w:rPr>
        <w:t>强化了“为党管档为国守史”责任感。</w:t>
      </w:r>
      <w:r>
        <w:rPr>
          <w:rFonts w:hint="eastAsia" w:ascii="仿宋_GB2312" w:hAnsi="仿宋_GB2312" w:eastAsia="仿宋_GB2312" w:cs="仿宋_GB2312"/>
          <w:b/>
          <w:bCs/>
          <w:sz w:val="32"/>
          <w:szCs w:val="32"/>
        </w:rPr>
        <w:t>二是狠抓落实。</w:t>
      </w:r>
      <w:r>
        <w:rPr>
          <w:rFonts w:hint="eastAsia" w:ascii="仿宋_GB2312" w:hAnsi="仿宋_GB2312" w:eastAsia="仿宋_GB2312" w:cs="仿宋_GB2312"/>
          <w:sz w:val="32"/>
          <w:szCs w:val="32"/>
        </w:rPr>
        <w:t>馆党组旗帜鲜明讲政治，切实增强“四个意识”，坚定“四个自信”，忠诚拥护“两个确立”坚决做到“两个维护”，始终在政治立场、政治方向、政治原则、政治道路上同以习近平同志为核心的党中央保持高度一致。自觉用习近平新时代中国特色社会主义思想武装头脑、指导实践、推动工作。着力抓好学习教育、乡村振兴、疫情防控、安全稳定四件大事，确保年度工作任务如期完成。</w:t>
      </w:r>
    </w:p>
    <w:p>
      <w:pPr>
        <w:spacing w:line="540" w:lineRule="exact"/>
        <w:ind w:firstLine="640" w:firstLineChars="200"/>
        <w:rPr>
          <w:rFonts w:hint="eastAsia" w:ascii="仿宋_GB2312" w:hAnsi="仿宋_GB2312" w:eastAsia="仿宋_GB2312" w:cs="仿宋_GB2312"/>
          <w:kern w:val="0"/>
          <w:sz w:val="32"/>
          <w:szCs w:val="32"/>
        </w:rPr>
      </w:pPr>
      <w:r>
        <w:rPr>
          <w:rFonts w:hint="eastAsia" w:ascii="黑体" w:hAnsi="黑体" w:eastAsia="黑体" w:cs="黑体"/>
          <w:color w:val="000000"/>
          <w:sz w:val="32"/>
          <w:szCs w:val="32"/>
        </w:rPr>
        <w:t>二）、抓牢意识形态主动权，营造正面的舆论导向。</w:t>
      </w:r>
      <w:r>
        <w:rPr>
          <w:rFonts w:hint="eastAsia" w:ascii="仿宋_GB2312" w:hAnsi="楷体_GB2312" w:eastAsia="仿宋_GB2312" w:cs="楷体_GB2312"/>
          <w:bCs/>
          <w:sz w:val="32"/>
          <w:szCs w:val="32"/>
        </w:rPr>
        <w:t>抓好主体责任落实，</w:t>
      </w:r>
      <w:r>
        <w:rPr>
          <w:rFonts w:ascii="仿宋_GB2312" w:hAnsi="仿宋" w:eastAsia="仿宋_GB2312"/>
          <w:sz w:val="32"/>
          <w:szCs w:val="32"/>
        </w:rPr>
        <w:t>把意识形态工作纳入重要议事日程，纳入领导干部民主生活会和述职报告的重要内容</w:t>
      </w:r>
      <w:r>
        <w:rPr>
          <w:rFonts w:hint="eastAsia" w:ascii="仿宋_GB2312" w:hAnsi="仿宋" w:eastAsia="仿宋_GB2312"/>
          <w:sz w:val="32"/>
          <w:szCs w:val="32"/>
        </w:rPr>
        <w:t>。</w:t>
      </w:r>
      <w:r>
        <w:rPr>
          <w:rFonts w:hint="eastAsia" w:ascii="仿宋_GB2312" w:hAnsi="微软雅黑" w:eastAsia="仿宋_GB2312"/>
          <w:sz w:val="32"/>
          <w:szCs w:val="32"/>
        </w:rPr>
        <w:t>修订完善了《怀化市档案馆网络舆情管理应急处置预案》、</w:t>
      </w:r>
      <w:r>
        <w:rPr>
          <w:rFonts w:hint="eastAsia" w:ascii="仿宋_GB2312" w:hAnsi="仿宋_GB2312" w:eastAsia="仿宋_GB2312" w:cs="仿宋_GB2312"/>
          <w:kern w:val="0"/>
          <w:sz w:val="32"/>
          <w:szCs w:val="32"/>
        </w:rPr>
        <w:t>《市档案馆</w:t>
      </w:r>
      <w:r>
        <w:rPr>
          <w:rFonts w:hint="eastAsia" w:ascii="仿宋_GB2312" w:hAnsi="仿宋" w:eastAsia="仿宋_GB2312"/>
          <w:sz w:val="32"/>
          <w:szCs w:val="32"/>
        </w:rPr>
        <w:t>QQ群、微信工作群管理制度</w:t>
      </w:r>
      <w:r>
        <w:rPr>
          <w:rFonts w:hint="eastAsia" w:ascii="仿宋_GB2312" w:hAnsi="仿宋_GB2312" w:eastAsia="仿宋_GB2312" w:cs="仿宋_GB2312"/>
          <w:kern w:val="0"/>
          <w:sz w:val="32"/>
          <w:szCs w:val="32"/>
        </w:rPr>
        <w:t>》对工作群使用进行了规范，形成长效机制。</w:t>
      </w:r>
      <w:r>
        <w:rPr>
          <w:rFonts w:hint="eastAsia" w:ascii="仿宋_GB2312" w:hAnsi="楷体_GB2312" w:eastAsia="仿宋_GB2312" w:cs="楷体_GB2312"/>
          <w:bCs/>
          <w:sz w:val="32"/>
          <w:szCs w:val="32"/>
        </w:rPr>
        <w:t>坚持不懈抓实日常管理</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今年组织理论学习11次，分析研判</w:t>
      </w:r>
      <w:r>
        <w:rPr>
          <w:rFonts w:ascii="仿宋_GB2312" w:hAnsi="仿宋" w:eastAsia="仿宋_GB2312"/>
          <w:sz w:val="32"/>
          <w:szCs w:val="32"/>
        </w:rPr>
        <w:t>意识形态工作</w:t>
      </w:r>
      <w:r>
        <w:rPr>
          <w:rFonts w:hint="eastAsia" w:ascii="仿宋_GB2312" w:hAnsi="仿宋" w:eastAsia="仿宋_GB2312"/>
          <w:sz w:val="32"/>
          <w:szCs w:val="32"/>
        </w:rPr>
        <w:t>4次</w:t>
      </w:r>
      <w:r>
        <w:rPr>
          <w:rFonts w:ascii="仿宋_GB2312" w:hAnsi="仿宋" w:eastAsia="仿宋_GB2312"/>
          <w:sz w:val="32"/>
          <w:szCs w:val="32"/>
        </w:rPr>
        <w:t>，</w:t>
      </w:r>
      <w:r>
        <w:rPr>
          <w:rFonts w:hint="eastAsia" w:ascii="仿宋_GB2312" w:hAnsi="仿宋" w:eastAsia="仿宋_GB2312"/>
          <w:sz w:val="32"/>
          <w:szCs w:val="32"/>
        </w:rPr>
        <w:t>落实了QQ、微信工作群实名制，开展了</w:t>
      </w:r>
      <w:r>
        <w:rPr>
          <w:rFonts w:hint="eastAsia" w:ascii="仿宋_GB2312" w:hAnsi="Calibri" w:eastAsia="仿宋_GB2312"/>
          <w:sz w:val="32"/>
          <w:szCs w:val="32"/>
        </w:rPr>
        <w:t>安全保密专题教育培训和处理涉密文件资料专项清理整顿，严肃查处泄密违规行为，</w:t>
      </w:r>
      <w:r>
        <w:rPr>
          <w:rFonts w:hint="eastAsia" w:ascii="仿宋_GB2312" w:hAnsi="仿宋_GB2312" w:eastAsia="仿宋_GB2312" w:cs="仿宋_GB2312"/>
          <w:kern w:val="0"/>
          <w:sz w:val="32"/>
          <w:szCs w:val="32"/>
        </w:rPr>
        <w:t>对2篇稿件和2个大型图片展进行了信息对外公布三审，</w:t>
      </w:r>
      <w:r>
        <w:rPr>
          <w:rFonts w:hint="eastAsia" w:ascii="仿宋_GB2312" w:hAnsi="仿宋" w:eastAsia="仿宋_GB2312"/>
          <w:sz w:val="32"/>
          <w:szCs w:val="32"/>
        </w:rPr>
        <w:t>净化了舆论空间。</w:t>
      </w:r>
      <w:r>
        <w:rPr>
          <w:rFonts w:hint="eastAsia" w:ascii="仿宋_GB2312" w:hAnsi="仿宋_GB2312" w:eastAsia="仿宋_GB2312" w:cs="仿宋_GB2312"/>
          <w:kern w:val="0"/>
          <w:sz w:val="32"/>
          <w:szCs w:val="32"/>
        </w:rPr>
        <w:t>积极做好思想引导，对提倡什么、反对什么旗帜鲜明，在思想交锋中敢于亮剑，围绕热点问题，及时对干部职工进行</w:t>
      </w:r>
      <w:r>
        <w:rPr>
          <w:rFonts w:hint="eastAsia" w:ascii="仿宋_GB2312" w:hAnsi="仿宋_GB2312" w:eastAsia="仿宋_GB2312" w:cs="仿宋_GB2312"/>
          <w:sz w:val="32"/>
          <w:szCs w:val="32"/>
          <w:shd w:val="clear" w:color="auto" w:fill="FFFFFF"/>
        </w:rPr>
        <w:t>舆论引导，</w:t>
      </w:r>
      <w:r>
        <w:rPr>
          <w:rFonts w:hint="eastAsia" w:ascii="仿宋_GB2312" w:hAnsi="仿宋_GB2312" w:eastAsia="仿宋_GB2312" w:cs="仿宋_GB2312"/>
          <w:kern w:val="0"/>
          <w:sz w:val="32"/>
          <w:szCs w:val="32"/>
        </w:rPr>
        <w:t>营造了良好的政治舆论环境。一年来单位没有负面舆论。</w:t>
      </w:r>
    </w:p>
    <w:p>
      <w:pPr>
        <w:spacing w:line="540" w:lineRule="exact"/>
        <w:ind w:firstLine="640" w:firstLineChars="200"/>
        <w:rPr>
          <w:rFonts w:hint="eastAsia" w:ascii="仿宋_GB2312" w:hAnsi="仿宋_GB2312" w:eastAsia="仿宋_GB2312" w:cs="仿宋_GB2312"/>
          <w:sz w:val="32"/>
          <w:szCs w:val="32"/>
        </w:rPr>
      </w:pPr>
      <w:r>
        <w:rPr>
          <w:rFonts w:hint="eastAsia" w:ascii="黑体" w:hAnsi="黑体" w:eastAsia="黑体" w:cs="黑体"/>
          <w:color w:val="000000"/>
          <w:sz w:val="32"/>
          <w:szCs w:val="32"/>
        </w:rPr>
        <w:t>三）、严守党的政治纪律和政治规矩，执行新形势下党内政治生活若干准则，坚持民主集中制</w:t>
      </w:r>
    </w:p>
    <w:p>
      <w:pPr>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馆党组把理论学习效果落实到具体工作中，武装到干部职工头脑，对干部任免和推荐、重大资金使用、重要项目安排等，凡属方针政策性的大事，凡属全局性的问题，馆党组都坚持按照“集体领导、民主集中、个别酝酿、会议决定”四项原则的要求，按照党组议事规则由党组集体讨论决定，党务、政务实行规范化、公开化操作，及时向干部职工进行公示，让干部职工有最大限度的知情权、参与权，确保民主集中制落到实处。今年，没有干部任免、提拔使用等情况，在档案库房施工建设中，严格落实“三重一大”报告制度，向派驻纪检组报告了施工事项，党组会议集体讨论决定施工事项，及时进行公示，确保民主集中制落到实处。</w:t>
      </w:r>
    </w:p>
    <w:p>
      <w:pPr>
        <w:spacing w:line="54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四）、加强党的建设的领导，履行从严治党政治责任</w:t>
      </w:r>
    </w:p>
    <w:p>
      <w:pPr>
        <w:spacing w:line="54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馆党组始终把加强自身建设作为机关党建的基础性工作来抓，夯实组织建设基础，固强机关党建工作战斗堡垒，努力使党建工作覆盖各方面、贯穿全过程，不断提升机关党建工作水平。</w:t>
      </w:r>
      <w:r>
        <w:rPr>
          <w:rFonts w:hint="eastAsia" w:ascii="仿宋_GB2312" w:hAnsi="宋体" w:eastAsia="仿宋_GB2312"/>
          <w:b/>
          <w:sz w:val="32"/>
          <w:szCs w:val="32"/>
        </w:rPr>
        <w:t>一是构建良好机制抓党建。</w:t>
      </w:r>
      <w:r>
        <w:rPr>
          <w:rFonts w:hint="eastAsia" w:ascii="仿宋_GB2312" w:hAnsi="仿宋_GB2312" w:eastAsia="仿宋_GB2312" w:cs="仿宋_GB2312"/>
          <w:sz w:val="32"/>
          <w:szCs w:val="32"/>
        </w:rPr>
        <w:t>馆党组坚持把党建和业务同部署、同落实、同考核。馆党组书记经常听取机关党建工作情况汇报，亲自部署重要工作，明确提出工作要求，馆党组成员、副馆长具体分管党建工作，确保了党建和业务工作一起抓、工作推动力度一样大、工作标准一样严。同时，支部注重加强组织协调，进行分类指导和督促检查，以此来推动党建工作各项任务的落实，营造了齐抓共管的良好氛围。</w:t>
      </w:r>
      <w:r>
        <w:rPr>
          <w:rFonts w:hint="eastAsia" w:ascii="仿宋_GB2312" w:hAnsi="宋体" w:eastAsia="仿宋_GB2312"/>
          <w:b/>
          <w:sz w:val="32"/>
          <w:szCs w:val="32"/>
        </w:rPr>
        <w:t>二是服务中心工作抓党建。</w:t>
      </w:r>
      <w:r>
        <w:rPr>
          <w:rFonts w:hint="eastAsia" w:ascii="仿宋_GB2312" w:hAnsi="仿宋_GB2312" w:eastAsia="仿宋_GB2312" w:cs="仿宋_GB2312"/>
          <w:sz w:val="32"/>
          <w:szCs w:val="32"/>
        </w:rPr>
        <w:t>着眼档案工作和重点任务，从加强思想、组织和作风建设抓起，内强素质，外树形象，勤政廉政，为我馆各项工作的落实提供了坚强的组织保证。</w:t>
      </w:r>
      <w:r>
        <w:rPr>
          <w:rFonts w:hint="eastAsia" w:ascii="仿宋_GB2312" w:hAnsi="宋体" w:eastAsia="仿宋_GB2312"/>
          <w:b/>
          <w:sz w:val="32"/>
          <w:szCs w:val="32"/>
        </w:rPr>
        <w:t>三是夯实组织建设基础抓党建。</w:t>
      </w:r>
      <w:r>
        <w:rPr>
          <w:rFonts w:hint="eastAsia" w:ascii="仿宋_GB2312" w:hAnsi="仿宋_GB2312" w:eastAsia="仿宋_GB2312" w:cs="仿宋_GB2312"/>
          <w:sz w:val="32"/>
          <w:szCs w:val="32"/>
        </w:rPr>
        <w:t>坚持由一名党组成员担任机关支部书记，具体负责机关党建工作，选好配强机关支部副书记和机关支部委员，加强机关党建工作力量。严格落实组织生活和“三会一课”、民主评议党员等党内生活制度和有关党费收缴、管理和使用的规定。严格按规定组织机关党员按标准缴纳党费。</w:t>
      </w:r>
      <w:r>
        <w:rPr>
          <w:rFonts w:hint="eastAsia" w:ascii="仿宋_GB2312" w:hAnsi="仿宋_GB2312" w:eastAsia="仿宋_GB2312" w:cs="仿宋_GB2312"/>
          <w:b/>
          <w:sz w:val="32"/>
          <w:szCs w:val="32"/>
        </w:rPr>
        <w:t>四是扎实推进机关党建活动。</w:t>
      </w:r>
      <w:r>
        <w:rPr>
          <w:rFonts w:hint="eastAsia" w:ascii="仿宋_GB2312" w:hAnsi="仿宋" w:eastAsia="仿宋_GB2312"/>
          <w:sz w:val="32"/>
          <w:szCs w:val="32"/>
        </w:rPr>
        <w:t>认真开展“服务中心大提质”和模范机关创建活动，积极发挥党建工作的思想助推器作用，组织文明单位创建，组织党员进社区，开展联合共建。</w:t>
      </w:r>
      <w:r>
        <w:rPr>
          <w:rFonts w:hint="eastAsia" w:ascii="仿宋_GB2312" w:hAnsi="Calibri" w:eastAsia="仿宋_GB2312"/>
          <w:sz w:val="32"/>
          <w:szCs w:val="32"/>
        </w:rPr>
        <w:t>组织干部职工参加社区卫生大清扫22次，文明交通劝导20次，参加无偿献血3人900cc，为帮扶贫困村捐款5500元，</w:t>
      </w:r>
      <w:r>
        <w:rPr>
          <w:rFonts w:hint="eastAsia" w:ascii="仿宋_GB2312" w:hAnsi="仿宋" w:eastAsia="仿宋_GB2312"/>
          <w:sz w:val="32"/>
          <w:szCs w:val="32"/>
        </w:rPr>
        <w:t>不断增强党员干部社会责任意识。</w:t>
      </w:r>
    </w:p>
    <w:p>
      <w:pPr>
        <w:spacing w:line="54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五）、强化组织领导，切实落实，全面从严治党主体责任</w:t>
      </w:r>
    </w:p>
    <w:p>
      <w:pPr>
        <w:spacing w:line="540" w:lineRule="exact"/>
        <w:ind w:firstLine="643" w:firstLineChars="200"/>
        <w:rPr>
          <w:rFonts w:hint="eastAsia" w:ascii="仿宋_GB2312" w:hAnsi="仿宋_GB2312" w:eastAsia="仿宋_GB2312" w:cs="仿宋_GB2312"/>
          <w:sz w:val="32"/>
          <w:szCs w:val="32"/>
        </w:rPr>
      </w:pPr>
      <w:r>
        <w:rPr>
          <w:rFonts w:hint="eastAsia" w:ascii="仿宋_GB2312" w:hAnsi="宋体" w:eastAsia="仿宋_GB2312"/>
          <w:b/>
          <w:sz w:val="32"/>
          <w:szCs w:val="32"/>
        </w:rPr>
        <w:t>一是严格落实《党委（党组）全面从严治党主体责任规定》。</w:t>
      </w:r>
      <w:r>
        <w:rPr>
          <w:rFonts w:hint="eastAsia" w:ascii="仿宋_GB2312" w:hAnsi="仿宋_GB2312" w:eastAsia="仿宋_GB2312" w:cs="仿宋_GB2312"/>
          <w:sz w:val="32"/>
          <w:szCs w:val="32"/>
        </w:rPr>
        <w:t>馆党组始终坚持把抓全面从严治党作为应尽之责、分内之事，坚持把全面从严治党与业务工作同安排、同落实、同检查、同考核。</w:t>
      </w:r>
      <w:r>
        <w:rPr>
          <w:rFonts w:hint="eastAsia" w:ascii="仿宋_GB2312" w:hAnsi="宋体" w:eastAsia="仿宋_GB2312"/>
          <w:sz w:val="32"/>
          <w:szCs w:val="32"/>
        </w:rPr>
        <w:t>年初，组织召开党组会，</w:t>
      </w:r>
      <w:r>
        <w:rPr>
          <w:rFonts w:hint="eastAsia" w:ascii="仿宋_GB2312" w:hAnsi="仿宋" w:eastAsia="仿宋_GB2312" w:cs="仿宋"/>
          <w:sz w:val="32"/>
          <w:szCs w:val="32"/>
        </w:rPr>
        <w:t>专题</w:t>
      </w:r>
      <w:r>
        <w:rPr>
          <w:rFonts w:hint="eastAsia" w:ascii="仿宋_GB2312" w:hAnsi="宋体" w:eastAsia="仿宋_GB2312"/>
          <w:sz w:val="32"/>
          <w:szCs w:val="32"/>
        </w:rPr>
        <w:t>讨论研究了全年的党风廉政建设工作，</w:t>
      </w:r>
      <w:r>
        <w:rPr>
          <w:rFonts w:hint="eastAsia" w:ascii="仿宋_GB2312" w:hAnsi="仿宋" w:eastAsia="仿宋_GB2312" w:cs="仿宋"/>
          <w:sz w:val="32"/>
          <w:szCs w:val="22"/>
          <w:shd w:val="clear" w:color="auto" w:fill="FFFFFF"/>
        </w:rPr>
        <w:t>制定了工作计划，</w:t>
      </w:r>
      <w:r>
        <w:rPr>
          <w:rFonts w:hint="eastAsia" w:ascii="仿宋_GB2312" w:hAnsi="宋体" w:eastAsia="仿宋_GB2312"/>
          <w:sz w:val="32"/>
          <w:szCs w:val="32"/>
        </w:rPr>
        <w:t>明确管党治党责任的任务分工，把责任落实到每位党组成员和党支部书记</w:t>
      </w:r>
      <w:r>
        <w:rPr>
          <w:rFonts w:hint="eastAsia" w:ascii="仿宋_GB2312" w:hAnsi="仿宋" w:eastAsia="仿宋_GB2312" w:cs="仿宋"/>
          <w:sz w:val="32"/>
          <w:szCs w:val="22"/>
          <w:shd w:val="clear" w:color="auto" w:fill="FFFFFF"/>
        </w:rPr>
        <w:t>。</w:t>
      </w:r>
      <w:r>
        <w:rPr>
          <w:rFonts w:hint="eastAsia" w:ascii="仿宋_GB2312" w:hAnsi="仿宋_GB2312" w:eastAsia="仿宋_GB2312" w:cs="仿宋_GB2312"/>
          <w:bCs/>
          <w:sz w:val="32"/>
          <w:szCs w:val="32"/>
        </w:rPr>
        <w:t>召开党组会专题研究《党委党组落实全面从严治党主体责任规定》责任清单，</w:t>
      </w:r>
      <w:r>
        <w:rPr>
          <w:rFonts w:hint="eastAsia" w:ascii="仿宋_GB2312" w:hAnsi="仿宋_GB2312" w:eastAsia="仿宋_GB2312" w:cs="仿宋_GB2312"/>
          <w:sz w:val="32"/>
          <w:szCs w:val="32"/>
        </w:rPr>
        <w:t>通过深入查摆问题，分解任务，明确责任具体到人和科室，制定了务实管用的措施，引导党员、干部</w:t>
      </w:r>
      <w:r>
        <w:rPr>
          <w:rFonts w:hint="eastAsia" w:ascii="仿宋_GB2312" w:hAnsi="仿宋" w:eastAsia="仿宋_GB2312" w:cs="仿宋"/>
          <w:sz w:val="32"/>
          <w:szCs w:val="32"/>
        </w:rPr>
        <w:t>严守党的政治纪律和政治规矩，</w:t>
      </w:r>
      <w:r>
        <w:rPr>
          <w:rFonts w:hint="eastAsia" w:ascii="仿宋_GB2312" w:hAnsi="仿宋_GB2312" w:eastAsia="仿宋_GB2312" w:cs="仿宋_GB2312"/>
          <w:sz w:val="32"/>
          <w:szCs w:val="32"/>
        </w:rPr>
        <w:t>坚定理想信念，增强了党员领导干部落实全面从严治党的责任意识，提高了单位落实全面从严治党责任的能力和水平。</w:t>
      </w:r>
    </w:p>
    <w:p>
      <w:pPr>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二是扎实抓好清廉机关创建工作。</w:t>
      </w:r>
      <w:r>
        <w:rPr>
          <w:rFonts w:hint="eastAsia" w:ascii="仿宋_GB2312" w:hAnsi="仿宋_GB2312" w:eastAsia="仿宋_GB2312" w:cs="仿宋_GB2312"/>
          <w:sz w:val="32"/>
          <w:szCs w:val="32"/>
        </w:rPr>
        <w:t>开展“清廉机关”创建以来，组织党员干部职工签订廉洁家庭承诺书</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份，建立科级以下党员干部廉政档案</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份，集中组织观看警示教育片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次，馆党组书记和支部书记分别上了廉政党课。</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月份，全体党员赴粟裕纪念馆开展了廉政教育现场教学活动。</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月份，制作了清廉文化宣传图</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块，悬挂于二楼走廊墙面，制作了“档案话清廉”图片展板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块，摆放在一楼大厅醒目位置。组织开展了清廉家风座谈会，全体在职党员干部职工及家属和退休老同志积极参加，座谈会效果明显。在三楼建设“清廉书屋</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廉政谈话室”，并按“四必谈”要求开展廉政谈话，覆盖率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，我馆清廉机关创建工作得到有效推进。</w:t>
      </w:r>
    </w:p>
    <w:p>
      <w:pPr>
        <w:overflowPunct w:val="0"/>
        <w:spacing w:line="54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六）、加强队伍建设，档案干部队伍素质有效提升。</w:t>
      </w:r>
      <w:r>
        <w:rPr>
          <w:rFonts w:hint="eastAsia" w:ascii="仿宋_GB2312" w:hAnsi="Calibri" w:eastAsia="仿宋_GB2312"/>
          <w:b/>
          <w:sz w:val="32"/>
          <w:szCs w:val="32"/>
        </w:rPr>
        <w:t>一是是</w:t>
      </w:r>
      <w:r>
        <w:rPr>
          <w:rFonts w:hint="eastAsia" w:ascii="仿宋_GB2312" w:hAnsi="仿宋_GB2312" w:eastAsia="仿宋_GB2312" w:cs="仿宋_GB2312"/>
          <w:b/>
          <w:sz w:val="32"/>
          <w:szCs w:val="32"/>
        </w:rPr>
        <w:t>积极开展政治理论和业务培训，提升干部职工业务能力。</w:t>
      </w:r>
      <w:r>
        <w:rPr>
          <w:rFonts w:hint="eastAsia" w:ascii="仿宋_GB2312" w:hAnsi="仿宋_GB2312" w:eastAsia="仿宋_GB2312" w:cs="仿宋_GB2312"/>
          <w:sz w:val="32"/>
          <w:szCs w:val="32"/>
        </w:rPr>
        <w:t>今年共派出4人次参加国家、省业务培训，4人次参加党校培训，提高干部能力素质。开展了一次馆内档案业务培训，全员参加培训，提升了干部职工的思想基础和业务水平。</w:t>
      </w:r>
      <w:r>
        <w:rPr>
          <w:rFonts w:hint="eastAsia" w:ascii="仿宋_GB2312" w:hAnsi="仿宋_GB2312" w:eastAsia="仿宋_GB2312" w:cs="仿宋_GB2312"/>
          <w:b/>
          <w:sz w:val="32"/>
          <w:szCs w:val="32"/>
        </w:rPr>
        <w:t>二是协助抓好档案员业务能力提升。</w:t>
      </w:r>
      <w:r>
        <w:rPr>
          <w:rFonts w:hint="eastAsia" w:ascii="仿宋_GB2312" w:hAnsi="Calibri" w:eastAsia="仿宋_GB2312"/>
          <w:sz w:val="32"/>
          <w:szCs w:val="32"/>
        </w:rPr>
        <w:t>8月，协助档案局组织举办市直机关档案员业务技能培训，</w:t>
      </w:r>
      <w:r>
        <w:rPr>
          <w:rFonts w:hint="eastAsia" w:ascii="仿宋_GB2312" w:hAnsi="仿宋_GB2312" w:eastAsia="仿宋_GB2312" w:cs="仿宋_GB2312"/>
          <w:sz w:val="32"/>
          <w:szCs w:val="32"/>
        </w:rPr>
        <w:t>150余人参加，帮助档案从业人员熟悉和掌握新的档案业务标准</w:t>
      </w:r>
      <w:r>
        <w:rPr>
          <w:rFonts w:hint="eastAsia" w:ascii="仿宋_GB2312" w:hAnsi="Calibri" w:eastAsia="仿宋_GB2312"/>
          <w:sz w:val="32"/>
          <w:szCs w:val="32"/>
        </w:rPr>
        <w:t>，强化档案工作者的法制意识。</w:t>
      </w:r>
    </w:p>
    <w:p>
      <w:pPr>
        <w:spacing w:line="540" w:lineRule="exact"/>
        <w:ind w:firstLine="640" w:firstLineChars="200"/>
        <w:rPr>
          <w:rFonts w:hint="eastAsia" w:ascii="仿宋_GB2312" w:hAnsi="仿宋_GB2312" w:eastAsia="仿宋_GB2312" w:cs="仿宋_GB2312"/>
          <w:sz w:val="32"/>
          <w:szCs w:val="32"/>
        </w:rPr>
      </w:pPr>
      <w:r>
        <w:rPr>
          <w:rFonts w:hint="eastAsia" w:ascii="黑体" w:hAnsi="黑体" w:eastAsia="黑体" w:cs="黑体"/>
          <w:color w:val="000000"/>
          <w:sz w:val="32"/>
          <w:szCs w:val="32"/>
        </w:rPr>
        <w:t>七）、加强自身建设，坚持不懈抓好作风建设。</w:t>
      </w:r>
      <w:r>
        <w:rPr>
          <w:rFonts w:hint="eastAsia" w:ascii="仿宋_GB2312" w:hAnsi="宋体" w:eastAsia="仿宋_GB2312" w:cs="仿宋"/>
          <w:b/>
          <w:bCs/>
          <w:sz w:val="32"/>
          <w:szCs w:val="32"/>
          <w:shd w:val="clear" w:color="auto" w:fill="FFFFFF"/>
        </w:rPr>
        <w:t>一是强化风险防控，</w:t>
      </w:r>
      <w:r>
        <w:rPr>
          <w:rFonts w:hint="eastAsia" w:ascii="仿宋_GB2312" w:hAnsi="仿宋_GB2312" w:eastAsia="仿宋_GB2312" w:cs="仿宋_GB2312"/>
          <w:b/>
          <w:bCs/>
          <w:sz w:val="32"/>
          <w:szCs w:val="32"/>
        </w:rPr>
        <w:t>深入推进信息化监管。</w:t>
      </w:r>
      <w:r>
        <w:rPr>
          <w:rFonts w:hint="eastAsia" w:ascii="仿宋_GB2312" w:hAnsi="仿宋_GB2312" w:eastAsia="仿宋_GB2312" w:cs="仿宋_GB2312"/>
          <w:sz w:val="32"/>
          <w:szCs w:val="32"/>
        </w:rPr>
        <w:t>强化对党员领导干部和行使公权力人员监督，根据监察对象信息数据采集工作部署，严格执行“互联网+监督”平台数据更新。加强机关作风监督，</w:t>
      </w:r>
      <w:r>
        <w:rPr>
          <w:rFonts w:hint="eastAsia" w:ascii="仿宋_GB2312" w:hAnsi="宋体" w:eastAsia="仿宋_GB2312"/>
          <w:sz w:val="32"/>
          <w:szCs w:val="32"/>
        </w:rPr>
        <w:t>严查</w:t>
      </w:r>
      <w:r>
        <w:rPr>
          <w:rFonts w:hint="eastAsia" w:ascii="仿宋_GB2312" w:hAnsi="宋体" w:eastAsia="仿宋_GB2312"/>
          <w:sz w:val="32"/>
          <w:szCs w:val="32"/>
          <w:shd w:val="clear" w:color="auto" w:fill="FFFFFF"/>
        </w:rPr>
        <w:t>庸、</w:t>
      </w:r>
      <w:r>
        <w:rPr>
          <w:rFonts w:hint="eastAsia" w:ascii="仿宋_GB2312" w:hAnsi="宋体" w:eastAsia="仿宋_GB2312"/>
          <w:sz w:val="32"/>
          <w:szCs w:val="32"/>
        </w:rPr>
        <w:t>懒、散、推、拖等不作为现象，重新修订了《怀化市档案馆考勤管理办法》把工作纪律、工作作风、服务态度、履职尽责、服务承诺等情况纳入干部职工平时考核和年终考核内容，作为评先评优重要依据。</w:t>
      </w:r>
      <w:r>
        <w:rPr>
          <w:rFonts w:hint="eastAsia" w:ascii="仿宋_GB2312" w:hAnsi="仿宋_GB2312" w:eastAsia="仿宋_GB2312" w:cs="仿宋_GB2312"/>
          <w:b/>
          <w:bCs/>
          <w:sz w:val="32"/>
          <w:szCs w:val="32"/>
        </w:rPr>
        <w:t>二是持续反对“四风”。</w:t>
      </w:r>
      <w:r>
        <w:rPr>
          <w:rFonts w:hint="eastAsia" w:ascii="仿宋_GB2312" w:hAnsi="仿宋_GB2312" w:eastAsia="仿宋_GB2312" w:cs="仿宋_GB2312"/>
          <w:bCs/>
          <w:sz w:val="32"/>
          <w:szCs w:val="32"/>
        </w:rPr>
        <w:t>严把财务收支关口，严肃财经纪律，重点对收支管理、资产管理、财务会计管理、政府采购管理、财政票据管理进行了自查。确保无截留、挤占、挪用、坐支、虚列支出、转嫁支出、转移或者套取预算资金；无超标准超范围列支“三公”经费、会议费、培训费和差旅费，无滥发工资，奖金、补贴的情况；无虚列支出转出资金设立的问题；无以假发票等非法票据骗取资金的问题。</w:t>
      </w:r>
      <w:r>
        <w:rPr>
          <w:rFonts w:hint="eastAsia" w:ascii="仿宋_GB2312" w:hAnsi="仿宋_GB2312" w:eastAsia="仿宋_GB2312" w:cs="仿宋_GB2312"/>
          <w:sz w:val="32"/>
          <w:szCs w:val="32"/>
        </w:rPr>
        <w:t>严把公务接待关口，</w:t>
      </w:r>
      <w:r>
        <w:rPr>
          <w:rFonts w:hint="eastAsia" w:ascii="仿宋_GB2312" w:hAnsi="仿宋_GB2312" w:eastAsia="仿宋_GB2312" w:cs="仿宋_GB2312"/>
          <w:bCs/>
          <w:sz w:val="32"/>
          <w:szCs w:val="32"/>
        </w:rPr>
        <w:t>充分</w:t>
      </w:r>
      <w:r>
        <w:rPr>
          <w:rFonts w:hint="eastAsia" w:ascii="仿宋_GB2312" w:hAnsi="仿宋_GB2312" w:eastAsia="仿宋_GB2312" w:cs="仿宋_GB2312"/>
          <w:sz w:val="32"/>
          <w:szCs w:val="32"/>
        </w:rPr>
        <w:t>发挥“互联网＋监督”平台作用，按照“不公开不报销、要报销必公开”要求，在每个月月底之前，将本单位上个月已报账的公务用餐事项相关信息（外宾接待除外）在同级“互联网＋监督”平台内部门户网站公开，自觉接受监督检查，积极回应投诉。</w:t>
      </w:r>
      <w:r>
        <w:rPr>
          <w:rFonts w:hint="eastAsia" w:ascii="仿宋_GB2312" w:hAnsi="仿宋_GB2312" w:eastAsia="仿宋_GB2312" w:cs="仿宋_GB2312"/>
          <w:bCs/>
          <w:sz w:val="32"/>
          <w:szCs w:val="32"/>
        </w:rPr>
        <w:t>严把公车管理关口，</w:t>
      </w:r>
      <w:r>
        <w:rPr>
          <w:rFonts w:hint="eastAsia" w:ascii="仿宋_GB2312" w:hAnsi="仿宋_GB2312" w:eastAsia="仿宋_GB2312" w:cs="仿宋_GB2312"/>
          <w:sz w:val="32"/>
          <w:szCs w:val="32"/>
        </w:rPr>
        <w:t>严禁公车私用、私车公养，全年无违规使用公车等情况。</w:t>
      </w:r>
      <w:r>
        <w:rPr>
          <w:rFonts w:hint="eastAsia" w:ascii="仿宋_GB2312" w:hAnsi="Calibri" w:eastAsia="仿宋_GB2312"/>
          <w:sz w:val="32"/>
          <w:szCs w:val="32"/>
        </w:rPr>
        <w:t>同时积极开展党性、党风、党纪教育，不断加强干部职工廉政教育和职业道德教育，提高了素质，全年无一人违法违纪行为，锻造了一支作风优良的档案干部队伍，有力地推进了全市档案事业健康有序发展。</w:t>
      </w:r>
    </w:p>
    <w:p>
      <w:pPr>
        <w:overflowPunct w:val="0"/>
        <w:spacing w:line="540" w:lineRule="exact"/>
        <w:ind w:firstLine="640" w:firstLineChars="200"/>
        <w:rPr>
          <w:rFonts w:hint="eastAsia" w:ascii="仿宋" w:hAnsi="仿宋" w:eastAsia="仿宋"/>
          <w:sz w:val="32"/>
          <w:szCs w:val="32"/>
        </w:rPr>
      </w:pPr>
      <w:r>
        <w:rPr>
          <w:rFonts w:hint="eastAsia" w:ascii="黑体" w:hAnsi="黑体" w:eastAsia="黑体" w:cs="黑体"/>
          <w:color w:val="000000"/>
          <w:sz w:val="32"/>
          <w:szCs w:val="32"/>
        </w:rPr>
        <w:t>八）、深入贯彻落实习近平总书记对档案工作的重要批示精神，抓好档案业务工作开展。</w:t>
      </w:r>
      <w:r>
        <w:rPr>
          <w:rFonts w:hint="eastAsia" w:ascii="仿宋_GB2312" w:hAnsi="Calibri" w:eastAsia="仿宋_GB2312"/>
          <w:sz w:val="32"/>
          <w:szCs w:val="32"/>
        </w:rPr>
        <w:t>深入学习领会习近平总书记关于档案工作的重要论述，尤其是对档案工作“四个好”“两个服务”的重要批示精神扎实开展档案业务工作</w:t>
      </w:r>
      <w:r>
        <w:rPr>
          <w:rFonts w:hint="eastAsia" w:ascii="仿宋" w:hAnsi="仿宋" w:eastAsia="仿宋"/>
          <w:sz w:val="32"/>
          <w:szCs w:val="32"/>
        </w:rPr>
        <w:t>。</w:t>
      </w:r>
      <w:r>
        <w:rPr>
          <w:rFonts w:hint="eastAsia" w:ascii="仿宋_GB2312" w:hAnsi="黑体" w:eastAsia="仿宋_GB2312" w:cs="黑体"/>
          <w:b/>
          <w:bCs/>
          <w:sz w:val="32"/>
          <w:szCs w:val="32"/>
        </w:rPr>
        <w:t>一是加强档案接收。</w:t>
      </w:r>
      <w:r>
        <w:rPr>
          <w:rFonts w:hint="eastAsia" w:ascii="仿宋_GB2312" w:hAnsi="黑体" w:eastAsia="仿宋_GB2312" w:cs="黑体"/>
          <w:sz w:val="32"/>
          <w:szCs w:val="32"/>
        </w:rPr>
        <w:t>接收</w:t>
      </w:r>
      <w:r>
        <w:rPr>
          <w:rFonts w:hint="eastAsia" w:ascii="仿宋_GB2312" w:hAnsi="仿宋_GB2312" w:eastAsia="仿宋_GB2312" w:cs="仿宋_GB2312"/>
          <w:sz w:val="32"/>
          <w:szCs w:val="32"/>
        </w:rPr>
        <w:t>市委办、市委组织部等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家单位文书档案</w:t>
      </w:r>
      <w:r>
        <w:rPr>
          <w:rFonts w:ascii="仿宋_GB2312" w:hAnsi="仿宋_GB2312" w:eastAsia="仿宋_GB2312" w:cs="仿宋_GB2312"/>
          <w:sz w:val="32"/>
          <w:szCs w:val="32"/>
        </w:rPr>
        <w:t>217</w:t>
      </w:r>
      <w:r>
        <w:rPr>
          <w:rFonts w:hint="eastAsia" w:ascii="仿宋_GB2312" w:hAnsi="仿宋_GB2312" w:eastAsia="仿宋_GB2312" w:cs="仿宋_GB2312"/>
          <w:sz w:val="32"/>
          <w:szCs w:val="32"/>
        </w:rPr>
        <w:t>卷</w:t>
      </w:r>
      <w:r>
        <w:rPr>
          <w:rFonts w:ascii="仿宋_GB2312" w:hAnsi="仿宋_GB2312" w:eastAsia="仿宋_GB2312" w:cs="仿宋_GB2312"/>
          <w:sz w:val="32"/>
          <w:szCs w:val="32"/>
        </w:rPr>
        <w:t>17240</w:t>
      </w:r>
      <w:r>
        <w:rPr>
          <w:rFonts w:hint="eastAsia" w:ascii="仿宋_GB2312" w:hAnsi="仿宋_GB2312" w:eastAsia="仿宋_GB2312" w:cs="仿宋_GB2312"/>
          <w:sz w:val="32"/>
          <w:szCs w:val="32"/>
        </w:rPr>
        <w:t>件、印章档案</w:t>
      </w:r>
      <w:r>
        <w:rPr>
          <w:rFonts w:ascii="仿宋_GB2312" w:hAnsi="仿宋_GB2312" w:eastAsia="仿宋_GB2312" w:cs="仿宋_GB2312"/>
          <w:sz w:val="32"/>
          <w:szCs w:val="32"/>
        </w:rPr>
        <w:t>68</w:t>
      </w:r>
      <w:r>
        <w:rPr>
          <w:rFonts w:hint="eastAsia" w:ascii="仿宋_GB2312" w:hAnsi="仿宋_GB2312" w:eastAsia="仿宋_GB2312" w:cs="仿宋_GB2312"/>
          <w:sz w:val="32"/>
          <w:szCs w:val="32"/>
        </w:rPr>
        <w:t>枚</w:t>
      </w:r>
      <w:r>
        <w:rPr>
          <w:rFonts w:hint="eastAsia" w:ascii="仿宋_GB2312" w:hAnsi="黑体" w:eastAsia="仿宋_GB2312" w:cs="黑体"/>
          <w:sz w:val="32"/>
          <w:szCs w:val="32"/>
        </w:rPr>
        <w:t>。接收市扶贫办等单位脱贫攻坚和疫情防控照片资料</w:t>
      </w:r>
      <w:r>
        <w:rPr>
          <w:rFonts w:ascii="仿宋_GB2312" w:hAnsi="黑体" w:eastAsia="仿宋_GB2312" w:cs="黑体"/>
          <w:sz w:val="32"/>
          <w:szCs w:val="32"/>
        </w:rPr>
        <w:t>1G</w:t>
      </w:r>
      <w:r>
        <w:rPr>
          <w:rFonts w:hint="eastAsia" w:ascii="仿宋_GB2312" w:hAnsi="黑体" w:eastAsia="仿宋_GB2312" w:cs="黑体"/>
          <w:sz w:val="32"/>
          <w:szCs w:val="32"/>
        </w:rPr>
        <w:t>。征集到</w:t>
      </w:r>
      <w:r>
        <w:rPr>
          <w:rFonts w:hint="eastAsia" w:ascii="仿宋_GB2312" w:hAnsi="仿宋_GB2312" w:eastAsia="仿宋_GB2312" w:cs="仿宋_GB2312"/>
          <w:sz w:val="32"/>
          <w:szCs w:val="32"/>
        </w:rPr>
        <w:t>《怀化学院学报》59余册</w:t>
      </w:r>
      <w:r>
        <w:rPr>
          <w:rFonts w:hint="eastAsia" w:ascii="Calibri" w:hAnsi="Calibri" w:eastAsia="仿宋_GB2312"/>
          <w:sz w:val="32"/>
          <w:szCs w:val="22"/>
        </w:rPr>
        <w:t>，丰富了馆藏。</w:t>
      </w:r>
      <w:r>
        <w:rPr>
          <w:rFonts w:hint="eastAsia" w:ascii="仿宋_GB2312" w:hAnsi="黑体" w:eastAsia="仿宋_GB2312" w:cs="黑体"/>
          <w:b/>
          <w:bCs/>
          <w:sz w:val="32"/>
          <w:szCs w:val="32"/>
        </w:rPr>
        <w:t>二是</w:t>
      </w:r>
      <w:r>
        <w:rPr>
          <w:rFonts w:hint="eastAsia" w:ascii="仿宋_GB2312" w:hAnsi="Calibri" w:eastAsia="仿宋_GB2312"/>
          <w:b/>
          <w:bCs/>
          <w:sz w:val="32"/>
          <w:szCs w:val="32"/>
        </w:rPr>
        <w:t>提升服务质量，</w:t>
      </w:r>
      <w:r>
        <w:rPr>
          <w:rFonts w:hint="eastAsia" w:ascii="仿宋_GB2312" w:hAnsi="仿宋_GB2312" w:eastAsia="仿宋_GB2312" w:cs="仿宋_GB2312"/>
          <w:b/>
          <w:bCs/>
          <w:sz w:val="32"/>
          <w:szCs w:val="32"/>
        </w:rPr>
        <w:t>及时帮助群众解难消困。</w:t>
      </w:r>
      <w:r>
        <w:rPr>
          <w:rFonts w:hint="eastAsia" w:ascii="仿宋_GB2312" w:hAnsi="仿宋" w:eastAsia="仿宋_GB2312" w:cs="宋体"/>
          <w:sz w:val="32"/>
          <w:szCs w:val="32"/>
        </w:rPr>
        <w:t>开通绿色查阅通道，广大市民群众可以进行电话查档，</w:t>
      </w:r>
      <w:r>
        <w:rPr>
          <w:rFonts w:hint="eastAsia" w:ascii="仿宋_GB2312" w:hAnsi="仿宋_GB2312" w:eastAsia="仿宋_GB2312" w:cs="仿宋_GB2312"/>
          <w:sz w:val="32"/>
          <w:szCs w:val="32"/>
        </w:rPr>
        <w:t>加班为查阅者查找档案，做好档案查阅利用的延伸服务，一年来</w:t>
      </w:r>
      <w:r>
        <w:rPr>
          <w:rFonts w:hint="eastAsia" w:ascii="仿宋_GB2312" w:hAnsi="仿宋_GB2312" w:eastAsia="仿宋_GB2312" w:cs="仿宋_GB2312"/>
          <w:kern w:val="0"/>
          <w:sz w:val="32"/>
          <w:szCs w:val="32"/>
        </w:rPr>
        <w:t>共接待查阅利用者</w:t>
      </w:r>
      <w:r>
        <w:rPr>
          <w:rFonts w:ascii="仿宋_GB2312" w:hAnsi="仿宋_GB2312" w:eastAsia="仿宋_GB2312" w:cs="仿宋_GB2312"/>
          <w:sz w:val="32"/>
          <w:szCs w:val="32"/>
        </w:rPr>
        <w:t>2237</w:t>
      </w:r>
      <w:r>
        <w:rPr>
          <w:rFonts w:hint="eastAsia" w:ascii="仿宋_GB2312" w:hAnsi="仿宋_GB2312" w:eastAsia="仿宋_GB2312" w:cs="仿宋_GB2312"/>
          <w:sz w:val="32"/>
          <w:szCs w:val="32"/>
        </w:rPr>
        <w:t>人次，利用档案</w:t>
      </w:r>
      <w:r>
        <w:rPr>
          <w:rFonts w:ascii="仿宋_GB2312" w:hAnsi="仿宋_GB2312" w:eastAsia="仿宋_GB2312" w:cs="仿宋_GB2312"/>
          <w:sz w:val="32"/>
          <w:szCs w:val="32"/>
        </w:rPr>
        <w:t>7947</w:t>
      </w:r>
      <w:r>
        <w:rPr>
          <w:rFonts w:hint="eastAsia" w:ascii="仿宋_GB2312" w:hAnsi="仿宋_GB2312" w:eastAsia="仿宋_GB2312" w:cs="仿宋_GB2312"/>
          <w:sz w:val="32"/>
          <w:szCs w:val="32"/>
        </w:rPr>
        <w:t>卷</w:t>
      </w:r>
      <w:r>
        <w:rPr>
          <w:rFonts w:ascii="仿宋_GB2312" w:hAnsi="仿宋_GB2312" w:eastAsia="仿宋_GB2312" w:cs="仿宋_GB2312"/>
          <w:sz w:val="32"/>
          <w:szCs w:val="32"/>
        </w:rPr>
        <w:t>8652</w:t>
      </w:r>
      <w:r>
        <w:rPr>
          <w:rFonts w:hint="eastAsia" w:ascii="仿宋_GB2312" w:hAnsi="仿宋_GB2312" w:eastAsia="仿宋_GB2312" w:cs="仿宋_GB2312"/>
          <w:sz w:val="32"/>
          <w:szCs w:val="32"/>
        </w:rPr>
        <w:t>件，复印档案</w:t>
      </w:r>
      <w:r>
        <w:rPr>
          <w:rFonts w:ascii="仿宋_GB2312" w:hAnsi="仿宋_GB2312" w:eastAsia="仿宋_GB2312" w:cs="仿宋_GB2312"/>
          <w:sz w:val="32"/>
          <w:szCs w:val="32"/>
        </w:rPr>
        <w:t>16567</w:t>
      </w:r>
      <w:r>
        <w:rPr>
          <w:rFonts w:hint="eastAsia" w:ascii="仿宋_GB2312" w:hAnsi="仿宋_GB2312" w:eastAsia="仿宋_GB2312" w:cs="仿宋_GB2312"/>
          <w:sz w:val="32"/>
          <w:szCs w:val="32"/>
        </w:rPr>
        <w:t>页</w:t>
      </w:r>
      <w:r>
        <w:rPr>
          <w:rFonts w:hint="eastAsia" w:ascii="仿宋_GB2312" w:hAnsi="仿宋_GB2312" w:eastAsia="仿宋_GB2312" w:cs="仿宋_GB2312"/>
          <w:kern w:val="0"/>
          <w:sz w:val="32"/>
          <w:szCs w:val="32"/>
        </w:rPr>
        <w:t>，查阅利用资料</w:t>
      </w:r>
      <w:r>
        <w:rPr>
          <w:rFonts w:ascii="仿宋_GB2312" w:hAnsi="仿宋_GB2312" w:eastAsia="仿宋_GB2312" w:cs="仿宋_GB2312"/>
          <w:kern w:val="0"/>
          <w:sz w:val="32"/>
          <w:szCs w:val="32"/>
        </w:rPr>
        <w:t>362</w:t>
      </w:r>
      <w:r>
        <w:rPr>
          <w:rFonts w:hint="eastAsia" w:ascii="仿宋_GB2312" w:hAnsi="仿宋_GB2312" w:eastAsia="仿宋_GB2312" w:cs="仿宋_GB2312"/>
          <w:kern w:val="0"/>
          <w:sz w:val="32"/>
          <w:szCs w:val="32"/>
        </w:rPr>
        <w:t>人次</w:t>
      </w:r>
      <w:r>
        <w:rPr>
          <w:rFonts w:ascii="仿宋_GB2312" w:hAnsi="仿宋_GB2312" w:eastAsia="仿宋_GB2312" w:cs="仿宋_GB2312"/>
          <w:kern w:val="0"/>
          <w:sz w:val="32"/>
          <w:szCs w:val="32"/>
        </w:rPr>
        <w:t>1179</w:t>
      </w:r>
      <w:r>
        <w:rPr>
          <w:rFonts w:hint="eastAsia" w:ascii="仿宋_GB2312" w:hAnsi="仿宋_GB2312" w:eastAsia="仿宋_GB2312" w:cs="仿宋_GB2312"/>
          <w:kern w:val="0"/>
          <w:sz w:val="32"/>
          <w:szCs w:val="32"/>
        </w:rPr>
        <w:t>册。</w:t>
      </w:r>
      <w:r>
        <w:rPr>
          <w:rFonts w:hint="eastAsia" w:ascii="仿宋_GB2312" w:hAnsi="Calibri" w:eastAsia="仿宋_GB2312"/>
          <w:b/>
          <w:bCs/>
          <w:sz w:val="32"/>
          <w:szCs w:val="32"/>
        </w:rPr>
        <w:t>三是</w:t>
      </w:r>
      <w:r>
        <w:rPr>
          <w:rFonts w:hint="eastAsia" w:ascii="仿宋_GB2312" w:hAnsi="仿宋_GB2312" w:eastAsia="仿宋_GB2312" w:cs="仿宋_GB2312"/>
          <w:b/>
          <w:bCs/>
          <w:sz w:val="32"/>
          <w:szCs w:val="32"/>
        </w:rPr>
        <w:t>依托红色档案资源加强宣传，传播正能量。</w:t>
      </w:r>
      <w:r>
        <w:rPr>
          <w:rFonts w:hint="eastAsia" w:ascii="仿宋_GB2312" w:hAnsi="Calibri" w:eastAsia="仿宋_GB2312"/>
          <w:sz w:val="32"/>
          <w:szCs w:val="32"/>
        </w:rPr>
        <w:t>精选选取图片100余幅、利用实例6个，</w:t>
      </w:r>
      <w:r>
        <w:rPr>
          <w:rFonts w:hint="eastAsia" w:ascii="仿宋" w:hAnsi="Calibri" w:eastAsia="仿宋" w:cs="仿宋"/>
          <w:sz w:val="32"/>
          <w:szCs w:val="32"/>
        </w:rPr>
        <w:t>举办了《阔步新征程喜迎二十大》图片展，</w:t>
      </w:r>
      <w:r>
        <w:rPr>
          <w:rFonts w:hint="eastAsia" w:ascii="仿宋_GB2312" w:hAnsi="Calibri" w:eastAsia="仿宋_GB2312"/>
          <w:sz w:val="32"/>
          <w:szCs w:val="32"/>
        </w:rPr>
        <w:t>以解读新修订《档案法》为重点，选取档案与民生方面的实例制作的展板，展示了近年来怀化市档案工作服务中心、服务民生、服务文化建设等方面取得的新成效，宣传档案法律法规，1000多名市民前来观展，发放宣传资料500多份，接受市民群众咨询80人(次)，受到广大市民一致好评。精选红色廉政档案图片50余幅，举办《红色档案话清廉，二次创业做贡献》主题图片展，被市直工委推介，在全市市直机关党建工作重点任务“模范机关”“清廉机关”建设暨“三整顿两提升”干部作风建设专项活动推进会进行展出，150余名党务干部参观，受到好评。积极发挥爱国主义教育基地作用，被团市委授予“怀化市少先队校外实践教育营地（基地）”、被市科协授予“怀化市科普教育基地”。</w:t>
      </w:r>
      <w:r>
        <w:rPr>
          <w:rFonts w:hint="eastAsia" w:ascii="仿宋_GB2312" w:hAnsi="仿宋_GB2312" w:eastAsia="仿宋_GB2312" w:cs="仿宋_GB2312"/>
          <w:b/>
          <w:bCs/>
          <w:sz w:val="32"/>
          <w:szCs w:val="32"/>
        </w:rPr>
        <w:t>四是积极推进档案信息化工作。</w:t>
      </w:r>
      <w:r>
        <w:rPr>
          <w:rFonts w:hint="eastAsia" w:ascii="仿宋" w:hAnsi="仿宋" w:eastAsia="仿宋" w:cs="仿宋"/>
          <w:sz w:val="32"/>
          <w:szCs w:val="32"/>
        </w:rPr>
        <w:t>完</w:t>
      </w:r>
      <w:r>
        <w:rPr>
          <w:rFonts w:hint="eastAsia" w:ascii="仿宋_GB2312" w:hAnsi="Calibri" w:eastAsia="仿宋_GB2312"/>
          <w:sz w:val="32"/>
          <w:szCs w:val="32"/>
        </w:rPr>
        <w:t>成上报湖南省档案馆《档案见证历史</w:t>
      </w:r>
      <w:r>
        <w:rPr>
          <w:rFonts w:ascii="仿宋_GB2312" w:hAnsi="Calibri" w:eastAsia="仿宋_GB2312"/>
          <w:sz w:val="32"/>
          <w:szCs w:val="32"/>
        </w:rPr>
        <w:t>—</w:t>
      </w:r>
      <w:r>
        <w:rPr>
          <w:rFonts w:hint="eastAsia" w:ascii="仿宋_GB2312" w:hAnsi="Calibri" w:eastAsia="仿宋_GB2312"/>
          <w:sz w:val="32"/>
          <w:szCs w:val="32"/>
        </w:rPr>
        <w:t>湖南脱贫攻坚工作实录》中怀化市易地搬迁档案及县市区在脱贫攻坚工作中的先进经验、特点亮点数字档案，并完成二次报送，共报送典型材料</w:t>
      </w:r>
      <w:r>
        <w:rPr>
          <w:rFonts w:ascii="仿宋_GB2312" w:hAnsi="Calibri" w:eastAsia="仿宋_GB2312"/>
          <w:sz w:val="32"/>
          <w:szCs w:val="32"/>
        </w:rPr>
        <w:t>62</w:t>
      </w:r>
      <w:r>
        <w:rPr>
          <w:rFonts w:hint="eastAsia" w:ascii="仿宋_GB2312" w:hAnsi="Calibri" w:eastAsia="仿宋_GB2312"/>
          <w:sz w:val="32"/>
          <w:szCs w:val="32"/>
        </w:rPr>
        <w:t>件，典型数码照片</w:t>
      </w:r>
      <w:r>
        <w:rPr>
          <w:rFonts w:ascii="仿宋_GB2312" w:hAnsi="Calibri" w:eastAsia="仿宋_GB2312"/>
          <w:sz w:val="32"/>
          <w:szCs w:val="32"/>
        </w:rPr>
        <w:t>91</w:t>
      </w:r>
      <w:r>
        <w:rPr>
          <w:rFonts w:hint="eastAsia" w:ascii="仿宋_GB2312" w:hAnsi="Calibri" w:eastAsia="仿宋_GB2312"/>
          <w:sz w:val="32"/>
          <w:szCs w:val="32"/>
        </w:rPr>
        <w:t>张，先进典型视频</w:t>
      </w:r>
      <w:r>
        <w:rPr>
          <w:rFonts w:ascii="仿宋_GB2312" w:hAnsi="Calibri" w:eastAsia="仿宋_GB2312"/>
          <w:sz w:val="32"/>
          <w:szCs w:val="32"/>
        </w:rPr>
        <w:t>7</w:t>
      </w:r>
      <w:r>
        <w:rPr>
          <w:rFonts w:hint="eastAsia" w:ascii="仿宋_GB2312" w:hAnsi="Calibri" w:eastAsia="仿宋_GB2312"/>
          <w:sz w:val="32"/>
          <w:szCs w:val="32"/>
        </w:rPr>
        <w:t>个，实物</w:t>
      </w:r>
      <w:r>
        <w:rPr>
          <w:rFonts w:ascii="仿宋_GB2312" w:hAnsi="Calibri" w:eastAsia="仿宋_GB2312"/>
          <w:sz w:val="32"/>
          <w:szCs w:val="32"/>
        </w:rPr>
        <w:t>2</w:t>
      </w:r>
      <w:r>
        <w:rPr>
          <w:rFonts w:hint="eastAsia" w:ascii="仿宋_GB2312" w:hAnsi="Calibri" w:eastAsia="仿宋_GB2312"/>
          <w:sz w:val="32"/>
          <w:szCs w:val="32"/>
        </w:rPr>
        <w:t>件，容量共</w:t>
      </w:r>
      <w:r>
        <w:rPr>
          <w:rFonts w:ascii="仿宋_GB2312" w:hAnsi="Calibri" w:eastAsia="仿宋_GB2312"/>
          <w:sz w:val="32"/>
          <w:szCs w:val="32"/>
        </w:rPr>
        <w:t>45.1GB</w:t>
      </w:r>
      <w:r>
        <w:rPr>
          <w:rFonts w:hint="eastAsia" w:ascii="仿宋_GB2312" w:hAnsi="Calibri" w:eastAsia="仿宋_GB2312"/>
          <w:sz w:val="32"/>
          <w:szCs w:val="32"/>
        </w:rPr>
        <w:t>。接收市疫情防疫指挥部、市委办等</w:t>
      </w:r>
      <w:r>
        <w:rPr>
          <w:rFonts w:ascii="仿宋_GB2312" w:hAnsi="Calibri" w:eastAsia="仿宋_GB2312"/>
          <w:sz w:val="32"/>
          <w:szCs w:val="32"/>
        </w:rPr>
        <w:t>5</w:t>
      </w:r>
      <w:r>
        <w:rPr>
          <w:rFonts w:hint="eastAsia" w:ascii="仿宋_GB2312" w:hAnsi="Calibri" w:eastAsia="仿宋_GB2312"/>
          <w:sz w:val="32"/>
          <w:szCs w:val="32"/>
        </w:rPr>
        <w:t>个单位档案电子数据</w:t>
      </w:r>
      <w:r>
        <w:rPr>
          <w:rFonts w:ascii="仿宋_GB2312" w:hAnsi="Calibri" w:eastAsia="仿宋_GB2312"/>
          <w:sz w:val="32"/>
          <w:szCs w:val="32"/>
        </w:rPr>
        <w:t>23.07GB,18</w:t>
      </w:r>
      <w:r>
        <w:rPr>
          <w:rFonts w:hint="eastAsia" w:ascii="仿宋_GB2312" w:hAnsi="Calibri" w:eastAsia="仿宋_GB2312"/>
          <w:sz w:val="32"/>
          <w:szCs w:val="32"/>
        </w:rPr>
        <w:t>张备份光盘。五是</w:t>
      </w:r>
      <w:r>
        <w:rPr>
          <w:rFonts w:hint="eastAsia" w:ascii="仿宋_GB2312" w:hAnsi="仿宋_GB2312" w:eastAsia="仿宋_GB2312" w:cs="仿宋_GB2312"/>
          <w:b/>
          <w:bCs/>
          <w:sz w:val="32"/>
          <w:szCs w:val="32"/>
        </w:rPr>
        <w:t>抓实抓细，档案征集编研和学会工作获得新成果。</w:t>
      </w:r>
      <w:r>
        <w:rPr>
          <w:rFonts w:hint="eastAsia" w:ascii="仿宋_GB2312" w:hAnsi="仿宋_GB2312" w:eastAsia="仿宋_GB2312" w:cs="仿宋_GB2312"/>
          <w:sz w:val="32"/>
          <w:szCs w:val="32"/>
        </w:rPr>
        <w:t>结合新时代发展实际，沉入基层开展征集编研工作，</w:t>
      </w:r>
      <w:r>
        <w:rPr>
          <w:rFonts w:hint="eastAsia" w:ascii="Calibri" w:hAnsi="Calibri" w:eastAsia="仿宋_GB2312"/>
          <w:sz w:val="32"/>
          <w:szCs w:val="22"/>
        </w:rPr>
        <w:t>加强学术理论研究，积极申报市哲学社会科学课题研究，完成《怀化市非物质文化遗产档案挖掘、收集与整理标准研究》课题结题。征集优秀学术论文10篇编成《五溪兰台求索---2022年怀化市档案学术论文选》，并推送参加全省第30次档案学术论文评选，我市获“优秀组织奖”。</w:t>
      </w:r>
      <w:r>
        <w:rPr>
          <w:rFonts w:hint="eastAsia" w:ascii="仿宋_GB2312" w:hAnsi="仿宋_GB2312" w:eastAsia="仿宋_GB2312" w:cs="仿宋_GB2312"/>
          <w:b/>
          <w:bCs/>
          <w:sz w:val="32"/>
          <w:szCs w:val="32"/>
        </w:rPr>
        <w:t>五是抓好基础设施建设，确保档案库房安全。</w:t>
      </w:r>
      <w:r>
        <w:rPr>
          <w:rFonts w:hint="eastAsia" w:ascii="仿宋_GB2312" w:hAnsi="仿宋_GB2312" w:eastAsia="仿宋_GB2312" w:cs="仿宋_GB2312"/>
          <w:sz w:val="32"/>
          <w:szCs w:val="32"/>
        </w:rPr>
        <w:t>接收市住房保障服务中心退役档案密集架</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8组，新增</w:t>
      </w:r>
      <w:r>
        <w:rPr>
          <w:rFonts w:ascii="仿宋_GB2312" w:hAnsi="仿宋_GB2312" w:eastAsia="仿宋_GB2312" w:cs="仿宋_GB2312"/>
          <w:sz w:val="32"/>
          <w:szCs w:val="32"/>
        </w:rPr>
        <w:t>118</w:t>
      </w:r>
      <w:r>
        <w:rPr>
          <w:rFonts w:hint="eastAsia" w:ascii="仿宋_GB2312" w:hAnsi="仿宋_GB2312" w:eastAsia="仿宋_GB2312" w:cs="仿宋_GB2312"/>
          <w:sz w:val="32"/>
          <w:szCs w:val="32"/>
        </w:rPr>
        <w:t>组，争取市财政经费45万元，完成了6楼档案库房配套设施建设。始终注重档案安全，</w:t>
      </w:r>
      <w:r>
        <w:rPr>
          <w:rFonts w:hint="eastAsia" w:ascii="仿宋_GB2312" w:hAnsi="仿宋" w:eastAsia="仿宋_GB2312"/>
          <w:sz w:val="32"/>
          <w:szCs w:val="32"/>
        </w:rPr>
        <w:t>坚持库房安全巡查制度，定期开展安全检查，节假日、重大活动馆领导亲自带队检查，</w:t>
      </w:r>
      <w:r>
        <w:rPr>
          <w:rFonts w:hint="eastAsia" w:ascii="仿宋_GB2312" w:hAnsi="仿宋" w:eastAsia="仿宋_GB2312" w:cs="宋体"/>
          <w:sz w:val="32"/>
          <w:szCs w:val="32"/>
        </w:rPr>
        <w:t>加强安全防范，馆库全年安全无事故。</w:t>
      </w:r>
    </w:p>
    <w:p>
      <w:pPr>
        <w:widowControl/>
        <w:shd w:val="clear" w:color="auto" w:fill="FFFFFF"/>
        <w:spacing w:line="360" w:lineRule="auto"/>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（三）可持续性分析</w:t>
      </w:r>
    </w:p>
    <w:p>
      <w:pPr>
        <w:pStyle w:val="14"/>
        <w:ind w:firstLine="640" w:firstLineChars="200"/>
        <w:rPr>
          <w:rFonts w:ascii="Times New Roman" w:hAnsi="Times New Roman" w:eastAsia="仿宋_GB2312" w:cs="Times New Roman"/>
          <w:kern w:val="0"/>
        </w:rPr>
      </w:pPr>
      <w:r>
        <w:rPr>
          <w:rFonts w:hint="eastAsia" w:ascii="Times New Roman" w:hAnsi="Times New Roman" w:eastAsia="仿宋_GB2312" w:cs="Times New Roman"/>
          <w:kern w:val="0"/>
        </w:rPr>
        <w:t>1、推进档案资源建设。进一步丰富和完善档案馆藏，特别是加大脱贫攻坚和疫情防控两类档案的接收、征集力度，开展多渠道多方位的广泛收集。</w:t>
      </w:r>
    </w:p>
    <w:p>
      <w:pPr>
        <w:pStyle w:val="14"/>
        <w:ind w:firstLine="640" w:firstLineChars="200"/>
        <w:rPr>
          <w:rFonts w:hint="eastAsia" w:ascii="Times New Roman" w:hAnsi="Times New Roman" w:eastAsia="仿宋_GB2312" w:cs="Times New Roman"/>
          <w:kern w:val="0"/>
        </w:rPr>
      </w:pPr>
      <w:r>
        <w:rPr>
          <w:rFonts w:hint="eastAsia" w:ascii="Times New Roman" w:hAnsi="Times New Roman" w:eastAsia="仿宋_GB2312" w:cs="Times New Roman"/>
          <w:kern w:val="0"/>
        </w:rPr>
        <w:t>2、加快馆藏档案数字化进程。一是加强市直单位档案移交中的数字化验收工作。二是严格把握脱贫、抗疫两类档案数据库的质量关，做好市直单位及各县市区档案馆的上报数据库的指导和验收。</w:t>
      </w:r>
    </w:p>
    <w:p>
      <w:pPr>
        <w:pStyle w:val="14"/>
        <w:ind w:firstLine="640" w:firstLineChars="200"/>
        <w:rPr>
          <w:rFonts w:ascii="Times New Roman" w:hAnsi="Times New Roman" w:eastAsia="仿宋_GB2312" w:cs="Times New Roman"/>
          <w:kern w:val="0"/>
        </w:rPr>
      </w:pPr>
      <w:r>
        <w:rPr>
          <w:rFonts w:hint="eastAsia" w:ascii="Times New Roman" w:hAnsi="Times New Roman" w:eastAsia="仿宋_GB2312" w:cs="Times New Roman"/>
          <w:kern w:val="0"/>
        </w:rPr>
        <w:t>3、</w:t>
      </w:r>
      <w:r>
        <w:rPr>
          <w:rFonts w:ascii="Times New Roman" w:hAnsi="Times New Roman" w:eastAsia="仿宋_GB2312" w:cs="Times New Roman"/>
          <w:kern w:val="0"/>
        </w:rPr>
        <w:t>切实加强馆藏档案、信息安全。强化档案安全和防范意识，大力推进安全保密建设，始终不懈地抓好档案库房、档案信息和档案利用的安全工作，确保万无一失</w:t>
      </w:r>
      <w:r>
        <w:rPr>
          <w:rFonts w:hint="eastAsia" w:ascii="Times New Roman" w:hAnsi="Times New Roman" w:eastAsia="仿宋_GB2312" w:cs="Times New Roman"/>
          <w:kern w:val="0"/>
        </w:rPr>
        <w:t>。</w:t>
      </w:r>
    </w:p>
    <w:p>
      <w:pPr>
        <w:widowControl/>
        <w:shd w:val="clear" w:color="auto" w:fill="FFFFFF"/>
        <w:spacing w:line="600" w:lineRule="atLeast"/>
        <w:ind w:left="640"/>
        <w:rPr>
          <w:rFonts w:hint="eastAsia" w:ascii="黑体" w:hAnsi="黑体" w:eastAsia="黑体" w:cs="黑体"/>
          <w:bCs/>
          <w:spacing w:val="-2"/>
          <w:sz w:val="32"/>
          <w:szCs w:val="32"/>
        </w:rPr>
      </w:pPr>
      <w:r>
        <w:rPr>
          <w:rFonts w:hint="eastAsia" w:ascii="黑体" w:hAnsi="黑体" w:eastAsia="黑体" w:cs="黑体"/>
          <w:bCs/>
          <w:spacing w:val="-2"/>
          <w:sz w:val="32"/>
          <w:szCs w:val="32"/>
        </w:rPr>
        <w:t>六、综合评价情况及评价结论</w:t>
      </w:r>
    </w:p>
    <w:p>
      <w:pPr>
        <w:pStyle w:val="5"/>
        <w:adjustRightInd w:val="0"/>
        <w:snapToGrid w:val="0"/>
        <w:spacing w:before="0" w:beforeAutospacing="0" w:after="0" w:afterAutospacing="0" w:line="600" w:lineRule="exact"/>
        <w:ind w:firstLine="640" w:firstLineChars="200"/>
        <w:jc w:val="both"/>
      </w:pPr>
      <w:r>
        <w:rPr>
          <w:rFonts w:ascii="Times New Roman" w:hAnsi="Times New Roman" w:eastAsia="仿宋_GB2312" w:cs="Times New Roman"/>
          <w:kern w:val="2"/>
          <w:sz w:val="32"/>
          <w:szCs w:val="32"/>
        </w:rPr>
        <w:t>我</w:t>
      </w:r>
      <w:r>
        <w:rPr>
          <w:rFonts w:hint="eastAsia" w:ascii="Times New Roman" w:hAnsi="Times New Roman" w:eastAsia="仿宋_GB2312" w:cs="Times New Roman"/>
          <w:kern w:val="2"/>
          <w:sz w:val="32"/>
          <w:szCs w:val="32"/>
        </w:rPr>
        <w:t>馆</w:t>
      </w:r>
      <w:r>
        <w:rPr>
          <w:rFonts w:ascii="Times New Roman" w:hAnsi="Times New Roman" w:eastAsia="仿宋_GB2312" w:cs="Times New Roman"/>
          <w:kern w:val="2"/>
          <w:sz w:val="32"/>
          <w:szCs w:val="32"/>
        </w:rPr>
        <w:t>积极组织实施了20</w:t>
      </w:r>
      <w:r>
        <w:rPr>
          <w:rFonts w:hint="eastAsia" w:ascii="Times New Roman" w:hAnsi="Times New Roman" w:eastAsia="仿宋_GB2312" w:cs="Times New Roman"/>
          <w:kern w:val="2"/>
          <w:sz w:val="32"/>
          <w:szCs w:val="32"/>
        </w:rPr>
        <w:t>2</w:t>
      </w:r>
      <w:r>
        <w:rPr>
          <w:rFonts w:ascii="Times New Roman" w:hAnsi="Times New Roman" w:eastAsia="仿宋_GB2312" w:cs="Times New Roman"/>
          <w:kern w:val="2"/>
          <w:sz w:val="32"/>
          <w:szCs w:val="32"/>
        </w:rPr>
        <w:t>2年度专项资金管理，建立了专项资金和项目管理制度，规范了实施程序，较好地完成了20</w:t>
      </w:r>
      <w:r>
        <w:rPr>
          <w:rFonts w:hint="eastAsia" w:ascii="Times New Roman" w:hAnsi="Times New Roman" w:eastAsia="仿宋_GB2312" w:cs="Times New Roman"/>
          <w:kern w:val="2"/>
          <w:sz w:val="32"/>
          <w:szCs w:val="32"/>
        </w:rPr>
        <w:t>2</w:t>
      </w:r>
      <w:r>
        <w:rPr>
          <w:rFonts w:ascii="Times New Roman" w:hAnsi="Times New Roman" w:eastAsia="仿宋_GB2312" w:cs="Times New Roman"/>
          <w:kern w:val="2"/>
          <w:sz w:val="32"/>
          <w:szCs w:val="32"/>
        </w:rPr>
        <w:t>2年度工作目标，但仍存在</w:t>
      </w:r>
      <w:r>
        <w:rPr>
          <w:rFonts w:hint="eastAsia" w:ascii="Times New Roman" w:hAnsi="Times New Roman" w:eastAsia="仿宋_GB2312" w:cs="Times New Roman"/>
          <w:kern w:val="2"/>
          <w:sz w:val="32"/>
          <w:szCs w:val="32"/>
        </w:rPr>
        <w:t>绩效管理理念待加强、预算调整率偏高</w:t>
      </w:r>
      <w:r>
        <w:rPr>
          <w:rFonts w:ascii="Times New Roman" w:hAnsi="Times New Roman" w:eastAsia="仿宋_GB2312" w:cs="Times New Roman"/>
          <w:kern w:val="2"/>
          <w:sz w:val="32"/>
          <w:szCs w:val="32"/>
        </w:rPr>
        <w:t>等问题。根据《部门整体支出绩效评价指标表》，20</w:t>
      </w:r>
      <w:r>
        <w:rPr>
          <w:rFonts w:hint="eastAsia" w:ascii="Times New Roman" w:hAnsi="Times New Roman" w:eastAsia="仿宋_GB2312" w:cs="Times New Roman"/>
          <w:kern w:val="2"/>
          <w:sz w:val="32"/>
          <w:szCs w:val="32"/>
        </w:rPr>
        <w:t>2</w:t>
      </w:r>
      <w:r>
        <w:rPr>
          <w:rFonts w:ascii="Times New Roman" w:hAnsi="Times New Roman" w:eastAsia="仿宋_GB2312" w:cs="Times New Roman"/>
          <w:kern w:val="2"/>
          <w:sz w:val="32"/>
          <w:szCs w:val="32"/>
        </w:rPr>
        <w:t>2年度部门整体绩效自评综合评分为</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7分</w:t>
      </w:r>
      <w:r>
        <w:rPr>
          <w:rFonts w:ascii="Times New Roman" w:hAnsi="Times New Roman" w:eastAsia="仿宋_GB2312" w:cs="Times New Roman"/>
          <w:kern w:val="2"/>
          <w:sz w:val="32"/>
          <w:szCs w:val="32"/>
        </w:rPr>
        <w:t>，</w:t>
      </w:r>
      <w:r>
        <w:rPr>
          <w:rFonts w:ascii="Times New Roman" w:hAnsi="Times New Roman" w:eastAsia="仿宋_GB2312" w:cs="Times New Roman"/>
          <w:sz w:val="32"/>
          <w:szCs w:val="32"/>
        </w:rPr>
        <w:t>评价等级为“</w:t>
      </w:r>
      <w:r>
        <w:rPr>
          <w:rFonts w:hint="eastAsia" w:ascii="Times New Roman" w:hAnsi="Times New Roman" w:eastAsia="仿宋_GB2312" w:cs="Times New Roman"/>
          <w:sz w:val="32"/>
          <w:szCs w:val="32"/>
        </w:rPr>
        <w:t>优</w:t>
      </w:r>
      <w:r>
        <w:rPr>
          <w:rFonts w:ascii="Times New Roman" w:hAnsi="Times New Roman" w:eastAsia="仿宋_GB2312" w:cs="Times New Roman"/>
          <w:sz w:val="32"/>
          <w:szCs w:val="32"/>
        </w:rPr>
        <w:t>”</w:t>
      </w:r>
      <w:r>
        <w:rPr>
          <w:rFonts w:ascii="Times New Roman" w:hAnsi="Times New Roman" w:eastAsia="仿宋_GB2312" w:cs="Times New Roman"/>
          <w:kern w:val="2"/>
          <w:sz w:val="32"/>
          <w:szCs w:val="32"/>
        </w:rPr>
        <w:t>。</w:t>
      </w:r>
    </w:p>
    <w:p>
      <w:pPr>
        <w:widowControl/>
        <w:shd w:val="clear" w:color="auto" w:fill="FFFFFF"/>
        <w:spacing w:line="600" w:lineRule="atLeast"/>
        <w:ind w:left="640"/>
      </w:pPr>
      <w:r>
        <w:rPr>
          <w:rFonts w:hint="eastAsia" w:ascii="黑体" w:hAnsi="黑体" w:eastAsia="黑体" w:cs="黑体"/>
          <w:bCs/>
          <w:spacing w:val="-2"/>
          <w:sz w:val="32"/>
          <w:szCs w:val="32"/>
        </w:rPr>
        <w:t>七、存在的主要问题</w:t>
      </w:r>
    </w:p>
    <w:p>
      <w:pPr>
        <w:pStyle w:val="4"/>
        <w:ind w:firstLine="640" w:firstLineChars="200"/>
        <w:rPr>
          <w:rFonts w:hint="eastAsia" w:ascii="楷体_GB2312" w:hAnsi="楷体_GB2312" w:eastAsia="楷体_GB2312" w:cs="楷体_GB2312"/>
        </w:rPr>
      </w:pPr>
      <w:r>
        <w:rPr>
          <w:rFonts w:hint="eastAsia" w:ascii="楷体_GB2312" w:hAnsi="楷体_GB2312" w:eastAsia="楷体_GB2312" w:cs="楷体_GB2312"/>
          <w:sz w:val="32"/>
          <w:szCs w:val="32"/>
        </w:rPr>
        <w:t>（一）绩效管理理念待加强</w:t>
      </w:r>
    </w:p>
    <w:p>
      <w:pPr>
        <w:spacing w:line="600" w:lineRule="exact"/>
        <w:ind w:firstLine="640" w:firstLineChars="200"/>
        <w:rPr>
          <w:rFonts w:hint="eastAsia" w:eastAsia="仿宋_GB2312" w:cs="Arial"/>
          <w:b/>
          <w:bCs/>
          <w:snapToGrid w:val="0"/>
          <w:color w:val="000000"/>
          <w:kern w:val="0"/>
          <w:sz w:val="32"/>
          <w:szCs w:val="32"/>
        </w:rPr>
      </w:pPr>
      <w:r>
        <w:rPr>
          <w:rFonts w:hint="eastAsia" w:eastAsia="仿宋_GB2312"/>
          <w:sz w:val="32"/>
          <w:szCs w:val="32"/>
        </w:rPr>
        <w:t>通过组织对财政局绩效评价政策文件的不断学习，我单位已逐渐树立了绩效目标管理观念，但绩效管理意识还有待加强，各项目部门需要进一步将绩效目标和预算相结合，在年初报预算时，设置更加详细、合理、可衡量的绩效目标。</w:t>
      </w:r>
    </w:p>
    <w:p>
      <w:pPr>
        <w:pStyle w:val="4"/>
        <w:spacing w:line="6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（二）预算调整率偏高</w:t>
      </w:r>
    </w:p>
    <w:p>
      <w:pPr>
        <w:spacing w:line="600" w:lineRule="exact"/>
        <w:ind w:firstLine="640" w:firstLineChars="200"/>
      </w:pPr>
      <w:r>
        <w:rPr>
          <w:rFonts w:hint="eastAsia" w:eastAsia="仿宋_GB2312"/>
          <w:sz w:val="32"/>
          <w:szCs w:val="32"/>
        </w:rPr>
        <w:t>年初预算有待科学合理，执行预算欠严格落实。经统计，202</w:t>
      </w:r>
      <w:r>
        <w:rPr>
          <w:rFonts w:eastAsia="仿宋_GB2312"/>
          <w:sz w:val="32"/>
          <w:szCs w:val="32"/>
        </w:rPr>
        <w:t>2</w:t>
      </w:r>
      <w:r>
        <w:rPr>
          <w:rFonts w:hint="eastAsia" w:eastAsia="仿宋_GB2312"/>
          <w:sz w:val="32"/>
          <w:szCs w:val="32"/>
        </w:rPr>
        <w:t>年度本部门预算调整数为</w:t>
      </w:r>
      <w:r>
        <w:rPr>
          <w:rFonts w:eastAsia="仿宋_GB2312"/>
          <w:sz w:val="32"/>
          <w:szCs w:val="32"/>
        </w:rPr>
        <w:t>107.86</w:t>
      </w:r>
      <w:r>
        <w:rPr>
          <w:rFonts w:hint="eastAsia" w:eastAsia="仿宋_GB2312"/>
          <w:sz w:val="32"/>
          <w:szCs w:val="32"/>
        </w:rPr>
        <w:t>万元，预算数为</w:t>
      </w:r>
      <w:r>
        <w:rPr>
          <w:rFonts w:eastAsia="仿宋_GB2312"/>
          <w:sz w:val="32"/>
          <w:szCs w:val="32"/>
        </w:rPr>
        <w:t>293.83</w:t>
      </w:r>
      <w:r>
        <w:rPr>
          <w:rFonts w:hint="eastAsia" w:eastAsia="仿宋_GB2312"/>
          <w:sz w:val="32"/>
          <w:szCs w:val="32"/>
        </w:rPr>
        <w:t>万元，预算调整率=（预算调整数/预算数）×100%=</w:t>
      </w:r>
      <w:r>
        <w:rPr>
          <w:rFonts w:eastAsia="仿宋_GB2312"/>
          <w:sz w:val="32"/>
          <w:szCs w:val="32"/>
        </w:rPr>
        <w:t>36.71</w:t>
      </w:r>
      <w:r>
        <w:rPr>
          <w:rFonts w:hint="eastAsia" w:eastAsia="仿宋_GB2312"/>
          <w:sz w:val="32"/>
          <w:szCs w:val="32"/>
        </w:rPr>
        <w:t>%，预算调整率偏高。</w:t>
      </w:r>
    </w:p>
    <w:p>
      <w:pPr>
        <w:widowControl/>
        <w:shd w:val="clear" w:color="auto" w:fill="FFFFFF"/>
        <w:spacing w:line="600" w:lineRule="atLeast"/>
        <w:ind w:left="640"/>
        <w:rPr>
          <w:rFonts w:hint="eastAsia" w:ascii="黑体" w:hAnsi="黑体" w:eastAsia="黑体" w:cs="黑体"/>
          <w:bCs/>
          <w:spacing w:val="-2"/>
          <w:sz w:val="32"/>
          <w:szCs w:val="32"/>
        </w:rPr>
      </w:pPr>
      <w:r>
        <w:rPr>
          <w:rFonts w:hint="eastAsia" w:ascii="黑体" w:hAnsi="黑体" w:eastAsia="黑体" w:cs="黑体"/>
          <w:bCs/>
          <w:spacing w:val="-2"/>
          <w:sz w:val="32"/>
          <w:szCs w:val="32"/>
        </w:rPr>
        <w:t>八、改进措施和有关建议</w:t>
      </w:r>
    </w:p>
    <w:p>
      <w:pPr>
        <w:spacing w:line="600" w:lineRule="exact"/>
        <w:ind w:firstLine="640" w:firstLineChars="200"/>
        <w:rPr>
          <w:rFonts w:hint="eastAsia" w:eastAsia="仿宋_GB2312"/>
          <w:sz w:val="32"/>
          <w:szCs w:val="32"/>
        </w:rPr>
      </w:pPr>
      <w:r>
        <w:rPr>
          <w:rFonts w:hint="eastAsia" w:eastAsia="仿宋_GB2312"/>
          <w:sz w:val="32"/>
          <w:szCs w:val="32"/>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pPr>
        <w:spacing w:line="600" w:lineRule="exact"/>
        <w:ind w:firstLine="640" w:firstLineChars="200"/>
        <w:rPr>
          <w:rFonts w:hint="eastAsia" w:eastAsia="仿宋_GB2312"/>
          <w:sz w:val="32"/>
          <w:szCs w:val="32"/>
        </w:rPr>
      </w:pPr>
      <w:r>
        <w:rPr>
          <w:rFonts w:hint="eastAsia" w:eastAsia="仿宋_GB2312"/>
          <w:sz w:val="32"/>
          <w:szCs w:val="32"/>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pPr>
        <w:pStyle w:val="2"/>
        <w:ind w:firstLine="640"/>
        <w:rPr>
          <w:rFonts w:hint="eastAsia"/>
        </w:rPr>
      </w:pPr>
      <w:r>
        <w:rPr>
          <w:rFonts w:hint="eastAsia" w:ascii="Times New Roman" w:hAnsi="Times New Roman" w:eastAsia="仿宋_GB2312"/>
          <w:kern w:val="0"/>
          <w:sz w:val="32"/>
          <w:szCs w:val="32"/>
        </w:rPr>
        <w:t>3、</w:t>
      </w:r>
      <w:r>
        <w:rPr>
          <w:rFonts w:ascii="Times New Roman" w:hAnsi="Times New Roman" w:eastAsia="仿宋_GB2312"/>
          <w:kern w:val="0"/>
          <w:sz w:val="32"/>
          <w:szCs w:val="32"/>
        </w:rPr>
        <w:t>加大队伍建设力度，提升人员业务水平。抓好档案队伍作风建设和人员教育培训。不断提高档案人员的学术水平，为我市档案事业又好又快发展提供智力和人才保障。</w:t>
      </w:r>
    </w:p>
    <w:p>
      <w:pPr>
        <w:spacing w:line="600" w:lineRule="exact"/>
        <w:ind w:firstLine="640" w:firstLineChars="200"/>
        <w:rPr>
          <w:rFonts w:hint="eastAsia" w:eastAsia="仿宋_GB2312"/>
          <w:sz w:val="32"/>
          <w:szCs w:val="32"/>
        </w:rPr>
      </w:pPr>
    </w:p>
    <w:p>
      <w:pPr>
        <w:spacing w:line="600" w:lineRule="exact"/>
        <w:ind w:firstLine="640" w:firstLineChars="200"/>
        <w:rPr>
          <w:rFonts w:hint="eastAsia" w:eastAsia="仿宋_GB2312"/>
          <w:sz w:val="32"/>
          <w:szCs w:val="32"/>
        </w:rPr>
      </w:pPr>
    </w:p>
    <w:p>
      <w:pPr>
        <w:spacing w:line="600" w:lineRule="exact"/>
        <w:ind w:firstLine="640" w:firstLineChars="200"/>
        <w:rPr>
          <w:rFonts w:hint="eastAsia" w:eastAsia="仿宋_GB2312"/>
          <w:sz w:val="32"/>
          <w:szCs w:val="32"/>
        </w:rPr>
      </w:pPr>
    </w:p>
    <w:p>
      <w:pPr>
        <w:pStyle w:val="4"/>
        <w:rPr>
          <w:rFonts w:hint="eastAsia" w:eastAsia="仿宋_GB2312"/>
          <w:sz w:val="32"/>
          <w:szCs w:val="32"/>
        </w:rPr>
      </w:pPr>
    </w:p>
    <w:p>
      <w:pPr>
        <w:pStyle w:val="3"/>
        <w:rPr>
          <w:rFonts w:hint="eastAsia"/>
        </w:rPr>
      </w:pPr>
    </w:p>
    <w:p>
      <w:pPr>
        <w:rPr>
          <w:rFonts w:hint="eastAsia"/>
        </w:rPr>
      </w:pPr>
    </w:p>
    <w:p>
      <w:pPr>
        <w:pStyle w:val="4"/>
        <w:rPr>
          <w:rFonts w:hint="eastAsia"/>
        </w:rPr>
      </w:pPr>
    </w:p>
    <w:p>
      <w:pPr>
        <w:pStyle w:val="3"/>
        <w:rPr>
          <w:rFonts w:hint="eastAsia"/>
        </w:rPr>
      </w:pPr>
    </w:p>
    <w:p>
      <w:pPr>
        <w:rPr>
          <w:rFonts w:hint="eastAsia"/>
        </w:rPr>
      </w:pPr>
    </w:p>
    <w:p>
      <w:pPr>
        <w:pStyle w:val="4"/>
        <w:rPr>
          <w:rFonts w:hint="eastAsia"/>
        </w:rPr>
      </w:pPr>
    </w:p>
    <w:p>
      <w:pPr>
        <w:jc w:val="left"/>
        <w:rPr>
          <w:rFonts w:eastAsia="黑体"/>
          <w:sz w:val="32"/>
          <w:szCs w:val="32"/>
        </w:rPr>
      </w:pPr>
    </w:p>
    <w:p>
      <w:pPr>
        <w:jc w:val="left"/>
        <w:rPr>
          <w:rFonts w:eastAsia="黑体"/>
          <w:sz w:val="32"/>
          <w:szCs w:val="32"/>
        </w:rPr>
      </w:pPr>
    </w:p>
    <w:p>
      <w:pPr>
        <w:jc w:val="left"/>
        <w:rPr>
          <w:rFonts w:eastAsia="黑体"/>
          <w:sz w:val="32"/>
          <w:szCs w:val="32"/>
        </w:rPr>
      </w:pPr>
    </w:p>
    <w:p>
      <w:pPr>
        <w:jc w:val="left"/>
        <w:rPr>
          <w:rFonts w:eastAsia="黑体"/>
          <w:sz w:val="32"/>
          <w:szCs w:val="32"/>
        </w:rPr>
      </w:pPr>
    </w:p>
    <w:p>
      <w:pPr>
        <w:jc w:val="left"/>
        <w:rPr>
          <w:rFonts w:eastAsia="黑体"/>
          <w:sz w:val="32"/>
          <w:szCs w:val="32"/>
        </w:rPr>
      </w:pPr>
    </w:p>
    <w:p>
      <w:pPr>
        <w:jc w:val="left"/>
        <w:rPr>
          <w:rFonts w:eastAsia="黑体"/>
          <w:sz w:val="32"/>
          <w:szCs w:val="32"/>
        </w:rPr>
      </w:pPr>
    </w:p>
    <w:p>
      <w:pPr>
        <w:pStyle w:val="4"/>
        <w:rPr>
          <w:rFonts w:eastAsia="黑体"/>
          <w:sz w:val="32"/>
          <w:szCs w:val="32"/>
        </w:rPr>
      </w:pPr>
    </w:p>
    <w:p>
      <w:pPr>
        <w:pStyle w:val="4"/>
      </w:pPr>
    </w:p>
    <w:p>
      <w:pPr>
        <w:jc w:val="left"/>
        <w:rPr>
          <w:rFonts w:eastAsia="黑体"/>
          <w:sz w:val="32"/>
          <w:szCs w:val="32"/>
        </w:rPr>
      </w:pPr>
      <w:r>
        <w:rPr>
          <w:rFonts w:eastAsia="黑体"/>
          <w:sz w:val="32"/>
          <w:szCs w:val="32"/>
        </w:rPr>
        <w:t>附件</w:t>
      </w:r>
      <w:r>
        <w:rPr>
          <w:rFonts w:hint="eastAsia" w:eastAsia="黑体"/>
          <w:sz w:val="32"/>
          <w:szCs w:val="32"/>
        </w:rPr>
        <w:t>1：</w:t>
      </w:r>
    </w:p>
    <w:p>
      <w:pPr>
        <w:widowControl/>
        <w:snapToGrid w:val="0"/>
        <w:spacing w:line="578" w:lineRule="atLeast"/>
        <w:jc w:val="center"/>
        <w:rPr>
          <w:rFonts w:hint="eastAsia" w:ascii="仿宋_GB2312" w:hAnsi="仿宋_GB2312" w:eastAsia="仿宋_GB2312" w:cs="仿宋_GB2312"/>
          <w:b/>
          <w:bCs/>
          <w:kern w:val="0"/>
          <w:sz w:val="44"/>
          <w:szCs w:val="44"/>
        </w:rPr>
      </w:pPr>
      <w:r>
        <w:rPr>
          <w:rFonts w:hint="eastAsia" w:ascii="仿宋_GB2312" w:hAnsi="仿宋_GB2312" w:eastAsia="仿宋_GB2312" w:cs="仿宋_GB2312"/>
          <w:b/>
          <w:bCs/>
          <w:kern w:val="0"/>
          <w:sz w:val="44"/>
          <w:szCs w:val="44"/>
        </w:rPr>
        <w:t>部门整体支出绩效评价指标表</w:t>
      </w:r>
    </w:p>
    <w:tbl>
      <w:tblPr>
        <w:tblStyle w:val="6"/>
        <w:tblpPr w:leftFromText="180" w:rightFromText="180" w:vertAnchor="text" w:horzAnchor="page" w:tblpX="690" w:tblpY="181"/>
        <w:tblOverlap w:val="never"/>
        <w:tblW w:w="10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470"/>
        <w:gridCol w:w="577"/>
        <w:gridCol w:w="662"/>
        <w:gridCol w:w="992"/>
        <w:gridCol w:w="600"/>
        <w:gridCol w:w="2664"/>
        <w:gridCol w:w="3483"/>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59" w:type="dxa"/>
            <w:noWrap w:val="0"/>
            <w:vAlign w:val="center"/>
          </w:tcPr>
          <w:p>
            <w:pPr>
              <w:widowControl/>
              <w:spacing w:line="260" w:lineRule="exact"/>
              <w:jc w:val="center"/>
              <w:rPr>
                <w:b/>
                <w:bCs/>
                <w:kern w:val="0"/>
                <w:sz w:val="20"/>
                <w:szCs w:val="20"/>
              </w:rPr>
            </w:pPr>
            <w:r>
              <w:rPr>
                <w:b/>
                <w:bCs/>
                <w:kern w:val="0"/>
                <w:sz w:val="20"/>
                <w:szCs w:val="20"/>
              </w:rPr>
              <w:t>一级指标</w:t>
            </w:r>
          </w:p>
        </w:tc>
        <w:tc>
          <w:tcPr>
            <w:tcW w:w="470" w:type="dxa"/>
            <w:noWrap w:val="0"/>
            <w:vAlign w:val="center"/>
          </w:tcPr>
          <w:p>
            <w:pPr>
              <w:widowControl/>
              <w:spacing w:line="260" w:lineRule="exact"/>
              <w:jc w:val="center"/>
              <w:rPr>
                <w:b/>
                <w:bCs/>
                <w:kern w:val="0"/>
                <w:sz w:val="20"/>
                <w:szCs w:val="20"/>
              </w:rPr>
            </w:pPr>
            <w:r>
              <w:rPr>
                <w:b/>
                <w:bCs/>
                <w:kern w:val="0"/>
                <w:sz w:val="20"/>
                <w:szCs w:val="20"/>
              </w:rPr>
              <w:t>分值</w:t>
            </w:r>
          </w:p>
        </w:tc>
        <w:tc>
          <w:tcPr>
            <w:tcW w:w="577" w:type="dxa"/>
            <w:noWrap w:val="0"/>
            <w:vAlign w:val="center"/>
          </w:tcPr>
          <w:p>
            <w:pPr>
              <w:widowControl/>
              <w:spacing w:line="260" w:lineRule="exact"/>
              <w:jc w:val="center"/>
              <w:rPr>
                <w:b/>
                <w:bCs/>
                <w:kern w:val="0"/>
                <w:sz w:val="20"/>
                <w:szCs w:val="20"/>
              </w:rPr>
            </w:pPr>
            <w:r>
              <w:rPr>
                <w:b/>
                <w:bCs/>
                <w:kern w:val="0"/>
                <w:sz w:val="20"/>
                <w:szCs w:val="20"/>
              </w:rPr>
              <w:t>二级指标</w:t>
            </w:r>
          </w:p>
        </w:tc>
        <w:tc>
          <w:tcPr>
            <w:tcW w:w="662" w:type="dxa"/>
            <w:noWrap w:val="0"/>
            <w:vAlign w:val="center"/>
          </w:tcPr>
          <w:p>
            <w:pPr>
              <w:widowControl/>
              <w:spacing w:line="260" w:lineRule="exact"/>
              <w:jc w:val="center"/>
              <w:rPr>
                <w:b/>
                <w:bCs/>
                <w:kern w:val="0"/>
                <w:sz w:val="20"/>
                <w:szCs w:val="20"/>
              </w:rPr>
            </w:pPr>
            <w:r>
              <w:rPr>
                <w:b/>
                <w:bCs/>
                <w:kern w:val="0"/>
                <w:sz w:val="20"/>
                <w:szCs w:val="20"/>
              </w:rPr>
              <w:t>分值</w:t>
            </w:r>
          </w:p>
        </w:tc>
        <w:tc>
          <w:tcPr>
            <w:tcW w:w="992" w:type="dxa"/>
            <w:noWrap w:val="0"/>
            <w:vAlign w:val="center"/>
          </w:tcPr>
          <w:p>
            <w:pPr>
              <w:widowControl/>
              <w:spacing w:line="260" w:lineRule="exact"/>
              <w:jc w:val="center"/>
              <w:rPr>
                <w:b/>
                <w:bCs/>
                <w:kern w:val="0"/>
                <w:sz w:val="20"/>
                <w:szCs w:val="20"/>
              </w:rPr>
            </w:pPr>
            <w:r>
              <w:rPr>
                <w:b/>
                <w:bCs/>
                <w:kern w:val="0"/>
                <w:sz w:val="20"/>
                <w:szCs w:val="20"/>
              </w:rPr>
              <w:t>三级</w:t>
            </w:r>
          </w:p>
          <w:p>
            <w:pPr>
              <w:widowControl/>
              <w:spacing w:line="260" w:lineRule="exact"/>
              <w:jc w:val="center"/>
              <w:rPr>
                <w:b/>
                <w:bCs/>
                <w:kern w:val="0"/>
                <w:sz w:val="20"/>
                <w:szCs w:val="20"/>
              </w:rPr>
            </w:pPr>
            <w:r>
              <w:rPr>
                <w:b/>
                <w:bCs/>
                <w:kern w:val="0"/>
                <w:sz w:val="20"/>
                <w:szCs w:val="20"/>
              </w:rPr>
              <w:t>指标</w:t>
            </w:r>
          </w:p>
        </w:tc>
        <w:tc>
          <w:tcPr>
            <w:tcW w:w="600" w:type="dxa"/>
            <w:noWrap w:val="0"/>
            <w:vAlign w:val="center"/>
          </w:tcPr>
          <w:p>
            <w:pPr>
              <w:widowControl/>
              <w:spacing w:line="260" w:lineRule="exact"/>
              <w:ind w:left="3" w:leftChars="-31" w:hanging="68" w:hangingChars="34"/>
              <w:jc w:val="center"/>
              <w:rPr>
                <w:b/>
                <w:bCs/>
                <w:kern w:val="0"/>
                <w:sz w:val="20"/>
                <w:szCs w:val="20"/>
              </w:rPr>
            </w:pPr>
            <w:r>
              <w:rPr>
                <w:b/>
                <w:bCs/>
                <w:kern w:val="0"/>
                <w:sz w:val="20"/>
                <w:szCs w:val="20"/>
              </w:rPr>
              <w:t>分值</w:t>
            </w:r>
          </w:p>
        </w:tc>
        <w:tc>
          <w:tcPr>
            <w:tcW w:w="2664" w:type="dxa"/>
            <w:noWrap w:val="0"/>
            <w:vAlign w:val="center"/>
          </w:tcPr>
          <w:p>
            <w:pPr>
              <w:widowControl/>
              <w:spacing w:line="260" w:lineRule="exact"/>
              <w:jc w:val="center"/>
              <w:rPr>
                <w:b/>
                <w:bCs/>
                <w:kern w:val="0"/>
                <w:sz w:val="20"/>
                <w:szCs w:val="20"/>
              </w:rPr>
            </w:pPr>
            <w:r>
              <w:rPr>
                <w:b/>
                <w:bCs/>
                <w:kern w:val="0"/>
                <w:sz w:val="20"/>
                <w:szCs w:val="20"/>
              </w:rPr>
              <w:t>评价标准</w:t>
            </w:r>
          </w:p>
        </w:tc>
        <w:tc>
          <w:tcPr>
            <w:tcW w:w="3483" w:type="dxa"/>
            <w:noWrap w:val="0"/>
            <w:vAlign w:val="center"/>
          </w:tcPr>
          <w:p>
            <w:pPr>
              <w:widowControl/>
              <w:spacing w:line="260" w:lineRule="exact"/>
              <w:jc w:val="center"/>
              <w:rPr>
                <w:b/>
                <w:bCs/>
                <w:kern w:val="0"/>
                <w:sz w:val="20"/>
                <w:szCs w:val="20"/>
              </w:rPr>
            </w:pPr>
            <w:r>
              <w:rPr>
                <w:b/>
                <w:bCs/>
                <w:kern w:val="0"/>
                <w:sz w:val="20"/>
                <w:szCs w:val="20"/>
              </w:rPr>
              <w:t>指标说明</w:t>
            </w:r>
          </w:p>
        </w:tc>
        <w:tc>
          <w:tcPr>
            <w:tcW w:w="637" w:type="dxa"/>
            <w:noWrap w:val="0"/>
            <w:vAlign w:val="center"/>
          </w:tcPr>
          <w:p>
            <w:pPr>
              <w:widowControl/>
              <w:spacing w:line="260" w:lineRule="exact"/>
              <w:jc w:val="center"/>
              <w:rPr>
                <w:b/>
                <w:bCs/>
                <w:kern w:val="0"/>
                <w:sz w:val="20"/>
                <w:szCs w:val="20"/>
              </w:rPr>
            </w:pPr>
            <w:r>
              <w:rPr>
                <w:b/>
                <w:bCs/>
                <w:kern w:val="0"/>
                <w:sz w:val="20"/>
                <w:szCs w:val="20"/>
              </w:rPr>
              <w:t>得分</w:t>
            </w:r>
            <w:r>
              <w:rPr>
                <w:rFonts w:hint="eastAsia"/>
                <w:b/>
                <w:bCs/>
                <w:kern w:val="0"/>
                <w:sz w:val="20"/>
                <w:szCs w:val="20"/>
              </w:rPr>
              <w:t>9</w:t>
            </w:r>
            <w:r>
              <w:rPr>
                <w:b/>
                <w:bCs/>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59" w:type="dxa"/>
            <w:vMerge w:val="restart"/>
            <w:noWrap w:val="0"/>
            <w:vAlign w:val="center"/>
          </w:tcPr>
          <w:p>
            <w:pPr>
              <w:rPr>
                <w:rFonts w:hint="eastAsia"/>
                <w:sz w:val="20"/>
                <w:szCs w:val="20"/>
              </w:rPr>
            </w:pPr>
            <w:r>
              <w:rPr>
                <w:rFonts w:hint="eastAsia"/>
                <w:sz w:val="20"/>
                <w:szCs w:val="20"/>
              </w:rPr>
              <w:t>投入</w:t>
            </w:r>
          </w:p>
        </w:tc>
        <w:tc>
          <w:tcPr>
            <w:tcW w:w="470" w:type="dxa"/>
            <w:vMerge w:val="restart"/>
            <w:noWrap w:val="0"/>
            <w:vAlign w:val="center"/>
          </w:tcPr>
          <w:p>
            <w:pPr>
              <w:rPr>
                <w:sz w:val="20"/>
                <w:szCs w:val="20"/>
              </w:rPr>
            </w:pPr>
            <w:r>
              <w:rPr>
                <w:rFonts w:hint="eastAsia"/>
                <w:sz w:val="20"/>
                <w:szCs w:val="20"/>
              </w:rPr>
              <w:t>10</w:t>
            </w:r>
          </w:p>
        </w:tc>
        <w:tc>
          <w:tcPr>
            <w:tcW w:w="577" w:type="dxa"/>
            <w:vMerge w:val="restart"/>
            <w:noWrap w:val="0"/>
            <w:vAlign w:val="center"/>
          </w:tcPr>
          <w:p>
            <w:pPr>
              <w:spacing w:line="260" w:lineRule="exact"/>
              <w:rPr>
                <w:kern w:val="0"/>
                <w:sz w:val="20"/>
                <w:szCs w:val="20"/>
              </w:rPr>
            </w:pPr>
            <w:r>
              <w:rPr>
                <w:kern w:val="0"/>
                <w:sz w:val="20"/>
                <w:szCs w:val="20"/>
              </w:rPr>
              <w:t>预算配置</w:t>
            </w:r>
          </w:p>
        </w:tc>
        <w:tc>
          <w:tcPr>
            <w:tcW w:w="662" w:type="dxa"/>
            <w:vMerge w:val="restart"/>
            <w:noWrap w:val="0"/>
            <w:vAlign w:val="center"/>
          </w:tcPr>
          <w:p>
            <w:pPr>
              <w:spacing w:line="260" w:lineRule="exact"/>
              <w:jc w:val="center"/>
              <w:rPr>
                <w:kern w:val="0"/>
                <w:sz w:val="20"/>
                <w:szCs w:val="20"/>
              </w:rPr>
            </w:pPr>
            <w:r>
              <w:rPr>
                <w:rFonts w:hint="eastAsia"/>
                <w:kern w:val="0"/>
                <w:sz w:val="20"/>
                <w:szCs w:val="20"/>
              </w:rPr>
              <w:t>10</w:t>
            </w:r>
          </w:p>
        </w:tc>
        <w:tc>
          <w:tcPr>
            <w:tcW w:w="992" w:type="dxa"/>
            <w:noWrap w:val="0"/>
            <w:vAlign w:val="center"/>
          </w:tcPr>
          <w:p>
            <w:pPr>
              <w:spacing w:line="260" w:lineRule="exact"/>
              <w:ind w:right="-46" w:rightChars="-22"/>
              <w:jc w:val="center"/>
              <w:rPr>
                <w:kern w:val="0"/>
                <w:sz w:val="20"/>
                <w:szCs w:val="20"/>
              </w:rPr>
            </w:pPr>
            <w:r>
              <w:rPr>
                <w:kern w:val="0"/>
                <w:sz w:val="20"/>
                <w:szCs w:val="20"/>
              </w:rPr>
              <w:t>在职人员控制率</w:t>
            </w:r>
          </w:p>
        </w:tc>
        <w:tc>
          <w:tcPr>
            <w:tcW w:w="600" w:type="dxa"/>
            <w:noWrap w:val="0"/>
            <w:vAlign w:val="center"/>
          </w:tcPr>
          <w:p>
            <w:pPr>
              <w:spacing w:line="260" w:lineRule="exact"/>
              <w:jc w:val="center"/>
              <w:rPr>
                <w:rFonts w:hint="eastAsia"/>
                <w:kern w:val="0"/>
                <w:sz w:val="20"/>
                <w:szCs w:val="20"/>
              </w:rPr>
            </w:pPr>
            <w:r>
              <w:rPr>
                <w:rFonts w:hint="eastAsia"/>
                <w:kern w:val="0"/>
                <w:sz w:val="20"/>
                <w:szCs w:val="20"/>
              </w:rPr>
              <w:t>5</w:t>
            </w:r>
          </w:p>
        </w:tc>
        <w:tc>
          <w:tcPr>
            <w:tcW w:w="2664" w:type="dxa"/>
            <w:noWrap w:val="0"/>
            <w:vAlign w:val="center"/>
          </w:tcPr>
          <w:p>
            <w:pPr>
              <w:widowControl/>
              <w:spacing w:line="260" w:lineRule="exact"/>
              <w:rPr>
                <w:kern w:val="0"/>
                <w:sz w:val="20"/>
                <w:szCs w:val="20"/>
              </w:rPr>
            </w:pPr>
            <w:r>
              <w:rPr>
                <w:kern w:val="0"/>
                <w:sz w:val="20"/>
                <w:szCs w:val="20"/>
              </w:rPr>
              <w:t>以100%为标准。在职人员控制率</w:t>
            </w:r>
            <w:r>
              <w:rPr>
                <w:rFonts w:hint="eastAsia"/>
                <w:kern w:val="0"/>
                <w:sz w:val="20"/>
                <w:szCs w:val="20"/>
              </w:rPr>
              <w:t>≦</w:t>
            </w:r>
            <w:r>
              <w:rPr>
                <w:kern w:val="0"/>
                <w:sz w:val="20"/>
                <w:szCs w:val="20"/>
              </w:rPr>
              <w:t>100%，计</w:t>
            </w:r>
            <w:r>
              <w:rPr>
                <w:rFonts w:hint="eastAsia"/>
                <w:kern w:val="0"/>
                <w:sz w:val="20"/>
                <w:szCs w:val="20"/>
              </w:rPr>
              <w:t>5</w:t>
            </w:r>
            <w:r>
              <w:rPr>
                <w:kern w:val="0"/>
                <w:sz w:val="20"/>
                <w:szCs w:val="20"/>
              </w:rPr>
              <w:t>分；每超过一个百分点扣0.5分，扣完为止。</w:t>
            </w:r>
          </w:p>
        </w:tc>
        <w:tc>
          <w:tcPr>
            <w:tcW w:w="3483" w:type="dxa"/>
            <w:noWrap w:val="0"/>
            <w:vAlign w:val="center"/>
          </w:tcPr>
          <w:p>
            <w:pPr>
              <w:widowControl/>
              <w:spacing w:line="260" w:lineRule="exact"/>
              <w:rPr>
                <w:kern w:val="0"/>
                <w:sz w:val="20"/>
                <w:szCs w:val="20"/>
              </w:rPr>
            </w:pPr>
            <w:r>
              <w:rPr>
                <w:kern w:val="0"/>
                <w:sz w:val="20"/>
                <w:szCs w:val="20"/>
              </w:rPr>
              <w:t>在职人员控制率=</w:t>
            </w:r>
            <w:r>
              <w:rPr>
                <w:rFonts w:hint="eastAsia"/>
                <w:kern w:val="0"/>
                <w:sz w:val="20"/>
                <w:szCs w:val="20"/>
              </w:rPr>
              <w:t>18/18*100%=100%</w:t>
            </w:r>
            <w:r>
              <w:rPr>
                <w:kern w:val="0"/>
                <w:sz w:val="20"/>
                <w:szCs w:val="20"/>
              </w:rPr>
              <w:t>。</w:t>
            </w:r>
          </w:p>
        </w:tc>
        <w:tc>
          <w:tcPr>
            <w:tcW w:w="637" w:type="dxa"/>
            <w:noWrap w:val="0"/>
            <w:vAlign w:val="center"/>
          </w:tcPr>
          <w:p>
            <w:pPr>
              <w:spacing w:line="260" w:lineRule="exact"/>
              <w:jc w:val="center"/>
              <w:rPr>
                <w:rFonts w:hint="eastAsia"/>
                <w:kern w:val="0"/>
                <w:sz w:val="20"/>
                <w:szCs w:val="20"/>
              </w:rPr>
            </w:pPr>
            <w:r>
              <w:rPr>
                <w:rFonts w:hint="eastAsia"/>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right="-46" w:rightChars="-22"/>
              <w:jc w:val="center"/>
              <w:rPr>
                <w:kern w:val="0"/>
                <w:sz w:val="20"/>
                <w:szCs w:val="20"/>
              </w:rPr>
            </w:pPr>
            <w:r>
              <w:rPr>
                <w:kern w:val="0"/>
                <w:sz w:val="20"/>
                <w:szCs w:val="20"/>
              </w:rPr>
              <w:t>“三公经费”变动率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c>
          <w:tcPr>
            <w:tcW w:w="2664" w:type="dxa"/>
            <w:noWrap w:val="0"/>
            <w:vAlign w:val="center"/>
          </w:tcPr>
          <w:p>
            <w:pPr>
              <w:widowControl/>
              <w:spacing w:line="260" w:lineRule="exact"/>
              <w:rPr>
                <w:kern w:val="0"/>
                <w:sz w:val="20"/>
                <w:szCs w:val="20"/>
              </w:rPr>
            </w:pPr>
            <w:r>
              <w:rPr>
                <w:kern w:val="0"/>
                <w:sz w:val="20"/>
                <w:szCs w:val="20"/>
              </w:rPr>
              <w:t>“三公经费”变动率</w:t>
            </w:r>
            <w:r>
              <w:rPr>
                <w:rFonts w:hint="eastAsia" w:ascii="宋体" w:hAnsi="宋体" w:cs="宋体"/>
                <w:kern w:val="0"/>
                <w:sz w:val="20"/>
                <w:szCs w:val="20"/>
              </w:rPr>
              <w:t>≦</w:t>
            </w:r>
            <w:r>
              <w:rPr>
                <w:kern w:val="0"/>
                <w:sz w:val="20"/>
                <w:szCs w:val="20"/>
              </w:rPr>
              <w:t>0,计</w:t>
            </w:r>
            <w:r>
              <w:rPr>
                <w:rFonts w:hint="eastAsia"/>
                <w:kern w:val="0"/>
                <w:sz w:val="20"/>
                <w:szCs w:val="20"/>
              </w:rPr>
              <w:t>5</w:t>
            </w:r>
            <w:r>
              <w:rPr>
                <w:kern w:val="0"/>
                <w:sz w:val="20"/>
                <w:szCs w:val="20"/>
              </w:rPr>
              <w:t>分；“三公经费”＞0，每超过一个百分点扣0.4分，扣完为止。</w:t>
            </w:r>
          </w:p>
        </w:tc>
        <w:tc>
          <w:tcPr>
            <w:tcW w:w="3483" w:type="dxa"/>
            <w:noWrap w:val="0"/>
            <w:vAlign w:val="center"/>
          </w:tcPr>
          <w:p>
            <w:pPr>
              <w:widowControl/>
              <w:spacing w:line="260" w:lineRule="exact"/>
              <w:rPr>
                <w:kern w:val="0"/>
                <w:sz w:val="20"/>
                <w:szCs w:val="20"/>
              </w:rPr>
            </w:pPr>
            <w:r>
              <w:rPr>
                <w:kern w:val="0"/>
                <w:sz w:val="20"/>
                <w:szCs w:val="20"/>
              </w:rPr>
              <w:t>“三公经费”变动率=</w:t>
            </w:r>
            <w:r>
              <w:rPr>
                <w:rFonts w:hint="eastAsia"/>
                <w:kern w:val="0"/>
                <w:sz w:val="20"/>
                <w:szCs w:val="20"/>
              </w:rPr>
              <w:t>（5.27-5.88）/5.88</w:t>
            </w:r>
            <w:r>
              <w:rPr>
                <w:kern w:val="0"/>
                <w:sz w:val="20"/>
                <w:szCs w:val="20"/>
              </w:rPr>
              <w:t>×100%</w:t>
            </w:r>
            <w:r>
              <w:rPr>
                <w:rFonts w:hint="eastAsia"/>
                <w:kern w:val="0"/>
                <w:sz w:val="20"/>
                <w:szCs w:val="20"/>
              </w:rPr>
              <w:t>=-0.1</w:t>
            </w:r>
          </w:p>
        </w:tc>
        <w:tc>
          <w:tcPr>
            <w:tcW w:w="637" w:type="dxa"/>
            <w:noWrap w:val="0"/>
            <w:vAlign w:val="center"/>
          </w:tcPr>
          <w:p>
            <w:pPr>
              <w:widowControl/>
              <w:spacing w:line="260" w:lineRule="exact"/>
              <w:jc w:val="center"/>
              <w:rPr>
                <w:kern w:val="0"/>
                <w:sz w:val="20"/>
                <w:szCs w:val="20"/>
              </w:rPr>
            </w:pPr>
            <w:r>
              <w:rPr>
                <w:rFonts w:hint="eastAsia"/>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59" w:type="dxa"/>
            <w:vMerge w:val="restart"/>
            <w:noWrap w:val="0"/>
            <w:vAlign w:val="center"/>
          </w:tcPr>
          <w:p>
            <w:pPr>
              <w:widowControl/>
              <w:spacing w:line="260" w:lineRule="exact"/>
              <w:rPr>
                <w:kern w:val="0"/>
                <w:sz w:val="20"/>
                <w:szCs w:val="20"/>
              </w:rPr>
            </w:pPr>
            <w:r>
              <w:rPr>
                <w:kern w:val="0"/>
                <w:sz w:val="20"/>
                <w:szCs w:val="20"/>
              </w:rPr>
              <w:t>过                                                                                                                                       程</w:t>
            </w:r>
          </w:p>
        </w:tc>
        <w:tc>
          <w:tcPr>
            <w:tcW w:w="470" w:type="dxa"/>
            <w:vMerge w:val="restart"/>
            <w:noWrap w:val="0"/>
            <w:vAlign w:val="center"/>
          </w:tcPr>
          <w:p>
            <w:pPr>
              <w:widowControl/>
              <w:spacing w:line="260" w:lineRule="exact"/>
              <w:rPr>
                <w:kern w:val="0"/>
                <w:sz w:val="20"/>
                <w:szCs w:val="20"/>
              </w:rPr>
            </w:pPr>
            <w:r>
              <w:rPr>
                <w:rFonts w:hint="eastAsia"/>
                <w:kern w:val="0"/>
                <w:sz w:val="20"/>
                <w:szCs w:val="20"/>
              </w:rPr>
              <w:t>60</w:t>
            </w:r>
          </w:p>
        </w:tc>
        <w:tc>
          <w:tcPr>
            <w:tcW w:w="577" w:type="dxa"/>
            <w:vMerge w:val="restart"/>
            <w:noWrap w:val="0"/>
            <w:vAlign w:val="center"/>
          </w:tcPr>
          <w:p>
            <w:pPr>
              <w:widowControl/>
              <w:spacing w:line="260" w:lineRule="exact"/>
              <w:rPr>
                <w:kern w:val="0"/>
                <w:sz w:val="20"/>
                <w:szCs w:val="20"/>
              </w:rPr>
            </w:pPr>
            <w:r>
              <w:rPr>
                <w:kern w:val="0"/>
                <w:sz w:val="20"/>
                <w:szCs w:val="20"/>
              </w:rPr>
              <w:t>预算执行</w:t>
            </w:r>
          </w:p>
        </w:tc>
        <w:tc>
          <w:tcPr>
            <w:tcW w:w="662" w:type="dxa"/>
            <w:vMerge w:val="restart"/>
            <w:noWrap w:val="0"/>
            <w:vAlign w:val="center"/>
          </w:tcPr>
          <w:p>
            <w:pPr>
              <w:widowControl/>
              <w:spacing w:line="260" w:lineRule="exact"/>
              <w:jc w:val="center"/>
              <w:rPr>
                <w:kern w:val="0"/>
                <w:sz w:val="20"/>
                <w:szCs w:val="20"/>
              </w:rPr>
            </w:pPr>
            <w:r>
              <w:rPr>
                <w:rFonts w:hint="eastAsia"/>
                <w:kern w:val="0"/>
                <w:sz w:val="20"/>
                <w:szCs w:val="20"/>
              </w:rPr>
              <w:t>20</w:t>
            </w:r>
          </w:p>
        </w:tc>
        <w:tc>
          <w:tcPr>
            <w:tcW w:w="992" w:type="dxa"/>
            <w:noWrap w:val="0"/>
            <w:vAlign w:val="center"/>
          </w:tcPr>
          <w:p>
            <w:pPr>
              <w:widowControl/>
              <w:spacing w:line="260" w:lineRule="exact"/>
              <w:ind w:right="-46" w:rightChars="-22"/>
              <w:jc w:val="center"/>
              <w:rPr>
                <w:kern w:val="0"/>
                <w:sz w:val="20"/>
                <w:szCs w:val="20"/>
              </w:rPr>
            </w:pPr>
            <w:r>
              <w:rPr>
                <w:kern w:val="0"/>
                <w:sz w:val="20"/>
                <w:szCs w:val="20"/>
              </w:rPr>
              <w:t>预算</w:t>
            </w:r>
            <w:r>
              <w:rPr>
                <w:rFonts w:hint="eastAsia"/>
                <w:kern w:val="0"/>
                <w:sz w:val="20"/>
                <w:szCs w:val="20"/>
              </w:rPr>
              <w:t>执行</w:t>
            </w:r>
            <w:r>
              <w:rPr>
                <w:kern w:val="0"/>
                <w:sz w:val="20"/>
                <w:szCs w:val="20"/>
              </w:rPr>
              <w:t>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c>
          <w:tcPr>
            <w:tcW w:w="2664" w:type="dxa"/>
            <w:noWrap w:val="0"/>
            <w:vAlign w:val="center"/>
          </w:tcPr>
          <w:p>
            <w:pPr>
              <w:widowControl/>
              <w:spacing w:line="260" w:lineRule="exact"/>
              <w:rPr>
                <w:kern w:val="0"/>
                <w:sz w:val="20"/>
                <w:szCs w:val="20"/>
              </w:rPr>
            </w:pPr>
            <w:r>
              <w:rPr>
                <w:kern w:val="0"/>
                <w:sz w:val="20"/>
                <w:szCs w:val="20"/>
              </w:rPr>
              <w:t>100%计满分，每低于5%扣</w:t>
            </w:r>
            <w:r>
              <w:rPr>
                <w:rFonts w:hint="eastAsia"/>
                <w:kern w:val="0"/>
                <w:sz w:val="20"/>
                <w:szCs w:val="20"/>
              </w:rPr>
              <w:t>1</w:t>
            </w:r>
            <w:r>
              <w:rPr>
                <w:kern w:val="0"/>
                <w:sz w:val="20"/>
                <w:szCs w:val="20"/>
              </w:rPr>
              <w:t>分，扣完为止。</w:t>
            </w:r>
          </w:p>
        </w:tc>
        <w:tc>
          <w:tcPr>
            <w:tcW w:w="3483" w:type="dxa"/>
            <w:noWrap w:val="0"/>
            <w:vAlign w:val="center"/>
          </w:tcPr>
          <w:p>
            <w:pPr>
              <w:widowControl/>
              <w:spacing w:line="260" w:lineRule="exact"/>
            </w:pPr>
            <w:r>
              <w:rPr>
                <w:kern w:val="0"/>
                <w:sz w:val="20"/>
                <w:szCs w:val="20"/>
              </w:rPr>
              <w:t>预算</w:t>
            </w:r>
            <w:r>
              <w:rPr>
                <w:rFonts w:hint="eastAsia"/>
                <w:kern w:val="0"/>
                <w:sz w:val="20"/>
                <w:szCs w:val="20"/>
              </w:rPr>
              <w:t>执行</w:t>
            </w:r>
            <w:r>
              <w:rPr>
                <w:kern w:val="0"/>
                <w:sz w:val="20"/>
                <w:szCs w:val="20"/>
              </w:rPr>
              <w:t>率=</w:t>
            </w:r>
            <w:r>
              <w:rPr>
                <w:rFonts w:hint="eastAsia"/>
                <w:kern w:val="0"/>
                <w:sz w:val="20"/>
                <w:szCs w:val="20"/>
              </w:rPr>
              <w:t>375.77/375.77</w:t>
            </w:r>
            <w:r>
              <w:rPr>
                <w:kern w:val="0"/>
                <w:sz w:val="20"/>
                <w:szCs w:val="20"/>
              </w:rPr>
              <w:t>×100%。</w:t>
            </w:r>
          </w:p>
        </w:tc>
        <w:tc>
          <w:tcPr>
            <w:tcW w:w="637"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rPr>
                <w:kern w:val="0"/>
                <w:sz w:val="20"/>
                <w:szCs w:val="20"/>
              </w:rPr>
            </w:pPr>
            <w:r>
              <w:rPr>
                <w:rFonts w:hint="eastAsia"/>
                <w:kern w:val="0"/>
                <w:sz w:val="20"/>
                <w:szCs w:val="20"/>
              </w:rPr>
              <w:t>预算控制率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c>
          <w:tcPr>
            <w:tcW w:w="2664" w:type="dxa"/>
            <w:noWrap w:val="0"/>
            <w:vAlign w:val="center"/>
          </w:tcPr>
          <w:p>
            <w:pPr>
              <w:widowControl/>
              <w:spacing w:line="260" w:lineRule="exact"/>
              <w:rPr>
                <w:kern w:val="0"/>
                <w:sz w:val="20"/>
                <w:szCs w:val="20"/>
              </w:rPr>
            </w:pPr>
            <w:r>
              <w:rPr>
                <w:rFonts w:hint="eastAsia"/>
                <w:kern w:val="0"/>
                <w:sz w:val="20"/>
                <w:szCs w:val="20"/>
              </w:rPr>
              <w:t>预算控制率=0，计5分；0-10%（含），计4分；10-20%（含），计3分；20-40%（含），计2分；40%-60%（含）计1分；大于60%不得分。</w:t>
            </w:r>
          </w:p>
        </w:tc>
        <w:tc>
          <w:tcPr>
            <w:tcW w:w="3483" w:type="dxa"/>
            <w:noWrap w:val="0"/>
            <w:vAlign w:val="center"/>
          </w:tcPr>
          <w:p>
            <w:pPr>
              <w:widowControl/>
              <w:spacing w:line="260" w:lineRule="exact"/>
              <w:rPr>
                <w:kern w:val="0"/>
                <w:sz w:val="20"/>
                <w:szCs w:val="20"/>
              </w:rPr>
            </w:pPr>
            <w:r>
              <w:rPr>
                <w:kern w:val="0"/>
                <w:sz w:val="20"/>
                <w:szCs w:val="20"/>
              </w:rPr>
              <w:t>预算调整率=（预算调整数/预算数）×100%。</w:t>
            </w:r>
          </w:p>
          <w:p>
            <w:pPr>
              <w:widowControl/>
              <w:spacing w:line="260" w:lineRule="exact"/>
              <w:rPr>
                <w:kern w:val="0"/>
                <w:sz w:val="20"/>
                <w:szCs w:val="20"/>
              </w:rPr>
            </w:pPr>
            <w:r>
              <w:rPr>
                <w:rFonts w:hint="eastAsia"/>
                <w:kern w:val="0"/>
                <w:sz w:val="20"/>
                <w:szCs w:val="20"/>
              </w:rPr>
              <w:t>2021年预算调整率为61.46%，酌情扣4分。</w:t>
            </w:r>
          </w:p>
        </w:tc>
        <w:tc>
          <w:tcPr>
            <w:tcW w:w="637" w:type="dxa"/>
            <w:noWrap w:val="0"/>
            <w:vAlign w:val="center"/>
          </w:tcPr>
          <w:p>
            <w:pPr>
              <w:widowControl/>
              <w:spacing w:line="260" w:lineRule="exact"/>
              <w:jc w:val="center"/>
              <w:rPr>
                <w:kern w:val="0"/>
                <w:sz w:val="20"/>
                <w:szCs w:val="20"/>
              </w:rPr>
            </w:pPr>
            <w:r>
              <w:rPr>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rPr>
                <w:rFonts w:hint="eastAsia"/>
                <w:kern w:val="0"/>
                <w:sz w:val="20"/>
                <w:szCs w:val="20"/>
              </w:rPr>
            </w:pPr>
            <w:r>
              <w:rPr>
                <w:rFonts w:hint="eastAsia"/>
                <w:kern w:val="0"/>
                <w:sz w:val="20"/>
                <w:szCs w:val="20"/>
              </w:rPr>
              <w:t>新建楼堂馆所面积控制率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c>
          <w:tcPr>
            <w:tcW w:w="2664" w:type="dxa"/>
            <w:noWrap w:val="0"/>
            <w:vAlign w:val="center"/>
          </w:tcPr>
          <w:p>
            <w:pPr>
              <w:widowControl/>
              <w:spacing w:line="260" w:lineRule="exact"/>
              <w:rPr>
                <w:rFonts w:hint="eastAsia"/>
                <w:kern w:val="0"/>
                <w:sz w:val="20"/>
                <w:szCs w:val="20"/>
              </w:rPr>
            </w:pPr>
            <w:r>
              <w:rPr>
                <w:rFonts w:hint="eastAsia"/>
                <w:kern w:val="0"/>
                <w:sz w:val="20"/>
                <w:szCs w:val="20"/>
              </w:rPr>
              <w:t>100%以下（含）计满分，每超出5%扣2分，扣完为止。没有楼堂馆所项目的部门按满分计算。</w:t>
            </w:r>
          </w:p>
        </w:tc>
        <w:tc>
          <w:tcPr>
            <w:tcW w:w="3483" w:type="dxa"/>
            <w:noWrap w:val="0"/>
            <w:vAlign w:val="center"/>
          </w:tcPr>
          <w:p>
            <w:pPr>
              <w:widowControl/>
              <w:spacing w:line="260" w:lineRule="exact"/>
              <w:rPr>
                <w:rFonts w:hint="eastAsia"/>
                <w:kern w:val="0"/>
                <w:sz w:val="20"/>
                <w:szCs w:val="20"/>
              </w:rPr>
            </w:pPr>
            <w:r>
              <w:rPr>
                <w:rFonts w:hint="eastAsia"/>
                <w:kern w:val="0"/>
                <w:sz w:val="20"/>
                <w:szCs w:val="20"/>
              </w:rPr>
              <w:t>楼堂馆所面积控制率=实际建设面积/批准建设面积×100% 。</w:t>
            </w:r>
            <w:r>
              <w:rPr>
                <w:rFonts w:hint="eastAsia"/>
                <w:kern w:val="0"/>
                <w:sz w:val="20"/>
                <w:szCs w:val="20"/>
              </w:rPr>
              <w:br w:type="textWrapping"/>
            </w:r>
            <w:r>
              <w:rPr>
                <w:rFonts w:hint="eastAsia"/>
                <w:kern w:val="0"/>
                <w:sz w:val="20"/>
                <w:szCs w:val="20"/>
              </w:rPr>
              <w:t>该指标以2021年完工的新建楼堂馆所为评价内容。</w:t>
            </w:r>
          </w:p>
        </w:tc>
        <w:tc>
          <w:tcPr>
            <w:tcW w:w="637"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rPr>
                <w:rFonts w:hint="eastAsia"/>
                <w:kern w:val="0"/>
                <w:sz w:val="20"/>
                <w:szCs w:val="20"/>
              </w:rPr>
            </w:pPr>
            <w:r>
              <w:rPr>
                <w:rFonts w:hint="eastAsia"/>
                <w:kern w:val="0"/>
                <w:sz w:val="20"/>
                <w:szCs w:val="20"/>
              </w:rPr>
              <w:t>新建楼堂馆所投资概算控制率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c>
          <w:tcPr>
            <w:tcW w:w="2664" w:type="dxa"/>
            <w:noWrap w:val="0"/>
            <w:vAlign w:val="center"/>
          </w:tcPr>
          <w:p>
            <w:pPr>
              <w:widowControl/>
              <w:spacing w:line="260" w:lineRule="exact"/>
              <w:rPr>
                <w:rFonts w:hint="eastAsia"/>
                <w:kern w:val="0"/>
                <w:sz w:val="20"/>
                <w:szCs w:val="20"/>
              </w:rPr>
            </w:pPr>
            <w:r>
              <w:rPr>
                <w:rFonts w:hint="eastAsia"/>
                <w:kern w:val="0"/>
                <w:sz w:val="20"/>
                <w:szCs w:val="20"/>
              </w:rPr>
              <w:t>100%以下（含）计满分，每超出5%扣2分，扣完为止。</w:t>
            </w:r>
          </w:p>
        </w:tc>
        <w:tc>
          <w:tcPr>
            <w:tcW w:w="3483" w:type="dxa"/>
            <w:noWrap w:val="0"/>
            <w:vAlign w:val="center"/>
          </w:tcPr>
          <w:p>
            <w:pPr>
              <w:widowControl/>
              <w:spacing w:line="260" w:lineRule="exact"/>
              <w:rPr>
                <w:rFonts w:hint="eastAsia"/>
                <w:kern w:val="0"/>
                <w:sz w:val="20"/>
                <w:szCs w:val="20"/>
              </w:rPr>
            </w:pPr>
            <w:r>
              <w:rPr>
                <w:rFonts w:hint="eastAsia"/>
                <w:kern w:val="0"/>
                <w:sz w:val="20"/>
                <w:szCs w:val="20"/>
              </w:rPr>
              <w:t>楼堂馆所投资预算控制率=实际投资金额/批准投资金额×100% 。</w:t>
            </w:r>
            <w:r>
              <w:rPr>
                <w:rFonts w:hint="eastAsia"/>
                <w:kern w:val="0"/>
                <w:sz w:val="20"/>
                <w:szCs w:val="20"/>
              </w:rPr>
              <w:br w:type="textWrapping"/>
            </w:r>
            <w:r>
              <w:rPr>
                <w:rFonts w:hint="eastAsia"/>
                <w:kern w:val="0"/>
                <w:sz w:val="20"/>
                <w:szCs w:val="20"/>
              </w:rPr>
              <w:t>该指标以2021年完工的新建楼堂馆所为评价内容。</w:t>
            </w:r>
          </w:p>
        </w:tc>
        <w:tc>
          <w:tcPr>
            <w:tcW w:w="637" w:type="dxa"/>
            <w:noWrap w:val="0"/>
            <w:vAlign w:val="center"/>
          </w:tcPr>
          <w:p>
            <w:pPr>
              <w:widowControl/>
              <w:spacing w:line="260" w:lineRule="exact"/>
              <w:jc w:val="center"/>
              <w:rPr>
                <w:rFonts w:hint="eastAsia"/>
                <w:kern w:val="0"/>
                <w:sz w:val="20"/>
                <w:szCs w:val="20"/>
              </w:rPr>
            </w:pPr>
            <w:r>
              <w:rPr>
                <w:rFonts w:hint="eastAsia"/>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9" w:type="dxa"/>
            <w:vMerge w:val="restart"/>
            <w:noWrap w:val="0"/>
            <w:vAlign w:val="center"/>
          </w:tcPr>
          <w:p>
            <w:pPr>
              <w:spacing w:line="260" w:lineRule="exact"/>
              <w:rPr>
                <w:kern w:val="0"/>
                <w:sz w:val="20"/>
                <w:szCs w:val="20"/>
              </w:rPr>
            </w:pPr>
            <w:r>
              <w:rPr>
                <w:kern w:val="0"/>
                <w:sz w:val="20"/>
                <w:szCs w:val="20"/>
              </w:rPr>
              <w:t>过                                                                                                                                       程</w:t>
            </w:r>
          </w:p>
        </w:tc>
        <w:tc>
          <w:tcPr>
            <w:tcW w:w="470" w:type="dxa"/>
            <w:vMerge w:val="restart"/>
            <w:noWrap w:val="0"/>
            <w:vAlign w:val="center"/>
          </w:tcPr>
          <w:p>
            <w:pPr>
              <w:widowControl/>
              <w:spacing w:line="260" w:lineRule="exact"/>
              <w:rPr>
                <w:kern w:val="0"/>
                <w:sz w:val="20"/>
                <w:szCs w:val="20"/>
              </w:rPr>
            </w:pPr>
            <w:r>
              <w:rPr>
                <w:rFonts w:hint="eastAsia"/>
                <w:kern w:val="0"/>
                <w:sz w:val="20"/>
                <w:szCs w:val="20"/>
              </w:rPr>
              <w:t>60</w:t>
            </w:r>
          </w:p>
        </w:tc>
        <w:tc>
          <w:tcPr>
            <w:tcW w:w="577" w:type="dxa"/>
            <w:vMerge w:val="restart"/>
            <w:noWrap w:val="0"/>
            <w:vAlign w:val="center"/>
          </w:tcPr>
          <w:p>
            <w:pPr>
              <w:widowControl/>
              <w:spacing w:line="260" w:lineRule="exact"/>
              <w:rPr>
                <w:kern w:val="0"/>
                <w:sz w:val="20"/>
                <w:szCs w:val="20"/>
              </w:rPr>
            </w:pPr>
            <w:r>
              <w:rPr>
                <w:kern w:val="0"/>
                <w:sz w:val="20"/>
                <w:szCs w:val="20"/>
              </w:rPr>
              <w:t>预算管理</w:t>
            </w:r>
          </w:p>
        </w:tc>
        <w:tc>
          <w:tcPr>
            <w:tcW w:w="662" w:type="dxa"/>
            <w:vMerge w:val="restart"/>
            <w:noWrap w:val="0"/>
            <w:vAlign w:val="center"/>
          </w:tcPr>
          <w:p>
            <w:pPr>
              <w:widowControl/>
              <w:spacing w:line="260" w:lineRule="exact"/>
              <w:jc w:val="center"/>
              <w:rPr>
                <w:kern w:val="0"/>
                <w:sz w:val="20"/>
                <w:szCs w:val="20"/>
              </w:rPr>
            </w:pPr>
            <w:r>
              <w:rPr>
                <w:rFonts w:hint="eastAsia"/>
                <w:kern w:val="0"/>
                <w:sz w:val="20"/>
                <w:szCs w:val="20"/>
              </w:rPr>
              <w:t>40</w:t>
            </w:r>
          </w:p>
        </w:tc>
        <w:tc>
          <w:tcPr>
            <w:tcW w:w="992" w:type="dxa"/>
            <w:noWrap w:val="0"/>
            <w:vAlign w:val="center"/>
          </w:tcPr>
          <w:p>
            <w:pPr>
              <w:widowControl/>
              <w:spacing w:line="260" w:lineRule="exact"/>
              <w:ind w:right="-55" w:rightChars="-26"/>
              <w:jc w:val="center"/>
              <w:rPr>
                <w:kern w:val="0"/>
                <w:sz w:val="20"/>
                <w:szCs w:val="20"/>
              </w:rPr>
            </w:pPr>
            <w:r>
              <w:rPr>
                <w:kern w:val="0"/>
                <w:sz w:val="20"/>
                <w:szCs w:val="20"/>
              </w:rPr>
              <w:t>公用经费控制率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8</w:t>
            </w:r>
          </w:p>
        </w:tc>
        <w:tc>
          <w:tcPr>
            <w:tcW w:w="2664" w:type="dxa"/>
            <w:noWrap w:val="0"/>
            <w:vAlign w:val="center"/>
          </w:tcPr>
          <w:p>
            <w:pPr>
              <w:widowControl/>
              <w:spacing w:line="260" w:lineRule="exact"/>
              <w:rPr>
                <w:kern w:val="0"/>
                <w:sz w:val="20"/>
                <w:szCs w:val="20"/>
              </w:rPr>
            </w:pPr>
            <w:r>
              <w:rPr>
                <w:kern w:val="0"/>
                <w:sz w:val="20"/>
                <w:szCs w:val="20"/>
              </w:rPr>
              <w:t>100%以下（含）计满分，每超出</w:t>
            </w:r>
            <w:r>
              <w:rPr>
                <w:rFonts w:hint="eastAsia"/>
                <w:kern w:val="0"/>
                <w:sz w:val="20"/>
                <w:szCs w:val="20"/>
              </w:rPr>
              <w:t>5</w:t>
            </w:r>
            <w:r>
              <w:rPr>
                <w:kern w:val="0"/>
                <w:sz w:val="20"/>
                <w:szCs w:val="20"/>
              </w:rPr>
              <w:t>%扣1分，扣完为止。</w:t>
            </w:r>
          </w:p>
        </w:tc>
        <w:tc>
          <w:tcPr>
            <w:tcW w:w="3483" w:type="dxa"/>
            <w:noWrap w:val="0"/>
            <w:vAlign w:val="center"/>
          </w:tcPr>
          <w:p>
            <w:pPr>
              <w:widowControl/>
              <w:spacing w:line="260" w:lineRule="exact"/>
              <w:jc w:val="left"/>
              <w:rPr>
                <w:kern w:val="0"/>
                <w:sz w:val="20"/>
                <w:szCs w:val="20"/>
              </w:rPr>
            </w:pPr>
            <w:r>
              <w:rPr>
                <w:kern w:val="0"/>
                <w:sz w:val="20"/>
                <w:szCs w:val="20"/>
              </w:rPr>
              <w:t>公用经费控制率=</w:t>
            </w:r>
            <w:r>
              <w:rPr>
                <w:rFonts w:hint="eastAsia"/>
                <w:kern w:val="0"/>
                <w:sz w:val="20"/>
                <w:szCs w:val="20"/>
              </w:rPr>
              <w:t>504,009.22/504,009.22</w:t>
            </w:r>
            <w:r>
              <w:rPr>
                <w:kern w:val="0"/>
                <w:sz w:val="20"/>
                <w:szCs w:val="20"/>
              </w:rPr>
              <w:t>×100%</w:t>
            </w:r>
            <w:r>
              <w:rPr>
                <w:rFonts w:hint="eastAsia"/>
                <w:kern w:val="0"/>
                <w:sz w:val="20"/>
                <w:szCs w:val="20"/>
              </w:rPr>
              <w:t>=100%</w:t>
            </w:r>
            <w:r>
              <w:rPr>
                <w:kern w:val="0"/>
                <w:sz w:val="20"/>
                <w:szCs w:val="20"/>
              </w:rPr>
              <w:t>。</w:t>
            </w:r>
            <w:r>
              <w:rPr>
                <w:rFonts w:hint="eastAsia"/>
                <w:kern w:val="0"/>
                <w:sz w:val="20"/>
                <w:szCs w:val="20"/>
              </w:rPr>
              <w:t>扣4分。</w:t>
            </w:r>
          </w:p>
        </w:tc>
        <w:tc>
          <w:tcPr>
            <w:tcW w:w="637" w:type="dxa"/>
            <w:noWrap w:val="0"/>
            <w:vAlign w:val="center"/>
          </w:tcPr>
          <w:p>
            <w:pPr>
              <w:widowControl/>
              <w:spacing w:line="260" w:lineRule="exact"/>
              <w:jc w:val="center"/>
              <w:rPr>
                <w:kern w:val="0"/>
                <w:sz w:val="20"/>
                <w:szCs w:val="20"/>
              </w:rPr>
            </w:pPr>
            <w:r>
              <w:rPr>
                <w:rFonts w:hint="eastAsia"/>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right="-27" w:rightChars="-13"/>
              <w:rPr>
                <w:kern w:val="0"/>
                <w:sz w:val="20"/>
                <w:szCs w:val="20"/>
              </w:rPr>
            </w:pPr>
            <w:r>
              <w:rPr>
                <w:kern w:val="0"/>
                <w:sz w:val="20"/>
                <w:szCs w:val="20"/>
              </w:rPr>
              <w:t>“三公经费”控制率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7</w:t>
            </w:r>
          </w:p>
        </w:tc>
        <w:tc>
          <w:tcPr>
            <w:tcW w:w="2664" w:type="dxa"/>
            <w:noWrap w:val="0"/>
            <w:vAlign w:val="center"/>
          </w:tcPr>
          <w:p>
            <w:pPr>
              <w:widowControl/>
              <w:spacing w:line="260" w:lineRule="exact"/>
              <w:rPr>
                <w:kern w:val="0"/>
                <w:sz w:val="20"/>
                <w:szCs w:val="20"/>
              </w:rPr>
            </w:pPr>
            <w:r>
              <w:rPr>
                <w:kern w:val="0"/>
                <w:sz w:val="20"/>
                <w:szCs w:val="20"/>
              </w:rPr>
              <w:t>100%以下（含）计满分，每超出1%扣1分，扣完为止。</w:t>
            </w:r>
          </w:p>
        </w:tc>
        <w:tc>
          <w:tcPr>
            <w:tcW w:w="3483" w:type="dxa"/>
            <w:noWrap w:val="0"/>
            <w:vAlign w:val="center"/>
          </w:tcPr>
          <w:p>
            <w:pPr>
              <w:widowControl/>
              <w:spacing w:line="260" w:lineRule="exact"/>
              <w:rPr>
                <w:rFonts w:hint="eastAsia"/>
                <w:kern w:val="0"/>
                <w:sz w:val="20"/>
                <w:szCs w:val="20"/>
              </w:rPr>
            </w:pPr>
            <w:r>
              <w:rPr>
                <w:kern w:val="0"/>
                <w:sz w:val="20"/>
                <w:szCs w:val="20"/>
              </w:rPr>
              <w:t>“三公经费”控制率=</w:t>
            </w:r>
            <w:r>
              <w:rPr>
                <w:rFonts w:hint="eastAsia"/>
                <w:kern w:val="0"/>
                <w:sz w:val="20"/>
                <w:szCs w:val="20"/>
              </w:rPr>
              <w:t>4.40/5.27</w:t>
            </w:r>
            <w:r>
              <w:rPr>
                <w:kern w:val="0"/>
                <w:sz w:val="20"/>
                <w:szCs w:val="20"/>
              </w:rPr>
              <w:t>×100%</w:t>
            </w:r>
            <w:r>
              <w:rPr>
                <w:rFonts w:hint="eastAsia"/>
                <w:kern w:val="0"/>
                <w:sz w:val="20"/>
                <w:szCs w:val="20"/>
              </w:rPr>
              <w:t>=83.49%。</w:t>
            </w:r>
          </w:p>
        </w:tc>
        <w:tc>
          <w:tcPr>
            <w:tcW w:w="637" w:type="dxa"/>
            <w:noWrap w:val="0"/>
            <w:vAlign w:val="center"/>
          </w:tcPr>
          <w:p>
            <w:pPr>
              <w:widowControl/>
              <w:spacing w:line="260" w:lineRule="exact"/>
              <w:jc w:val="center"/>
              <w:rPr>
                <w:rFonts w:hint="eastAsia"/>
                <w:kern w:val="0"/>
                <w:sz w:val="20"/>
                <w:szCs w:val="20"/>
              </w:rPr>
            </w:pPr>
            <w:r>
              <w:rPr>
                <w:rFonts w:hint="eastAsia"/>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right="-27" w:rightChars="-13"/>
              <w:rPr>
                <w:kern w:val="0"/>
                <w:sz w:val="20"/>
                <w:szCs w:val="20"/>
              </w:rPr>
            </w:pPr>
            <w:r>
              <w:rPr>
                <w:kern w:val="0"/>
                <w:sz w:val="20"/>
                <w:szCs w:val="20"/>
              </w:rPr>
              <w:t>政府采购执行率</w:t>
            </w:r>
          </w:p>
        </w:tc>
        <w:tc>
          <w:tcPr>
            <w:tcW w:w="600" w:type="dxa"/>
            <w:noWrap w:val="0"/>
            <w:vAlign w:val="center"/>
          </w:tcPr>
          <w:p>
            <w:pPr>
              <w:widowControl/>
              <w:spacing w:line="260" w:lineRule="exact"/>
              <w:jc w:val="center"/>
              <w:rPr>
                <w:rFonts w:hint="eastAsia"/>
                <w:kern w:val="0"/>
                <w:sz w:val="20"/>
                <w:szCs w:val="20"/>
              </w:rPr>
            </w:pPr>
            <w:r>
              <w:rPr>
                <w:rFonts w:hint="eastAsia"/>
                <w:kern w:val="0"/>
                <w:sz w:val="20"/>
                <w:szCs w:val="20"/>
              </w:rPr>
              <w:t>6</w:t>
            </w:r>
          </w:p>
        </w:tc>
        <w:tc>
          <w:tcPr>
            <w:tcW w:w="2664" w:type="dxa"/>
            <w:noWrap w:val="0"/>
            <w:vAlign w:val="center"/>
          </w:tcPr>
          <w:p>
            <w:pPr>
              <w:widowControl/>
              <w:spacing w:line="260" w:lineRule="exact"/>
              <w:rPr>
                <w:kern w:val="0"/>
                <w:sz w:val="20"/>
                <w:szCs w:val="20"/>
              </w:rPr>
            </w:pPr>
            <w:r>
              <w:rPr>
                <w:kern w:val="0"/>
                <w:sz w:val="20"/>
                <w:szCs w:val="20"/>
              </w:rPr>
              <w:t>100%计满分，每超过（降低）5%扣2分。扣完为止。</w:t>
            </w:r>
          </w:p>
        </w:tc>
        <w:tc>
          <w:tcPr>
            <w:tcW w:w="3483" w:type="dxa"/>
            <w:noWrap w:val="0"/>
            <w:vAlign w:val="center"/>
          </w:tcPr>
          <w:p>
            <w:pPr>
              <w:widowControl/>
              <w:spacing w:line="260" w:lineRule="exact"/>
              <w:rPr>
                <w:kern w:val="0"/>
                <w:sz w:val="20"/>
                <w:szCs w:val="20"/>
              </w:rPr>
            </w:pPr>
            <w:r>
              <w:rPr>
                <w:kern w:val="0"/>
                <w:sz w:val="20"/>
                <w:szCs w:val="20"/>
              </w:rPr>
              <w:t>政府采购执行率=（实际政府采购金额/政府采购预算数）×100%</w:t>
            </w:r>
            <w:r>
              <w:rPr>
                <w:rFonts w:hint="eastAsia"/>
                <w:kern w:val="0"/>
                <w:sz w:val="20"/>
                <w:szCs w:val="20"/>
              </w:rPr>
              <w:t>。无政府采购支出。</w:t>
            </w:r>
            <w:r>
              <w:rPr>
                <w:kern w:val="0"/>
                <w:sz w:val="20"/>
                <w:szCs w:val="20"/>
              </w:rPr>
              <w:t xml:space="preserve">             </w:t>
            </w:r>
          </w:p>
        </w:tc>
        <w:tc>
          <w:tcPr>
            <w:tcW w:w="637" w:type="dxa"/>
            <w:noWrap w:val="0"/>
            <w:vAlign w:val="center"/>
          </w:tcPr>
          <w:p>
            <w:pPr>
              <w:widowControl/>
              <w:spacing w:line="260" w:lineRule="exact"/>
              <w:jc w:val="center"/>
              <w:rPr>
                <w:rFonts w:hint="eastAsia"/>
                <w:kern w:val="0"/>
                <w:sz w:val="20"/>
                <w:szCs w:val="20"/>
              </w:rPr>
            </w:pPr>
            <w:r>
              <w:rPr>
                <w:rFonts w:hint="eastAsia"/>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right="-27" w:rightChars="-13"/>
              <w:rPr>
                <w:kern w:val="0"/>
                <w:sz w:val="20"/>
                <w:szCs w:val="20"/>
              </w:rPr>
            </w:pPr>
            <w:r>
              <w:rPr>
                <w:kern w:val="0"/>
                <w:sz w:val="20"/>
                <w:szCs w:val="20"/>
              </w:rPr>
              <w:t>管理制度健全性</w:t>
            </w:r>
          </w:p>
        </w:tc>
        <w:tc>
          <w:tcPr>
            <w:tcW w:w="600" w:type="dxa"/>
            <w:noWrap w:val="0"/>
            <w:vAlign w:val="center"/>
          </w:tcPr>
          <w:p>
            <w:pPr>
              <w:widowControl/>
              <w:spacing w:line="260" w:lineRule="exact"/>
              <w:jc w:val="center"/>
              <w:rPr>
                <w:kern w:val="0"/>
                <w:sz w:val="20"/>
                <w:szCs w:val="20"/>
              </w:rPr>
            </w:pPr>
            <w:r>
              <w:rPr>
                <w:kern w:val="0"/>
                <w:sz w:val="20"/>
                <w:szCs w:val="20"/>
              </w:rPr>
              <w:t>8</w:t>
            </w:r>
          </w:p>
        </w:tc>
        <w:tc>
          <w:tcPr>
            <w:tcW w:w="2664" w:type="dxa"/>
            <w:noWrap w:val="0"/>
            <w:vAlign w:val="center"/>
          </w:tcPr>
          <w:p>
            <w:pPr>
              <w:widowControl/>
              <w:spacing w:line="260" w:lineRule="exact"/>
              <w:rPr>
                <w:kern w:val="0"/>
                <w:sz w:val="20"/>
                <w:szCs w:val="20"/>
              </w:rPr>
            </w:pPr>
            <w:r>
              <w:rPr>
                <w:rFonts w:hint="eastAsia" w:ascii="宋体" w:hAnsi="宋体" w:cs="宋体"/>
                <w:kern w:val="0"/>
                <w:sz w:val="20"/>
                <w:szCs w:val="20"/>
              </w:rPr>
              <w:t>①</w:t>
            </w:r>
            <w:r>
              <w:rPr>
                <w:kern w:val="0"/>
                <w:sz w:val="20"/>
                <w:szCs w:val="20"/>
              </w:rPr>
              <w:t>有内部财务管理制度、会计核算制度等管理制度，2分；</w:t>
            </w:r>
            <w:r>
              <w:rPr>
                <w:kern w:val="0"/>
                <w:sz w:val="20"/>
                <w:szCs w:val="20"/>
              </w:rPr>
              <w:br w:type="textWrapping"/>
            </w:r>
            <w:r>
              <w:rPr>
                <w:rFonts w:hint="eastAsia" w:ascii="宋体" w:hAnsi="宋体" w:cs="宋体"/>
                <w:kern w:val="0"/>
                <w:sz w:val="20"/>
                <w:szCs w:val="20"/>
              </w:rPr>
              <w:t>②</w:t>
            </w:r>
            <w:r>
              <w:rPr>
                <w:kern w:val="0"/>
                <w:sz w:val="20"/>
                <w:szCs w:val="20"/>
              </w:rPr>
              <w:t>有本部门厉行节约制度,2分；</w:t>
            </w:r>
            <w:r>
              <w:rPr>
                <w:kern w:val="0"/>
                <w:sz w:val="20"/>
                <w:szCs w:val="20"/>
              </w:rPr>
              <w:br w:type="textWrapping"/>
            </w:r>
            <w:r>
              <w:rPr>
                <w:rFonts w:hint="eastAsia" w:ascii="宋体" w:hAnsi="宋体" w:cs="宋体"/>
                <w:kern w:val="0"/>
                <w:sz w:val="20"/>
                <w:szCs w:val="20"/>
              </w:rPr>
              <w:t>③</w:t>
            </w:r>
            <w:r>
              <w:rPr>
                <w:kern w:val="0"/>
                <w:sz w:val="20"/>
                <w:szCs w:val="20"/>
              </w:rPr>
              <w:t>相关管理制度合法、合规、完整，2分；</w:t>
            </w:r>
            <w:r>
              <w:rPr>
                <w:rFonts w:hint="eastAsia" w:ascii="宋体" w:hAnsi="宋体" w:cs="宋体"/>
                <w:kern w:val="0"/>
                <w:sz w:val="20"/>
                <w:szCs w:val="20"/>
              </w:rPr>
              <w:t>④</w:t>
            </w:r>
            <w:r>
              <w:rPr>
                <w:kern w:val="0"/>
                <w:sz w:val="20"/>
                <w:szCs w:val="20"/>
              </w:rPr>
              <w:t>相关管理制度得到有效执行，2分。</w:t>
            </w:r>
          </w:p>
        </w:tc>
        <w:tc>
          <w:tcPr>
            <w:tcW w:w="3483" w:type="dxa"/>
            <w:noWrap w:val="0"/>
            <w:vAlign w:val="center"/>
          </w:tcPr>
          <w:p>
            <w:pPr>
              <w:widowControl/>
              <w:spacing w:line="260" w:lineRule="exact"/>
              <w:rPr>
                <w:kern w:val="0"/>
                <w:sz w:val="20"/>
                <w:szCs w:val="20"/>
              </w:rPr>
            </w:pPr>
            <w:r>
              <w:rPr>
                <w:rFonts w:hint="eastAsia"/>
                <w:kern w:val="0"/>
                <w:sz w:val="20"/>
                <w:szCs w:val="20"/>
              </w:rPr>
              <w:t>建立了单位财务管理制度，各种支出做到厉行节约，并能将各项制度有效执行。</w:t>
            </w:r>
          </w:p>
        </w:tc>
        <w:tc>
          <w:tcPr>
            <w:tcW w:w="637" w:type="dxa"/>
            <w:noWrap w:val="0"/>
            <w:vAlign w:val="center"/>
          </w:tcPr>
          <w:p>
            <w:pPr>
              <w:widowControl/>
              <w:spacing w:line="260" w:lineRule="exact"/>
              <w:jc w:val="center"/>
              <w:rPr>
                <w:kern w:val="0"/>
                <w:sz w:val="20"/>
                <w:szCs w:val="20"/>
              </w:rPr>
            </w:pPr>
            <w:r>
              <w:rPr>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right="-27" w:rightChars="-13"/>
              <w:rPr>
                <w:kern w:val="0"/>
                <w:sz w:val="20"/>
                <w:szCs w:val="20"/>
              </w:rPr>
            </w:pPr>
            <w:r>
              <w:rPr>
                <w:kern w:val="0"/>
                <w:sz w:val="20"/>
                <w:szCs w:val="20"/>
              </w:rPr>
              <w:t>资金使用合规性</w:t>
            </w:r>
          </w:p>
        </w:tc>
        <w:tc>
          <w:tcPr>
            <w:tcW w:w="600" w:type="dxa"/>
            <w:noWrap w:val="0"/>
            <w:vAlign w:val="center"/>
          </w:tcPr>
          <w:p>
            <w:pPr>
              <w:widowControl/>
              <w:spacing w:line="260" w:lineRule="exact"/>
              <w:jc w:val="center"/>
              <w:rPr>
                <w:kern w:val="0"/>
                <w:sz w:val="20"/>
                <w:szCs w:val="20"/>
              </w:rPr>
            </w:pPr>
            <w:r>
              <w:rPr>
                <w:kern w:val="0"/>
                <w:sz w:val="20"/>
                <w:szCs w:val="20"/>
              </w:rPr>
              <w:t>6</w:t>
            </w:r>
          </w:p>
        </w:tc>
        <w:tc>
          <w:tcPr>
            <w:tcW w:w="2664" w:type="dxa"/>
            <w:noWrap w:val="0"/>
            <w:vAlign w:val="center"/>
          </w:tcPr>
          <w:p>
            <w:pPr>
              <w:widowControl/>
              <w:spacing w:line="260" w:lineRule="exact"/>
              <w:rPr>
                <w:kern w:val="0"/>
                <w:sz w:val="20"/>
                <w:szCs w:val="20"/>
              </w:rPr>
            </w:pPr>
            <w:r>
              <w:rPr>
                <w:rFonts w:hint="eastAsia" w:ascii="宋体" w:hAnsi="宋体" w:cs="宋体"/>
                <w:kern w:val="0"/>
                <w:sz w:val="20"/>
                <w:szCs w:val="20"/>
              </w:rPr>
              <w:t>①</w:t>
            </w:r>
            <w:r>
              <w:rPr>
                <w:kern w:val="0"/>
                <w:sz w:val="20"/>
                <w:szCs w:val="20"/>
              </w:rPr>
              <w:t>支出符合国家财经法规和财务管理制度规定以及有关专项资金管理办法的规定；</w:t>
            </w:r>
            <w:r>
              <w:rPr>
                <w:rFonts w:hint="eastAsia" w:ascii="宋体" w:hAnsi="宋体" w:cs="宋体"/>
                <w:kern w:val="0"/>
                <w:sz w:val="20"/>
                <w:szCs w:val="20"/>
              </w:rPr>
              <w:t>②</w:t>
            </w:r>
            <w:r>
              <w:rPr>
                <w:kern w:val="0"/>
                <w:sz w:val="20"/>
                <w:szCs w:val="20"/>
              </w:rPr>
              <w:t>资金拨付有完整的审批程序和手续；</w:t>
            </w:r>
            <w:r>
              <w:rPr>
                <w:rFonts w:hint="eastAsia" w:ascii="宋体" w:hAnsi="宋体" w:cs="宋体"/>
                <w:kern w:val="0"/>
                <w:sz w:val="20"/>
                <w:szCs w:val="20"/>
              </w:rPr>
              <w:t>③</w:t>
            </w:r>
            <w:r>
              <w:rPr>
                <w:kern w:val="0"/>
                <w:sz w:val="20"/>
                <w:szCs w:val="20"/>
              </w:rPr>
              <w:t>项目支出按规定经过评估论证；</w:t>
            </w:r>
            <w:r>
              <w:rPr>
                <w:rFonts w:hint="eastAsia" w:ascii="宋体" w:hAnsi="宋体" w:cs="宋体"/>
                <w:kern w:val="0"/>
                <w:sz w:val="20"/>
                <w:szCs w:val="20"/>
              </w:rPr>
              <w:t>④</w:t>
            </w:r>
            <w:r>
              <w:rPr>
                <w:kern w:val="0"/>
                <w:sz w:val="20"/>
                <w:szCs w:val="20"/>
              </w:rPr>
              <w:t>支出符合部门预算批复的用途；</w:t>
            </w:r>
            <w:r>
              <w:rPr>
                <w:rFonts w:hint="eastAsia" w:ascii="宋体" w:hAnsi="宋体" w:cs="宋体"/>
                <w:kern w:val="0"/>
                <w:sz w:val="20"/>
                <w:szCs w:val="20"/>
              </w:rPr>
              <w:t>⑤</w:t>
            </w:r>
            <w:r>
              <w:rPr>
                <w:kern w:val="0"/>
                <w:sz w:val="20"/>
                <w:szCs w:val="20"/>
              </w:rPr>
              <w:t>资金使用无截留、挤占、挪用、虚列支出等情况。</w:t>
            </w:r>
            <w:r>
              <w:rPr>
                <w:kern w:val="0"/>
                <w:sz w:val="20"/>
                <w:szCs w:val="20"/>
              </w:rPr>
              <w:br w:type="textWrapping"/>
            </w:r>
            <w:r>
              <w:rPr>
                <w:kern w:val="0"/>
                <w:sz w:val="20"/>
                <w:szCs w:val="20"/>
              </w:rPr>
              <w:t>以上情况每出现一例不符合要求的扣1分，扣完为止。</w:t>
            </w:r>
          </w:p>
        </w:tc>
        <w:tc>
          <w:tcPr>
            <w:tcW w:w="3483" w:type="dxa"/>
            <w:noWrap w:val="0"/>
            <w:vAlign w:val="center"/>
          </w:tcPr>
          <w:p>
            <w:pPr>
              <w:widowControl/>
              <w:spacing w:line="260" w:lineRule="exact"/>
              <w:rPr>
                <w:kern w:val="0"/>
                <w:sz w:val="20"/>
                <w:szCs w:val="20"/>
              </w:rPr>
            </w:pPr>
            <w:r>
              <w:rPr>
                <w:rFonts w:hint="eastAsia"/>
                <w:kern w:val="0"/>
                <w:sz w:val="20"/>
                <w:szCs w:val="20"/>
              </w:rPr>
              <w:t>　各项资金支出手续审批程序完善，手续符合规定，支出符合部门预算批复的用途，资金支出按时支出，不存在截留、挤占、挪用、序列支出的现象。</w:t>
            </w:r>
          </w:p>
        </w:tc>
        <w:tc>
          <w:tcPr>
            <w:tcW w:w="637" w:type="dxa"/>
            <w:noWrap w:val="0"/>
            <w:vAlign w:val="center"/>
          </w:tcPr>
          <w:p>
            <w:pPr>
              <w:widowControl/>
              <w:spacing w:line="260" w:lineRule="exact"/>
              <w:jc w:val="center"/>
              <w:rPr>
                <w:kern w:val="0"/>
                <w:sz w:val="20"/>
                <w:szCs w:val="20"/>
              </w:rPr>
            </w:pPr>
            <w:r>
              <w:rPr>
                <w:rFonts w:hint="eastAsia"/>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right="-27" w:rightChars="-13"/>
              <w:rPr>
                <w:kern w:val="0"/>
                <w:sz w:val="20"/>
                <w:szCs w:val="20"/>
              </w:rPr>
            </w:pPr>
            <w:r>
              <w:rPr>
                <w:kern w:val="0"/>
                <w:sz w:val="20"/>
                <w:szCs w:val="20"/>
              </w:rPr>
              <w:t>预决算信息公开性</w:t>
            </w:r>
          </w:p>
        </w:tc>
        <w:tc>
          <w:tcPr>
            <w:tcW w:w="600" w:type="dxa"/>
            <w:noWrap w:val="0"/>
            <w:vAlign w:val="center"/>
          </w:tcPr>
          <w:p>
            <w:pPr>
              <w:widowControl/>
              <w:spacing w:line="260" w:lineRule="exact"/>
              <w:jc w:val="center"/>
              <w:rPr>
                <w:kern w:val="0"/>
                <w:sz w:val="20"/>
                <w:szCs w:val="20"/>
              </w:rPr>
            </w:pPr>
            <w:r>
              <w:rPr>
                <w:kern w:val="0"/>
                <w:sz w:val="20"/>
                <w:szCs w:val="20"/>
              </w:rPr>
              <w:t>5</w:t>
            </w:r>
          </w:p>
        </w:tc>
        <w:tc>
          <w:tcPr>
            <w:tcW w:w="2664" w:type="dxa"/>
            <w:noWrap w:val="0"/>
            <w:vAlign w:val="center"/>
          </w:tcPr>
          <w:p>
            <w:pPr>
              <w:widowControl/>
              <w:spacing w:line="260" w:lineRule="exact"/>
              <w:rPr>
                <w:kern w:val="0"/>
                <w:sz w:val="20"/>
                <w:szCs w:val="20"/>
              </w:rPr>
            </w:pPr>
            <w:r>
              <w:rPr>
                <w:rFonts w:hint="eastAsia" w:ascii="宋体" w:hAnsi="宋体" w:cs="宋体"/>
                <w:kern w:val="0"/>
                <w:sz w:val="20"/>
                <w:szCs w:val="20"/>
              </w:rPr>
              <w:t>①</w:t>
            </w:r>
            <w:r>
              <w:rPr>
                <w:kern w:val="0"/>
                <w:sz w:val="20"/>
                <w:szCs w:val="20"/>
              </w:rPr>
              <w:t>按规定内容公开预决算信息，1分；</w:t>
            </w:r>
            <w:r>
              <w:rPr>
                <w:rFonts w:hint="eastAsia" w:ascii="宋体" w:hAnsi="宋体" w:cs="宋体"/>
                <w:kern w:val="0"/>
                <w:sz w:val="20"/>
                <w:szCs w:val="20"/>
              </w:rPr>
              <w:t>②</w:t>
            </w:r>
            <w:r>
              <w:rPr>
                <w:kern w:val="0"/>
                <w:sz w:val="20"/>
                <w:szCs w:val="20"/>
              </w:rPr>
              <w:t>按规定时限公开预决算信息，1分；</w:t>
            </w:r>
            <w:r>
              <w:rPr>
                <w:rFonts w:hint="eastAsia" w:ascii="宋体" w:hAnsi="宋体" w:cs="宋体"/>
                <w:kern w:val="0"/>
                <w:sz w:val="20"/>
                <w:szCs w:val="20"/>
              </w:rPr>
              <w:t>③</w:t>
            </w:r>
            <w:r>
              <w:rPr>
                <w:kern w:val="0"/>
                <w:sz w:val="20"/>
                <w:szCs w:val="20"/>
              </w:rPr>
              <w:t>基础数据信息和会计信息资料真实，1分；</w:t>
            </w:r>
            <w:r>
              <w:rPr>
                <w:rFonts w:hint="eastAsia" w:ascii="宋体" w:hAnsi="宋体" w:cs="宋体"/>
                <w:kern w:val="0"/>
                <w:sz w:val="20"/>
                <w:szCs w:val="20"/>
              </w:rPr>
              <w:t>④</w:t>
            </w:r>
            <w:r>
              <w:rPr>
                <w:kern w:val="0"/>
                <w:sz w:val="20"/>
                <w:szCs w:val="20"/>
              </w:rPr>
              <w:t>基础数据信息和会计信息资料完整，1分；</w:t>
            </w:r>
            <w:r>
              <w:rPr>
                <w:rFonts w:hint="eastAsia" w:ascii="宋体" w:hAnsi="宋体" w:cs="宋体"/>
                <w:kern w:val="0"/>
                <w:sz w:val="20"/>
                <w:szCs w:val="20"/>
              </w:rPr>
              <w:t>⑤</w:t>
            </w:r>
            <w:r>
              <w:rPr>
                <w:kern w:val="0"/>
                <w:sz w:val="20"/>
                <w:szCs w:val="20"/>
              </w:rPr>
              <w:t>基础数据信息和汇集信息资料准确，1分。</w:t>
            </w:r>
          </w:p>
        </w:tc>
        <w:tc>
          <w:tcPr>
            <w:tcW w:w="3483" w:type="dxa"/>
            <w:noWrap w:val="0"/>
            <w:vAlign w:val="center"/>
          </w:tcPr>
          <w:p>
            <w:pPr>
              <w:widowControl/>
              <w:spacing w:line="260" w:lineRule="exact"/>
              <w:rPr>
                <w:kern w:val="0"/>
                <w:sz w:val="20"/>
                <w:szCs w:val="20"/>
              </w:rPr>
            </w:pPr>
            <w:r>
              <w:rPr>
                <w:rFonts w:hint="eastAsia"/>
                <w:kern w:val="0"/>
                <w:sz w:val="20"/>
                <w:szCs w:val="20"/>
              </w:rPr>
              <w:t>预算、决算按规定在财政局门户网站上进行了公开，基础数据信息和会计信息资料完整，</w:t>
            </w:r>
          </w:p>
        </w:tc>
        <w:tc>
          <w:tcPr>
            <w:tcW w:w="637" w:type="dxa"/>
            <w:noWrap w:val="0"/>
            <w:vAlign w:val="center"/>
          </w:tcPr>
          <w:p>
            <w:pPr>
              <w:widowControl/>
              <w:spacing w:line="260" w:lineRule="exact"/>
              <w:jc w:val="center"/>
              <w:rPr>
                <w:kern w:val="0"/>
                <w:sz w:val="20"/>
                <w:szCs w:val="20"/>
              </w:rPr>
            </w:pPr>
            <w:r>
              <w:rPr>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659" w:type="dxa"/>
            <w:vMerge w:val="restart"/>
            <w:noWrap w:val="0"/>
            <w:vAlign w:val="center"/>
          </w:tcPr>
          <w:p>
            <w:pPr>
              <w:widowControl/>
              <w:spacing w:line="260" w:lineRule="exact"/>
              <w:rPr>
                <w:kern w:val="0"/>
                <w:sz w:val="20"/>
                <w:szCs w:val="20"/>
              </w:rPr>
            </w:pPr>
            <w:r>
              <w:rPr>
                <w:kern w:val="0"/>
                <w:sz w:val="20"/>
                <w:szCs w:val="20"/>
              </w:rPr>
              <w:t>产出及效益</w:t>
            </w:r>
          </w:p>
        </w:tc>
        <w:tc>
          <w:tcPr>
            <w:tcW w:w="470" w:type="dxa"/>
            <w:vMerge w:val="restart"/>
            <w:noWrap w:val="0"/>
            <w:vAlign w:val="center"/>
          </w:tcPr>
          <w:p>
            <w:pPr>
              <w:widowControl/>
              <w:spacing w:line="260" w:lineRule="exact"/>
              <w:rPr>
                <w:kern w:val="0"/>
                <w:sz w:val="20"/>
                <w:szCs w:val="20"/>
              </w:rPr>
            </w:pPr>
            <w:r>
              <w:rPr>
                <w:rFonts w:hint="eastAsia"/>
                <w:kern w:val="0"/>
                <w:sz w:val="20"/>
                <w:szCs w:val="20"/>
              </w:rPr>
              <w:t>30</w:t>
            </w:r>
          </w:p>
        </w:tc>
        <w:tc>
          <w:tcPr>
            <w:tcW w:w="577" w:type="dxa"/>
            <w:noWrap w:val="0"/>
            <w:vAlign w:val="center"/>
          </w:tcPr>
          <w:p>
            <w:pPr>
              <w:widowControl/>
              <w:spacing w:line="260" w:lineRule="exact"/>
              <w:rPr>
                <w:kern w:val="0"/>
                <w:sz w:val="20"/>
                <w:szCs w:val="20"/>
              </w:rPr>
            </w:pPr>
            <w:r>
              <w:rPr>
                <w:kern w:val="0"/>
                <w:sz w:val="20"/>
                <w:szCs w:val="20"/>
              </w:rPr>
              <w:t>职责履行</w:t>
            </w:r>
          </w:p>
        </w:tc>
        <w:tc>
          <w:tcPr>
            <w:tcW w:w="662" w:type="dxa"/>
            <w:noWrap w:val="0"/>
            <w:vAlign w:val="center"/>
          </w:tcPr>
          <w:p>
            <w:pPr>
              <w:widowControl/>
              <w:spacing w:line="260" w:lineRule="exact"/>
              <w:jc w:val="center"/>
              <w:rPr>
                <w:kern w:val="0"/>
                <w:sz w:val="20"/>
                <w:szCs w:val="20"/>
              </w:rPr>
            </w:pPr>
            <w:r>
              <w:rPr>
                <w:rFonts w:hint="eastAsia"/>
                <w:kern w:val="0"/>
                <w:sz w:val="20"/>
                <w:szCs w:val="20"/>
              </w:rPr>
              <w:t>8</w:t>
            </w:r>
          </w:p>
        </w:tc>
        <w:tc>
          <w:tcPr>
            <w:tcW w:w="992" w:type="dxa"/>
            <w:noWrap w:val="0"/>
            <w:vAlign w:val="center"/>
          </w:tcPr>
          <w:p>
            <w:pPr>
              <w:widowControl/>
              <w:spacing w:line="260" w:lineRule="exact"/>
              <w:ind w:right="-13" w:rightChars="-6"/>
              <w:rPr>
                <w:kern w:val="0"/>
                <w:sz w:val="20"/>
                <w:szCs w:val="20"/>
              </w:rPr>
            </w:pPr>
            <w:r>
              <w:rPr>
                <w:rFonts w:hint="eastAsia"/>
                <w:kern w:val="0"/>
                <w:sz w:val="20"/>
                <w:szCs w:val="20"/>
              </w:rPr>
              <w:t>重点工作办结率</w:t>
            </w:r>
          </w:p>
        </w:tc>
        <w:tc>
          <w:tcPr>
            <w:tcW w:w="600" w:type="dxa"/>
            <w:noWrap w:val="0"/>
            <w:vAlign w:val="center"/>
          </w:tcPr>
          <w:p>
            <w:pPr>
              <w:widowControl/>
              <w:spacing w:line="260" w:lineRule="exact"/>
              <w:jc w:val="center"/>
              <w:rPr>
                <w:kern w:val="0"/>
                <w:sz w:val="20"/>
                <w:szCs w:val="20"/>
              </w:rPr>
            </w:pPr>
            <w:r>
              <w:rPr>
                <w:rFonts w:hint="eastAsia"/>
                <w:kern w:val="0"/>
                <w:sz w:val="20"/>
                <w:szCs w:val="20"/>
              </w:rPr>
              <w:t>8</w:t>
            </w:r>
          </w:p>
        </w:tc>
        <w:tc>
          <w:tcPr>
            <w:tcW w:w="2664" w:type="dxa"/>
            <w:noWrap w:val="0"/>
            <w:vAlign w:val="center"/>
          </w:tcPr>
          <w:p>
            <w:pPr>
              <w:widowControl/>
              <w:spacing w:line="260" w:lineRule="exact"/>
              <w:rPr>
                <w:kern w:val="0"/>
                <w:sz w:val="20"/>
                <w:szCs w:val="20"/>
              </w:rPr>
            </w:pPr>
            <w:r>
              <w:rPr>
                <w:rFonts w:hint="eastAsia"/>
                <w:kern w:val="0"/>
                <w:sz w:val="20"/>
                <w:szCs w:val="20"/>
              </w:rPr>
              <w:t>部门年度重点工作实际完成数与交办下达数的比率，用以反映部门对重点工作的办理落实程度。</w:t>
            </w:r>
          </w:p>
        </w:tc>
        <w:tc>
          <w:tcPr>
            <w:tcW w:w="3483" w:type="dxa"/>
            <w:noWrap w:val="0"/>
            <w:vAlign w:val="center"/>
          </w:tcPr>
          <w:p>
            <w:pPr>
              <w:widowControl/>
              <w:spacing w:line="260" w:lineRule="exact"/>
              <w:rPr>
                <w:kern w:val="0"/>
                <w:sz w:val="20"/>
                <w:szCs w:val="20"/>
              </w:rPr>
            </w:pPr>
            <w:r>
              <w:rPr>
                <w:rFonts w:hint="eastAsia"/>
                <w:kern w:val="0"/>
                <w:sz w:val="20"/>
                <w:szCs w:val="20"/>
              </w:rPr>
              <w:t>重点工作办结率=（重点工作实际完成数/交办或下达数）*100%。重点工作是指党委、政府、人大、相关部门交办或下达的工作任务。重点工作办结率达95%以上计8分，每下降1%扣1分，扣完为止。</w:t>
            </w:r>
          </w:p>
        </w:tc>
        <w:tc>
          <w:tcPr>
            <w:tcW w:w="637" w:type="dxa"/>
            <w:noWrap w:val="0"/>
            <w:vAlign w:val="center"/>
          </w:tcPr>
          <w:p>
            <w:pPr>
              <w:widowControl/>
              <w:spacing w:line="260" w:lineRule="exact"/>
              <w:jc w:val="center"/>
              <w:rPr>
                <w:kern w:val="0"/>
                <w:sz w:val="20"/>
                <w:szCs w:val="20"/>
              </w:rPr>
            </w:pPr>
            <w:r>
              <w:rPr>
                <w:rFonts w:hint="eastAsia"/>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restart"/>
            <w:noWrap w:val="0"/>
            <w:vAlign w:val="center"/>
          </w:tcPr>
          <w:p>
            <w:pPr>
              <w:widowControl/>
              <w:spacing w:line="260" w:lineRule="exact"/>
              <w:rPr>
                <w:kern w:val="0"/>
                <w:sz w:val="20"/>
                <w:szCs w:val="20"/>
              </w:rPr>
            </w:pPr>
            <w:r>
              <w:rPr>
                <w:kern w:val="0"/>
                <w:sz w:val="20"/>
                <w:szCs w:val="20"/>
              </w:rPr>
              <w:t>履职 效益</w:t>
            </w:r>
          </w:p>
        </w:tc>
        <w:tc>
          <w:tcPr>
            <w:tcW w:w="662" w:type="dxa"/>
            <w:vMerge w:val="restart"/>
            <w:noWrap w:val="0"/>
            <w:vAlign w:val="center"/>
          </w:tcPr>
          <w:p>
            <w:pPr>
              <w:widowControl/>
              <w:spacing w:line="260" w:lineRule="exact"/>
              <w:jc w:val="center"/>
              <w:rPr>
                <w:kern w:val="0"/>
                <w:sz w:val="20"/>
                <w:szCs w:val="20"/>
              </w:rPr>
            </w:pPr>
            <w:r>
              <w:rPr>
                <w:rFonts w:hint="eastAsia"/>
                <w:kern w:val="0"/>
                <w:sz w:val="20"/>
                <w:szCs w:val="20"/>
              </w:rPr>
              <w:t>10</w:t>
            </w:r>
          </w:p>
        </w:tc>
        <w:tc>
          <w:tcPr>
            <w:tcW w:w="992" w:type="dxa"/>
            <w:noWrap w:val="0"/>
            <w:vAlign w:val="center"/>
          </w:tcPr>
          <w:p>
            <w:pPr>
              <w:widowControl/>
              <w:spacing w:line="260" w:lineRule="exact"/>
              <w:ind w:left="1" w:leftChars="-13" w:hanging="28" w:hangingChars="14"/>
              <w:jc w:val="center"/>
              <w:rPr>
                <w:kern w:val="0"/>
                <w:sz w:val="20"/>
                <w:szCs w:val="20"/>
              </w:rPr>
            </w:pPr>
            <w:r>
              <w:rPr>
                <w:kern w:val="0"/>
                <w:sz w:val="20"/>
                <w:szCs w:val="20"/>
              </w:rPr>
              <w:t>经济效益</w:t>
            </w:r>
          </w:p>
        </w:tc>
        <w:tc>
          <w:tcPr>
            <w:tcW w:w="600" w:type="dxa"/>
            <w:vMerge w:val="restart"/>
            <w:noWrap w:val="0"/>
            <w:vAlign w:val="center"/>
          </w:tcPr>
          <w:p>
            <w:pPr>
              <w:widowControl/>
              <w:spacing w:line="260" w:lineRule="exact"/>
              <w:jc w:val="center"/>
              <w:rPr>
                <w:kern w:val="0"/>
                <w:sz w:val="20"/>
                <w:szCs w:val="20"/>
              </w:rPr>
            </w:pPr>
            <w:r>
              <w:rPr>
                <w:rFonts w:hint="eastAsia"/>
                <w:kern w:val="0"/>
                <w:sz w:val="20"/>
                <w:szCs w:val="20"/>
              </w:rPr>
              <w:t>10</w:t>
            </w:r>
          </w:p>
        </w:tc>
        <w:tc>
          <w:tcPr>
            <w:tcW w:w="6147" w:type="dxa"/>
            <w:gridSpan w:val="2"/>
            <w:vMerge w:val="restart"/>
            <w:noWrap w:val="0"/>
            <w:vAlign w:val="center"/>
          </w:tcPr>
          <w:p>
            <w:pPr>
              <w:pStyle w:val="9"/>
              <w:widowControl/>
              <w:ind w:firstLine="0" w:firstLineChars="0"/>
              <w:jc w:val="left"/>
              <w:rPr>
                <w:bCs/>
                <w:kern w:val="0"/>
                <w:sz w:val="20"/>
                <w:szCs w:val="20"/>
                <w:lang w:bidi="ar"/>
              </w:rPr>
            </w:pPr>
            <w:r>
              <w:rPr>
                <w:rFonts w:hint="eastAsia" w:ascii="宋体" w:hAnsi="宋体" w:cs="宋体"/>
                <w:kern w:val="0"/>
                <w:sz w:val="20"/>
                <w:szCs w:val="20"/>
              </w:rPr>
              <w:t>①</w:t>
            </w:r>
            <w:r>
              <w:rPr>
                <w:rFonts w:hint="eastAsia"/>
                <w:bCs/>
                <w:kern w:val="0"/>
                <w:sz w:val="20"/>
                <w:szCs w:val="20"/>
                <w:lang w:bidi="ar"/>
              </w:rPr>
              <w:t>推进档案信息化建设，进一步丰富和完善档案馆藏，有序推进（2.5分）</w:t>
            </w:r>
            <w:r>
              <w:rPr>
                <w:bCs/>
                <w:kern w:val="0"/>
                <w:sz w:val="20"/>
                <w:szCs w:val="20"/>
                <w:lang w:bidi="ar"/>
              </w:rPr>
              <w:t>；</w:t>
            </w:r>
          </w:p>
          <w:p>
            <w:pPr>
              <w:pStyle w:val="9"/>
              <w:widowControl/>
              <w:ind w:firstLine="0" w:firstLineChars="0"/>
              <w:jc w:val="left"/>
              <w:rPr>
                <w:rFonts w:hint="eastAsia"/>
                <w:bCs/>
                <w:kern w:val="0"/>
                <w:sz w:val="20"/>
                <w:szCs w:val="20"/>
                <w:lang w:bidi="ar"/>
              </w:rPr>
            </w:pPr>
            <w:r>
              <w:rPr>
                <w:rFonts w:hint="eastAsia"/>
                <w:bCs/>
                <w:kern w:val="0"/>
                <w:sz w:val="20"/>
                <w:szCs w:val="20"/>
                <w:lang w:bidi="ar"/>
              </w:rPr>
              <w:t>②推进安全保密建设，始终不懈地抓好档案库房、档案信息和档案利用的安全工作，确保万无一失，有序推进（2.5分）；</w:t>
            </w:r>
          </w:p>
          <w:p>
            <w:pPr>
              <w:pStyle w:val="9"/>
              <w:widowControl/>
              <w:ind w:firstLine="0" w:firstLineChars="0"/>
              <w:jc w:val="left"/>
              <w:rPr>
                <w:rFonts w:hint="eastAsia"/>
                <w:bCs/>
                <w:kern w:val="0"/>
                <w:sz w:val="20"/>
                <w:szCs w:val="20"/>
                <w:lang w:bidi="ar"/>
              </w:rPr>
            </w:pPr>
            <w:r>
              <w:rPr>
                <w:rFonts w:hint="eastAsia"/>
                <w:bCs/>
                <w:kern w:val="0"/>
                <w:sz w:val="20"/>
                <w:szCs w:val="20"/>
                <w:lang w:bidi="ar"/>
              </w:rPr>
              <w:t>③抓好档案队伍作风建设和人员教育培训。不断提高档案人员的学术水平，有效提升（2.5分）；</w:t>
            </w:r>
          </w:p>
          <w:p>
            <w:pPr>
              <w:pStyle w:val="9"/>
              <w:widowControl/>
              <w:ind w:firstLine="0" w:firstLineChars="0"/>
              <w:jc w:val="left"/>
              <w:rPr>
                <w:bCs/>
                <w:kern w:val="0"/>
                <w:sz w:val="20"/>
                <w:szCs w:val="20"/>
                <w:lang w:bidi="ar"/>
              </w:rPr>
            </w:pPr>
            <w:r>
              <w:rPr>
                <w:rFonts w:hint="eastAsia"/>
                <w:bCs/>
                <w:kern w:val="0"/>
                <w:sz w:val="20"/>
                <w:szCs w:val="20"/>
                <w:lang w:bidi="ar"/>
              </w:rPr>
              <w:t>④提升服务质量，及时帮助群众解难消困，充分利用档案资源为群众做好宣传工作，有效提升（2.5分）。</w:t>
            </w:r>
          </w:p>
          <w:p>
            <w:pPr>
              <w:pStyle w:val="9"/>
              <w:widowControl/>
              <w:ind w:firstLine="0" w:firstLineChars="0"/>
              <w:jc w:val="left"/>
              <w:rPr>
                <w:bCs/>
                <w:kern w:val="0"/>
                <w:sz w:val="20"/>
                <w:szCs w:val="20"/>
                <w:lang w:bidi="ar"/>
              </w:rPr>
            </w:pPr>
            <w:r>
              <w:rPr>
                <w:rFonts w:hint="eastAsia"/>
                <w:bCs/>
                <w:kern w:val="0"/>
                <w:sz w:val="20"/>
                <w:szCs w:val="20"/>
                <w:lang w:bidi="ar"/>
              </w:rPr>
              <w:t>否则酌情扣分。</w:t>
            </w:r>
          </w:p>
        </w:tc>
        <w:tc>
          <w:tcPr>
            <w:tcW w:w="637" w:type="dxa"/>
            <w:vMerge w:val="restart"/>
            <w:noWrap w:val="0"/>
            <w:vAlign w:val="center"/>
          </w:tcPr>
          <w:p>
            <w:pPr>
              <w:spacing w:line="260" w:lineRule="exact"/>
              <w:jc w:val="center"/>
              <w:rPr>
                <w:kern w:val="0"/>
                <w:sz w:val="20"/>
                <w:szCs w:val="20"/>
              </w:rPr>
            </w:pPr>
            <w:r>
              <w:rPr>
                <w:rFonts w:hint="eastAsia"/>
                <w:kern w:val="0"/>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ind w:left="1" w:leftChars="-33" w:hanging="70" w:hangingChars="35"/>
              <w:rPr>
                <w:kern w:val="0"/>
                <w:sz w:val="20"/>
                <w:szCs w:val="20"/>
              </w:rPr>
            </w:pPr>
            <w:r>
              <w:rPr>
                <w:kern w:val="0"/>
                <w:sz w:val="20"/>
                <w:szCs w:val="20"/>
              </w:rPr>
              <w:t>社会效益</w:t>
            </w:r>
          </w:p>
        </w:tc>
        <w:tc>
          <w:tcPr>
            <w:tcW w:w="600" w:type="dxa"/>
            <w:vMerge w:val="continue"/>
            <w:noWrap w:val="0"/>
            <w:vAlign w:val="center"/>
          </w:tcPr>
          <w:p>
            <w:pPr>
              <w:jc w:val="center"/>
              <w:rPr>
                <w:sz w:val="20"/>
                <w:szCs w:val="20"/>
              </w:rPr>
            </w:pPr>
          </w:p>
        </w:tc>
        <w:tc>
          <w:tcPr>
            <w:tcW w:w="6147" w:type="dxa"/>
            <w:gridSpan w:val="2"/>
            <w:vMerge w:val="continue"/>
            <w:noWrap w:val="0"/>
            <w:vAlign w:val="center"/>
          </w:tcPr>
          <w:p>
            <w:pPr>
              <w:rPr>
                <w:sz w:val="20"/>
                <w:szCs w:val="20"/>
              </w:rPr>
            </w:pPr>
          </w:p>
        </w:tc>
        <w:tc>
          <w:tcPr>
            <w:tcW w:w="637" w:type="dxa"/>
            <w:vMerge w:val="continue"/>
            <w:noWrap w:val="0"/>
            <w:vAlign w:val="center"/>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restart"/>
            <w:noWrap w:val="0"/>
            <w:vAlign w:val="center"/>
          </w:tcPr>
          <w:p>
            <w:pPr>
              <w:widowControl/>
              <w:spacing w:line="260" w:lineRule="exact"/>
              <w:jc w:val="center"/>
              <w:rPr>
                <w:kern w:val="0"/>
                <w:sz w:val="20"/>
                <w:szCs w:val="20"/>
              </w:rPr>
            </w:pPr>
            <w:r>
              <w:rPr>
                <w:rFonts w:hint="eastAsia"/>
                <w:kern w:val="0"/>
                <w:sz w:val="20"/>
                <w:szCs w:val="20"/>
              </w:rPr>
              <w:t>12</w:t>
            </w:r>
          </w:p>
        </w:tc>
        <w:tc>
          <w:tcPr>
            <w:tcW w:w="992" w:type="dxa"/>
            <w:noWrap w:val="0"/>
            <w:vAlign w:val="center"/>
          </w:tcPr>
          <w:p>
            <w:pPr>
              <w:widowControl/>
              <w:spacing w:line="260" w:lineRule="exact"/>
              <w:ind w:right="-38" w:rightChars="-18"/>
              <w:rPr>
                <w:kern w:val="0"/>
                <w:sz w:val="20"/>
                <w:szCs w:val="20"/>
              </w:rPr>
            </w:pPr>
            <w:r>
              <w:rPr>
                <w:kern w:val="0"/>
                <w:sz w:val="20"/>
                <w:szCs w:val="20"/>
              </w:rPr>
              <w:t>行政效能</w:t>
            </w:r>
          </w:p>
        </w:tc>
        <w:tc>
          <w:tcPr>
            <w:tcW w:w="600" w:type="dxa"/>
            <w:noWrap w:val="0"/>
            <w:vAlign w:val="center"/>
          </w:tcPr>
          <w:p>
            <w:pPr>
              <w:widowControl/>
              <w:spacing w:line="260" w:lineRule="exact"/>
              <w:jc w:val="center"/>
              <w:rPr>
                <w:kern w:val="0"/>
                <w:sz w:val="20"/>
                <w:szCs w:val="20"/>
              </w:rPr>
            </w:pPr>
            <w:r>
              <w:rPr>
                <w:rFonts w:hint="eastAsia"/>
                <w:kern w:val="0"/>
                <w:sz w:val="20"/>
                <w:szCs w:val="20"/>
              </w:rPr>
              <w:t>6</w:t>
            </w:r>
          </w:p>
        </w:tc>
        <w:tc>
          <w:tcPr>
            <w:tcW w:w="2664" w:type="dxa"/>
            <w:noWrap w:val="0"/>
            <w:vAlign w:val="center"/>
          </w:tcPr>
          <w:p>
            <w:pPr>
              <w:widowControl/>
              <w:spacing w:line="260" w:lineRule="exact"/>
              <w:rPr>
                <w:rFonts w:hint="eastAsia"/>
                <w:bCs/>
                <w:kern w:val="0"/>
                <w:sz w:val="20"/>
                <w:szCs w:val="20"/>
                <w:lang w:bidi="ar"/>
              </w:rPr>
            </w:pPr>
            <w:r>
              <w:rPr>
                <w:rFonts w:hint="eastAsia"/>
                <w:bCs/>
                <w:kern w:val="0"/>
                <w:sz w:val="20"/>
                <w:szCs w:val="20"/>
                <w:lang w:bidi="ar"/>
              </w:rPr>
              <w:t>促进部门改进文风，加强经费及资产管理，提高行政效率，降低行政成本效果较好的计6分；一般3分；无效果或者效果不明显0分。</w:t>
            </w:r>
          </w:p>
        </w:tc>
        <w:tc>
          <w:tcPr>
            <w:tcW w:w="3483" w:type="dxa"/>
            <w:noWrap w:val="0"/>
            <w:vAlign w:val="center"/>
          </w:tcPr>
          <w:p>
            <w:pPr>
              <w:widowControl/>
              <w:spacing w:line="260" w:lineRule="exact"/>
              <w:rPr>
                <w:rFonts w:hint="eastAsia"/>
                <w:bCs/>
                <w:kern w:val="0"/>
                <w:sz w:val="20"/>
                <w:szCs w:val="20"/>
                <w:lang w:bidi="ar"/>
              </w:rPr>
            </w:pPr>
            <w:r>
              <w:rPr>
                <w:rFonts w:hint="eastAsia"/>
                <w:bCs/>
                <w:kern w:val="0"/>
                <w:sz w:val="20"/>
                <w:szCs w:val="20"/>
                <w:lang w:bidi="ar"/>
              </w:rPr>
              <w:t>根据部门自评材料评定。</w:t>
            </w:r>
          </w:p>
        </w:tc>
        <w:tc>
          <w:tcPr>
            <w:tcW w:w="637" w:type="dxa"/>
            <w:noWrap w:val="0"/>
            <w:vAlign w:val="center"/>
          </w:tcPr>
          <w:p>
            <w:pPr>
              <w:widowControl/>
              <w:spacing w:line="260" w:lineRule="exact"/>
              <w:jc w:val="center"/>
              <w:rPr>
                <w:kern w:val="0"/>
                <w:sz w:val="20"/>
                <w:szCs w:val="20"/>
              </w:rPr>
            </w:pPr>
            <w:r>
              <w:rPr>
                <w:rFonts w:hint="eastAsia"/>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659" w:type="dxa"/>
            <w:vMerge w:val="continue"/>
            <w:noWrap w:val="0"/>
            <w:vAlign w:val="center"/>
          </w:tcPr>
          <w:p>
            <w:pPr>
              <w:rPr>
                <w:sz w:val="20"/>
                <w:szCs w:val="20"/>
              </w:rPr>
            </w:pPr>
          </w:p>
        </w:tc>
        <w:tc>
          <w:tcPr>
            <w:tcW w:w="470" w:type="dxa"/>
            <w:vMerge w:val="continue"/>
            <w:noWrap w:val="0"/>
            <w:vAlign w:val="center"/>
          </w:tcPr>
          <w:p>
            <w:pPr>
              <w:rPr>
                <w:sz w:val="20"/>
                <w:szCs w:val="20"/>
              </w:rPr>
            </w:pPr>
          </w:p>
        </w:tc>
        <w:tc>
          <w:tcPr>
            <w:tcW w:w="577" w:type="dxa"/>
            <w:vMerge w:val="continue"/>
            <w:noWrap w:val="0"/>
            <w:vAlign w:val="center"/>
          </w:tcPr>
          <w:p>
            <w:pPr>
              <w:rPr>
                <w:sz w:val="20"/>
                <w:szCs w:val="20"/>
              </w:rPr>
            </w:pPr>
          </w:p>
        </w:tc>
        <w:tc>
          <w:tcPr>
            <w:tcW w:w="662" w:type="dxa"/>
            <w:vMerge w:val="continue"/>
            <w:noWrap w:val="0"/>
            <w:vAlign w:val="center"/>
          </w:tcPr>
          <w:p>
            <w:pPr>
              <w:jc w:val="center"/>
              <w:rPr>
                <w:sz w:val="20"/>
                <w:szCs w:val="20"/>
              </w:rPr>
            </w:pPr>
          </w:p>
        </w:tc>
        <w:tc>
          <w:tcPr>
            <w:tcW w:w="992" w:type="dxa"/>
            <w:noWrap w:val="0"/>
            <w:vAlign w:val="center"/>
          </w:tcPr>
          <w:p>
            <w:pPr>
              <w:widowControl/>
              <w:spacing w:line="260" w:lineRule="exact"/>
              <w:rPr>
                <w:kern w:val="0"/>
                <w:sz w:val="20"/>
                <w:szCs w:val="20"/>
              </w:rPr>
            </w:pPr>
            <w:r>
              <w:rPr>
                <w:kern w:val="0"/>
                <w:sz w:val="20"/>
                <w:szCs w:val="20"/>
              </w:rPr>
              <w:t>社会公众或服务对象满意度</w:t>
            </w:r>
          </w:p>
        </w:tc>
        <w:tc>
          <w:tcPr>
            <w:tcW w:w="600" w:type="dxa"/>
            <w:noWrap w:val="0"/>
            <w:vAlign w:val="center"/>
          </w:tcPr>
          <w:p>
            <w:pPr>
              <w:widowControl/>
              <w:spacing w:line="260" w:lineRule="exact"/>
              <w:jc w:val="center"/>
              <w:rPr>
                <w:kern w:val="0"/>
                <w:sz w:val="20"/>
                <w:szCs w:val="20"/>
              </w:rPr>
            </w:pPr>
            <w:r>
              <w:rPr>
                <w:rFonts w:hint="eastAsia"/>
                <w:kern w:val="0"/>
                <w:sz w:val="20"/>
                <w:szCs w:val="20"/>
              </w:rPr>
              <w:t>6</w:t>
            </w:r>
          </w:p>
        </w:tc>
        <w:tc>
          <w:tcPr>
            <w:tcW w:w="2664" w:type="dxa"/>
            <w:noWrap w:val="0"/>
            <w:vAlign w:val="center"/>
          </w:tcPr>
          <w:p>
            <w:pPr>
              <w:widowControl/>
              <w:spacing w:line="260" w:lineRule="exact"/>
              <w:rPr>
                <w:rFonts w:hint="eastAsia"/>
                <w:kern w:val="0"/>
                <w:sz w:val="20"/>
                <w:szCs w:val="20"/>
              </w:rPr>
            </w:pPr>
            <w:r>
              <w:rPr>
                <w:rFonts w:hint="eastAsia"/>
                <w:kern w:val="0"/>
                <w:sz w:val="20"/>
                <w:szCs w:val="20"/>
              </w:rPr>
              <w:t>90%（含）以上计6分；</w:t>
            </w:r>
          </w:p>
          <w:p>
            <w:pPr>
              <w:widowControl/>
              <w:spacing w:line="260" w:lineRule="exact"/>
              <w:rPr>
                <w:rFonts w:hint="eastAsia"/>
                <w:kern w:val="0"/>
                <w:sz w:val="20"/>
                <w:szCs w:val="20"/>
              </w:rPr>
            </w:pPr>
            <w:r>
              <w:rPr>
                <w:rFonts w:hint="eastAsia"/>
                <w:kern w:val="0"/>
                <w:sz w:val="20"/>
                <w:szCs w:val="20"/>
              </w:rPr>
              <w:t>80%（含）-90%，计4分；</w:t>
            </w:r>
          </w:p>
          <w:p>
            <w:pPr>
              <w:widowControl/>
              <w:spacing w:line="260" w:lineRule="exact"/>
              <w:rPr>
                <w:rFonts w:hint="eastAsia"/>
                <w:kern w:val="0"/>
                <w:sz w:val="20"/>
                <w:szCs w:val="20"/>
              </w:rPr>
            </w:pPr>
            <w:r>
              <w:rPr>
                <w:rFonts w:hint="eastAsia"/>
                <w:kern w:val="0"/>
                <w:sz w:val="20"/>
                <w:szCs w:val="20"/>
              </w:rPr>
              <w:t>70%（含）-80%，计2分；</w:t>
            </w:r>
          </w:p>
          <w:p>
            <w:pPr>
              <w:widowControl/>
              <w:spacing w:line="260" w:lineRule="exact"/>
              <w:rPr>
                <w:kern w:val="0"/>
                <w:sz w:val="20"/>
                <w:szCs w:val="20"/>
              </w:rPr>
            </w:pPr>
            <w:r>
              <w:rPr>
                <w:rFonts w:hint="eastAsia"/>
                <w:kern w:val="0"/>
                <w:sz w:val="20"/>
                <w:szCs w:val="20"/>
              </w:rPr>
              <w:t>低于70%计0分。</w:t>
            </w:r>
          </w:p>
        </w:tc>
        <w:tc>
          <w:tcPr>
            <w:tcW w:w="3483" w:type="dxa"/>
            <w:noWrap w:val="0"/>
            <w:vAlign w:val="center"/>
          </w:tcPr>
          <w:p>
            <w:pPr>
              <w:widowControl/>
              <w:spacing w:line="260" w:lineRule="exact"/>
              <w:rPr>
                <w:kern w:val="0"/>
                <w:sz w:val="20"/>
                <w:szCs w:val="20"/>
              </w:rPr>
            </w:pPr>
            <w:r>
              <w:rPr>
                <w:kern w:val="0"/>
                <w:sz w:val="20"/>
                <w:szCs w:val="20"/>
              </w:rPr>
              <w:t>社会公众或服务对象是指部门（单位）履行职责而影响到的部门、群体或个人，一般采取社会调查的方式。</w:t>
            </w:r>
          </w:p>
        </w:tc>
        <w:tc>
          <w:tcPr>
            <w:tcW w:w="637" w:type="dxa"/>
            <w:noWrap w:val="0"/>
            <w:vAlign w:val="center"/>
          </w:tcPr>
          <w:p>
            <w:pPr>
              <w:widowControl/>
              <w:spacing w:line="260" w:lineRule="exact"/>
              <w:jc w:val="center"/>
              <w:rPr>
                <w:kern w:val="0"/>
                <w:sz w:val="20"/>
                <w:szCs w:val="20"/>
              </w:rPr>
            </w:pPr>
            <w:r>
              <w:rPr>
                <w:rFonts w:hint="eastAsia"/>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6" w:type="dxa"/>
            <w:gridSpan w:val="3"/>
            <w:noWrap w:val="0"/>
            <w:vAlign w:val="center"/>
          </w:tcPr>
          <w:p>
            <w:pPr>
              <w:spacing w:line="260" w:lineRule="exact"/>
              <w:jc w:val="center"/>
              <w:rPr>
                <w:bCs/>
                <w:kern w:val="0"/>
                <w:sz w:val="20"/>
                <w:szCs w:val="20"/>
              </w:rPr>
            </w:pPr>
            <w:r>
              <w:rPr>
                <w:kern w:val="0"/>
                <w:sz w:val="20"/>
                <w:szCs w:val="20"/>
              </w:rPr>
              <w:t>合计</w:t>
            </w:r>
          </w:p>
        </w:tc>
        <w:tc>
          <w:tcPr>
            <w:tcW w:w="662" w:type="dxa"/>
            <w:noWrap w:val="0"/>
            <w:vAlign w:val="center"/>
          </w:tcPr>
          <w:p>
            <w:pPr>
              <w:widowControl/>
              <w:spacing w:line="260" w:lineRule="exact"/>
              <w:jc w:val="center"/>
              <w:rPr>
                <w:kern w:val="0"/>
                <w:sz w:val="20"/>
                <w:szCs w:val="20"/>
              </w:rPr>
            </w:pPr>
            <w:r>
              <w:rPr>
                <w:kern w:val="0"/>
                <w:sz w:val="20"/>
                <w:szCs w:val="20"/>
              </w:rPr>
              <w:t>100</w:t>
            </w:r>
          </w:p>
        </w:tc>
        <w:tc>
          <w:tcPr>
            <w:tcW w:w="992" w:type="dxa"/>
            <w:noWrap w:val="0"/>
            <w:vAlign w:val="center"/>
          </w:tcPr>
          <w:p>
            <w:pPr>
              <w:widowControl/>
              <w:spacing w:line="260" w:lineRule="exact"/>
              <w:rPr>
                <w:kern w:val="0"/>
                <w:sz w:val="20"/>
                <w:szCs w:val="20"/>
              </w:rPr>
            </w:pPr>
          </w:p>
        </w:tc>
        <w:tc>
          <w:tcPr>
            <w:tcW w:w="600" w:type="dxa"/>
            <w:noWrap w:val="0"/>
            <w:vAlign w:val="center"/>
          </w:tcPr>
          <w:p>
            <w:pPr>
              <w:widowControl/>
              <w:spacing w:line="260" w:lineRule="exact"/>
              <w:jc w:val="center"/>
              <w:rPr>
                <w:kern w:val="0"/>
                <w:sz w:val="20"/>
                <w:szCs w:val="20"/>
              </w:rPr>
            </w:pPr>
            <w:r>
              <w:rPr>
                <w:kern w:val="0"/>
                <w:sz w:val="20"/>
                <w:szCs w:val="20"/>
              </w:rPr>
              <w:t>100</w:t>
            </w:r>
          </w:p>
        </w:tc>
        <w:tc>
          <w:tcPr>
            <w:tcW w:w="6147" w:type="dxa"/>
            <w:gridSpan w:val="2"/>
            <w:noWrap w:val="0"/>
            <w:vAlign w:val="center"/>
          </w:tcPr>
          <w:p>
            <w:pPr>
              <w:widowControl/>
              <w:spacing w:line="260" w:lineRule="exact"/>
              <w:rPr>
                <w:kern w:val="0"/>
                <w:sz w:val="20"/>
                <w:szCs w:val="20"/>
              </w:rPr>
            </w:pPr>
          </w:p>
        </w:tc>
        <w:tc>
          <w:tcPr>
            <w:tcW w:w="637" w:type="dxa"/>
            <w:noWrap w:val="0"/>
            <w:vAlign w:val="center"/>
          </w:tcPr>
          <w:p>
            <w:pPr>
              <w:widowControl/>
              <w:spacing w:line="260" w:lineRule="exact"/>
              <w:jc w:val="center"/>
              <w:rPr>
                <w:kern w:val="0"/>
                <w:sz w:val="20"/>
                <w:szCs w:val="20"/>
              </w:rPr>
            </w:pPr>
            <w:r>
              <w:rPr>
                <w:kern w:val="0"/>
                <w:sz w:val="20"/>
                <w:szCs w:val="20"/>
              </w:rPr>
              <w:t>97</w:t>
            </w:r>
          </w:p>
        </w:tc>
      </w:tr>
    </w:tbl>
    <w:p>
      <w:pPr>
        <w:spacing w:after="156" w:afterLines="50" w:line="600" w:lineRule="exact"/>
        <w:rPr>
          <w:rFonts w:eastAsia="黑体"/>
          <w:sz w:val="32"/>
          <w:szCs w:val="32"/>
        </w:rPr>
      </w:pPr>
    </w:p>
    <w:p>
      <w:pPr>
        <w:spacing w:after="156" w:afterLines="50" w:line="600" w:lineRule="exact"/>
        <w:rPr>
          <w:rFonts w:hint="eastAsia" w:eastAsia="黑体"/>
          <w:sz w:val="32"/>
          <w:szCs w:val="32"/>
        </w:rPr>
      </w:pPr>
      <w:r>
        <w:rPr>
          <w:rFonts w:eastAsia="黑体"/>
          <w:sz w:val="32"/>
          <w:szCs w:val="32"/>
        </w:rPr>
        <w:t>附件</w:t>
      </w:r>
      <w:r>
        <w:rPr>
          <w:rFonts w:hint="eastAsia" w:eastAsia="黑体"/>
          <w:sz w:val="32"/>
          <w:szCs w:val="32"/>
        </w:rPr>
        <w:t>2</w:t>
      </w:r>
    </w:p>
    <w:p>
      <w:pPr>
        <w:spacing w:after="156" w:afterLines="50" w:line="600" w:lineRule="exact"/>
        <w:jc w:val="center"/>
        <w:rPr>
          <w:rFonts w:eastAsia="方正小标宋_GBK"/>
          <w:sz w:val="36"/>
          <w:szCs w:val="36"/>
        </w:rPr>
      </w:pPr>
      <w:r>
        <w:rPr>
          <w:rFonts w:eastAsia="方正小标宋_GBK"/>
          <w:sz w:val="36"/>
          <w:szCs w:val="36"/>
        </w:rPr>
        <w:t>部门整体支出绩效评价基础数据表</w:t>
      </w:r>
    </w:p>
    <w:p>
      <w:pPr>
        <w:pStyle w:val="4"/>
        <w:jc w:val="right"/>
        <w:rPr>
          <w:rFonts w:hint="eastAsia" w:eastAsia="方正小标宋_GBK"/>
          <w:szCs w:val="18"/>
        </w:rPr>
      </w:pPr>
      <w:r>
        <w:rPr>
          <w:rFonts w:hint="eastAsia" w:eastAsia="方正小标宋_GBK"/>
          <w:szCs w:val="18"/>
        </w:rPr>
        <w:t>单位：万元</w:t>
      </w:r>
    </w:p>
    <w:tbl>
      <w:tblPr>
        <w:tblStyle w:val="6"/>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 w:val="20"/>
                <w:szCs w:val="20"/>
              </w:rPr>
            </w:pPr>
            <w:r>
              <w:rPr>
                <w:rFonts w:eastAsia="仿宋_GB2312"/>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b/>
                <w:bCs/>
                <w:sz w:val="20"/>
                <w:szCs w:val="20"/>
              </w:rPr>
            </w:pPr>
            <w:r>
              <w:rPr>
                <w:rFonts w:eastAsia="仿宋_GB2312"/>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b/>
                <w:bCs/>
                <w:sz w:val="20"/>
                <w:szCs w:val="20"/>
              </w:rPr>
            </w:pPr>
            <w:r>
              <w:rPr>
                <w:rFonts w:eastAsia="仿宋_GB2312"/>
                <w:b/>
                <w:bCs/>
                <w:sz w:val="20"/>
                <w:szCs w:val="20"/>
              </w:rPr>
              <w:t>2022年实际在职人数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b/>
                <w:bCs/>
                <w:sz w:val="20"/>
                <w:szCs w:val="20"/>
              </w:rPr>
            </w:pPr>
            <w:r>
              <w:rPr>
                <w:rFonts w:eastAsia="仿宋_GB2312"/>
                <w:b/>
                <w:bCs/>
                <w:sz w:val="20"/>
                <w:szCs w:val="20"/>
              </w:rPr>
              <w:t>控制率</w:t>
            </w:r>
          </w:p>
        </w:tc>
      </w:tr>
      <w:tr>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sz w:val="20"/>
                <w:szCs w:val="20"/>
              </w:rPr>
            </w:pPr>
            <w:r>
              <w:rPr>
                <w:rFonts w:eastAsia="仿宋_GB2312"/>
                <w:sz w:val="20"/>
                <w:szCs w:val="20"/>
              </w:rPr>
              <w:t>　</w:t>
            </w:r>
            <w:r>
              <w:rPr>
                <w:rFonts w:hint="eastAsia" w:eastAsia="仿宋_GB2312"/>
                <w:sz w:val="20"/>
                <w:szCs w:val="20"/>
              </w:rPr>
              <w:t>18</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sz w:val="20"/>
                <w:szCs w:val="20"/>
              </w:rPr>
            </w:pPr>
            <w:r>
              <w:rPr>
                <w:rFonts w:eastAsia="仿宋_GB2312"/>
                <w:sz w:val="20"/>
                <w:szCs w:val="20"/>
              </w:rPr>
              <w:t>　</w:t>
            </w:r>
            <w:r>
              <w:rPr>
                <w:rFonts w:hint="eastAsia" w:eastAsia="仿宋_GB2312"/>
                <w:sz w:val="20"/>
                <w:szCs w:val="20"/>
              </w:rPr>
              <w:t>18</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sz w:val="20"/>
                <w:szCs w:val="20"/>
              </w:rPr>
            </w:pPr>
            <w:r>
              <w:rPr>
                <w:rFonts w:hint="eastAsia" w:eastAsia="仿宋_GB2312"/>
                <w:sz w:val="20"/>
                <w:szCs w:val="20"/>
              </w:rPr>
              <w:t>100%</w:t>
            </w:r>
            <w:r>
              <w:rPr>
                <w:rFonts w:eastAsia="仿宋_GB2312"/>
                <w:sz w:val="20"/>
                <w:szCs w:val="20"/>
              </w:rPr>
              <w:t>　</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eastAsia="仿宋_GB2312"/>
                <w:sz w:val="20"/>
                <w:szCs w:val="20"/>
              </w:rPr>
            </w:pPr>
            <w:r>
              <w:rPr>
                <w:rFonts w:eastAsia="仿宋_GB2312"/>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b/>
                <w:bCs/>
                <w:sz w:val="20"/>
                <w:szCs w:val="20"/>
              </w:rPr>
            </w:pPr>
            <w:r>
              <w:rPr>
                <w:rFonts w:eastAsia="仿宋_GB2312"/>
                <w:b/>
                <w:bCs/>
                <w:sz w:val="20"/>
                <w:szCs w:val="20"/>
              </w:rPr>
              <w:t>2021年决算数</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b/>
                <w:bCs/>
                <w:sz w:val="20"/>
                <w:szCs w:val="20"/>
              </w:rPr>
            </w:pPr>
            <w:r>
              <w:rPr>
                <w:rFonts w:eastAsia="仿宋_GB2312"/>
                <w:b/>
                <w:bCs/>
                <w:sz w:val="20"/>
                <w:szCs w:val="20"/>
              </w:rPr>
              <w:t>2022年预算数</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b/>
                <w:bCs/>
                <w:sz w:val="20"/>
                <w:szCs w:val="20"/>
              </w:rPr>
            </w:pPr>
            <w:r>
              <w:rPr>
                <w:rFonts w:eastAsia="仿宋_GB2312"/>
                <w:b/>
                <w:bCs/>
                <w:sz w:val="20"/>
                <w:szCs w:val="20"/>
              </w:rPr>
              <w:t>2022年决算数</w:t>
            </w:r>
          </w:p>
        </w:tc>
      </w:tr>
      <w:tr>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4.40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5.50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hint="eastAsia" w:eastAsia="仿宋_GB2312"/>
                <w:szCs w:val="21"/>
              </w:rPr>
              <w:t>2</w:t>
            </w:r>
            <w:r>
              <w:rPr>
                <w:rFonts w:eastAsia="仿宋_GB2312"/>
                <w:szCs w:val="21"/>
              </w:rPr>
              <w:t>.44</w:t>
            </w:r>
          </w:p>
        </w:tc>
      </w:tr>
      <w:tr>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3.62</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4.00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hint="eastAsia" w:eastAsia="仿宋_GB2312"/>
                <w:szCs w:val="21"/>
              </w:rPr>
              <w:t>2</w:t>
            </w:r>
            <w:r>
              <w:rPr>
                <w:rFonts w:eastAsia="仿宋_GB2312"/>
                <w:szCs w:val="21"/>
              </w:rPr>
              <w:t>.37</w:t>
            </w:r>
          </w:p>
        </w:tc>
      </w:tr>
      <w:tr>
        <w:tblPrEx>
          <w:tblCellMar>
            <w:top w:w="0" w:type="dxa"/>
            <w:left w:w="108" w:type="dxa"/>
            <w:bottom w:w="0" w:type="dxa"/>
            <w:right w:w="108" w:type="dxa"/>
          </w:tblCellMar>
        </w:tblPrEx>
        <w:trPr>
          <w:trHeight w:val="27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r>
      <w:tr>
        <w:tblPrEx>
          <w:tblCellMar>
            <w:top w:w="0" w:type="dxa"/>
            <w:left w:w="108" w:type="dxa"/>
            <w:bottom w:w="0" w:type="dxa"/>
            <w:right w:w="108" w:type="dxa"/>
          </w:tblCellMar>
        </w:tblPrEx>
        <w:trPr>
          <w:trHeight w:val="33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3.62</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4.00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hint="eastAsia" w:eastAsia="仿宋_GB2312"/>
                <w:szCs w:val="21"/>
              </w:rPr>
              <w:t>2</w:t>
            </w:r>
            <w:r>
              <w:rPr>
                <w:rFonts w:eastAsia="仿宋_GB2312"/>
                <w:szCs w:val="21"/>
              </w:rPr>
              <w:t>.37</w:t>
            </w:r>
          </w:p>
        </w:tc>
      </w:tr>
      <w:tr>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r>
      <w:tr>
        <w:tblPrEx>
          <w:tblCellMar>
            <w:top w:w="0" w:type="dxa"/>
            <w:left w:w="108" w:type="dxa"/>
            <w:bottom w:w="0" w:type="dxa"/>
            <w:right w:w="108" w:type="dxa"/>
          </w:tblCellMar>
        </w:tblPrEx>
        <w:trPr>
          <w:trHeight w:val="33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0.78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1.50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hint="eastAsia" w:eastAsia="仿宋_GB2312"/>
                <w:szCs w:val="21"/>
              </w:rPr>
              <w:t>0</w:t>
            </w:r>
            <w:r>
              <w:rPr>
                <w:rFonts w:eastAsia="仿宋_GB2312"/>
                <w:szCs w:val="21"/>
              </w:rPr>
              <w:t>.07</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63.10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hint="eastAsia" w:eastAsia="仿宋_GB2312"/>
                <w:szCs w:val="21"/>
              </w:rPr>
              <w:t>36.60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72.23</w:t>
            </w:r>
          </w:p>
        </w:tc>
      </w:tr>
      <w:tr>
        <w:tblPrEx>
          <w:tblCellMar>
            <w:top w:w="0" w:type="dxa"/>
            <w:left w:w="108" w:type="dxa"/>
            <w:bottom w:w="0" w:type="dxa"/>
            <w:right w:w="108" w:type="dxa"/>
          </w:tblCellMar>
        </w:tblPrEx>
        <w:trPr>
          <w:trHeight w:val="33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1、</w:t>
            </w:r>
            <w:r>
              <w:rPr>
                <w:rFonts w:hint="eastAsia" w:eastAsia="仿宋_GB2312"/>
                <w:sz w:val="20"/>
                <w:szCs w:val="20"/>
              </w:rPr>
              <w:t>专项</w:t>
            </w:r>
            <w:r>
              <w:rPr>
                <w:rFonts w:eastAsia="仿宋_GB2312"/>
                <w:sz w:val="20"/>
                <w:szCs w:val="20"/>
              </w:rPr>
              <w:t>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r>
      <w:tr>
        <w:tblPrEx>
          <w:tblCellMar>
            <w:top w:w="0" w:type="dxa"/>
            <w:left w:w="108" w:type="dxa"/>
            <w:bottom w:w="0" w:type="dxa"/>
            <w:right w:w="108" w:type="dxa"/>
          </w:tblCellMar>
        </w:tblPrEx>
        <w:trPr>
          <w:trHeight w:val="352"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r>
      <w:tr>
        <w:tblPrEx>
          <w:tblCellMar>
            <w:top w:w="0" w:type="dxa"/>
            <w:left w:w="108" w:type="dxa"/>
            <w:bottom w:w="0" w:type="dxa"/>
            <w:right w:w="108" w:type="dxa"/>
          </w:tblCellMar>
        </w:tblPrEx>
        <w:trPr>
          <w:trHeight w:val="30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ind w:firstLine="400" w:firstLineChars="200"/>
              <w:jc w:val="left"/>
              <w:rPr>
                <w:rFonts w:eastAsia="仿宋_GB2312"/>
                <w:sz w:val="20"/>
                <w:szCs w:val="20"/>
              </w:rPr>
            </w:pPr>
            <w:r>
              <w:rPr>
                <w:rFonts w:eastAsia="仿宋_GB2312"/>
                <w:sz w:val="20"/>
                <w:szCs w:val="20"/>
              </w:rPr>
              <w:t>3、专项资金</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r>
              <w:rPr>
                <w:rFonts w:hint="eastAsia" w:eastAsia="仿宋_GB2312"/>
                <w:szCs w:val="21"/>
              </w:rPr>
              <w:t>　6</w:t>
            </w:r>
            <w:r>
              <w:rPr>
                <w:rFonts w:eastAsia="仿宋_GB2312"/>
                <w:szCs w:val="21"/>
              </w:rPr>
              <w:t>3.10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r>
              <w:rPr>
                <w:rFonts w:eastAsia="仿宋_GB2312"/>
                <w:szCs w:val="21"/>
              </w:rPr>
              <w:t>72.23</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eastAsia="仿宋_GB2312"/>
                <w:sz w:val="20"/>
                <w:szCs w:val="20"/>
              </w:rPr>
            </w:pPr>
            <w:r>
              <w:rPr>
                <w:rFonts w:hint="eastAsia" w:eastAsia="仿宋_GB2312"/>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50.40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27</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31.13</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3.45</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14.55</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1.89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4.16</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0.00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2.51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0.08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hint="eastAsia" w:eastAsia="仿宋_GB2312"/>
                <w:szCs w:val="21"/>
              </w:rPr>
              <w:t>0.00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0.09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r>
              <w:rPr>
                <w:rFonts w:hint="eastAsia" w:eastAsia="仿宋_GB2312"/>
                <w:szCs w:val="21"/>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51.30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51.30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eastAsia="仿宋_GB2312"/>
                <w:szCs w:val="21"/>
              </w:rPr>
            </w:pPr>
            <w:r>
              <w:rPr>
                <w:rFonts w:hint="eastAsia" w:eastAsia="仿宋_GB2312"/>
                <w:szCs w:val="21"/>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123.50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eastAsia="仿宋_GB2312"/>
                <w:szCs w:val="21"/>
              </w:rPr>
            </w:pPr>
            <w:r>
              <w:rPr>
                <w:rFonts w:eastAsia="仿宋_GB2312"/>
                <w:szCs w:val="21"/>
              </w:rPr>
              <w:t>123.50</w:t>
            </w:r>
          </w:p>
        </w:tc>
      </w:tr>
      <w:tr>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eastAsia="仿宋_GB2312"/>
                <w:sz w:val="20"/>
                <w:szCs w:val="20"/>
              </w:rPr>
            </w:pPr>
            <w:r>
              <w:rPr>
                <w:rFonts w:eastAsia="仿宋_GB2312"/>
                <w:sz w:val="20"/>
                <w:szCs w:val="20"/>
              </w:rPr>
              <w:t>楼堂馆所控制情况</w:t>
            </w:r>
            <w:r>
              <w:rPr>
                <w:rFonts w:eastAsia="仿宋_GB2312"/>
                <w:sz w:val="20"/>
                <w:szCs w:val="20"/>
              </w:rPr>
              <w:br w:type="textWrapping"/>
            </w:r>
            <w:r>
              <w:rPr>
                <w:rFonts w:eastAsia="仿宋_GB2312"/>
                <w:sz w:val="20"/>
                <w:szCs w:val="20"/>
              </w:rPr>
              <w:t>（2021年完工项目）</w:t>
            </w:r>
          </w:p>
        </w:tc>
        <w:tc>
          <w:tcPr>
            <w:tcW w:w="1189" w:type="dxa"/>
            <w:tcBorders>
              <w:top w:val="nil"/>
              <w:left w:val="nil"/>
              <w:bottom w:val="single" w:color="auto" w:sz="4" w:space="0"/>
              <w:right w:val="single" w:color="auto" w:sz="4" w:space="0"/>
            </w:tcBorders>
            <w:noWrap w:val="0"/>
            <w:vAlign w:val="center"/>
          </w:tcPr>
          <w:p>
            <w:pPr>
              <w:widowControl/>
              <w:spacing w:line="240" w:lineRule="exact"/>
              <w:jc w:val="center"/>
              <w:rPr>
                <w:rFonts w:eastAsia="仿宋_GB2312"/>
                <w:bCs/>
                <w:sz w:val="20"/>
                <w:szCs w:val="20"/>
              </w:rPr>
            </w:pPr>
            <w:r>
              <w:rPr>
                <w:rFonts w:eastAsia="仿宋_GB2312"/>
                <w:bCs/>
                <w:sz w:val="20"/>
                <w:szCs w:val="20"/>
              </w:rPr>
              <w:t>批复规模</w:t>
            </w:r>
            <w:r>
              <w:rPr>
                <w:rFonts w:eastAsia="仿宋_GB2312"/>
                <w:bCs/>
                <w:sz w:val="20"/>
                <w:szCs w:val="20"/>
              </w:rPr>
              <w:br w:type="textWrapping"/>
            </w:r>
            <w:r>
              <w:rPr>
                <w:rFonts w:eastAsia="仿宋_GB2312"/>
                <w:bCs/>
                <w:sz w:val="20"/>
                <w:szCs w:val="20"/>
              </w:rPr>
              <w:t>（</w:t>
            </w:r>
            <w:r>
              <w:rPr>
                <w:bCs/>
                <w:sz w:val="20"/>
                <w:szCs w:val="20"/>
              </w:rPr>
              <w:t>㎡</w:t>
            </w:r>
            <w:r>
              <w:rPr>
                <w:rFonts w:eastAsia="仿宋_GB2312"/>
                <w:bCs/>
                <w:sz w:val="20"/>
                <w:szCs w:val="20"/>
              </w:rPr>
              <w:t>）</w:t>
            </w:r>
          </w:p>
        </w:tc>
        <w:tc>
          <w:tcPr>
            <w:tcW w:w="849" w:type="dxa"/>
            <w:tcBorders>
              <w:top w:val="nil"/>
              <w:left w:val="nil"/>
              <w:bottom w:val="single" w:color="auto" w:sz="4" w:space="0"/>
              <w:right w:val="single" w:color="auto" w:sz="4" w:space="0"/>
            </w:tcBorders>
            <w:noWrap w:val="0"/>
            <w:vAlign w:val="center"/>
          </w:tcPr>
          <w:p>
            <w:pPr>
              <w:widowControl/>
              <w:spacing w:line="240" w:lineRule="exact"/>
              <w:jc w:val="center"/>
              <w:rPr>
                <w:rFonts w:eastAsia="仿宋_GB2312"/>
                <w:bCs/>
                <w:sz w:val="20"/>
                <w:szCs w:val="20"/>
              </w:rPr>
            </w:pPr>
            <w:r>
              <w:rPr>
                <w:rFonts w:eastAsia="仿宋_GB2312"/>
                <w:bCs/>
                <w:sz w:val="20"/>
                <w:szCs w:val="20"/>
              </w:rPr>
              <w:t>实际规模（</w:t>
            </w:r>
            <w:r>
              <w:rPr>
                <w:bCs/>
                <w:sz w:val="20"/>
                <w:szCs w:val="20"/>
              </w:rPr>
              <w:t>㎡</w:t>
            </w:r>
            <w:r>
              <w:rPr>
                <w:rFonts w:eastAsia="仿宋_GB2312"/>
                <w:bCs/>
                <w:sz w:val="20"/>
                <w:szCs w:val="20"/>
              </w:rPr>
              <w:t>）</w:t>
            </w:r>
          </w:p>
        </w:tc>
        <w:tc>
          <w:tcPr>
            <w:tcW w:w="1129" w:type="dxa"/>
            <w:tcBorders>
              <w:top w:val="nil"/>
              <w:left w:val="nil"/>
              <w:bottom w:val="single" w:color="auto" w:sz="4" w:space="0"/>
              <w:right w:val="single" w:color="auto" w:sz="4" w:space="0"/>
            </w:tcBorders>
            <w:noWrap w:val="0"/>
            <w:vAlign w:val="center"/>
          </w:tcPr>
          <w:p>
            <w:pPr>
              <w:widowControl/>
              <w:spacing w:line="240" w:lineRule="exact"/>
              <w:jc w:val="center"/>
              <w:rPr>
                <w:rFonts w:eastAsia="仿宋_GB2312"/>
                <w:bCs/>
                <w:sz w:val="20"/>
                <w:szCs w:val="20"/>
              </w:rPr>
            </w:pPr>
            <w:r>
              <w:rPr>
                <w:rFonts w:eastAsia="仿宋_GB2312"/>
                <w:bCs/>
                <w:sz w:val="20"/>
                <w:szCs w:val="20"/>
              </w:rPr>
              <w:t>规模控制率</w:t>
            </w:r>
          </w:p>
        </w:tc>
        <w:tc>
          <w:tcPr>
            <w:tcW w:w="1111" w:type="dxa"/>
            <w:tcBorders>
              <w:top w:val="nil"/>
              <w:left w:val="nil"/>
              <w:bottom w:val="single" w:color="auto" w:sz="4" w:space="0"/>
              <w:right w:val="single" w:color="auto" w:sz="4" w:space="0"/>
            </w:tcBorders>
            <w:noWrap w:val="0"/>
            <w:vAlign w:val="center"/>
          </w:tcPr>
          <w:p>
            <w:pPr>
              <w:widowControl/>
              <w:spacing w:line="240" w:lineRule="exact"/>
              <w:jc w:val="center"/>
              <w:rPr>
                <w:rFonts w:eastAsia="仿宋_GB2312"/>
                <w:bCs/>
                <w:sz w:val="20"/>
                <w:szCs w:val="20"/>
              </w:rPr>
            </w:pPr>
            <w:r>
              <w:rPr>
                <w:rFonts w:eastAsia="仿宋_GB2312"/>
                <w:bCs/>
                <w:sz w:val="20"/>
                <w:szCs w:val="20"/>
              </w:rPr>
              <w:t>预算投资（万元）</w:t>
            </w:r>
          </w:p>
        </w:tc>
        <w:tc>
          <w:tcPr>
            <w:tcW w:w="1081" w:type="dxa"/>
            <w:tcBorders>
              <w:top w:val="nil"/>
              <w:left w:val="nil"/>
              <w:bottom w:val="single" w:color="auto" w:sz="4" w:space="0"/>
              <w:right w:val="single" w:color="auto" w:sz="4" w:space="0"/>
            </w:tcBorders>
            <w:noWrap w:val="0"/>
            <w:vAlign w:val="center"/>
          </w:tcPr>
          <w:p>
            <w:pPr>
              <w:widowControl/>
              <w:spacing w:line="240" w:lineRule="exact"/>
              <w:jc w:val="center"/>
              <w:rPr>
                <w:rFonts w:eastAsia="仿宋_GB2312"/>
                <w:bCs/>
                <w:sz w:val="20"/>
                <w:szCs w:val="20"/>
              </w:rPr>
            </w:pPr>
            <w:r>
              <w:rPr>
                <w:rFonts w:eastAsia="仿宋_GB2312"/>
                <w:bCs/>
                <w:sz w:val="20"/>
                <w:szCs w:val="20"/>
              </w:rPr>
              <w:t>实际投资（万元）</w:t>
            </w:r>
          </w:p>
        </w:tc>
        <w:tc>
          <w:tcPr>
            <w:tcW w:w="960" w:type="dxa"/>
            <w:tcBorders>
              <w:top w:val="nil"/>
              <w:left w:val="nil"/>
              <w:bottom w:val="single" w:color="auto" w:sz="4" w:space="0"/>
              <w:right w:val="single" w:color="auto" w:sz="4" w:space="0"/>
            </w:tcBorders>
            <w:noWrap w:val="0"/>
            <w:vAlign w:val="center"/>
          </w:tcPr>
          <w:p>
            <w:pPr>
              <w:widowControl/>
              <w:spacing w:line="240" w:lineRule="exact"/>
              <w:jc w:val="center"/>
              <w:rPr>
                <w:rFonts w:eastAsia="仿宋_GB2312"/>
                <w:bCs/>
                <w:sz w:val="20"/>
                <w:szCs w:val="20"/>
              </w:rPr>
            </w:pPr>
            <w:r>
              <w:rPr>
                <w:rFonts w:eastAsia="仿宋_GB2312"/>
                <w:bCs/>
                <w:sz w:val="20"/>
                <w:szCs w:val="20"/>
              </w:rPr>
              <w:t>投资概算控制率</w:t>
            </w:r>
          </w:p>
        </w:tc>
      </w:tr>
      <w:tr>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eastAsia="仿宋_GB2312"/>
                <w:sz w:val="20"/>
                <w:szCs w:val="20"/>
              </w:rPr>
            </w:pPr>
          </w:p>
        </w:tc>
        <w:tc>
          <w:tcPr>
            <w:tcW w:w="1189" w:type="dxa"/>
            <w:tcBorders>
              <w:top w:val="nil"/>
              <w:left w:val="nil"/>
              <w:bottom w:val="single" w:color="auto" w:sz="4" w:space="0"/>
              <w:right w:val="single" w:color="auto" w:sz="4" w:space="0"/>
            </w:tcBorders>
            <w:noWrap w:val="0"/>
            <w:vAlign w:val="center"/>
          </w:tcPr>
          <w:p>
            <w:pPr>
              <w:widowControl/>
              <w:jc w:val="center"/>
              <w:rPr>
                <w:rFonts w:hint="eastAsia" w:eastAsia="仿宋_GB2312"/>
                <w:sz w:val="20"/>
                <w:szCs w:val="20"/>
              </w:rPr>
            </w:pPr>
            <w:r>
              <w:rPr>
                <w:rFonts w:eastAsia="仿宋_GB2312"/>
                <w:sz w:val="20"/>
                <w:szCs w:val="20"/>
              </w:rPr>
              <w:t>　</w:t>
            </w:r>
            <w:r>
              <w:rPr>
                <w:rFonts w:hint="eastAsia" w:eastAsia="仿宋_GB2312"/>
                <w:sz w:val="20"/>
                <w:szCs w:val="20"/>
              </w:rPr>
              <w:t>无</w:t>
            </w:r>
          </w:p>
        </w:tc>
        <w:tc>
          <w:tcPr>
            <w:tcW w:w="849" w:type="dxa"/>
            <w:tcBorders>
              <w:top w:val="nil"/>
              <w:left w:val="nil"/>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w:t>
            </w:r>
          </w:p>
        </w:tc>
        <w:tc>
          <w:tcPr>
            <w:tcW w:w="1129" w:type="dxa"/>
            <w:tcBorders>
              <w:top w:val="nil"/>
              <w:left w:val="nil"/>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w:t>
            </w:r>
          </w:p>
        </w:tc>
        <w:tc>
          <w:tcPr>
            <w:tcW w:w="1111" w:type="dxa"/>
            <w:tcBorders>
              <w:top w:val="nil"/>
              <w:left w:val="nil"/>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w:t>
            </w:r>
          </w:p>
        </w:tc>
        <w:tc>
          <w:tcPr>
            <w:tcW w:w="1081" w:type="dxa"/>
            <w:tcBorders>
              <w:top w:val="nil"/>
              <w:left w:val="nil"/>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w:t>
            </w:r>
          </w:p>
        </w:tc>
        <w:tc>
          <w:tcPr>
            <w:tcW w:w="960" w:type="dxa"/>
            <w:tcBorders>
              <w:top w:val="nil"/>
              <w:left w:val="nil"/>
              <w:bottom w:val="single" w:color="auto" w:sz="4" w:space="0"/>
              <w:right w:val="single" w:color="auto" w:sz="4" w:space="0"/>
            </w:tcBorders>
            <w:noWrap w:val="0"/>
            <w:vAlign w:val="center"/>
          </w:tcPr>
          <w:p>
            <w:pPr>
              <w:widowControl/>
              <w:jc w:val="left"/>
              <w:rPr>
                <w:rFonts w:eastAsia="仿宋_GB2312"/>
                <w:sz w:val="20"/>
                <w:szCs w:val="20"/>
              </w:rPr>
            </w:pPr>
            <w:r>
              <w:rPr>
                <w:rFonts w:eastAsia="仿宋_GB2312"/>
                <w:sz w:val="20"/>
                <w:szCs w:val="20"/>
              </w:rPr>
              <w:t>　</w:t>
            </w:r>
          </w:p>
        </w:tc>
      </w:tr>
      <w:tr>
        <w:tblPrEx>
          <w:tblCellMar>
            <w:top w:w="0" w:type="dxa"/>
            <w:left w:w="108" w:type="dxa"/>
            <w:bottom w:w="0" w:type="dxa"/>
            <w:right w:w="108" w:type="dxa"/>
          </w:tblCellMar>
        </w:tblPrEx>
        <w:trPr>
          <w:trHeight w:val="586"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eastAsia="仿宋_GB2312"/>
                <w:sz w:val="20"/>
                <w:szCs w:val="20"/>
              </w:rPr>
            </w:pPr>
            <w:r>
              <w:rPr>
                <w:rFonts w:eastAsia="仿宋_GB2312"/>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eastAsia="仿宋_GB2312"/>
                <w:sz w:val="20"/>
                <w:szCs w:val="20"/>
              </w:rPr>
            </w:pPr>
            <w:r>
              <w:rPr>
                <w:rFonts w:hint="eastAsia" w:eastAsia="仿宋_GB2312"/>
                <w:sz w:val="20"/>
                <w:szCs w:val="20"/>
              </w:rPr>
              <w:t>《财务管理制度》、《专项资金管理办法》</w:t>
            </w:r>
            <w:r>
              <w:rPr>
                <w:rFonts w:eastAsia="仿宋_GB2312"/>
                <w:sz w:val="20"/>
                <w:szCs w:val="20"/>
              </w:rPr>
              <w:t>　</w:t>
            </w:r>
          </w:p>
        </w:tc>
      </w:tr>
    </w:tbl>
    <w:p>
      <w:pPr>
        <w:widowControl/>
        <w:jc w:val="left"/>
        <w:rPr>
          <w:rFonts w:eastAsia="仿宋_GB2312"/>
          <w:sz w:val="22"/>
        </w:rPr>
      </w:pPr>
    </w:p>
    <w:p>
      <w:pPr>
        <w:rPr>
          <w:rFonts w:eastAsia="仿宋_GB2312"/>
          <w:sz w:val="22"/>
        </w:rPr>
      </w:pPr>
      <w:r>
        <w:rPr>
          <w:rFonts w:eastAsia="仿宋_GB2312"/>
          <w:sz w:val="22"/>
        </w:rPr>
        <w:t>填表人：        填报日期：          联系电话：            单位负责人签字：</w:t>
      </w:r>
    </w:p>
    <w:p>
      <w:pPr>
        <w:pStyle w:val="4"/>
        <w:rPr>
          <w:rFonts w:eastAsia="仿宋_GB2312"/>
          <w:sz w:val="22"/>
        </w:rPr>
      </w:pPr>
    </w:p>
    <w:p>
      <w:pPr>
        <w:widowControl/>
        <w:spacing w:after="156" w:afterLines="50"/>
        <w:jc w:val="left"/>
        <w:rPr>
          <w:rFonts w:eastAsia="黑体"/>
          <w:sz w:val="32"/>
          <w:szCs w:val="32"/>
        </w:rPr>
      </w:pPr>
    </w:p>
    <w:p>
      <w:pPr>
        <w:widowControl/>
        <w:spacing w:after="156" w:afterLines="50"/>
        <w:jc w:val="left"/>
        <w:rPr>
          <w:rFonts w:eastAsia="黑体"/>
          <w:sz w:val="32"/>
          <w:szCs w:val="32"/>
        </w:rPr>
      </w:pPr>
    </w:p>
    <w:p>
      <w:pPr>
        <w:widowControl/>
        <w:spacing w:after="156" w:afterLines="50"/>
        <w:jc w:val="left"/>
        <w:rPr>
          <w:rFonts w:eastAsia="黑体"/>
          <w:sz w:val="32"/>
          <w:szCs w:val="32"/>
        </w:rPr>
      </w:pPr>
    </w:p>
    <w:p>
      <w:pPr>
        <w:widowControl/>
        <w:spacing w:after="156" w:afterLines="50"/>
        <w:jc w:val="left"/>
        <w:rPr>
          <w:rFonts w:hint="eastAsia" w:eastAsia="黑体"/>
          <w:sz w:val="32"/>
          <w:szCs w:val="32"/>
        </w:rPr>
      </w:pPr>
      <w:r>
        <w:rPr>
          <w:rFonts w:eastAsia="黑体"/>
          <w:sz w:val="32"/>
          <w:szCs w:val="32"/>
        </w:rPr>
        <w:t>附件</w:t>
      </w:r>
      <w:r>
        <w:rPr>
          <w:rFonts w:hint="eastAsia" w:eastAsia="黑体"/>
          <w:sz w:val="32"/>
          <w:szCs w:val="32"/>
        </w:rPr>
        <w:t>3</w:t>
      </w:r>
    </w:p>
    <w:p>
      <w:pPr>
        <w:widowControl/>
        <w:spacing w:after="156" w:afterLines="50"/>
        <w:jc w:val="center"/>
        <w:rPr>
          <w:rFonts w:eastAsia="方正小标宋_GBK"/>
          <w:color w:val="000000"/>
          <w:sz w:val="36"/>
          <w:szCs w:val="36"/>
        </w:rPr>
      </w:pPr>
      <w:r>
        <w:rPr>
          <w:rFonts w:eastAsia="方正小标宋_GBK"/>
          <w:color w:val="000000"/>
          <w:sz w:val="36"/>
          <w:szCs w:val="36"/>
        </w:rPr>
        <w:t>部门整体支出绩效自评表</w:t>
      </w:r>
    </w:p>
    <w:p>
      <w:pPr>
        <w:pStyle w:val="4"/>
        <w:jc w:val="right"/>
        <w:rPr>
          <w:rFonts w:eastAsia="方正小标宋_GBK"/>
        </w:rPr>
      </w:pPr>
      <w:r>
        <w:rPr>
          <w:rFonts w:hint="eastAsia" w:eastAsia="方正小标宋_GBK"/>
        </w:rPr>
        <w:t xml:space="preserve"> 单位：万元</w:t>
      </w:r>
    </w:p>
    <w:tbl>
      <w:tblPr>
        <w:tblStyle w:val="6"/>
        <w:tblW w:w="10079" w:type="dxa"/>
        <w:jc w:val="center"/>
        <w:tblLayout w:type="autofit"/>
        <w:tblCellMar>
          <w:top w:w="0" w:type="dxa"/>
          <w:left w:w="108" w:type="dxa"/>
          <w:bottom w:w="0" w:type="dxa"/>
          <w:right w:w="108" w:type="dxa"/>
        </w:tblCellMar>
      </w:tblPr>
      <w:tblGrid>
        <w:gridCol w:w="1080"/>
        <w:gridCol w:w="1080"/>
        <w:gridCol w:w="788"/>
        <w:gridCol w:w="1421"/>
        <w:gridCol w:w="439"/>
        <w:gridCol w:w="967"/>
        <w:gridCol w:w="1269"/>
        <w:gridCol w:w="716"/>
        <w:gridCol w:w="167"/>
        <w:gridCol w:w="714"/>
        <w:gridCol w:w="143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hint="eastAsia" w:eastAsia="仿宋_GB2312"/>
                <w:color w:val="000000"/>
                <w:sz w:val="20"/>
                <w:szCs w:val="20"/>
              </w:rPr>
              <w:t>市直</w:t>
            </w:r>
            <w:r>
              <w:rPr>
                <w:rFonts w:eastAsia="仿宋_GB2312"/>
                <w:color w:val="000000"/>
                <w:sz w:val="20"/>
                <w:szCs w:val="20"/>
              </w:rPr>
              <w:t>预算部门名称</w:t>
            </w:r>
          </w:p>
        </w:tc>
        <w:tc>
          <w:tcPr>
            <w:tcW w:w="8999" w:type="dxa"/>
            <w:gridSpan w:val="10"/>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怀化市档案馆</w:t>
            </w: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年度预</w:t>
            </w:r>
          </w:p>
          <w:p>
            <w:pPr>
              <w:widowControl/>
              <w:spacing w:line="240" w:lineRule="exact"/>
              <w:jc w:val="center"/>
              <w:rPr>
                <w:rFonts w:eastAsia="仿宋_GB2312"/>
                <w:color w:val="000000"/>
                <w:sz w:val="20"/>
                <w:szCs w:val="20"/>
              </w:rPr>
            </w:pPr>
            <w:r>
              <w:rPr>
                <w:rFonts w:eastAsia="仿宋_GB2312"/>
                <w:color w:val="000000"/>
                <w:sz w:val="20"/>
                <w:szCs w:val="20"/>
              </w:rPr>
              <w:t>算申请</w:t>
            </w:r>
            <w:r>
              <w:rPr>
                <w:rFonts w:eastAsia="仿宋_GB2312"/>
                <w:color w:val="000000"/>
                <w:sz w:val="20"/>
                <w:szCs w:val="20"/>
              </w:rPr>
              <w:br w:type="textWrapping"/>
            </w:r>
            <w:r>
              <w:rPr>
                <w:rFonts w:eastAsia="仿宋_GB2312"/>
                <w:color w:val="000000"/>
                <w:sz w:val="20"/>
                <w:szCs w:val="20"/>
              </w:rPr>
              <w:t>（万元）</w:t>
            </w:r>
          </w:p>
        </w:tc>
        <w:tc>
          <w:tcPr>
            <w:tcW w:w="18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sz w:val="20"/>
                <w:szCs w:val="20"/>
              </w:rPr>
              <w:t>年初预算数</w:t>
            </w:r>
          </w:p>
        </w:tc>
        <w:tc>
          <w:tcPr>
            <w:tcW w:w="140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sz w:val="20"/>
                <w:szCs w:val="20"/>
              </w:rPr>
              <w:t>全年预算数</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sz w:val="20"/>
                <w:szCs w:val="20"/>
              </w:rPr>
              <w:t>全年执行数</w:t>
            </w:r>
          </w:p>
        </w:tc>
        <w:tc>
          <w:tcPr>
            <w:tcW w:w="71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sz w:val="20"/>
                <w:szCs w:val="20"/>
              </w:rPr>
              <w:t>分值</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sz w:val="20"/>
                <w:szCs w:val="20"/>
              </w:rPr>
              <w:t>执行率</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p>
        </w:tc>
        <w:tc>
          <w:tcPr>
            <w:tcW w:w="18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20"/>
                <w:szCs w:val="20"/>
              </w:rPr>
            </w:pPr>
            <w:r>
              <w:rPr>
                <w:rFonts w:eastAsia="仿宋_GB2312"/>
                <w:color w:val="000000"/>
                <w:sz w:val="20"/>
                <w:szCs w:val="20"/>
              </w:rPr>
              <w:t>年度资金总额</w:t>
            </w:r>
          </w:p>
        </w:tc>
        <w:tc>
          <w:tcPr>
            <w:tcW w:w="14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eastAsia="仿宋_GB2312"/>
                <w:szCs w:val="21"/>
              </w:rPr>
              <w:t>293.83</w:t>
            </w:r>
          </w:p>
        </w:tc>
        <w:tc>
          <w:tcPr>
            <w:tcW w:w="140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eastAsia="仿宋_GB2312"/>
                <w:szCs w:val="21"/>
              </w:rPr>
              <w:t>401.69</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仿宋_GB2312"/>
                <w:szCs w:val="21"/>
              </w:rPr>
            </w:pPr>
            <w:r>
              <w:rPr>
                <w:rFonts w:eastAsia="仿宋_GB2312"/>
                <w:szCs w:val="21"/>
              </w:rPr>
              <w:t>401.69</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仿宋_GB2312"/>
                <w:szCs w:val="21"/>
              </w:rPr>
            </w:pPr>
            <w:r>
              <w:rPr>
                <w:rFonts w:hint="eastAsia" w:eastAsia="仿宋_GB2312"/>
                <w:szCs w:val="21"/>
              </w:rPr>
              <w:t>10</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hint="eastAsia" w:eastAsia="仿宋_GB2312"/>
                <w:szCs w:val="21"/>
              </w:rPr>
              <w:t>100%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hint="eastAsia" w:eastAsia="仿宋_GB2312"/>
                <w:szCs w:val="21"/>
              </w:rPr>
              <w:t>10</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4695"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按收入性质分：</w:t>
            </w:r>
          </w:p>
        </w:tc>
        <w:tc>
          <w:tcPr>
            <w:tcW w:w="4304"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按支出性质分：</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xml:space="preserve">  其中：  一般公共预算：</w:t>
            </w:r>
          </w:p>
        </w:tc>
        <w:tc>
          <w:tcPr>
            <w:tcW w:w="140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eastAsia="仿宋_GB2312"/>
                <w:szCs w:val="21"/>
              </w:rPr>
              <w:t>400.30</w:t>
            </w:r>
          </w:p>
        </w:tc>
        <w:tc>
          <w:tcPr>
            <w:tcW w:w="21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其中：基本支出：</w:t>
            </w:r>
          </w:p>
        </w:tc>
        <w:tc>
          <w:tcPr>
            <w:tcW w:w="215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eastAsia="仿宋_GB2312"/>
                <w:szCs w:val="21"/>
              </w:rPr>
              <w:t>329.46</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800" w:firstLineChars="400"/>
              <w:jc w:val="left"/>
              <w:rPr>
                <w:rFonts w:eastAsia="仿宋_GB2312"/>
                <w:color w:val="000000"/>
                <w:sz w:val="20"/>
                <w:szCs w:val="20"/>
              </w:rPr>
            </w:pPr>
            <w:r>
              <w:rPr>
                <w:rFonts w:eastAsia="仿宋_GB2312"/>
                <w:color w:val="000000"/>
                <w:sz w:val="20"/>
                <w:szCs w:val="20"/>
              </w:rPr>
              <w:t>政府性基金拨款：</w:t>
            </w:r>
          </w:p>
        </w:tc>
        <w:tc>
          <w:tcPr>
            <w:tcW w:w="140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仿宋_GB2312"/>
                <w:szCs w:val="21"/>
              </w:rPr>
            </w:pPr>
          </w:p>
        </w:tc>
        <w:tc>
          <w:tcPr>
            <w:tcW w:w="21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600" w:firstLineChars="300"/>
              <w:jc w:val="left"/>
              <w:rPr>
                <w:rFonts w:eastAsia="仿宋_GB2312"/>
                <w:color w:val="000000"/>
                <w:sz w:val="20"/>
                <w:szCs w:val="20"/>
              </w:rPr>
            </w:pPr>
            <w:r>
              <w:rPr>
                <w:rFonts w:eastAsia="仿宋_GB2312"/>
                <w:color w:val="000000"/>
                <w:sz w:val="20"/>
                <w:szCs w:val="20"/>
              </w:rPr>
              <w:t>项目支出：</w:t>
            </w:r>
          </w:p>
        </w:tc>
        <w:tc>
          <w:tcPr>
            <w:tcW w:w="215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eastAsia="仿宋_GB2312"/>
                <w:szCs w:val="21"/>
              </w:rPr>
              <w:t>72.23</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1400" w:firstLineChars="700"/>
              <w:jc w:val="left"/>
              <w:rPr>
                <w:rFonts w:eastAsia="仿宋_GB2312"/>
                <w:color w:val="000000"/>
                <w:sz w:val="20"/>
                <w:szCs w:val="20"/>
              </w:rPr>
            </w:pPr>
            <w:r>
              <w:rPr>
                <w:rFonts w:hint="eastAsia" w:eastAsia="仿宋_GB2312"/>
                <w:color w:val="000000"/>
                <w:sz w:val="20"/>
                <w:szCs w:val="20"/>
              </w:rPr>
              <w:t>其他收入</w:t>
            </w:r>
            <w:r>
              <w:rPr>
                <w:rFonts w:eastAsia="仿宋_GB2312"/>
                <w:color w:val="000000"/>
                <w:sz w:val="20"/>
                <w:szCs w:val="20"/>
              </w:rPr>
              <w:t>：</w:t>
            </w:r>
          </w:p>
        </w:tc>
        <w:tc>
          <w:tcPr>
            <w:tcW w:w="140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p>
        </w:tc>
        <w:tc>
          <w:tcPr>
            <w:tcW w:w="21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215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1000" w:firstLineChars="500"/>
              <w:jc w:val="left"/>
              <w:rPr>
                <w:rFonts w:eastAsia="仿宋_GB2312"/>
                <w:color w:val="000000"/>
                <w:sz w:val="20"/>
                <w:szCs w:val="20"/>
              </w:rPr>
            </w:pPr>
            <w:r>
              <w:rPr>
                <w:rFonts w:hint="eastAsia" w:eastAsia="仿宋_GB2312"/>
                <w:color w:val="000000"/>
                <w:sz w:val="20"/>
                <w:szCs w:val="20"/>
              </w:rPr>
              <w:t>上年结转结余</w:t>
            </w:r>
            <w:r>
              <w:rPr>
                <w:rFonts w:eastAsia="仿宋_GB2312"/>
                <w:color w:val="000000"/>
                <w:sz w:val="20"/>
                <w:szCs w:val="20"/>
              </w:rPr>
              <w:t>：</w:t>
            </w:r>
          </w:p>
        </w:tc>
        <w:tc>
          <w:tcPr>
            <w:tcW w:w="140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szCs w:val="21"/>
              </w:rPr>
            </w:pPr>
            <w:r>
              <w:rPr>
                <w:rFonts w:eastAsia="仿宋_GB2312"/>
                <w:szCs w:val="21"/>
              </w:rPr>
              <w:t>1.39</w:t>
            </w:r>
          </w:p>
        </w:tc>
        <w:tc>
          <w:tcPr>
            <w:tcW w:w="21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215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年度总体目标</w:t>
            </w:r>
          </w:p>
        </w:tc>
        <w:tc>
          <w:tcPr>
            <w:tcW w:w="4695"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预期目标</w:t>
            </w:r>
          </w:p>
        </w:tc>
        <w:tc>
          <w:tcPr>
            <w:tcW w:w="4304"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trHeight w:val="24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4695"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420" w:firstLineChars="200"/>
              <w:rPr>
                <w:rFonts w:ascii="仿宋_GB2312" w:hAnsi="仿宋_GB2312" w:eastAsia="仿宋_GB2312" w:cs="仿宋_GB2312"/>
                <w:kern w:val="0"/>
                <w:szCs w:val="21"/>
              </w:rPr>
            </w:pPr>
            <w:r>
              <w:rPr>
                <w:rFonts w:hint="eastAsia" w:ascii="仿宋_GB2312" w:hAnsi="仿宋_GB2312" w:eastAsia="仿宋_GB2312" w:cs="仿宋_GB2312"/>
                <w:kern w:val="0"/>
                <w:szCs w:val="21"/>
              </w:rPr>
              <w:t>（一）努力推进档案资源建设。进一步丰富和完善档案馆藏，特别是加大脱贫攻坚和疫情防控两类档案的接收、征集力度，开展多渠道多方位的广泛收集。</w:t>
            </w:r>
          </w:p>
          <w:p>
            <w:pPr>
              <w:spacing w:line="560" w:lineRule="exact"/>
              <w:ind w:firstLine="420" w:firstLineChars="200"/>
              <w:rPr>
                <w:rFonts w:ascii="仿宋" w:hAnsi="仿宋" w:eastAsia="仿宋_GB2312"/>
                <w:kern w:val="0"/>
                <w:szCs w:val="21"/>
              </w:rPr>
            </w:pPr>
            <w:r>
              <w:rPr>
                <w:rFonts w:hint="eastAsia" w:ascii="仿宋_GB2312" w:hAnsi="仿宋_GB2312" w:eastAsia="仿宋_GB2312" w:cs="仿宋_GB2312"/>
                <w:kern w:val="0"/>
                <w:szCs w:val="21"/>
              </w:rPr>
              <w:t>（二）加快馆藏档案数字化进程。</w:t>
            </w:r>
            <w:r>
              <w:rPr>
                <w:rFonts w:hint="eastAsia" w:ascii="仿宋_GB2312" w:hAnsi="仿宋_GB2312" w:eastAsia="仿宋_GB2312" w:cs="仿宋_GB2312"/>
                <w:b/>
                <w:bCs/>
                <w:kern w:val="0"/>
                <w:szCs w:val="21"/>
              </w:rPr>
              <w:t>一是</w:t>
            </w:r>
            <w:r>
              <w:rPr>
                <w:rFonts w:hint="eastAsia" w:ascii="仿宋" w:hAnsi="仿宋" w:eastAsia="仿宋_GB2312"/>
                <w:kern w:val="0"/>
                <w:szCs w:val="21"/>
              </w:rPr>
              <w:t>加强市直单位档案移交中的数字化验收工作。</w:t>
            </w:r>
            <w:r>
              <w:rPr>
                <w:rFonts w:hint="eastAsia" w:ascii="仿宋" w:hAnsi="仿宋" w:eastAsia="仿宋_GB2312"/>
                <w:b/>
                <w:bCs/>
                <w:kern w:val="0"/>
                <w:szCs w:val="21"/>
              </w:rPr>
              <w:t>二是</w:t>
            </w:r>
            <w:r>
              <w:rPr>
                <w:rFonts w:hint="eastAsia" w:ascii="仿宋" w:hAnsi="仿宋" w:eastAsia="仿宋_GB2312"/>
                <w:kern w:val="0"/>
                <w:szCs w:val="21"/>
              </w:rPr>
              <w:t>严格把握脱贫、抗疫两类档案数据库的质量关，做好市直单位及各县市区档案馆的上报数据库的指导和验收。</w:t>
            </w:r>
          </w:p>
          <w:p>
            <w:pPr>
              <w:spacing w:line="560" w:lineRule="exact"/>
              <w:ind w:firstLine="420" w:firstLineChars="200"/>
              <w:rPr>
                <w:rFonts w:ascii="仿宋_GB2312" w:hAnsi="仿宋_GB2312" w:eastAsia="仿宋_GB2312" w:cs="仿宋_GB2312"/>
                <w:kern w:val="0"/>
                <w:szCs w:val="21"/>
              </w:rPr>
            </w:pPr>
            <w:r>
              <w:rPr>
                <w:rFonts w:hint="eastAsia" w:ascii="仿宋_GB2312" w:hAnsi="仿宋_GB2312" w:eastAsia="仿宋_GB2312" w:cs="仿宋_GB2312"/>
                <w:kern w:val="0"/>
                <w:szCs w:val="21"/>
              </w:rPr>
              <w:t>（三）切实加强馆藏档案、信息安全。强化档案安全和防范意识，大力推进安全保密建设，始终不懈地抓好档案库房、档案信息和档案利用的安全工作，确保万无一失。</w:t>
            </w:r>
          </w:p>
          <w:p>
            <w:pPr>
              <w:spacing w:line="560" w:lineRule="exact"/>
              <w:ind w:firstLine="420" w:firstLineChars="200"/>
              <w:rPr>
                <w:rFonts w:ascii="仿宋_GB2312" w:hAnsi="仿宋_GB2312" w:eastAsia="仿宋_GB2312" w:cs="仿宋_GB2312"/>
                <w:kern w:val="0"/>
                <w:sz w:val="24"/>
              </w:rPr>
            </w:pPr>
            <w:r>
              <w:rPr>
                <w:rFonts w:hint="eastAsia" w:ascii="仿宋_GB2312" w:hAnsi="仿宋_GB2312" w:eastAsia="仿宋_GB2312" w:cs="仿宋_GB2312"/>
                <w:kern w:val="0"/>
                <w:szCs w:val="21"/>
              </w:rPr>
              <w:t>（四）加大队伍建设力度，提升人员业务水平。抓好档案队伍作风建设和人员教育培训。不断提高档案人员的学术水平，为我市档案事业又好又快发展提供智力和人才</w:t>
            </w:r>
            <w:r>
              <w:rPr>
                <w:rFonts w:hint="eastAsia" w:ascii="仿宋_GB2312" w:hAnsi="仿宋_GB2312" w:eastAsia="仿宋_GB2312" w:cs="仿宋_GB2312"/>
                <w:kern w:val="0"/>
                <w:sz w:val="24"/>
              </w:rPr>
              <w:t>保障。</w:t>
            </w:r>
          </w:p>
          <w:p>
            <w:pPr>
              <w:widowControl/>
              <w:spacing w:line="240" w:lineRule="exact"/>
              <w:jc w:val="left"/>
              <w:rPr>
                <w:rFonts w:eastAsia="仿宋_GB2312"/>
                <w:color w:val="000000"/>
                <w:sz w:val="20"/>
                <w:szCs w:val="20"/>
              </w:rPr>
            </w:pPr>
            <w:r>
              <w:rPr>
                <w:rFonts w:eastAsia="仿宋_GB2312"/>
                <w:color w:val="000000"/>
                <w:sz w:val="20"/>
                <w:szCs w:val="20"/>
              </w:rPr>
              <w:t>　</w:t>
            </w:r>
          </w:p>
        </w:tc>
        <w:tc>
          <w:tcPr>
            <w:tcW w:w="4304" w:type="dxa"/>
            <w:gridSpan w:val="5"/>
            <w:tcBorders>
              <w:top w:val="single" w:color="auto" w:sz="4" w:space="0"/>
              <w:left w:val="single" w:color="auto" w:sz="4" w:space="0"/>
              <w:bottom w:val="single" w:color="auto" w:sz="4" w:space="0"/>
              <w:right w:val="single" w:color="auto" w:sz="4" w:space="0"/>
            </w:tcBorders>
            <w:noWrap w:val="0"/>
            <w:vAlign w:val="center"/>
          </w:tcPr>
          <w:p>
            <w:pPr>
              <w:autoSpaceDE w:val="0"/>
              <w:spacing w:line="540" w:lineRule="exact"/>
              <w:ind w:firstLine="420" w:firstLineChars="200"/>
              <w:rPr>
                <w:rFonts w:hint="eastAsia" w:ascii="仿宋_GB2312" w:hAnsi="仿宋_GB2312" w:eastAsia="仿宋_GB2312" w:cs="仿宋_GB2312"/>
                <w:szCs w:val="21"/>
              </w:rPr>
            </w:pPr>
            <w:r>
              <w:rPr>
                <w:rFonts w:ascii="仿宋_GB2312" w:hAnsi="仿宋_GB2312" w:eastAsia="仿宋_GB2312" w:cs="仿宋_GB2312"/>
                <w:szCs w:val="21"/>
              </w:rPr>
              <w:t>　</w:t>
            </w:r>
            <w:r>
              <w:rPr>
                <w:rFonts w:hint="eastAsia" w:ascii="仿宋_GB2312" w:hAnsi="仿宋_GB2312" w:eastAsia="仿宋_GB2312" w:cs="仿宋_GB2312"/>
                <w:szCs w:val="21"/>
              </w:rPr>
              <w:t>一、学习贯彻习近平新时代中国特色社会主义思想和党的二十大精神，忠诚拥护“两个确立”坚决做到“两个维护”</w:t>
            </w:r>
          </w:p>
          <w:p>
            <w:pPr>
              <w:spacing w:line="54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w:t>
            </w:r>
            <w:r>
              <w:rPr>
                <w:rFonts w:ascii="仿宋_GB2312" w:hAnsi="仿宋_GB2312" w:eastAsia="仿宋_GB2312" w:cs="仿宋_GB2312"/>
                <w:szCs w:val="21"/>
              </w:rPr>
              <w:t>.</w:t>
            </w:r>
            <w:r>
              <w:rPr>
                <w:rFonts w:hint="eastAsia" w:ascii="仿宋_GB2312" w:hAnsi="仿宋_GB2312" w:eastAsia="仿宋_GB2312" w:cs="仿宋_GB2312"/>
                <w:szCs w:val="21"/>
              </w:rPr>
              <w:t>狠抓理论武装。坚持把学习贯彻习近平新时代中国特色社会主义思想贯穿工作始终，下半年重点组织二十大精神的学习，创新学习形式，丰富学习载体，切实加强党员干部思想政治建设。制定计划，严密组织。年初制定了理论学习计划，把全馆干部职工都纳入学习，对学习时间、内容、人员、检查等作了具体明确，着力加强对习近平新时代中国特色社会主义思想和党的十九大系列全会精神的学习，理论学习中心组集中学习</w:t>
            </w:r>
            <w:r>
              <w:rPr>
                <w:rFonts w:ascii="仿宋_GB2312" w:hAnsi="仿宋_GB2312" w:eastAsia="仿宋_GB2312" w:cs="仿宋_GB2312"/>
                <w:szCs w:val="21"/>
              </w:rPr>
              <w:t>1</w:t>
            </w:r>
            <w:r>
              <w:rPr>
                <w:rFonts w:hint="eastAsia" w:ascii="仿宋_GB2312" w:hAnsi="仿宋_GB2312" w:eastAsia="仿宋_GB2312" w:cs="仿宋_GB2312"/>
                <w:szCs w:val="21"/>
              </w:rPr>
              <w:t>1次，每次学习有理论讲解，有交流发言和小结，做到干部职工学习无遗漏、无死角，确保了学习的实效。丰富形式，提高效果。认真落实机关干部职工集中理论学习、支部</w:t>
            </w:r>
            <w:r>
              <w:rPr>
                <w:rFonts w:ascii="仿宋_GB2312" w:hAnsi="仿宋_GB2312" w:eastAsia="仿宋_GB2312" w:cs="仿宋_GB2312"/>
                <w:szCs w:val="21"/>
              </w:rPr>
              <w:t>“</w:t>
            </w:r>
            <w:r>
              <w:rPr>
                <w:rFonts w:hint="eastAsia" w:ascii="仿宋_GB2312" w:hAnsi="仿宋_GB2312" w:eastAsia="仿宋_GB2312" w:cs="仿宋_GB2312"/>
                <w:szCs w:val="21"/>
              </w:rPr>
              <w:t>三会一课</w:t>
            </w:r>
            <w:r>
              <w:rPr>
                <w:rFonts w:ascii="仿宋_GB2312" w:hAnsi="仿宋_GB2312" w:eastAsia="仿宋_GB2312" w:cs="仿宋_GB2312"/>
                <w:szCs w:val="21"/>
              </w:rPr>
              <w:t>”</w:t>
            </w:r>
            <w:r>
              <w:rPr>
                <w:rFonts w:hint="eastAsia" w:ascii="仿宋_GB2312" w:hAnsi="仿宋_GB2312" w:eastAsia="仿宋_GB2312" w:cs="仿宋_GB2312"/>
                <w:szCs w:val="21"/>
              </w:rPr>
              <w:t>学习、网上在线学习、学法用法和意识形态基础理论知识考试、自学、现场教学等学习机制，努力构建全方位、多层次学习平台。激发了干部职工爱怀化、爱档案事业的爱岗敬业热情，强化了“为党管档为国守史”责任感。二是狠抓落实。馆党组旗帜鲜明讲政治，切实增强“四个意识”，坚定“四个自信”，忠诚拥护“两个确立”坚决做到“两个维护”，始终在政治立场、政治方向、政治原则、政治道路上同以习近平同志为核心的党中央保持高度一致。</w:t>
            </w:r>
          </w:p>
          <w:p>
            <w:pPr>
              <w:spacing w:line="540" w:lineRule="exact"/>
              <w:ind w:firstLine="420" w:firstLineChars="200"/>
              <w:rPr>
                <w:rFonts w:ascii="仿宋_GB2312" w:hAnsi="仿宋_GB2312" w:eastAsia="仿宋_GB2312" w:cs="仿宋_GB2312"/>
                <w:szCs w:val="21"/>
              </w:rPr>
            </w:pPr>
            <w:r>
              <w:rPr>
                <w:rFonts w:ascii="仿宋_GB2312" w:hAnsi="仿宋_GB2312" w:eastAsia="仿宋_GB2312" w:cs="仿宋_GB2312"/>
                <w:szCs w:val="21"/>
              </w:rPr>
              <w:t>2.</w:t>
            </w:r>
            <w:r>
              <w:rPr>
                <w:rFonts w:hint="eastAsia" w:ascii="仿宋_GB2312" w:hAnsi="仿宋_GB2312" w:eastAsia="仿宋_GB2312" w:cs="仿宋_GB2312"/>
                <w:szCs w:val="21"/>
              </w:rPr>
              <w:t>抓牢意识形态主动权，营造正面的舆论导向。开展了安全保密专题教育培训和处理涉密文件资料专项清理整顿，严肃查处泄密违规行为。</w:t>
            </w:r>
          </w:p>
          <w:p>
            <w:pPr>
              <w:spacing w:line="54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w:t>
            </w:r>
            <w:r>
              <w:rPr>
                <w:rFonts w:ascii="仿宋_GB2312" w:hAnsi="仿宋_GB2312" w:eastAsia="仿宋_GB2312" w:cs="仿宋_GB2312"/>
                <w:szCs w:val="21"/>
              </w:rPr>
              <w:t>.</w:t>
            </w:r>
            <w:r>
              <w:rPr>
                <w:rFonts w:hint="eastAsia" w:ascii="仿宋_GB2312" w:hAnsi="仿宋_GB2312" w:eastAsia="仿宋_GB2312" w:cs="仿宋_GB2312"/>
                <w:szCs w:val="21"/>
              </w:rPr>
              <w:t>严守党的政治纪律和政治规矩，执行新形势下党内政治生活若干准则，坚持民主集中制</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馆党组把理论学习效果落实到具体工作中，武装到干部职工头脑，对干部任免和推荐、重大资金使用、重要项目安排等，凡属方针政策性的大事，凡属全局性的问题，馆党组都坚持按照“集体领导、民主集中、个别酝酿、会议决定”四项原则的要求，按照党组议事规则由党组集体讨论决定，党务、政务实行规范化、公开化操作，及时向干部职工进行公示，让干部职工有最大限度的知情权、参与权，确保民主集中制落到实处。今年，没有干部任免、提拔使用等情况，在档案库房施工建设中，严格落实“三重一大”报告制度，向派驻纪检组报告了施工事项，党组会议集体讨论决定施工事项，及时进行公示，确保民主集中制落到实处。</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w:t>
            </w:r>
            <w:r>
              <w:rPr>
                <w:rFonts w:ascii="仿宋_GB2312" w:hAnsi="仿宋_GB2312" w:eastAsia="仿宋_GB2312" w:cs="仿宋_GB2312"/>
                <w:szCs w:val="21"/>
              </w:rPr>
              <w:t>.</w:t>
            </w:r>
            <w:r>
              <w:rPr>
                <w:rFonts w:hint="eastAsia" w:ascii="仿宋_GB2312" w:hAnsi="仿宋_GB2312" w:eastAsia="仿宋_GB2312" w:cs="仿宋_GB2312"/>
                <w:szCs w:val="21"/>
              </w:rPr>
              <w:t>加强党的建设的领导，履行从严治党政治责任</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馆党组始终把加强自身建设作为机关党建的基础性工作来抓，夯实组织建设基础，固强机关党建工作战斗堡垒，努力使党建工作覆盖各方面、贯穿全过程，不断提升机关党建工作水平。一是构建良好机制抓党建。馆党组坚持把党建和业务同部署、同落实、同考核。馆党组书记经常听取机关党建工作情况汇报，亲自部署重要工作，明确提出工作要求，馆党组成员、副馆长具体分管党建工作，确保了党建和业务工作一起抓、工作推动力度一样大、工作标准一样严。同时，支部注重加强组织协调，进行分类指导和督促检查，以此来推动党建工作各项任务的落实，营造了齐抓共管的良好氛围。二是服务中心工作抓党建。着眼档案工作和重点任务，从加强思想、组织和作风建设抓起，内强素质，外树形象，勤政廉政，为我馆各项工作的落实提供了坚强的组织保证。三是夯实组织建设基础抓党建。坚持由一名党组成员担任机关支部书记，具体负责机关党建工作，选好配强机关支部副书记和机关支部委员，加强机关党建工作力量。严格落实组织生活和“三会一课”、民主评议党员等党内生活制度和有关党费收缴、管理和使用的规定。严格按规定组织机关党员按标准缴纳党费。四是扎实推进机关党建活动。认真开展“服务中心大提质”和模范机关创建活动，积极发挥党建工作的思想助推器作用，组织文明单位创建，组织党员进社区，开展联合共建。，文明交通劝导20次，参加无偿献血3人900cc，为帮扶贫困村捐款5500元，不断增强党员干部社会责任意识。</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二、强化组织领导，切实落实，全面从严治党主体责任</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w:t>
            </w:r>
            <w:r>
              <w:rPr>
                <w:rFonts w:ascii="仿宋_GB2312" w:hAnsi="仿宋_GB2312" w:eastAsia="仿宋_GB2312" w:cs="仿宋_GB2312"/>
                <w:szCs w:val="21"/>
              </w:rPr>
              <w:t>.</w:t>
            </w:r>
            <w:r>
              <w:rPr>
                <w:rFonts w:hint="eastAsia" w:ascii="仿宋_GB2312" w:hAnsi="仿宋_GB2312" w:eastAsia="仿宋_GB2312" w:cs="仿宋_GB2312"/>
                <w:szCs w:val="21"/>
              </w:rPr>
              <w:t>严格落实《党委（党组）全面从严治党主体责任规定》。馆党组始终坚持把抓全面从严治党作为应尽之责、分内之事，坚持把全面从严治党与业务工作同安排、同落实、同检查、同考核。年初，组织召开党组会，专题讨论研究了全年的党风廉政建设工作，制定了工作计划，明确管党治党责任的任务分工，把责任落实到每位党组成员和党支部书记。召开党组会专题研究《党委党组落实全面从严治党主体责任规定》责任清单，通过深入查摆问题，分解任务，明确责任具体到人和科室，制定了务实管用的措施，引导党员、干部严守党的政治纪律和政治规矩，坚定理想信念，增强了党员领导干部落实全面从严治党的责任意识，提高了单位落实全面从严治党责任的能力和水平。</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w:t>
            </w:r>
            <w:r>
              <w:rPr>
                <w:rFonts w:ascii="仿宋_GB2312" w:hAnsi="仿宋_GB2312" w:eastAsia="仿宋_GB2312" w:cs="仿宋_GB2312"/>
                <w:szCs w:val="21"/>
              </w:rPr>
              <w:t>.</w:t>
            </w:r>
            <w:r>
              <w:rPr>
                <w:rFonts w:hint="eastAsia" w:ascii="仿宋_GB2312" w:hAnsi="仿宋_GB2312" w:eastAsia="仿宋_GB2312" w:cs="仿宋_GB2312"/>
                <w:szCs w:val="21"/>
              </w:rPr>
              <w:t>扎实抓好清廉机关创建工作。开展“清廉机关”创建以来，组织党员干部职工签订廉洁家庭承诺书</w:t>
            </w:r>
            <w:r>
              <w:rPr>
                <w:rFonts w:ascii="仿宋_GB2312" w:hAnsi="仿宋_GB2312" w:eastAsia="仿宋_GB2312" w:cs="仿宋_GB2312"/>
                <w:szCs w:val="21"/>
              </w:rPr>
              <w:t>17</w:t>
            </w:r>
            <w:r>
              <w:rPr>
                <w:rFonts w:hint="eastAsia" w:ascii="仿宋_GB2312" w:hAnsi="仿宋_GB2312" w:eastAsia="仿宋_GB2312" w:cs="仿宋_GB2312"/>
                <w:szCs w:val="21"/>
              </w:rPr>
              <w:t>份，建立科级以下党员干部廉政档案</w:t>
            </w:r>
            <w:r>
              <w:rPr>
                <w:rFonts w:ascii="仿宋_GB2312" w:hAnsi="仿宋_GB2312" w:eastAsia="仿宋_GB2312" w:cs="仿宋_GB2312"/>
                <w:szCs w:val="21"/>
              </w:rPr>
              <w:t>12</w:t>
            </w:r>
            <w:r>
              <w:rPr>
                <w:rFonts w:hint="eastAsia" w:ascii="仿宋_GB2312" w:hAnsi="仿宋_GB2312" w:eastAsia="仿宋_GB2312" w:cs="仿宋_GB2312"/>
                <w:szCs w:val="21"/>
              </w:rPr>
              <w:t>份，集中组织观看警示教育片</w:t>
            </w:r>
            <w:r>
              <w:rPr>
                <w:rFonts w:ascii="仿宋_GB2312" w:hAnsi="仿宋_GB2312" w:eastAsia="仿宋_GB2312" w:cs="仿宋_GB2312"/>
                <w:szCs w:val="21"/>
              </w:rPr>
              <w:t>2</w:t>
            </w:r>
            <w:r>
              <w:rPr>
                <w:rFonts w:hint="eastAsia" w:ascii="仿宋_GB2312" w:hAnsi="仿宋_GB2312" w:eastAsia="仿宋_GB2312" w:cs="仿宋_GB2312"/>
                <w:szCs w:val="21"/>
              </w:rPr>
              <w:t>次，馆党组书记和支部书记分别上了廉政党课。</w:t>
            </w:r>
            <w:r>
              <w:rPr>
                <w:rFonts w:ascii="仿宋_GB2312" w:hAnsi="仿宋_GB2312" w:eastAsia="仿宋_GB2312" w:cs="仿宋_GB2312"/>
                <w:szCs w:val="21"/>
              </w:rPr>
              <w:t>7</w:t>
            </w:r>
            <w:r>
              <w:rPr>
                <w:rFonts w:hint="eastAsia" w:ascii="仿宋_GB2312" w:hAnsi="仿宋_GB2312" w:eastAsia="仿宋_GB2312" w:cs="仿宋_GB2312"/>
                <w:szCs w:val="21"/>
              </w:rPr>
              <w:t>月份，全体党员赴粟裕纪念馆开展了廉政教育现场教学活动。</w:t>
            </w:r>
            <w:r>
              <w:rPr>
                <w:rFonts w:ascii="仿宋_GB2312" w:hAnsi="仿宋_GB2312" w:eastAsia="仿宋_GB2312" w:cs="仿宋_GB2312"/>
                <w:szCs w:val="21"/>
              </w:rPr>
              <w:t>9</w:t>
            </w:r>
            <w:r>
              <w:rPr>
                <w:rFonts w:hint="eastAsia" w:ascii="仿宋_GB2312" w:hAnsi="仿宋_GB2312" w:eastAsia="仿宋_GB2312" w:cs="仿宋_GB2312"/>
                <w:szCs w:val="21"/>
              </w:rPr>
              <w:t>月份，制作了清廉文化宣传图</w:t>
            </w:r>
            <w:r>
              <w:rPr>
                <w:rFonts w:ascii="仿宋_GB2312" w:hAnsi="仿宋_GB2312" w:eastAsia="仿宋_GB2312" w:cs="仿宋_GB2312"/>
                <w:szCs w:val="21"/>
              </w:rPr>
              <w:t>5</w:t>
            </w:r>
            <w:r>
              <w:rPr>
                <w:rFonts w:hint="eastAsia" w:ascii="仿宋_GB2312" w:hAnsi="仿宋_GB2312" w:eastAsia="仿宋_GB2312" w:cs="仿宋_GB2312"/>
                <w:szCs w:val="21"/>
              </w:rPr>
              <w:t>块，悬挂于二楼走廊墙面，制作了“档案话清廉”图片展板</w:t>
            </w:r>
            <w:r>
              <w:rPr>
                <w:rFonts w:ascii="仿宋_GB2312" w:hAnsi="仿宋_GB2312" w:eastAsia="仿宋_GB2312" w:cs="仿宋_GB2312"/>
                <w:szCs w:val="21"/>
              </w:rPr>
              <w:t>6</w:t>
            </w:r>
            <w:r>
              <w:rPr>
                <w:rFonts w:hint="eastAsia" w:ascii="仿宋_GB2312" w:hAnsi="仿宋_GB2312" w:eastAsia="仿宋_GB2312" w:cs="仿宋_GB2312"/>
                <w:szCs w:val="21"/>
              </w:rPr>
              <w:t>块，摆放在一楼大厅醒目位置。组织开展了清廉家风座谈会，全体在职党员干部职工及家属和退休老同志积极参加，座谈会效果明显。在三楼建设“清廉书屋</w:t>
            </w:r>
            <w:r>
              <w:rPr>
                <w:rFonts w:ascii="仿宋_GB2312" w:hAnsi="仿宋_GB2312" w:eastAsia="仿宋_GB2312" w:cs="仿宋_GB2312"/>
                <w:szCs w:val="21"/>
              </w:rPr>
              <w:t xml:space="preserve">  </w:t>
            </w:r>
            <w:r>
              <w:rPr>
                <w:rFonts w:hint="eastAsia" w:ascii="仿宋_GB2312" w:hAnsi="仿宋_GB2312" w:eastAsia="仿宋_GB2312" w:cs="仿宋_GB2312"/>
                <w:szCs w:val="21"/>
              </w:rPr>
              <w:t>廉政谈话室”，并按“四必谈”要求开展廉政谈话，覆盖率</w:t>
            </w:r>
            <w:r>
              <w:rPr>
                <w:rFonts w:ascii="仿宋_GB2312" w:hAnsi="仿宋_GB2312" w:eastAsia="仿宋_GB2312" w:cs="仿宋_GB2312"/>
                <w:szCs w:val="21"/>
              </w:rPr>
              <w:t>100%</w:t>
            </w:r>
            <w:r>
              <w:rPr>
                <w:rFonts w:hint="eastAsia" w:ascii="仿宋_GB2312" w:hAnsi="仿宋_GB2312" w:eastAsia="仿宋_GB2312" w:cs="仿宋_GB2312"/>
                <w:szCs w:val="21"/>
              </w:rPr>
              <w:t>，我馆清廉机关创建工作得到有效推进。</w:t>
            </w:r>
          </w:p>
          <w:p>
            <w:pPr>
              <w:overflowPunct w:val="0"/>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三、加强队伍建设，档案干部队伍素质有效提升。一是是积极开展政治理论和业务培训，提升干部职工业务能力。今年共派出4人次参加国家、省业务培训，4人次参加党校培训，提高干部能力素质。开展了一次馆内档案业务培训，全员参加培训，提升了干部职工的思想基础和业务水平。二是协助抓好档案员业务能力提升。8月，协助档案局组织举办市直机关档案员业务技能培训，150余人参加，帮助档案从业人员熟悉和掌握新的档案业务标准，强化档案工作者的法制意识。</w:t>
            </w:r>
          </w:p>
          <w:p>
            <w:pPr>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四、加强自身建设，坚持不懈抓好作风建设。一是强化风险防控，深入推进信息化监管。强化对党员领导干部和行使公权力人员监督，根据监察对象信息数据采集工作部署，严格执行“互联网+监督”平台数据更新。加强机关作风监督，严查庸、懒、散、推、拖等不作为现象，重新修订了《怀化市档案馆考勤管理办法》把工作纪律、工作作风、服务态度、履职尽责、服务承诺等情况纳入干部职工平时考核和年终考核内容，作为评先评优重要依据。二是持续反对“四风”。严把财务收支关口，严肃财经纪律，重点对收支管理、资产管理、财务会计管理、政府采购管理、财政票据管理进行了自查。确保无截留、挤占、挪用、坐支、虚列支出、转嫁支出、转移或者套取预算资金；无超标准超范围列支“三公”经费、会议费、培训费和差旅费，无滥发工资，奖金、补贴的情况；无虚列支出转出资金设立的问题；无以假发票等非法票据骗取资金的问题。严把公务接待关口，充分发挥“互联网＋监督”平台作用，按照“不公开不报销、要报销必公开”要求，在每个月月底之前，将本单位上个月已报账的公务用餐事项相关信息（外宾接待除外）在同级“互联网＋监督”平台内部门户网站公开，自觉接受监督检查，积极回应投诉。严把公车管理关口，严禁公车私用、私车公养，全年无违规使用公车等情况。同时积极开展党性、党风、党纪教育，不断加强干部职工廉政教育和职业道德教育，提高了素质，全年无一人违法违纪行为，锻造了一支作风优良的档案干部队伍，有力地推进了全市档案事业健康有序发展。</w:t>
            </w:r>
          </w:p>
          <w:p>
            <w:pPr>
              <w:overflowPunct w:val="0"/>
              <w:spacing w:line="54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五、深入贯彻落实习近平总书记对档案工作的重要批示精神，抓好档案业务工作开展。深入学习领会习近平总书记关于档案工作的重要论述，尤其是对档案工作“四个好”“两个服务”的重要批示精神扎实开展档案业务工作。一是加强档案接收。接收市委办、市委组织部等</w:t>
            </w:r>
            <w:r>
              <w:rPr>
                <w:rFonts w:ascii="仿宋_GB2312" w:hAnsi="仿宋_GB2312" w:eastAsia="仿宋_GB2312" w:cs="仿宋_GB2312"/>
                <w:szCs w:val="21"/>
              </w:rPr>
              <w:t>5</w:t>
            </w:r>
            <w:r>
              <w:rPr>
                <w:rFonts w:hint="eastAsia" w:ascii="仿宋_GB2312" w:hAnsi="仿宋_GB2312" w:eastAsia="仿宋_GB2312" w:cs="仿宋_GB2312"/>
                <w:szCs w:val="21"/>
              </w:rPr>
              <w:t>家单位文书档案</w:t>
            </w:r>
            <w:r>
              <w:rPr>
                <w:rFonts w:ascii="仿宋_GB2312" w:hAnsi="仿宋_GB2312" w:eastAsia="仿宋_GB2312" w:cs="仿宋_GB2312"/>
                <w:szCs w:val="21"/>
              </w:rPr>
              <w:t>217</w:t>
            </w:r>
            <w:r>
              <w:rPr>
                <w:rFonts w:hint="eastAsia" w:ascii="仿宋_GB2312" w:hAnsi="仿宋_GB2312" w:eastAsia="仿宋_GB2312" w:cs="仿宋_GB2312"/>
                <w:szCs w:val="21"/>
              </w:rPr>
              <w:t>卷</w:t>
            </w:r>
            <w:r>
              <w:rPr>
                <w:rFonts w:ascii="仿宋_GB2312" w:hAnsi="仿宋_GB2312" w:eastAsia="仿宋_GB2312" w:cs="仿宋_GB2312"/>
                <w:szCs w:val="21"/>
              </w:rPr>
              <w:t>17240</w:t>
            </w:r>
            <w:r>
              <w:rPr>
                <w:rFonts w:hint="eastAsia" w:ascii="仿宋_GB2312" w:hAnsi="仿宋_GB2312" w:eastAsia="仿宋_GB2312" w:cs="仿宋_GB2312"/>
                <w:szCs w:val="21"/>
              </w:rPr>
              <w:t>件、印章档案</w:t>
            </w:r>
            <w:r>
              <w:rPr>
                <w:rFonts w:ascii="仿宋_GB2312" w:hAnsi="仿宋_GB2312" w:eastAsia="仿宋_GB2312" w:cs="仿宋_GB2312"/>
                <w:szCs w:val="21"/>
              </w:rPr>
              <w:t>68</w:t>
            </w:r>
            <w:r>
              <w:rPr>
                <w:rFonts w:hint="eastAsia" w:ascii="仿宋_GB2312" w:hAnsi="仿宋_GB2312" w:eastAsia="仿宋_GB2312" w:cs="仿宋_GB2312"/>
                <w:szCs w:val="21"/>
              </w:rPr>
              <w:t>枚。接收市扶贫办等单位脱贫攻坚资料</w:t>
            </w:r>
            <w:r>
              <w:rPr>
                <w:rFonts w:ascii="仿宋_GB2312" w:hAnsi="仿宋_GB2312" w:eastAsia="仿宋_GB2312" w:cs="仿宋_GB2312"/>
                <w:szCs w:val="21"/>
              </w:rPr>
              <w:t>1G</w:t>
            </w:r>
            <w:r>
              <w:rPr>
                <w:rFonts w:hint="eastAsia" w:ascii="仿宋_GB2312" w:hAnsi="仿宋_GB2312" w:eastAsia="仿宋_GB2312" w:cs="仿宋_GB2312"/>
                <w:szCs w:val="21"/>
              </w:rPr>
              <w:t>。征集到《怀化学院学报》59余册，丰富了馆藏。二是提升服务质量，及时帮助群众解难消困。开通绿色查阅通道，广大市民群众可以进行电话查档，加班为查阅者查找档案，做好档案查阅利用的延伸服务，一年来共接待查阅利用者</w:t>
            </w:r>
            <w:r>
              <w:rPr>
                <w:rFonts w:ascii="仿宋_GB2312" w:hAnsi="仿宋_GB2312" w:eastAsia="仿宋_GB2312" w:cs="仿宋_GB2312"/>
                <w:szCs w:val="21"/>
              </w:rPr>
              <w:t>2237</w:t>
            </w:r>
            <w:r>
              <w:rPr>
                <w:rFonts w:hint="eastAsia" w:ascii="仿宋_GB2312" w:hAnsi="仿宋_GB2312" w:eastAsia="仿宋_GB2312" w:cs="仿宋_GB2312"/>
                <w:szCs w:val="21"/>
              </w:rPr>
              <w:t>人次，利用档案</w:t>
            </w:r>
            <w:r>
              <w:rPr>
                <w:rFonts w:ascii="仿宋_GB2312" w:hAnsi="仿宋_GB2312" w:eastAsia="仿宋_GB2312" w:cs="仿宋_GB2312"/>
                <w:szCs w:val="21"/>
              </w:rPr>
              <w:t>7947</w:t>
            </w:r>
            <w:r>
              <w:rPr>
                <w:rFonts w:hint="eastAsia" w:ascii="仿宋_GB2312" w:hAnsi="仿宋_GB2312" w:eastAsia="仿宋_GB2312" w:cs="仿宋_GB2312"/>
                <w:szCs w:val="21"/>
              </w:rPr>
              <w:t>卷</w:t>
            </w:r>
            <w:r>
              <w:rPr>
                <w:rFonts w:ascii="仿宋_GB2312" w:hAnsi="仿宋_GB2312" w:eastAsia="仿宋_GB2312" w:cs="仿宋_GB2312"/>
                <w:szCs w:val="21"/>
              </w:rPr>
              <w:t>8652</w:t>
            </w:r>
            <w:r>
              <w:rPr>
                <w:rFonts w:hint="eastAsia" w:ascii="仿宋_GB2312" w:hAnsi="仿宋_GB2312" w:eastAsia="仿宋_GB2312" w:cs="仿宋_GB2312"/>
                <w:szCs w:val="21"/>
              </w:rPr>
              <w:t>件，复印档案</w:t>
            </w:r>
            <w:r>
              <w:rPr>
                <w:rFonts w:ascii="仿宋_GB2312" w:hAnsi="仿宋_GB2312" w:eastAsia="仿宋_GB2312" w:cs="仿宋_GB2312"/>
                <w:szCs w:val="21"/>
              </w:rPr>
              <w:t>16567</w:t>
            </w:r>
            <w:r>
              <w:rPr>
                <w:rFonts w:hint="eastAsia" w:ascii="仿宋_GB2312" w:hAnsi="仿宋_GB2312" w:eastAsia="仿宋_GB2312" w:cs="仿宋_GB2312"/>
                <w:szCs w:val="21"/>
              </w:rPr>
              <w:t>页，查阅利用资料</w:t>
            </w:r>
            <w:r>
              <w:rPr>
                <w:rFonts w:ascii="仿宋_GB2312" w:hAnsi="仿宋_GB2312" w:eastAsia="仿宋_GB2312" w:cs="仿宋_GB2312"/>
                <w:szCs w:val="21"/>
              </w:rPr>
              <w:t>362</w:t>
            </w:r>
            <w:r>
              <w:rPr>
                <w:rFonts w:hint="eastAsia" w:ascii="仿宋_GB2312" w:hAnsi="仿宋_GB2312" w:eastAsia="仿宋_GB2312" w:cs="仿宋_GB2312"/>
                <w:szCs w:val="21"/>
              </w:rPr>
              <w:t>人次</w:t>
            </w:r>
            <w:r>
              <w:rPr>
                <w:rFonts w:ascii="仿宋_GB2312" w:hAnsi="仿宋_GB2312" w:eastAsia="仿宋_GB2312" w:cs="仿宋_GB2312"/>
                <w:szCs w:val="21"/>
              </w:rPr>
              <w:t>1179</w:t>
            </w:r>
            <w:r>
              <w:rPr>
                <w:rFonts w:hint="eastAsia" w:ascii="仿宋_GB2312" w:hAnsi="仿宋_GB2312" w:eastAsia="仿宋_GB2312" w:cs="仿宋_GB2312"/>
                <w:szCs w:val="21"/>
              </w:rPr>
              <w:t>册。三是依托红色档案资源加强宣传，传播正能量。精选选取图片100余幅、利用实例6个，举办了《阔步新征程喜迎二十大》图片展，以解读新修订《档案法》为重点，选取档案与民生方面的实例制作的展板，展示了近年来怀化市档案工作服务中心、服务民生、服务文化建设等方面取得的新成效，宣传档案法律法规，1000多名市民前来观展，发放宣传资料500多份，接受市民群众咨询80人(次)，受到广大市民一致好评。精选红色廉政档案图片50余幅，举办《红色档案话清廉，二次创业做贡献》主题图片展，被市直工委推介，在全市市直机关党建工作重点任务“模范机关”“清廉机关”建设暨“三整顿两提升”干部作风建设专项活动推进会进行展出，150余名党务干部参观，受到好评。积极发挥爱国主义教育基地作用，被团市委授予“怀化市少先队校外实践教育营地（基地）”、被市科协授予“怀化市科普教育基地”。四是积极推进档案信息化工作。完成上报湖南省档案馆《档案见证历史</w:t>
            </w:r>
            <w:r>
              <w:rPr>
                <w:rFonts w:ascii="仿宋_GB2312" w:hAnsi="仿宋_GB2312" w:eastAsia="仿宋_GB2312" w:cs="仿宋_GB2312"/>
                <w:szCs w:val="21"/>
              </w:rPr>
              <w:t>—</w:t>
            </w:r>
            <w:r>
              <w:rPr>
                <w:rFonts w:hint="eastAsia" w:ascii="仿宋_GB2312" w:hAnsi="仿宋_GB2312" w:eastAsia="仿宋_GB2312" w:cs="仿宋_GB2312"/>
                <w:szCs w:val="21"/>
              </w:rPr>
              <w:t>湖南脱贫攻坚工作实录》中怀化市易地搬迁档案及县市区在脱贫攻坚工作中的先进经验、特点亮点数字档案，并完成二次报送，共报送典型材料</w:t>
            </w:r>
            <w:r>
              <w:rPr>
                <w:rFonts w:ascii="仿宋_GB2312" w:hAnsi="仿宋_GB2312" w:eastAsia="仿宋_GB2312" w:cs="仿宋_GB2312"/>
                <w:szCs w:val="21"/>
              </w:rPr>
              <w:t>62</w:t>
            </w:r>
            <w:r>
              <w:rPr>
                <w:rFonts w:hint="eastAsia" w:ascii="仿宋_GB2312" w:hAnsi="仿宋_GB2312" w:eastAsia="仿宋_GB2312" w:cs="仿宋_GB2312"/>
                <w:szCs w:val="21"/>
              </w:rPr>
              <w:t>件，典型数码照片</w:t>
            </w:r>
            <w:r>
              <w:rPr>
                <w:rFonts w:ascii="仿宋_GB2312" w:hAnsi="仿宋_GB2312" w:eastAsia="仿宋_GB2312" w:cs="仿宋_GB2312"/>
                <w:szCs w:val="21"/>
              </w:rPr>
              <w:t>91</w:t>
            </w:r>
            <w:r>
              <w:rPr>
                <w:rFonts w:hint="eastAsia" w:ascii="仿宋_GB2312" w:hAnsi="仿宋_GB2312" w:eastAsia="仿宋_GB2312" w:cs="仿宋_GB2312"/>
                <w:szCs w:val="21"/>
              </w:rPr>
              <w:t>张，先进典型视频</w:t>
            </w:r>
            <w:r>
              <w:rPr>
                <w:rFonts w:ascii="仿宋_GB2312" w:hAnsi="仿宋_GB2312" w:eastAsia="仿宋_GB2312" w:cs="仿宋_GB2312"/>
                <w:szCs w:val="21"/>
              </w:rPr>
              <w:t>7</w:t>
            </w:r>
            <w:r>
              <w:rPr>
                <w:rFonts w:hint="eastAsia" w:ascii="仿宋_GB2312" w:hAnsi="仿宋_GB2312" w:eastAsia="仿宋_GB2312" w:cs="仿宋_GB2312"/>
                <w:szCs w:val="21"/>
              </w:rPr>
              <w:t>个，实物</w:t>
            </w:r>
            <w:r>
              <w:rPr>
                <w:rFonts w:ascii="仿宋_GB2312" w:hAnsi="仿宋_GB2312" w:eastAsia="仿宋_GB2312" w:cs="仿宋_GB2312"/>
                <w:szCs w:val="21"/>
              </w:rPr>
              <w:t>2</w:t>
            </w:r>
            <w:r>
              <w:rPr>
                <w:rFonts w:hint="eastAsia" w:ascii="仿宋_GB2312" w:hAnsi="仿宋_GB2312" w:eastAsia="仿宋_GB2312" w:cs="仿宋_GB2312"/>
                <w:szCs w:val="21"/>
              </w:rPr>
              <w:t>件，容量共</w:t>
            </w:r>
            <w:r>
              <w:rPr>
                <w:rFonts w:ascii="仿宋_GB2312" w:hAnsi="仿宋_GB2312" w:eastAsia="仿宋_GB2312" w:cs="仿宋_GB2312"/>
                <w:szCs w:val="21"/>
              </w:rPr>
              <w:t>45.1GB</w:t>
            </w:r>
            <w:r>
              <w:rPr>
                <w:rFonts w:hint="eastAsia" w:ascii="仿宋_GB2312" w:hAnsi="仿宋_GB2312" w:eastAsia="仿宋_GB2312" w:cs="仿宋_GB2312"/>
                <w:szCs w:val="21"/>
              </w:rPr>
              <w:t>。接收市疫情防疫指挥部、市委办等</w:t>
            </w:r>
            <w:r>
              <w:rPr>
                <w:rFonts w:ascii="仿宋_GB2312" w:hAnsi="仿宋_GB2312" w:eastAsia="仿宋_GB2312" w:cs="仿宋_GB2312"/>
                <w:szCs w:val="21"/>
              </w:rPr>
              <w:t>5</w:t>
            </w:r>
            <w:r>
              <w:rPr>
                <w:rFonts w:hint="eastAsia" w:ascii="仿宋_GB2312" w:hAnsi="仿宋_GB2312" w:eastAsia="仿宋_GB2312" w:cs="仿宋_GB2312"/>
                <w:szCs w:val="21"/>
              </w:rPr>
              <w:t>个单位档案电子数据</w:t>
            </w:r>
            <w:r>
              <w:rPr>
                <w:rFonts w:ascii="仿宋_GB2312" w:hAnsi="仿宋_GB2312" w:eastAsia="仿宋_GB2312" w:cs="仿宋_GB2312"/>
                <w:szCs w:val="21"/>
              </w:rPr>
              <w:t>23.07GB,18</w:t>
            </w:r>
            <w:r>
              <w:rPr>
                <w:rFonts w:hint="eastAsia" w:ascii="仿宋_GB2312" w:hAnsi="仿宋_GB2312" w:eastAsia="仿宋_GB2312" w:cs="仿宋_GB2312"/>
                <w:szCs w:val="21"/>
              </w:rPr>
              <w:t>张备份光盘。五是抓实抓细，档案征集编研和学会工作获得新成果。结合新时代发展实际，沉入基层开展征集编研工作，加强学术理论研究，积极申报市哲学社会科学课题研究，完成《怀化市非物质文化遗产档案挖掘、收集与整理标准研究》课题结题。征集优秀学术论文10篇编成《五溪兰台求索---2022年怀化市档案学术论文选》，并推送参加全省第30次档案学术论文评选，我市获“优秀组织奖”。五是抓好基础设施建设，确保档案库房安全。接收市住房保障服务中心退役档案密集架</w:t>
            </w:r>
            <w:r>
              <w:rPr>
                <w:rFonts w:ascii="仿宋_GB2312" w:hAnsi="仿宋_GB2312" w:eastAsia="仿宋_GB2312" w:cs="仿宋_GB2312"/>
                <w:szCs w:val="21"/>
              </w:rPr>
              <w:t>32</w:t>
            </w:r>
            <w:r>
              <w:rPr>
                <w:rFonts w:hint="eastAsia" w:ascii="仿宋_GB2312" w:hAnsi="仿宋_GB2312" w:eastAsia="仿宋_GB2312" w:cs="仿宋_GB2312"/>
                <w:szCs w:val="21"/>
              </w:rPr>
              <w:t>8组，新增</w:t>
            </w:r>
            <w:r>
              <w:rPr>
                <w:rFonts w:ascii="仿宋_GB2312" w:hAnsi="仿宋_GB2312" w:eastAsia="仿宋_GB2312" w:cs="仿宋_GB2312"/>
                <w:szCs w:val="21"/>
              </w:rPr>
              <w:t>118</w:t>
            </w:r>
            <w:r>
              <w:rPr>
                <w:rFonts w:hint="eastAsia" w:ascii="仿宋_GB2312" w:hAnsi="仿宋_GB2312" w:eastAsia="仿宋_GB2312" w:cs="仿宋_GB2312"/>
                <w:szCs w:val="21"/>
              </w:rPr>
              <w:t>组，争取市财政经费45万元，完成了6楼档案库房配套设施建设。始终注重档案安全，坚持库房安全巡查制度，定期开展安全检查，节假日、重大活动馆领导亲自带队检查，加强安全防范，馆库全年安全无事故。</w:t>
            </w:r>
          </w:p>
          <w:p>
            <w:pPr>
              <w:widowControl/>
              <w:spacing w:line="240" w:lineRule="exact"/>
              <w:jc w:val="left"/>
              <w:rPr>
                <w:rFonts w:ascii="仿宋_GB2312" w:hAnsi="仿宋_GB2312" w:eastAsia="仿宋_GB2312" w:cs="仿宋_GB2312"/>
                <w:szCs w:val="21"/>
              </w:rPr>
            </w:pP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绩</w:t>
            </w:r>
          </w:p>
          <w:p>
            <w:pPr>
              <w:widowControl/>
              <w:spacing w:line="240" w:lineRule="exact"/>
              <w:jc w:val="center"/>
              <w:rPr>
                <w:rFonts w:eastAsia="仿宋_GB2312"/>
                <w:color w:val="000000"/>
                <w:sz w:val="20"/>
                <w:szCs w:val="20"/>
              </w:rPr>
            </w:pPr>
            <w:r>
              <w:rPr>
                <w:rFonts w:eastAsia="仿宋_GB2312"/>
                <w:color w:val="000000"/>
                <w:sz w:val="20"/>
                <w:szCs w:val="20"/>
              </w:rPr>
              <w:t>效</w:t>
            </w:r>
          </w:p>
          <w:p>
            <w:pPr>
              <w:widowControl/>
              <w:spacing w:line="240" w:lineRule="exact"/>
              <w:jc w:val="center"/>
              <w:rPr>
                <w:rFonts w:eastAsia="仿宋_GB2312"/>
                <w:color w:val="000000"/>
                <w:sz w:val="20"/>
                <w:szCs w:val="20"/>
              </w:rPr>
            </w:pPr>
            <w:r>
              <w:rPr>
                <w:rFonts w:eastAsia="仿宋_GB2312"/>
                <w:color w:val="000000"/>
                <w:sz w:val="20"/>
                <w:szCs w:val="20"/>
              </w:rPr>
              <w:t>指</w:t>
            </w:r>
          </w:p>
          <w:p>
            <w:pPr>
              <w:widowControl/>
              <w:spacing w:line="240" w:lineRule="exact"/>
              <w:jc w:val="center"/>
              <w:rPr>
                <w:rFonts w:eastAsia="仿宋_GB2312"/>
                <w:color w:val="000000"/>
                <w:sz w:val="20"/>
                <w:szCs w:val="20"/>
              </w:rPr>
            </w:pPr>
            <w:r>
              <w:rPr>
                <w:rFonts w:eastAsia="仿宋_GB2312"/>
                <w:color w:val="000000"/>
                <w:sz w:val="20"/>
                <w:szCs w:val="20"/>
              </w:rPr>
              <w:t>标</w:t>
            </w:r>
          </w:p>
          <w:p>
            <w:pPr>
              <w:widowControl/>
              <w:spacing w:line="240" w:lineRule="exact"/>
              <w:jc w:val="center"/>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一级指标</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二级指标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三级指标</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eastAsia="仿宋_GB2312"/>
                <w:color w:val="000000"/>
                <w:sz w:val="20"/>
                <w:szCs w:val="20"/>
              </w:rPr>
            </w:pPr>
            <w:r>
              <w:rPr>
                <w:rFonts w:eastAsia="仿宋_GB2312"/>
                <w:color w:val="000000"/>
                <w:sz w:val="20"/>
                <w:szCs w:val="20"/>
              </w:rPr>
              <w:t>年度指标值</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eastAsia="仿宋_GB2312"/>
                <w:color w:val="000000"/>
                <w:sz w:val="20"/>
                <w:szCs w:val="20"/>
              </w:rPr>
            </w:pPr>
            <w:r>
              <w:rPr>
                <w:rFonts w:eastAsia="仿宋_GB2312"/>
                <w:color w:val="000000"/>
                <w:sz w:val="20"/>
                <w:szCs w:val="20"/>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分值</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得分</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trHeight w:val="597"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bookmarkStart w:id="10" w:name="OLE_LINK1" w:colFirst="7" w:colLast="7"/>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产出指标</w:t>
            </w:r>
          </w:p>
          <w:p>
            <w:pPr>
              <w:widowControl/>
              <w:spacing w:line="240" w:lineRule="exact"/>
              <w:jc w:val="center"/>
              <w:rPr>
                <w:rFonts w:eastAsia="仿宋_GB2312"/>
                <w:color w:val="000000"/>
                <w:sz w:val="20"/>
                <w:szCs w:val="20"/>
              </w:rPr>
            </w:pPr>
          </w:p>
          <w:p>
            <w:pPr>
              <w:widowControl/>
              <w:spacing w:line="240" w:lineRule="exact"/>
              <w:jc w:val="center"/>
              <w:rPr>
                <w:rFonts w:eastAsia="仿宋_GB2312"/>
                <w:color w:val="000000"/>
                <w:sz w:val="20"/>
                <w:szCs w:val="20"/>
              </w:rPr>
            </w:pPr>
            <w:r>
              <w:rPr>
                <w:rFonts w:eastAsia="仿宋_GB2312"/>
                <w:color w:val="000000"/>
                <w:sz w:val="20"/>
                <w:szCs w:val="20"/>
              </w:rPr>
              <w:t>(50分)</w:t>
            </w:r>
          </w:p>
        </w:tc>
        <w:tc>
          <w:tcPr>
            <w:tcW w:w="78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数量指标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档案接收</w:t>
            </w:r>
            <w:r>
              <w:rPr>
                <w:rFonts w:hint="eastAsia" w:eastAsia="仿宋_GB2312"/>
                <w:color w:val="000000"/>
                <w:sz w:val="20"/>
                <w:szCs w:val="20"/>
              </w:rPr>
              <w:t>单位数量</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≥10个</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9个</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4</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53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color w:val="000000"/>
                <w:sz w:val="20"/>
                <w:szCs w:val="20"/>
              </w:rPr>
            </w:pP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hint="eastAsia" w:eastAsia="仿宋_GB2312"/>
                <w:color w:val="000000"/>
                <w:sz w:val="20"/>
                <w:szCs w:val="20"/>
              </w:rPr>
              <w:t>开展中国档案学会和省档案学会论文申报</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10篇</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10篇</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1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参观展览人数</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≥10000人次</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12000余人次</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56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接待查阅利用者</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≥1000人次</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1137人次</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质量指标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hint="eastAsia" w:eastAsia="仿宋_GB2312"/>
                <w:color w:val="000000"/>
                <w:sz w:val="20"/>
                <w:szCs w:val="20"/>
              </w:rPr>
              <w:t>质量达标率质量达标率=（质量达标实际工作数/计划工作数）*100%。质量达标实际工作数：一定时期（年度或规划期）内部门实际完成工作数中达到部门绩效目标要求的工作任务数量。</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时效指标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完成及时性。</w:t>
            </w:r>
          </w:p>
          <w:p>
            <w:pPr>
              <w:widowControl/>
              <w:spacing w:line="240" w:lineRule="exact"/>
              <w:jc w:val="left"/>
              <w:rPr>
                <w:rFonts w:eastAsia="仿宋_GB2312"/>
                <w:color w:val="000000"/>
                <w:sz w:val="20"/>
                <w:szCs w:val="20"/>
              </w:rPr>
            </w:pPr>
            <w:r>
              <w:rPr>
                <w:rFonts w:hint="eastAsia" w:eastAsia="仿宋_GB2312"/>
                <w:color w:val="000000"/>
                <w:sz w:val="20"/>
                <w:szCs w:val="20"/>
              </w:rPr>
              <w:t xml:space="preserve">项目实际完成时间与计划完成时间的比较，用以反映和考核项目产出时效目标的实现程度。 </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成本指标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成本节约率。</w:t>
            </w:r>
          </w:p>
          <w:p>
            <w:pPr>
              <w:widowControl/>
              <w:spacing w:line="240" w:lineRule="exact"/>
              <w:jc w:val="left"/>
              <w:rPr>
                <w:rFonts w:eastAsia="仿宋_GB2312"/>
                <w:color w:val="000000"/>
                <w:sz w:val="20"/>
                <w:szCs w:val="20"/>
              </w:rPr>
            </w:pPr>
            <w:r>
              <w:rPr>
                <w:rFonts w:hint="eastAsia" w:eastAsia="仿宋_GB2312"/>
                <w:color w:val="000000"/>
                <w:sz w:val="20"/>
                <w:szCs w:val="20"/>
              </w:rPr>
              <w:t>完成项目计划工作目标的实际节约成本与计划成本的比率，用以反映和考核项目的成本节约程度。成本节约率=【(计划成本-实际成本）/计划成本】*100%。</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ascii="宋体" w:hAnsi="宋体" w:cs="宋体"/>
                <w:color w:val="000000"/>
                <w:kern w:val="0"/>
                <w:sz w:val="18"/>
                <w:szCs w:val="18"/>
              </w:rPr>
              <w:t>≥5%</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5%</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效益指标</w:t>
            </w:r>
          </w:p>
          <w:p>
            <w:pPr>
              <w:widowControl/>
              <w:spacing w:line="240" w:lineRule="exact"/>
              <w:jc w:val="left"/>
              <w:rPr>
                <w:rFonts w:eastAsia="仿宋_GB2312"/>
                <w:color w:val="000000"/>
                <w:sz w:val="20"/>
                <w:szCs w:val="20"/>
              </w:rPr>
            </w:pPr>
          </w:p>
          <w:p>
            <w:pPr>
              <w:widowControl/>
              <w:spacing w:line="240" w:lineRule="exact"/>
              <w:jc w:val="left"/>
              <w:rPr>
                <w:rFonts w:eastAsia="仿宋_GB2312"/>
                <w:color w:val="000000"/>
                <w:sz w:val="20"/>
                <w:szCs w:val="20"/>
              </w:rPr>
            </w:pPr>
            <w:r>
              <w:rPr>
                <w:rFonts w:eastAsia="仿宋_GB2312"/>
                <w:color w:val="000000"/>
                <w:sz w:val="20"/>
                <w:szCs w:val="20"/>
              </w:rPr>
              <w:t>（30分）</w:t>
            </w:r>
          </w:p>
          <w:p>
            <w:pPr>
              <w:widowControl/>
              <w:spacing w:line="240" w:lineRule="exact"/>
              <w:jc w:val="left"/>
              <w:rPr>
                <w:rFonts w:eastAsia="仿宋_GB2312"/>
                <w:color w:val="000000"/>
                <w:sz w:val="20"/>
                <w:szCs w:val="20"/>
              </w:rPr>
            </w:pPr>
            <w:r>
              <w:rPr>
                <w:rFonts w:eastAsia="仿宋_GB2312"/>
                <w:color w:val="000000"/>
                <w:sz w:val="20"/>
                <w:szCs w:val="20"/>
              </w:rPr>
              <w:t>　</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经济效</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hint="eastAsia" w:eastAsia="仿宋_GB2312"/>
                <w:color w:val="000000"/>
                <w:sz w:val="20"/>
                <w:szCs w:val="20"/>
              </w:rPr>
              <w:t>推进档案信息化建设，进一步丰富和完善档案馆藏。</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效果</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显著</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效果</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显著</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8</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社会效</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提升服务质量，及时帮助群众解难消困，充分利用档案资源为群众做好宣传工作。</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有效</w:t>
            </w:r>
          </w:p>
          <w:p>
            <w:pPr>
              <w:widowControl/>
              <w:spacing w:line="240" w:lineRule="exact"/>
              <w:jc w:val="center"/>
              <w:rPr>
                <w:rFonts w:eastAsia="仿宋_GB2312"/>
                <w:color w:val="000000"/>
                <w:sz w:val="20"/>
                <w:szCs w:val="20"/>
              </w:rPr>
            </w:pPr>
            <w:r>
              <w:rPr>
                <w:rFonts w:hint="eastAsia" w:eastAsia="仿宋_GB2312"/>
                <w:color w:val="000000"/>
                <w:sz w:val="20"/>
                <w:szCs w:val="20"/>
              </w:rPr>
              <w:t>提升</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有效</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提升　</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8</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生态效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项目实施后，能够对生态环境带来间接或直接的影响。</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效果</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显著</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效果</w:t>
            </w:r>
          </w:p>
          <w:p>
            <w:pPr>
              <w:widowControl/>
              <w:spacing w:line="240" w:lineRule="exact"/>
              <w:jc w:val="center"/>
              <w:rPr>
                <w:rFonts w:hint="eastAsia" w:eastAsia="仿宋_GB2312"/>
                <w:color w:val="000000"/>
                <w:sz w:val="20"/>
                <w:szCs w:val="20"/>
              </w:rPr>
            </w:pPr>
            <w:r>
              <w:rPr>
                <w:rFonts w:hint="eastAsia" w:eastAsia="仿宋_GB2312"/>
                <w:color w:val="000000"/>
                <w:sz w:val="20"/>
                <w:szCs w:val="20"/>
              </w:rPr>
              <w:t>一般</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6</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2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可持续影响指标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项目实施后运行成效发挥情况以及是否持续对社会产生积极影响。</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可持续性</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可持续</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eastAsia="仿宋_GB2312"/>
                <w:color w:val="000000"/>
                <w:sz w:val="20"/>
                <w:szCs w:val="20"/>
              </w:rPr>
            </w:pPr>
            <w:r>
              <w:rPr>
                <w:rFonts w:hint="eastAsia" w:eastAsia="仿宋_GB2312"/>
                <w:color w:val="000000"/>
                <w:sz w:val="20"/>
                <w:szCs w:val="20"/>
              </w:rPr>
              <w:t>6</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满意度</w:t>
            </w:r>
          </w:p>
          <w:p>
            <w:pPr>
              <w:widowControl/>
              <w:spacing w:line="240" w:lineRule="exact"/>
              <w:jc w:val="center"/>
              <w:rPr>
                <w:rFonts w:eastAsia="仿宋_GB2312"/>
                <w:color w:val="000000"/>
                <w:sz w:val="20"/>
                <w:szCs w:val="20"/>
              </w:rPr>
            </w:pPr>
            <w:r>
              <w:rPr>
                <w:rFonts w:eastAsia="仿宋_GB2312"/>
                <w:color w:val="000000"/>
                <w:sz w:val="20"/>
                <w:szCs w:val="20"/>
              </w:rPr>
              <w:t>指标</w:t>
            </w:r>
          </w:p>
          <w:p>
            <w:pPr>
              <w:widowControl/>
              <w:spacing w:line="240" w:lineRule="exact"/>
              <w:jc w:val="center"/>
              <w:rPr>
                <w:rFonts w:eastAsia="仿宋_GB2312"/>
                <w:color w:val="000000"/>
                <w:sz w:val="20"/>
                <w:szCs w:val="20"/>
              </w:rPr>
            </w:pPr>
            <w:r>
              <w:rPr>
                <w:rFonts w:eastAsia="仿宋_GB2312"/>
                <w:color w:val="000000"/>
                <w:sz w:val="20"/>
                <w:szCs w:val="20"/>
              </w:rPr>
              <w:t>（10分）</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服务对象满意度指标</w:t>
            </w:r>
          </w:p>
        </w:tc>
        <w:tc>
          <w:tcPr>
            <w:tcW w:w="18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指标：服务对象满意度指标</w:t>
            </w:r>
          </w:p>
          <w:p>
            <w:pPr>
              <w:widowControl/>
              <w:spacing w:line="240" w:lineRule="exact"/>
              <w:jc w:val="left"/>
              <w:rPr>
                <w:rFonts w:hint="eastAsia" w:eastAsia="仿宋_GB2312"/>
                <w:color w:val="000000"/>
                <w:sz w:val="20"/>
                <w:szCs w:val="20"/>
              </w:rPr>
            </w:pPr>
            <w:r>
              <w:rPr>
                <w:rFonts w:hint="eastAsia" w:eastAsia="仿宋_GB2312"/>
                <w:color w:val="000000"/>
                <w:sz w:val="20"/>
                <w:szCs w:val="20"/>
                <w:lang w:val="zh-TW"/>
              </w:rPr>
              <w:t>评分要求：</w:t>
            </w:r>
            <w:r>
              <w:rPr>
                <w:rFonts w:hint="eastAsia" w:eastAsia="仿宋_GB2312"/>
                <w:color w:val="000000"/>
                <w:sz w:val="20"/>
                <w:szCs w:val="20"/>
                <w:lang w:val="zh-TW" w:eastAsia="zh-TW"/>
              </w:rPr>
              <w:t>采取对项目实施区域内服务受益对象满意度调查方式，满意度≥</w:t>
            </w:r>
            <w:r>
              <w:rPr>
                <w:rFonts w:hint="eastAsia" w:eastAsia="仿宋_GB2312"/>
                <w:color w:val="000000"/>
                <w:sz w:val="20"/>
                <w:szCs w:val="20"/>
              </w:rPr>
              <w:t>95</w:t>
            </w:r>
            <w:r>
              <w:rPr>
                <w:rFonts w:hint="eastAsia" w:eastAsia="仿宋_GB2312"/>
                <w:color w:val="000000"/>
                <w:sz w:val="20"/>
                <w:szCs w:val="20"/>
                <w:lang w:val="zh-TW" w:eastAsia="zh-TW"/>
              </w:rPr>
              <w:t>%，计10分，</w:t>
            </w:r>
            <w:r>
              <w:rPr>
                <w:rFonts w:hint="eastAsia" w:eastAsia="仿宋_GB2312"/>
                <w:color w:val="000000"/>
                <w:sz w:val="20"/>
                <w:szCs w:val="20"/>
                <w:lang w:val="zh-TW"/>
              </w:rPr>
              <w:t>每下降一个百分点，扣1分，扣完为止。</w:t>
            </w: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eastAsia="仿宋_GB2312"/>
                <w:color w:val="000000"/>
                <w:sz w:val="20"/>
                <w:szCs w:val="20"/>
              </w:rPr>
            </w:pPr>
            <w:r>
              <w:rPr>
                <w:rFonts w:hint="eastAsia" w:eastAsia="仿宋_GB2312"/>
                <w:color w:val="000000"/>
                <w:sz w:val="20"/>
                <w:szCs w:val="20"/>
              </w:rPr>
              <w:t>　</w:t>
            </w:r>
            <w:r>
              <w:rPr>
                <w:rFonts w:hint="eastAsia" w:eastAsia="仿宋_GB2312"/>
                <w:color w:val="000000"/>
                <w:sz w:val="20"/>
                <w:szCs w:val="20"/>
                <w:lang w:val="zh-TW" w:eastAsia="zh-TW"/>
              </w:rPr>
              <w:t>≥</w:t>
            </w:r>
            <w:r>
              <w:rPr>
                <w:rFonts w:hint="eastAsia" w:eastAsia="仿宋_GB2312"/>
                <w:color w:val="000000"/>
                <w:sz w:val="20"/>
                <w:szCs w:val="20"/>
              </w:rPr>
              <w:t>95</w:t>
            </w:r>
            <w:r>
              <w:rPr>
                <w:rFonts w:hint="eastAsia" w:eastAsia="仿宋_GB2312"/>
                <w:color w:val="000000"/>
                <w:sz w:val="20"/>
                <w:szCs w:val="20"/>
                <w:lang w:val="zh-TW" w:eastAsia="zh-TW"/>
              </w:rPr>
              <w:t>%</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bookmarkEnd w:id="10"/>
      <w:tr>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eastAsia="仿宋_GB2312"/>
                <w:color w:val="000000"/>
                <w:sz w:val="20"/>
                <w:szCs w:val="20"/>
              </w:rPr>
              <w:t>100</w:t>
            </w:r>
          </w:p>
        </w:tc>
        <w:tc>
          <w:tcPr>
            <w:tcW w:w="8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9</w:t>
            </w:r>
            <w:r>
              <w:rPr>
                <w:rFonts w:eastAsia="仿宋_GB2312"/>
                <w:color w:val="000000"/>
                <w:sz w:val="20"/>
                <w:szCs w:val="20"/>
              </w:rPr>
              <w:t>7</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bl>
    <w:p>
      <w:r>
        <w:rPr>
          <w:rFonts w:eastAsia="仿宋_GB2312"/>
          <w:sz w:val="22"/>
          <w:szCs w:val="22"/>
        </w:rPr>
        <w:t>填表人：      填报日期：         联系电话：     单位负责人签字：</w:t>
      </w:r>
    </w:p>
    <w:p>
      <w:pPr>
        <w:pStyle w:val="4"/>
      </w:pPr>
    </w:p>
    <w:p/>
    <w:p/>
    <w:p>
      <w:pPr>
        <w:rPr>
          <w:rFonts w:hint="eastAsia" w:eastAsiaTheme="minorEastAsia"/>
          <w:lang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Î¢ÈíÑÅºÚ Western">
    <w:altName w:val="Arial"/>
    <w:panose1 w:val="00000000000000000000"/>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B7ED8"/>
    <w:multiLevelType w:val="singleLevel"/>
    <w:tmpl w:val="AABB7ED8"/>
    <w:lvl w:ilvl="0" w:tentative="0">
      <w:start w:val="3"/>
      <w:numFmt w:val="chineseCounting"/>
      <w:suff w:val="nothing"/>
      <w:lvlText w:val="%1、"/>
      <w:lvlJc w:val="left"/>
      <w:rPr>
        <w:rFonts w:hint="eastAsia"/>
      </w:rPr>
    </w:lvl>
  </w:abstractNum>
  <w:abstractNum w:abstractNumId="1">
    <w:nsid w:val="4B7E85FE"/>
    <w:multiLevelType w:val="singleLevel"/>
    <w:tmpl w:val="4B7E85FE"/>
    <w:lvl w:ilvl="0" w:tentative="0">
      <w:start w:val="4"/>
      <w:numFmt w:val="decimal"/>
      <w:suff w:val="nothing"/>
      <w:lvlText w:val="%1、"/>
      <w:lvlJc w:val="left"/>
    </w:lvl>
  </w:abstractNum>
  <w:abstractNum w:abstractNumId="2">
    <w:nsid w:val="62193247"/>
    <w:multiLevelType w:val="singleLevel"/>
    <w:tmpl w:val="62193247"/>
    <w:lvl w:ilvl="0" w:tentative="0">
      <w:start w:val="2"/>
      <w:numFmt w:val="chineseCounting"/>
      <w:suff w:val="space"/>
      <w:lvlText w:val="第%1部分"/>
      <w:lvlJc w:val="left"/>
      <w:rPr>
        <w:rFonts w:hint="eastAsia"/>
      </w:rPr>
    </w:lvl>
  </w:abstractNum>
  <w:abstractNum w:abstractNumId="3">
    <w:nsid w:val="6586322F"/>
    <w:multiLevelType w:val="singleLevel"/>
    <w:tmpl w:val="6586322F"/>
    <w:lvl w:ilvl="0" w:tentative="0">
      <w:start w:val="3"/>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wZmM3NGZlMmRjYTQ1YzUwM2E4ODFmOTgwYzkxMmUifQ=="/>
  </w:docVars>
  <w:rsids>
    <w:rsidRoot w:val="00000000"/>
    <w:rsid w:val="0644311F"/>
    <w:rsid w:val="079E12BF"/>
    <w:rsid w:val="15A7222A"/>
    <w:rsid w:val="1AD25C82"/>
    <w:rsid w:val="1F8C4FFD"/>
    <w:rsid w:val="28FD1B04"/>
    <w:rsid w:val="3FE532C6"/>
    <w:rsid w:val="485A5571"/>
    <w:rsid w:val="4B1318B4"/>
    <w:rsid w:val="5031581A"/>
    <w:rsid w:val="544B5DC1"/>
    <w:rsid w:val="5E195347"/>
    <w:rsid w:val="68C22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Indent"/>
    <w:basedOn w:val="1"/>
    <w:qFormat/>
    <w:uiPriority w:val="0"/>
    <w:pPr>
      <w:widowControl w:val="0"/>
      <w:ind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index 5"/>
    <w:basedOn w:val="1"/>
    <w:next w:val="1"/>
    <w:semiHidden/>
    <w:qFormat/>
    <w:uiPriority w:val="99"/>
    <w:pPr>
      <w:ind w:left="1680"/>
    </w:pPr>
  </w:style>
  <w:style w:type="paragraph" w:styleId="4">
    <w:name w:val="footer"/>
    <w:basedOn w:val="1"/>
    <w:next w:val="3"/>
    <w:qFormat/>
    <w:uiPriority w:val="0"/>
    <w:pPr>
      <w:tabs>
        <w:tab w:val="center" w:pos="4153"/>
        <w:tab w:val="right" w:pos="8306"/>
      </w:tabs>
      <w:snapToGrid w:val="0"/>
      <w:jc w:val="left"/>
    </w:pPr>
    <w:rPr>
      <w:sz w:val="18"/>
    </w:rPr>
  </w:style>
  <w:style w:type="paragraph" w:styleId="5">
    <w:name w:val="Normal (Web)"/>
    <w:basedOn w:val="1"/>
    <w:unhideWhenUsed/>
    <w:qFormat/>
    <w:uiPriority w:val="0"/>
    <w:pPr>
      <w:spacing w:beforeAutospacing="1" w:afterAutospacing="1"/>
      <w:jc w:val="left"/>
    </w:pPr>
    <w:rPr>
      <w:rFonts w:cs="Times New Roman"/>
      <w:kern w:val="0"/>
      <w:sz w:val="24"/>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9">
    <w:name w:val="List Paragraph"/>
    <w:basedOn w:val="1"/>
    <w:qFormat/>
    <w:uiPriority w:val="34"/>
    <w:pPr>
      <w:ind w:firstLine="420" w:firstLineChars="200"/>
    </w:pPr>
  </w:style>
  <w:style w:type="character" w:customStyle="1" w:styleId="10">
    <w:name w:val="font01"/>
    <w:basedOn w:val="7"/>
    <w:qFormat/>
    <w:uiPriority w:val="0"/>
    <w:rPr>
      <w:rFonts w:hint="eastAsia" w:ascii="宋体" w:hAnsi="宋体" w:eastAsia="宋体" w:cs="宋体"/>
      <w:color w:val="000000"/>
      <w:sz w:val="22"/>
      <w:szCs w:val="22"/>
      <w:u w:val="none"/>
    </w:rPr>
  </w:style>
  <w:style w:type="character" w:customStyle="1" w:styleId="11">
    <w:name w:val="font21"/>
    <w:basedOn w:val="7"/>
    <w:qFormat/>
    <w:uiPriority w:val="0"/>
    <w:rPr>
      <w:rFonts w:hint="eastAsia" w:ascii="宋体" w:hAnsi="宋体" w:eastAsia="宋体" w:cs="宋体"/>
      <w:color w:val="000000"/>
      <w:sz w:val="24"/>
      <w:szCs w:val="24"/>
      <w:u w:val="none"/>
    </w:rPr>
  </w:style>
  <w:style w:type="character" w:customStyle="1" w:styleId="12">
    <w:name w:val="font11"/>
    <w:basedOn w:val="7"/>
    <w:qFormat/>
    <w:uiPriority w:val="0"/>
    <w:rPr>
      <w:rFonts w:hint="eastAsia" w:ascii="宋体" w:hAnsi="宋体" w:eastAsia="宋体" w:cs="宋体"/>
      <w:color w:val="000000"/>
      <w:sz w:val="24"/>
      <w:szCs w:val="24"/>
      <w:u w:val="none"/>
    </w:rPr>
  </w:style>
  <w:style w:type="paragraph" w:customStyle="1" w:styleId="13">
    <w:name w:val="列出段落"/>
    <w:basedOn w:val="1"/>
    <w:qFormat/>
    <w:uiPriority w:val="0"/>
    <w:pPr>
      <w:ind w:firstLine="200" w:firstLineChars="200"/>
    </w:pPr>
    <w:rPr>
      <w:rFonts w:ascii="Calibri" w:hAnsi="Calibri"/>
      <w:szCs w:val="22"/>
    </w:rPr>
  </w:style>
  <w:style w:type="paragraph" w:customStyle="1" w:styleId="14">
    <w:name w:val="正文1"/>
    <w:basedOn w:val="1"/>
    <w:qFormat/>
    <w:uiPriority w:val="0"/>
    <w:rPr>
      <w:rFonts w:ascii="宋体" w:hAnsi="宋体" w:cs="宋体"/>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2023-09-21T10:37:00Z</dcterms:created>
  <dc:creator>Administrator</dc:creator>
  <cp:lastModifiedBy>Administrator</cp:lastModifiedBy>
  <dcterms:modified xsi:type="dcterms:W3CDTF">2023-09-25T08:50:28Z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009A16EB31044E079516D419930AD7C6_12</vt:lpwstr>
  </property>
</Properties>
</file>