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14:paraId="426ACBA0">
      <w:pPr>
        <w:pStyle w:val="39"/>
        <w:ind w:firstLine="480"/>
        <w:jc w:val="left"/>
        <w:rPr>
          <w:shd w:val="clear" w:color="auto" w:fill="FFFFFF"/>
        </w:rPr>
      </w:pPr>
      <w:r>
        <w:rPr>
          <w:rFonts w:hint="eastAsia"/>
          <w:shd w:val="clear" w:color="auto" w:fill="FFFFFF"/>
        </w:rPr>
        <w:t>附件1</w:t>
      </w:r>
    </w:p>
    <w:p w14:paraId="40F75965">
      <w:pPr>
        <w:pStyle w:val="39"/>
        <w:ind w:firstLine="480"/>
        <w:rPr>
          <w:shd w:val="clear" w:color="auto" w:fill="FFFFFF"/>
        </w:rPr>
      </w:pPr>
    </w:p>
    <w:p w14:paraId="1F1D51A0">
      <w:pPr>
        <w:pStyle w:val="61"/>
      </w:pPr>
      <w:r>
        <w:rPr>
          <w:rFonts w:hint="eastAsia"/>
        </w:rPr>
        <w:t>怀化市档案馆</w:t>
      </w:r>
    </w:p>
    <w:p w14:paraId="04D2B965">
      <w:pPr>
        <w:pStyle w:val="61"/>
      </w:pPr>
      <w:r>
        <w:rPr>
          <w:rFonts w:hint="eastAsia"/>
        </w:rPr>
        <w:t>2023年部门整体支出绩效自评报告</w:t>
      </w:r>
    </w:p>
    <w:p w14:paraId="439DFFB1">
      <w:pPr>
        <w:pStyle w:val="39"/>
        <w:ind w:firstLine="480"/>
        <w:rPr>
          <w:rFonts w:hint="eastAsia" w:ascii="仿宋" w:hAnsi="仿宋" w:eastAsia="仿宋" w:cs="仿宋"/>
          <w:sz w:val="30"/>
          <w:szCs w:val="30"/>
          <w:shd w:val="clear" w:color="auto" w:fill="FFFFFF"/>
        </w:rPr>
      </w:pPr>
    </w:p>
    <w:p w14:paraId="7F46810A">
      <w:pPr>
        <w:pStyle w:val="17"/>
        <w:ind w:firstLine="602"/>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一、部门、单位基本情况</w:t>
      </w:r>
    </w:p>
    <w:p w14:paraId="4FCB9F3B">
      <w:pPr>
        <w:pStyle w:val="18"/>
        <w:ind w:firstLine="562"/>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（一）机构设置情况</w:t>
      </w:r>
    </w:p>
    <w:p w14:paraId="022EACD8">
      <w:pPr>
        <w:pStyle w:val="39"/>
        <w:ind w:firstLine="480"/>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怀化市档案馆作为一级部门预算单位，内设科室为：办公室、管理利用部、编研和征收鉴定部、科技信息部。</w:t>
      </w:r>
    </w:p>
    <w:p w14:paraId="14BAB1FC">
      <w:pPr>
        <w:pStyle w:val="18"/>
        <w:ind w:firstLine="562"/>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（二）人员编制情况</w:t>
      </w:r>
    </w:p>
    <w:p w14:paraId="3EAA5398">
      <w:pPr>
        <w:pStyle w:val="39"/>
        <w:ind w:firstLine="480"/>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根据人员编制规定，2023年度怀化市档案馆三定方案编制人员为19人，实有编制人员为18人，其中：行政人员编制数19人，实有17人；事业人员编制数0人，实有1人；离退休人员共13人。</w:t>
      </w:r>
    </w:p>
    <w:p w14:paraId="7FAC9A83">
      <w:pPr>
        <w:pStyle w:val="18"/>
        <w:ind w:firstLine="562"/>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（三）主要职能职责</w:t>
      </w:r>
    </w:p>
    <w:p w14:paraId="36F59DFD">
      <w:pPr>
        <w:pStyle w:val="39"/>
        <w:ind w:firstLine="480"/>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负责收集、征集和接收本馆保管范围内按规定移交进馆的各类档案资料，以及对全市30万余卷（册）档案资料的保管保护、对馆藏档案严格按照规定进行科学整理、编目、鉴定、数字化、技术保护及开发利用等职能。</w:t>
      </w:r>
    </w:p>
    <w:p w14:paraId="6D74A782">
      <w:pPr>
        <w:pStyle w:val="18"/>
        <w:ind w:firstLine="562"/>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（四）绩效目标设定情况</w:t>
      </w:r>
    </w:p>
    <w:p w14:paraId="57BD4BC4">
      <w:pPr>
        <w:pStyle w:val="39"/>
        <w:ind w:firstLine="480"/>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按照市本级预算绩效管理工作的总体要求，2023年我单位整体支出316.04万元，全部实行整体支出绩效目标管理，编报绩效目标的项目1个，涉及项目支出30.50 万元，实行项目支出绩效目标管理。</w:t>
      </w:r>
    </w:p>
    <w:p w14:paraId="09238520">
      <w:pPr>
        <w:pStyle w:val="17"/>
        <w:ind w:firstLine="602"/>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二、部门整体支出管理及使用情况</w:t>
      </w:r>
    </w:p>
    <w:p w14:paraId="05F9E76D">
      <w:pPr>
        <w:pStyle w:val="18"/>
        <w:ind w:firstLine="562"/>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（一）预算执行、使用、管理总体情况</w:t>
      </w:r>
    </w:p>
    <w:p w14:paraId="46D58F0B">
      <w:pPr>
        <w:pStyle w:val="39"/>
        <w:ind w:firstLine="480"/>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2023年部门预算情况。收入只有一般公共预算财政拨款收入；支出包括保障机关基本运行的经费以及相关专项经费。</w:t>
      </w:r>
    </w:p>
    <w:p w14:paraId="20288129">
      <w:pPr>
        <w:pStyle w:val="39"/>
        <w:ind w:firstLine="480"/>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怀化市档案馆整体支出和项目支出实行绩效目标管理。</w:t>
      </w:r>
    </w:p>
    <w:p w14:paraId="1F6230D1">
      <w:pPr>
        <w:pStyle w:val="10"/>
        <w:ind w:firstLine="482"/>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1.收入预算</w:t>
      </w:r>
    </w:p>
    <w:p w14:paraId="3431DC84">
      <w:pPr>
        <w:pStyle w:val="39"/>
        <w:ind w:firstLine="480"/>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2023年年初预算数341.42万元，其中，一般公共预算拨款 341.42 万元，无政府性基金预算拨款、无纳</w:t>
      </w:r>
      <w:r>
        <w:rPr>
          <w:rFonts w:hint="eastAsia" w:ascii="仿宋" w:hAnsi="仿宋" w:eastAsia="仿宋" w:cs="仿宋"/>
          <w:spacing w:val="6"/>
          <w:sz w:val="30"/>
          <w:szCs w:val="30"/>
          <w:shd w:val="clear" w:color="auto" w:fill="FFFFFF"/>
        </w:rPr>
        <w:t>入财政专户管理的非税收入拨款，无国有资本经营预算拨款。压减公用经费和专项支出后，同口径对比，收入较上年增加47.59万元，</w:t>
      </w:r>
      <w:bookmarkStart w:id="0" w:name="_Hlk170718134"/>
      <w:r>
        <w:rPr>
          <w:rFonts w:hint="eastAsia" w:ascii="仿宋" w:hAnsi="仿宋" w:eastAsia="仿宋" w:cs="仿宋"/>
          <w:spacing w:val="6"/>
          <w:sz w:val="30"/>
          <w:szCs w:val="30"/>
          <w:shd w:val="clear" w:color="auto" w:fill="FFFFFF"/>
        </w:rPr>
        <w:t>主要原因是绩效奖纳入了年初预算，人员经费增加。</w:t>
      </w:r>
      <w:bookmarkEnd w:id="0"/>
    </w:p>
    <w:p w14:paraId="348577A7">
      <w:pPr>
        <w:pStyle w:val="10"/>
        <w:ind w:firstLine="482"/>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2.支出预算</w:t>
      </w:r>
    </w:p>
    <w:p w14:paraId="79B191B7">
      <w:pPr>
        <w:pStyle w:val="39"/>
        <w:ind w:firstLine="480"/>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2023年年初预算数 341.42万元，其中主要是人员支出286.92 万元，公用经费24.00 万元，运转类项目支出30.50 万元。压减公用经费和专项支出后，同口径对比，支出较上年减少47.59万元，主要原因是绩效奖纳入了年初预算，人员经费支出增加。</w:t>
      </w:r>
    </w:p>
    <w:p w14:paraId="769427D3">
      <w:pPr>
        <w:pStyle w:val="18"/>
        <w:ind w:firstLine="562"/>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（二）部门预算执行情况</w:t>
      </w:r>
    </w:p>
    <w:p w14:paraId="2833B158">
      <w:pPr>
        <w:pStyle w:val="10"/>
        <w:ind w:firstLine="482"/>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1.基本支出情况</w:t>
      </w:r>
    </w:p>
    <w:p w14:paraId="0EAB96D7">
      <w:pPr>
        <w:pStyle w:val="39"/>
        <w:ind w:firstLine="480"/>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2023年年初预算数为310.92万元，全年预算数278.32万元，实际支出278.32万元，是指为保障单位机构正常运转、完成日常工作任务而发生的各项支出，包括用于基本工资83.28万元、津贴补贴45.11万元、奖金55.63万元、机关事业单位基本养老保险缴费 25.23万元、职工基本医疗保险缴费11.29 万元、其他社会保障缴费0.96 万元、差旅费1.57万元、维修（护）费1.52万元、公务接待费0.62万元、工会经费2.60万元、公务用车运行维护费2.50万元，其他商品和服务支出7.86万元等。</w:t>
      </w:r>
    </w:p>
    <w:p w14:paraId="0D0C3F59">
      <w:pPr>
        <w:pStyle w:val="10"/>
        <w:ind w:firstLine="482"/>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2.项目支出情况</w:t>
      </w:r>
    </w:p>
    <w:p w14:paraId="4DF8DAB6">
      <w:pPr>
        <w:pStyle w:val="39"/>
        <w:ind w:firstLine="480"/>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2023年年初预算数为30.50万元，全年预算数37.72万元，实际支出37.72万元，其中年中追加预算运转工作经费5.00万元，结转档案库房配套设施建设经费质保金2.22万元。</w:t>
      </w:r>
      <w:bookmarkStart w:id="1" w:name="_Hlk169125862"/>
      <w:r>
        <w:rPr>
          <w:rFonts w:hint="eastAsia" w:ascii="仿宋" w:hAnsi="仿宋" w:eastAsia="仿宋" w:cs="仿宋"/>
          <w:sz w:val="30"/>
          <w:szCs w:val="30"/>
          <w:shd w:val="clear" w:color="auto" w:fill="FFFFFF"/>
        </w:rPr>
        <w:t>项目支出是指单位为完成特定行政工作任务或事业发展目标而发生的支出，包括有关事业发展专项、专项业务费、基本建设支出等</w:t>
      </w:r>
      <w:bookmarkEnd w:id="1"/>
      <w:r>
        <w:rPr>
          <w:rFonts w:hint="eastAsia" w:ascii="仿宋" w:hAnsi="仿宋" w:eastAsia="仿宋" w:cs="仿宋"/>
          <w:sz w:val="30"/>
          <w:szCs w:val="30"/>
          <w:shd w:val="clear" w:color="auto" w:fill="FFFFFF"/>
        </w:rPr>
        <w:t>。项目支出主要用于档案日常管理和征集费。</w:t>
      </w:r>
    </w:p>
    <w:p w14:paraId="1F74477E">
      <w:pPr>
        <w:pStyle w:val="18"/>
        <w:ind w:firstLine="562"/>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（三）“三公”经费使用和管理情况</w:t>
      </w:r>
    </w:p>
    <w:p w14:paraId="7CAB314E">
      <w:pPr>
        <w:pStyle w:val="39"/>
        <w:ind w:firstLine="480"/>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2023年我单位安排“三公”经费支出数为3.24 万元，其中，年初公务接待费0.62万元，公务用车购置费0万元，公务用车维护费2.62万元，因公出国（境）费0万元。2023年“三公”经费预算较上年预算数减少 1.12万元，下降21.25%，主要原因是车辆维修费减少。</w:t>
      </w:r>
    </w:p>
    <w:p w14:paraId="1058C582">
      <w:pPr>
        <w:pStyle w:val="17"/>
        <w:ind w:firstLine="602"/>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三、政府性基金预算支出情况</w:t>
      </w:r>
    </w:p>
    <w:p w14:paraId="0AEA1094">
      <w:pPr>
        <w:pStyle w:val="39"/>
        <w:ind w:firstLine="480"/>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单位2023年无政府性基金预算支出。</w:t>
      </w:r>
    </w:p>
    <w:p w14:paraId="4316ECB8">
      <w:pPr>
        <w:pStyle w:val="17"/>
        <w:ind w:firstLine="602"/>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四、国有资本经营预算支出情况</w:t>
      </w:r>
    </w:p>
    <w:p w14:paraId="43EF5BC9">
      <w:pPr>
        <w:pStyle w:val="39"/>
        <w:ind w:firstLine="480"/>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单位2023年无国有资本经营预算支出。</w:t>
      </w:r>
    </w:p>
    <w:p w14:paraId="73226A42">
      <w:pPr>
        <w:pStyle w:val="17"/>
        <w:ind w:firstLine="602"/>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五、社会保险基金预算支出情况</w:t>
      </w:r>
    </w:p>
    <w:p w14:paraId="21D16731">
      <w:pPr>
        <w:pStyle w:val="39"/>
        <w:ind w:firstLine="480"/>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单位2023年无社会保险基金预算支出。</w:t>
      </w:r>
    </w:p>
    <w:p w14:paraId="1B2CEDB6">
      <w:pPr>
        <w:pStyle w:val="17"/>
        <w:ind w:firstLine="602"/>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六、部门整体支出绩效情况</w:t>
      </w:r>
    </w:p>
    <w:p w14:paraId="58FC5E61">
      <w:pPr>
        <w:pStyle w:val="18"/>
        <w:ind w:firstLine="562"/>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（一）综合评价结论</w:t>
      </w:r>
    </w:p>
    <w:p w14:paraId="36F4505A">
      <w:pPr>
        <w:pStyle w:val="39"/>
        <w:ind w:firstLine="480"/>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反映自评得分及评价等级。</w:t>
      </w:r>
      <w:bookmarkStart w:id="2" w:name="_Hlk169126389"/>
      <w:r>
        <w:rPr>
          <w:rFonts w:hint="eastAsia" w:ascii="仿宋" w:hAnsi="仿宋" w:eastAsia="仿宋" w:cs="仿宋"/>
          <w:sz w:val="30"/>
          <w:szCs w:val="30"/>
          <w:shd w:val="clear" w:color="auto" w:fill="FFFFFF"/>
        </w:rPr>
        <w:t>根据部门整体支出绩效评价指标规定的内容，经我单位认真自评，总评分为100分，实际得分98分，2023年度部门整体绩效评价为优秀。</w:t>
      </w:r>
    </w:p>
    <w:bookmarkEnd w:id="2"/>
    <w:p w14:paraId="1B47AD96">
      <w:pPr>
        <w:pStyle w:val="39"/>
        <w:ind w:firstLine="480"/>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我单位按照市级部门预决算编制通知和有关要求，按时完成预决算编制工作，并及时在网上进行预决算公开。部门整体绩效目标编制完整、合理，项目绩效目标编制明确、量化。按要求严格预算执行管理，及时足额将专项资金按标拨付。严格执行“三公经费”预算，按要求及时公开预算、决算、绩效等信息。按要求及时、准确、全面开展资产清查工作，上报国有资产报表数据的真实、准确、全面。内部控制制度健全完整并执行良好，在本年度内未出现廉政风险。我单位被评为2023年度全市平安建设工作先进单位、2023年度全市安全生产和消防工作优秀单位，在全市群众安全感和满意度民意调查中排名第11名。</w:t>
      </w:r>
    </w:p>
    <w:p w14:paraId="3CC798C9">
      <w:pPr>
        <w:pStyle w:val="18"/>
        <w:ind w:firstLine="562"/>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（二）评价指标分析（或综合评价情况）</w:t>
      </w:r>
    </w:p>
    <w:p w14:paraId="661E4FD0">
      <w:pPr>
        <w:pStyle w:val="39"/>
        <w:ind w:firstLine="480"/>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2023年是全面贯彻落实党的二十大精神的开馆之年。我单位坚持以习近平新时代中国特色社会主义思想为指导，全面贯彻党的二十大精神，深入学习贯彻习近平总书记对档案工作的重要指示批示精神，认真贯彻落实中央、省委、市委决策部署，扎实履职、勇于担当，各项工作取得一定成效。现总结如下：</w:t>
      </w:r>
    </w:p>
    <w:p w14:paraId="39D03FE0">
      <w:pPr>
        <w:pStyle w:val="10"/>
        <w:ind w:firstLine="482"/>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1.坚持以党的政治建设为统领，深入贯彻落实习近平新时代中国特色社会主义思想和党的二十大精神</w:t>
      </w:r>
    </w:p>
    <w:p w14:paraId="51704F36">
      <w:pPr>
        <w:pStyle w:val="39"/>
        <w:ind w:firstLine="480"/>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1）深化理论武装，不断夯实思想根基，始终坚持把党的政治建设摆在首位，深刻领悟“两个确立”的决定性意义，做到“两个维护”。①严格落实“第一议题”制度。我单位坚持把学习贯彻习近平总书记重要讲话指示批示精神作为党组会、理论中心组（扩大）学习、支委会及其它党内重要会议的“第一议题”，第一时间组织传达学习，并紧密联系工作实际谈感想抓落实。②推进构建全方位多层次学习体系。坚持把学习贯彻习近平新时代中国特色社会主义思想、党的二十大精神与习近平总书记对档案工作重要指示批示精神紧密结合起来，依托党组理论学习中心组集体（扩大）学习、“三会一课”、“一月一课一片一实践”主题党日活动、“学习强国”APP等多种形式，组织全员开展集中学习和自主学习，进一步提升干部职工理论素养水平。</w:t>
      </w:r>
    </w:p>
    <w:p w14:paraId="55A622CD">
      <w:pPr>
        <w:pStyle w:val="39"/>
        <w:ind w:firstLine="480"/>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（2）强化组织领导，不断推进主题教育取得实效</w:t>
      </w:r>
    </w:p>
    <w:p w14:paraId="74774B73">
      <w:pPr>
        <w:pStyle w:val="39"/>
        <w:ind w:firstLine="480"/>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坚持把开展好主题教育作为当前首要政治任务，精心组织，统筹谋划，切实提高主题教育质量。①及时启动部署。9月12日召开党组会议研究部署主题教育工作，9月14日召开主题教育动员部署会议。结合怀化市档案馆实际，制定了本馆主题教育实施方案、主题教育读书班实施方案、领导班子主题教育期间理论学习计划、党支部学习计划、馆副处级以上的领导干部个人学习计划等，进一步加强对主题教育的统筹谋划。②对标对表抓好重点任务的落实。9月21日至9月27日举办了“学习贯彻习近平新时代中国特色社会主义思想主题教育读书班”，馆领导班子成员及副处级以上干部均参加了读书班。班子成员每月至少安排1天时间开展集中学习，及时跟进学习习近平总书记最新重要讲话精神。③坚持创新方式学。充分用好红色资源开展党性教育，11月份，组织全体党员干部职工前往新晃县龙溪书院、唐伯赓烈士故居开展清廉文化及红色教育活动，进一步了坚定理想信念，重拾入党初心。④深入开展调查研究。大兴调查研究之风，持续深入开展“走基层、找问题、想办法、促发展”活动，坚持问题导向，深入到鹤城区、洪江市、洪江区、麻阳县、中方县、溆浦县、会同县、通道县、新晃县等县直部门、乡镇开展了10余次现场调研，共查找办理了38个意见建议，解决率100%。⑤切实推动干事创业。聚焦群众所需，结合档案工作实际情况，制定了“设立政务信息公开查询点”的民生项目清单，并已完成。⑥抓实抓细整改整治。聚焦“五个方面”问题，深入检视剖析存在的突出问题，共梳理出2个问题，制定整改措施6条，已全部完成整改。</w:t>
      </w:r>
    </w:p>
    <w:p w14:paraId="0D93F748">
      <w:pPr>
        <w:pStyle w:val="39"/>
        <w:ind w:firstLine="480"/>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（3）坚持民主集中制，自觉维护领导班子团结</w:t>
      </w:r>
    </w:p>
    <w:p w14:paraId="5D81FE5D">
      <w:pPr>
        <w:pStyle w:val="39"/>
        <w:ind w:firstLine="480"/>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严格落实民主集中制、“三重一大”等决策制度，对重大问题决策、重要干部任免、重大项目投资决策、大额资金使用等，凡属方针政策性的大事，凡属全馆性的问题，馆党组都坚持按照“集体领导、民主集中、个别酝酿、会议决定”的要求，按照党组议事规则由党组集体讨论决定，党务、政务实行规范化、公开化操作，及时向干部职工进行公示，让干部职工有最大限度的知情权、参与权。同时，严格落实“三重一大”报告制度，主动邀请派驻纪检监察组列席会议，自觉接受民主决策监督。今年，在档案业务建设评价工作中，邀请派驻纪检监察组负责同志列席党组会议，研究业务建设评价经费使用情况，确保民主集中制落到实处。</w:t>
      </w:r>
    </w:p>
    <w:p w14:paraId="5F4FB512">
      <w:pPr>
        <w:pStyle w:val="39"/>
        <w:ind w:firstLine="480"/>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（4）坚持正确导向，抓牢意识形态主动权</w:t>
      </w:r>
    </w:p>
    <w:p w14:paraId="0075F55F">
      <w:pPr>
        <w:pStyle w:val="39"/>
        <w:ind w:firstLine="480"/>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严格落实意识形态工作责任制，切实抓好意识形态和网络意识形态工作。①抓好主体责任落实。②定期进行分析研判。党组每季度专题研究和分析研判意识形态、网络意识形态工作，班子成员把意识形态工作作为民主生活会和年度述职的重要内容。③管好守好意识形态阵地。严格执行信息发布“三审制”，上网的信息必须经过审核才能发布，杜绝出现网络舆情。一年来单位没有负面舆论。④及时了解掌握思想动态。开展经常性谈心谈话和思想动态调研分析，及时了解党员干部的思想动态，发现问题及时解决。⑤认真做好其他工作。按时完成了本年度党报党刊及其他重点理论读物征订任务；认真开展好反邪教工作和关心下一代工作。</w:t>
      </w:r>
    </w:p>
    <w:p w14:paraId="79C2AF19">
      <w:pPr>
        <w:pStyle w:val="10"/>
        <w:ind w:firstLine="482"/>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2.完整、准确、全面贯彻新发展理念，不断推动高质量发展</w:t>
      </w:r>
    </w:p>
    <w:p w14:paraId="063BEA42">
      <w:pPr>
        <w:pStyle w:val="39"/>
        <w:ind w:firstLine="480"/>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（1）深入贯彻落实习近平总书记对档案工作的重要指示批示精神，助力档案工作取得新成效</w:t>
      </w:r>
    </w:p>
    <w:p w14:paraId="5701C274">
      <w:pPr>
        <w:pStyle w:val="39"/>
        <w:ind w:firstLine="480"/>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①坚持扩容提质，不断强化档案资源建设。切实加强档案接收和征集工作，全面记录和留存新时代党领导人民推进实现中华民族伟大复兴的奋斗历史的新变化、新发展、新成就，做到应归尽归，不断优化馆藏结构，丰富馆藏资源。一是大力推进档案接收工作。今年共接收到市委组织部、市林业馆等8个单位的档案1012卷17735件。</w:t>
      </w:r>
    </w:p>
    <w:p w14:paraId="731882DF">
      <w:pPr>
        <w:pStyle w:val="39"/>
        <w:ind w:firstLine="480"/>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②坚持“两个服务”宗旨，不断深化档案开发利用。贯彻新理念，不断强化服务，推进转型升级，稳步推进档案利用服务体系建设。一是大力提升服务质量，及时帮助群众解难消困。与省档案馆、各县市区档案馆签订了《民生档案跨馆利用协议》，进一步提升档案工作服务民生的质量和水平。全年共接待查阅利用档案2683人次，利用档案8104卷9237件，复制档案17850页。接待查阅利用档案资料352人次，利用档案资料547册，复制资料683页。二是深入挖掘资源，编研档案文化产品展示怀化风貌。收录全市各县市区、高校、部分市直单位档案利用典型实例共174篇，编著《怀化市档案利用效果实例汇编》，推动了各档案馆、档案员磨炼编写利用实例的基本功，记录服务群众服务中心的工作，展示了怀化档案人扎根岗位做奉献的精神风貌。三是用好用活档案资源，弘扬传统文化。组织筹划了“6·9”国际档案日系列活动，邀请潕水剪纸非遗传承人到馆开展剪纸非遗体验活动，精选119幅我市非物质文化遗产图片，进行了《拾掇档案珍珠弘扬传统文化图片展》“6·9”国际档案日图片展。四是用心开展档案鉴定，提供更多可利用档案资源服务。组织全馆干部职工克服困难，完成了对馆藏1975-1997年206个全宗共计59803卷、836件到期文书档案的开放鉴定工作，扩大了对外开放档案数量，方便了公众查阅利用。五是拓展服务渠道，全面提升档案利用服务能级。在一楼设置有专门的政府公开信息查阅场所，配备1台大触摸屏，与软件公司合作开发了专门的政府信息公开网页,涵盖自2013年以来的政府公开文件；编制了各部门送交的政府公开信息目录，有专门档案柜摆放近几年的《国务院公报》、《湖南省人民政府公报》、《怀化市人民政府公报》，供利用者查阅。③坚持稳步推进，不断提升档案信息化水平。加快推进档案信息化，不断加强基础设施建设、档案数据库建设等，提高档案标准化、规范化水平。进一步完善馆藏档案数据库。完善了“重大活动”和“突发事件”两个专题目录数据库；接收了25个市直单位的精准扶贫档案和疫情防控档案原文电子版，建立了两类档案的文件级数据库；新建了照片档案、视频档案、实物档案数据库，共录入照片档案394张，视频档案39条，实物档案17条；接收到市林业馆、市水利馆、市疫情防疫指挥部、团市委、市科技馆、市卫健委等单位电子档案11896件、23.4GB。</w:t>
      </w:r>
    </w:p>
    <w:p w14:paraId="0BCF311A">
      <w:pPr>
        <w:pStyle w:val="39"/>
        <w:ind w:firstLine="480"/>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2）乡村振兴工作成效明显。认真贯彻落实巩固拓展脱贫攻坚成果同乡村振兴有效衔接相关要求。①进一步明确帮扶责任。②积极出谋划策。③驻村帮扶扎实有力。工作队坚持党建引领，不断强化队伍建设，开展全员大走访，收集民情民意，用心用情用力为民办实事，协调筹集150余万元资金，用于道路硬化、院落平整、水库（山塘）维修，解决村民用水困难的问题，切实增强了群众的获得感、幸福感。</w:t>
      </w:r>
    </w:p>
    <w:p w14:paraId="1443E7C6">
      <w:pPr>
        <w:pStyle w:val="39"/>
        <w:ind w:firstLine="480"/>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3）以安全为重点，坚决防范化解重大风险。我单位始终坚持把平安创建和综合治理维稳、消防、安全生产的各项措施真正落到实处，切实开展各项工作。一年来，我单位无失泄密事件、无刑事案件、重大治安案件和火灾事故发生，无因单位职工责任引发的群体性事件，没有发生一起群体性上访事件，全馆治安环境稳定、公共秩序良好。</w:t>
      </w:r>
    </w:p>
    <w:p w14:paraId="3A7F4CA2">
      <w:pPr>
        <w:pStyle w:val="39"/>
        <w:ind w:firstLine="480"/>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①不断筑牢档案安全底线。库房安装了门禁、风管送风式中央空调4台、除湿机6台，业务技术用房和对外服务用房安装了监控、防盗窗及防盗门；对机房和电子档案数字化室进行了改造，铺设了静电地板，配置了温湿度自控仪，新增了3扇防盗门、2套门禁系统、3台除湿机、2组档案架以及1组存包柜。二是加强安全培训及检查。馆党组高度重视档案安全，每季度专题研究部署安全工作，每年组织全馆干部职工开展线上线下消防培训并组织应急演练。坚持库房巡查制度，极端天气和节假日前领导带头对库房进行重点巡检，针对漏雨、渗水、消防等问题及时发现和解决，确保档案的保管安全。②积极推进平安建设工作。一是健全组织机构。二是增强责任意识。一年来，我单位无失泄密事件、无刑事案件、重大治安案件和火灾事故发生，无因单位职工责任引发的群体性闹事，没有发生一起群体性上访事件。</w:t>
      </w:r>
    </w:p>
    <w:p w14:paraId="0ED748A0">
      <w:pPr>
        <w:pStyle w:val="39"/>
        <w:ind w:firstLine="480"/>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③不断强化风险防控。一是严格落实防范化解涉众非法经营风险工作。二是有效利用民生档案，为群众解除难题，使社会矛盾化解在萌芽状态，发挥了档案在维护社会稳定、构建和谐社会中的重要作用。</w:t>
      </w:r>
    </w:p>
    <w:p w14:paraId="3F9CAD72">
      <w:pPr>
        <w:pStyle w:val="39"/>
        <w:ind w:firstLine="480"/>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④强化保密意识，筑牢保密工作防线。今年以来，没有发生失泄密事件。</w:t>
      </w:r>
    </w:p>
    <w:p w14:paraId="138DEC2C">
      <w:pPr>
        <w:pStyle w:val="39"/>
        <w:ind w:firstLine="480"/>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（4）铸牢中华民族共同体意识，做好统战民族宗教工作。</w:t>
      </w:r>
    </w:p>
    <w:p w14:paraId="70D54244">
      <w:pPr>
        <w:pStyle w:val="10"/>
        <w:ind w:firstLine="482"/>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3.提高制度执行力和治理能力，不断把制度优势转化为治理优势</w:t>
      </w:r>
    </w:p>
    <w:p w14:paraId="7727F341">
      <w:pPr>
        <w:pStyle w:val="39"/>
        <w:ind w:firstLine="480"/>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（1）以制度建设为抓手，实现内部管理精细化</w:t>
      </w:r>
    </w:p>
    <w:p w14:paraId="29CB74B0">
      <w:pPr>
        <w:pStyle w:val="39"/>
        <w:ind w:firstLine="480"/>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（2）强化对党员领导干部和行使公权力人员监督。</w:t>
      </w:r>
    </w:p>
    <w:p w14:paraId="02E2F10A">
      <w:pPr>
        <w:pStyle w:val="39"/>
        <w:ind w:firstLine="480"/>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（3）加强法治宣传，提高法治素养。始终在学习培训、强基固本上下功夫。</w:t>
      </w:r>
    </w:p>
    <w:p w14:paraId="1B372180">
      <w:pPr>
        <w:pStyle w:val="39"/>
        <w:ind w:firstLine="480"/>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①不断强化干部职工法治观念。②普及和宣传法治知识。《中华人民共和国档案法》《档案法律法规知识》等宣传资料600多份，接受市民群众咨询90人（次），受到广大市民一致好评，提高了社会、公民的档案法律意识。③组织全馆干部职工开展普法学习，全员普法学习均达到规定学时，普法考试合格率达 100%。</w:t>
      </w:r>
    </w:p>
    <w:p w14:paraId="002CEB4B">
      <w:pPr>
        <w:pStyle w:val="10"/>
        <w:ind w:firstLine="482"/>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4.严格履行全面从严治党主体责任和“一岗双责”，扎实推进党风廉政建设</w:t>
      </w:r>
    </w:p>
    <w:p w14:paraId="3596AB78">
      <w:pPr>
        <w:pStyle w:val="39"/>
        <w:ind w:firstLine="480"/>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（1）认真履行全面从严治党主体责任。</w:t>
      </w:r>
    </w:p>
    <w:p w14:paraId="6B44C393">
      <w:pPr>
        <w:pStyle w:val="39"/>
        <w:ind w:firstLine="480"/>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（2）持续抓好干部廉政教育。</w:t>
      </w:r>
    </w:p>
    <w:p w14:paraId="16505742">
      <w:pPr>
        <w:pStyle w:val="39"/>
        <w:ind w:firstLine="480"/>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（3）持续优化机关作风。</w:t>
      </w:r>
    </w:p>
    <w:p w14:paraId="33E7672B">
      <w:pPr>
        <w:pStyle w:val="39"/>
        <w:ind w:firstLine="480"/>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（4）扎实抓好清廉机关创建工作。</w:t>
      </w:r>
    </w:p>
    <w:p w14:paraId="164EAD66">
      <w:pPr>
        <w:pStyle w:val="10"/>
        <w:ind w:firstLine="482"/>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5.贯彻新时代党的建设总要求和新时代党的组织路线，不断推进党的组织工作科学化制度化规范化</w:t>
      </w:r>
    </w:p>
    <w:p w14:paraId="0900DCC2">
      <w:pPr>
        <w:pStyle w:val="39"/>
        <w:ind w:firstLine="480"/>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（1）不断强化组织建设，切实落实党建工作责任制 。</w:t>
      </w:r>
    </w:p>
    <w:p w14:paraId="07ECC3D2">
      <w:pPr>
        <w:pStyle w:val="39"/>
        <w:ind w:firstLine="480"/>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2）充分发挥模范作用，深入推进党员志愿服务活动。①用好“五溪先锋”平台。②积极组织慈善募捐活动。其中点亮微心愿·党群圆梦行—怀化市档案馆关爱困境妇女公益募捐志愿活动累计捐款1855元，99公益“情系老小，善行五溪”慈善募捐活动累计捐款2614元，爱心助残捐款活动累计捐款2850元。③助力我市争创全国文明城市。④积极开展助农消费帮扶活动。</w:t>
      </w:r>
    </w:p>
    <w:p w14:paraId="18BE6B2B">
      <w:pPr>
        <w:pStyle w:val="39"/>
        <w:ind w:firstLine="480"/>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3）坚持人才强档，不断加强干部队伍建设。①扎实开展党的二十大精神集中轮训。②积极组织参加培训学习。③积极组织参加档案学术研究和学术交流。我单位3名干部职工的论文获得优秀奖，进一步提升了我单位干部的综合素养。④专业人才队伍建设颇有成效。馆党组成员、副馆长杨顺利同志入选全国档案工匠型人才、全省档案专家型人才、怀化市新型智库第一批入库专家。</w:t>
      </w:r>
    </w:p>
    <w:p w14:paraId="1E2AE3CC">
      <w:pPr>
        <w:pStyle w:val="39"/>
        <w:ind w:firstLine="480"/>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（4）坚持好干部标准，牢固树立正确的选人用人导向。今年以来，我单位职级晋升1人、职务任免1人。</w:t>
      </w:r>
    </w:p>
    <w:p w14:paraId="64DD426A">
      <w:pPr>
        <w:pStyle w:val="17"/>
        <w:ind w:firstLine="602"/>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七、存在的问题及原因分析</w:t>
      </w:r>
    </w:p>
    <w:p w14:paraId="642B55B2">
      <w:pPr>
        <w:pStyle w:val="10"/>
        <w:ind w:firstLine="482"/>
        <w:rPr>
          <w:rFonts w:hint="eastAsia" w:ascii="仿宋" w:hAnsi="仿宋" w:eastAsia="仿宋" w:cs="仿宋"/>
          <w:sz w:val="30"/>
          <w:szCs w:val="30"/>
          <w:shd w:val="clear" w:color="auto" w:fill="FFFFFF"/>
        </w:rPr>
      </w:pPr>
      <w:bookmarkStart w:id="3" w:name="_Hlk169380000"/>
      <w:r>
        <w:rPr>
          <w:rFonts w:hint="eastAsia" w:ascii="仿宋" w:hAnsi="仿宋" w:eastAsia="仿宋" w:cs="仿宋"/>
          <w:sz w:val="30"/>
          <w:szCs w:val="30"/>
          <w:shd w:val="clear" w:color="auto" w:fill="FFFFFF"/>
        </w:rPr>
        <w:t>1.评价体系有待完善</w:t>
      </w:r>
    </w:p>
    <w:p w14:paraId="47A5929B">
      <w:pPr>
        <w:pStyle w:val="39"/>
        <w:ind w:firstLine="480"/>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尽管我单位在绩效评价过程中已经构建了较为全面的指标体系，但在实际操作中仍发现存在一些不足。例如，部分指标设置过于笼统，未能充分反映项目的具体特点和实际情况；同时，一些关键绩效指标的权重分配也可能不够合理，导致评价结果不能准确反映项目的真实绩效。</w:t>
      </w:r>
    </w:p>
    <w:p w14:paraId="18861B50">
      <w:pPr>
        <w:pStyle w:val="10"/>
        <w:ind w:firstLine="482"/>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2.数据收集与分析存在局限性</w:t>
      </w:r>
    </w:p>
    <w:p w14:paraId="2192F2BB">
      <w:pPr>
        <w:pStyle w:val="39"/>
        <w:ind w:firstLine="480"/>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在数据收集方面，我单位虽然注重数据的真实性和准确性，但由于数据来源的多样性和复杂性，仍存在数据收集不全、数据质量参差不齐的问题。此外，在数据分析方面，我们目前主要依赖于传统的统计分析方法，对于更高级的数据挖掘和机器学习技术运用不足，这也在一定程度上限制了评价结果的深度和广度。</w:t>
      </w:r>
    </w:p>
    <w:bookmarkEnd w:id="3"/>
    <w:p w14:paraId="1EDD0A9A">
      <w:pPr>
        <w:pStyle w:val="10"/>
        <w:ind w:firstLine="482"/>
        <w:rPr>
          <w:rFonts w:hint="eastAsia" w:ascii="仿宋" w:hAnsi="仿宋" w:eastAsia="仿宋" w:cs="仿宋"/>
          <w:sz w:val="30"/>
          <w:szCs w:val="30"/>
          <w:shd w:val="clear" w:color="auto" w:fill="FFFFFF"/>
        </w:rPr>
      </w:pPr>
      <w:bookmarkStart w:id="4" w:name="_Hlk169380044"/>
      <w:r>
        <w:rPr>
          <w:rFonts w:hint="eastAsia" w:ascii="仿宋" w:hAnsi="仿宋" w:eastAsia="仿宋" w:cs="仿宋"/>
          <w:sz w:val="30"/>
          <w:szCs w:val="30"/>
          <w:shd w:val="clear" w:color="auto" w:fill="FFFFFF"/>
        </w:rPr>
        <w:t>3.部门间协作与沟通不够顺畅</w:t>
      </w:r>
    </w:p>
    <w:p w14:paraId="500BBDD1">
      <w:pPr>
        <w:pStyle w:val="39"/>
        <w:ind w:firstLine="480"/>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尽管我单位加强了部门间的沟通与协作，但在实际操作中仍存在一些问题。例如，部分部门对项目绩效评价工作的重要性认识不足，参与度和配合度有待提高；同时，部门间信息共享和沟通渠道不畅通，也影响了评价工作的效率和准确性。</w:t>
      </w:r>
    </w:p>
    <w:p w14:paraId="69025A3F">
      <w:pPr>
        <w:pStyle w:val="10"/>
        <w:ind w:firstLine="482"/>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4.反馈与改进机制尚需加强</w:t>
      </w:r>
    </w:p>
    <w:p w14:paraId="171BEE3D">
      <w:pPr>
        <w:pStyle w:val="39"/>
        <w:ind w:firstLine="480"/>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虽然我单位建立了持续改进和反馈机制，但在实际操作中，这一机制的执行力度和效果还有待加强。例如，对于评价结果的反馈和改进措施的实施缺乏有效的监督和评估机制；同时，部分部门和人员对改进措施的重视程度不够，导致改进措施难以得到有效落实。</w:t>
      </w:r>
      <w:bookmarkEnd w:id="4"/>
    </w:p>
    <w:p w14:paraId="06BAC05F">
      <w:pPr>
        <w:pStyle w:val="17"/>
        <w:ind w:firstLine="602"/>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八、下一步改进措施</w:t>
      </w:r>
    </w:p>
    <w:p w14:paraId="0A9308F1">
      <w:pPr>
        <w:pStyle w:val="10"/>
        <w:ind w:firstLine="482"/>
        <w:rPr>
          <w:rFonts w:hint="eastAsia" w:ascii="仿宋" w:hAnsi="仿宋" w:eastAsia="仿宋" w:cs="仿宋"/>
          <w:sz w:val="30"/>
          <w:szCs w:val="30"/>
          <w:shd w:val="clear" w:color="auto" w:fill="FFFFFF"/>
        </w:rPr>
      </w:pPr>
      <w:bookmarkStart w:id="5" w:name="_Hlk169380110"/>
      <w:r>
        <w:rPr>
          <w:rFonts w:hint="eastAsia" w:ascii="仿宋" w:hAnsi="仿宋" w:eastAsia="仿宋" w:cs="仿宋"/>
          <w:sz w:val="30"/>
          <w:szCs w:val="30"/>
          <w:shd w:val="clear" w:color="auto" w:fill="FFFFFF"/>
        </w:rPr>
        <w:t>1.完善评价体系</w:t>
      </w:r>
    </w:p>
    <w:p w14:paraId="0FC0FCFD">
      <w:pPr>
        <w:pStyle w:val="39"/>
        <w:ind w:firstLine="480"/>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①细化指标设置：对现有的绩效指标进行进一步的细化和分类，确保每个指标都能准确反映项目的特定方面和实际情况。</w:t>
      </w:r>
    </w:p>
    <w:p w14:paraId="26D31EA4">
      <w:pPr>
        <w:pStyle w:val="39"/>
        <w:ind w:firstLine="480"/>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合理分配权重：根据项目的核心目标和关键成功因素，重新评估和调整各项指标的权重，确保权重分配更加合理和科学。</w:t>
      </w:r>
    </w:p>
    <w:p w14:paraId="3C43D0A2">
      <w:pPr>
        <w:pStyle w:val="39"/>
        <w:ind w:firstLine="480"/>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②引入专家评审：邀请行业专家和学者参与评价体系的制定和完善过程，借鉴他们的专业知识和经验，提升评价体系的权威性和准确性。</w:t>
      </w:r>
    </w:p>
    <w:p w14:paraId="2E2BFAED">
      <w:pPr>
        <w:pStyle w:val="10"/>
        <w:ind w:firstLine="482"/>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2.加强数据收集与分析能力</w:t>
      </w:r>
    </w:p>
    <w:p w14:paraId="542F08B9">
      <w:pPr>
        <w:pStyle w:val="39"/>
        <w:ind w:firstLine="480"/>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①完善数据收集机制：建立统一的数据收集标准和流程，确保数据来源的可靠性和一致性。同时，加强对数据质量的监控和审核，确保数据的真实性和准确性。</w:t>
      </w:r>
    </w:p>
    <w:p w14:paraId="44481317">
      <w:pPr>
        <w:pStyle w:val="39"/>
        <w:ind w:firstLine="480"/>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②引入先进分析方法：在数据分析方面，可以引入更高级的数据挖掘和机器学习技术，对大量数据进行深度挖掘和分析，以发现隐藏在数据背后的规律和问题。</w:t>
      </w:r>
    </w:p>
    <w:p w14:paraId="021E60AD">
      <w:pPr>
        <w:pStyle w:val="39"/>
        <w:ind w:firstLine="480"/>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③加强数据培训：针对部门内部人员对数据分析技术的掌握程度不同，可以开展相关的数据分析和技术培训，提升整体的数据分析能力。</w:t>
      </w:r>
    </w:p>
    <w:p w14:paraId="7390710C">
      <w:pPr>
        <w:pStyle w:val="10"/>
        <w:ind w:firstLine="482"/>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3.加强部门间协作与沟通</w:t>
      </w:r>
    </w:p>
    <w:p w14:paraId="576FD574">
      <w:pPr>
        <w:pStyle w:val="39"/>
        <w:ind w:firstLine="480"/>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①提高认识与参与度：通过组织培训和宣传活动，提高各部门对项目绩效评价工作的认识和重视程度，鼓励各部门积极参与评价工作。</w:t>
      </w:r>
    </w:p>
    <w:p w14:paraId="438CFD25">
      <w:pPr>
        <w:pStyle w:val="39"/>
        <w:ind w:firstLine="480"/>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②建立信息共享平台：搭建一个部门间信息共享和交流的平台，方便各部门及时获取项目绩效评价的相关信息和数据，促进部门间的协作和沟通。</w:t>
      </w:r>
    </w:p>
    <w:p w14:paraId="18445BDA">
      <w:pPr>
        <w:pStyle w:val="39"/>
        <w:ind w:firstLine="480"/>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③定期召开协调会议：定期召开项目绩效评价工作的协调会议，听取各部门的意见和建议，解决工作中出现的问题和困难，推动评价工作的顺利进行。</w:t>
      </w:r>
    </w:p>
    <w:p w14:paraId="7420AAEA">
      <w:pPr>
        <w:pStyle w:val="39"/>
        <w:ind w:firstLine="482"/>
        <w:rPr>
          <w:rFonts w:hint="eastAsia" w:ascii="仿宋" w:hAnsi="仿宋" w:eastAsia="仿宋" w:cs="仿宋"/>
          <w:b/>
          <w:bCs/>
          <w:sz w:val="30"/>
          <w:szCs w:val="30"/>
          <w:shd w:val="clear" w:color="auto" w:fill="FFFFFF"/>
        </w:rPr>
      </w:pPr>
      <w:r>
        <w:rPr>
          <w:rFonts w:hint="eastAsia" w:ascii="仿宋" w:hAnsi="仿宋" w:eastAsia="仿宋" w:cs="仿宋"/>
          <w:b/>
          <w:bCs/>
          <w:sz w:val="30"/>
          <w:szCs w:val="30"/>
          <w:shd w:val="clear" w:color="auto" w:fill="FFFFFF"/>
        </w:rPr>
        <w:t>4.强化反馈与改进机制</w:t>
      </w:r>
    </w:p>
    <w:p w14:paraId="17A16E57">
      <w:pPr>
        <w:pStyle w:val="39"/>
        <w:ind w:firstLine="480"/>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①建立反馈渠道：设立专门的反馈渠道或热线，方便各部门和项目团队对评价结果进行反馈和提出改进建议。</w:t>
      </w:r>
    </w:p>
    <w:p w14:paraId="398FBCB4">
      <w:pPr>
        <w:pStyle w:val="39"/>
        <w:ind w:firstLine="480"/>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②加强监督与评估：对改进措施的实施情况进行定期监督和评估，确保改进措施得到有效落实。同时，对未达到预期效果的改进措施进行调整和完善。</w:t>
      </w:r>
    </w:p>
    <w:p w14:paraId="59B31215">
      <w:pPr>
        <w:pStyle w:val="39"/>
        <w:ind w:firstLine="480"/>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③鼓励创新与实践：鼓励各部门和项目团队在实践中积极探索和创新，对有效的改进措施进行总结和推广，以不断提升项目绩效评价工作的质量和水平。</w:t>
      </w:r>
      <w:bookmarkEnd w:id="5"/>
    </w:p>
    <w:p w14:paraId="120ACAF9">
      <w:pPr>
        <w:pStyle w:val="39"/>
        <w:ind w:firstLine="480"/>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九、其他需要说明的情况</w:t>
      </w:r>
    </w:p>
    <w:p w14:paraId="68B2DB2D">
      <w:pPr>
        <w:pStyle w:val="39"/>
        <w:ind w:firstLine="480"/>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单位无其他需要说明的情况。</w:t>
      </w:r>
    </w:p>
    <w:p w14:paraId="02217F72">
      <w:pPr>
        <w:pStyle w:val="39"/>
        <w:ind w:firstLine="480"/>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报告包括以下附件：</w:t>
      </w:r>
    </w:p>
    <w:p w14:paraId="31595B24">
      <w:pPr>
        <w:pStyle w:val="39"/>
        <w:ind w:firstLine="480"/>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1.怀化市档案馆部门整体支出绩效评价基础数据表</w:t>
      </w:r>
    </w:p>
    <w:p w14:paraId="74FE43E6">
      <w:pPr>
        <w:pStyle w:val="39"/>
        <w:ind w:firstLine="480"/>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 xml:space="preserve">2.怀化市档案馆整体支出绩效自评表 </w:t>
      </w:r>
    </w:p>
    <w:p w14:paraId="134EE439">
      <w:pPr>
        <w:pStyle w:val="39"/>
        <w:ind w:firstLine="480"/>
        <w:rPr>
          <w:rFonts w:hint="eastAsia" w:ascii="仿宋" w:hAnsi="仿宋" w:eastAsia="仿宋" w:cs="仿宋"/>
          <w:sz w:val="30"/>
          <w:szCs w:val="30"/>
          <w:shd w:val="clear" w:color="auto" w:fill="FFFFFF"/>
        </w:rPr>
      </w:pPr>
    </w:p>
    <w:p w14:paraId="2D090958">
      <w:pPr>
        <w:pStyle w:val="39"/>
        <w:ind w:firstLine="480"/>
        <w:rPr>
          <w:rFonts w:hint="eastAsia" w:ascii="仿宋" w:hAnsi="仿宋" w:eastAsia="仿宋" w:cs="仿宋"/>
          <w:sz w:val="30"/>
          <w:szCs w:val="30"/>
          <w:shd w:val="clear" w:color="auto" w:fill="FFFFFF"/>
        </w:rPr>
      </w:pPr>
    </w:p>
    <w:p w14:paraId="3D77493E">
      <w:pPr>
        <w:pStyle w:val="39"/>
        <w:ind w:firstLine="560"/>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br w:type="page"/>
      </w:r>
      <w:bookmarkStart w:id="6" w:name="_GoBack"/>
      <w:bookmarkEnd w:id="6"/>
    </w:p>
    <w:p w14:paraId="3A6BB8C8">
      <w:pPr>
        <w:spacing w:line="360" w:lineRule="exact"/>
        <w:jc w:val="left"/>
        <w:rPr>
          <w:rFonts w:ascii="宋体" w:hAnsi="宋体" w:eastAsia="宋体" w:cs="黑体"/>
          <w:kern w:val="0"/>
          <w:szCs w:val="21"/>
          <w:shd w:val="clear" w:color="auto" w:fill="FFFFFF"/>
        </w:rPr>
      </w:pPr>
      <w:r>
        <w:rPr>
          <w:rFonts w:hint="eastAsia" w:ascii="宋体" w:hAnsi="宋体" w:eastAsia="宋体" w:cs="黑体"/>
          <w:kern w:val="0"/>
          <w:szCs w:val="21"/>
          <w:shd w:val="clear" w:color="auto" w:fill="FFFFFF"/>
        </w:rPr>
        <w:t>附件1</w:t>
      </w:r>
    </w:p>
    <w:p w14:paraId="654E3CC2">
      <w:pPr>
        <w:spacing w:line="360" w:lineRule="exact"/>
        <w:jc w:val="center"/>
        <w:rPr>
          <w:rFonts w:ascii="宋体" w:hAnsi="宋体" w:eastAsia="宋体" w:cs="方正小标宋_GBK"/>
          <w:kern w:val="0"/>
          <w:szCs w:val="21"/>
          <w:shd w:val="clear" w:color="auto" w:fill="FFFFFF"/>
        </w:rPr>
      </w:pPr>
      <w:r>
        <w:rPr>
          <w:rFonts w:hint="eastAsia" w:ascii="宋体" w:hAnsi="宋体" w:eastAsia="宋体" w:cs="方正小标宋_GBK"/>
          <w:kern w:val="0"/>
          <w:szCs w:val="21"/>
          <w:shd w:val="clear" w:color="auto" w:fill="FFFFFF"/>
        </w:rPr>
        <w:t>怀化市档案馆部门整体支出绩效评价基础数据表</w:t>
      </w:r>
    </w:p>
    <w:tbl>
      <w:tblPr>
        <w:tblStyle w:val="25"/>
        <w:tblW w:w="97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6"/>
        <w:gridCol w:w="1142"/>
        <w:gridCol w:w="1000"/>
        <w:gridCol w:w="1428"/>
        <w:gridCol w:w="1286"/>
        <w:gridCol w:w="1150"/>
        <w:gridCol w:w="954"/>
      </w:tblGrid>
      <w:tr w14:paraId="69059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9796" w:type="dxa"/>
            <w:gridSpan w:val="7"/>
            <w:tcBorders>
              <w:top w:val="nil"/>
              <w:left w:val="nil"/>
              <w:right w:val="nil"/>
            </w:tcBorders>
            <w:vAlign w:val="center"/>
          </w:tcPr>
          <w:p w14:paraId="61435E9A">
            <w:pPr>
              <w:spacing w:line="360" w:lineRule="exact"/>
              <w:jc w:val="left"/>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填报单位：怀化市档案馆</w:t>
            </w:r>
          </w:p>
        </w:tc>
      </w:tr>
      <w:tr w14:paraId="5C74C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2836" w:type="dxa"/>
            <w:vMerge w:val="restart"/>
            <w:vAlign w:val="center"/>
          </w:tcPr>
          <w:p w14:paraId="7D07FE45">
            <w:pPr>
              <w:spacing w:line="360" w:lineRule="exact"/>
              <w:jc w:val="left"/>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财政供养人员情况</w:t>
            </w:r>
          </w:p>
        </w:tc>
        <w:tc>
          <w:tcPr>
            <w:tcW w:w="2142" w:type="dxa"/>
            <w:gridSpan w:val="2"/>
            <w:vAlign w:val="center"/>
          </w:tcPr>
          <w:p w14:paraId="350BEDE9">
            <w:pPr>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编制数</w:t>
            </w:r>
          </w:p>
        </w:tc>
        <w:tc>
          <w:tcPr>
            <w:tcW w:w="2714" w:type="dxa"/>
            <w:gridSpan w:val="2"/>
            <w:vAlign w:val="center"/>
          </w:tcPr>
          <w:p w14:paraId="2EECE690">
            <w:pPr>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2023年实际在职人数</w:t>
            </w:r>
          </w:p>
        </w:tc>
        <w:tc>
          <w:tcPr>
            <w:tcW w:w="2104" w:type="dxa"/>
            <w:gridSpan w:val="2"/>
            <w:vAlign w:val="center"/>
          </w:tcPr>
          <w:p w14:paraId="5E5933B8">
            <w:pPr>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控制率</w:t>
            </w:r>
          </w:p>
        </w:tc>
      </w:tr>
      <w:tr w14:paraId="50E65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2836" w:type="dxa"/>
            <w:vMerge w:val="continue"/>
            <w:vAlign w:val="center"/>
          </w:tcPr>
          <w:p w14:paraId="5E920848">
            <w:pPr>
              <w:spacing w:line="360" w:lineRule="exact"/>
              <w:jc w:val="left"/>
              <w:rPr>
                <w:rFonts w:ascii="宋体" w:hAnsi="宋体" w:eastAsia="宋体" w:cs="宋体"/>
                <w:kern w:val="0"/>
                <w:szCs w:val="21"/>
                <w:shd w:val="clear" w:color="auto" w:fill="FFFFFF"/>
              </w:rPr>
            </w:pPr>
          </w:p>
        </w:tc>
        <w:tc>
          <w:tcPr>
            <w:tcW w:w="2142" w:type="dxa"/>
            <w:gridSpan w:val="2"/>
            <w:vAlign w:val="center"/>
          </w:tcPr>
          <w:p w14:paraId="0661979B">
            <w:pPr>
              <w:spacing w:line="360" w:lineRule="exact"/>
              <w:jc w:val="center"/>
              <w:rPr>
                <w:rFonts w:ascii="宋体" w:hAnsi="宋体" w:eastAsia="宋体" w:cs="宋体"/>
                <w:kern w:val="0"/>
                <w:szCs w:val="21"/>
                <w:shd w:val="clear" w:color="auto" w:fill="FFFFFF"/>
              </w:rPr>
            </w:pPr>
            <w:r>
              <w:rPr>
                <w:rFonts w:ascii="宋体" w:hAnsi="宋体" w:eastAsia="宋体" w:cs="宋体"/>
                <w:kern w:val="0"/>
                <w:szCs w:val="21"/>
                <w:shd w:val="clear" w:color="auto" w:fill="FFFFFF"/>
              </w:rPr>
              <w:t>19</w:t>
            </w:r>
          </w:p>
        </w:tc>
        <w:tc>
          <w:tcPr>
            <w:tcW w:w="2714" w:type="dxa"/>
            <w:gridSpan w:val="2"/>
            <w:vAlign w:val="center"/>
          </w:tcPr>
          <w:p w14:paraId="2DAC26AA">
            <w:pPr>
              <w:spacing w:line="360" w:lineRule="exact"/>
              <w:jc w:val="center"/>
              <w:rPr>
                <w:rFonts w:ascii="宋体" w:hAnsi="宋体" w:eastAsia="宋体" w:cs="宋体"/>
                <w:kern w:val="0"/>
                <w:szCs w:val="21"/>
                <w:shd w:val="clear" w:color="auto" w:fill="FFFFFF"/>
              </w:rPr>
            </w:pPr>
            <w:r>
              <w:rPr>
                <w:rFonts w:ascii="宋体" w:hAnsi="宋体" w:eastAsia="宋体" w:cs="宋体"/>
                <w:kern w:val="0"/>
                <w:szCs w:val="21"/>
                <w:shd w:val="clear" w:color="auto" w:fill="FFFFFF"/>
              </w:rPr>
              <w:t>17</w:t>
            </w:r>
          </w:p>
        </w:tc>
        <w:tc>
          <w:tcPr>
            <w:tcW w:w="2104" w:type="dxa"/>
            <w:gridSpan w:val="2"/>
            <w:vAlign w:val="center"/>
          </w:tcPr>
          <w:p w14:paraId="797F54E5">
            <w:pPr>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1</w:t>
            </w:r>
            <w:r>
              <w:rPr>
                <w:rFonts w:ascii="宋体" w:hAnsi="宋体" w:eastAsia="宋体" w:cs="宋体"/>
                <w:kern w:val="0"/>
                <w:szCs w:val="21"/>
                <w:shd w:val="clear" w:color="auto" w:fill="FFFFFF"/>
              </w:rPr>
              <w:t>00</w:t>
            </w:r>
            <w:r>
              <w:rPr>
                <w:rFonts w:hint="eastAsia" w:ascii="宋体" w:hAnsi="宋体" w:eastAsia="宋体" w:cs="宋体"/>
                <w:kern w:val="0"/>
                <w:szCs w:val="21"/>
                <w:shd w:val="clear" w:color="auto" w:fill="FFFFFF"/>
              </w:rPr>
              <w:t>%</w:t>
            </w:r>
          </w:p>
        </w:tc>
      </w:tr>
      <w:tr w14:paraId="73690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2836" w:type="dxa"/>
            <w:vAlign w:val="center"/>
          </w:tcPr>
          <w:p w14:paraId="2D7046FC">
            <w:pPr>
              <w:spacing w:line="360" w:lineRule="exact"/>
              <w:jc w:val="left"/>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经费控制情况</w:t>
            </w:r>
          </w:p>
        </w:tc>
        <w:tc>
          <w:tcPr>
            <w:tcW w:w="2142" w:type="dxa"/>
            <w:gridSpan w:val="2"/>
            <w:vAlign w:val="center"/>
          </w:tcPr>
          <w:p w14:paraId="27ED2ADD">
            <w:pPr>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2022年决算数</w:t>
            </w:r>
          </w:p>
        </w:tc>
        <w:tc>
          <w:tcPr>
            <w:tcW w:w="2714" w:type="dxa"/>
            <w:gridSpan w:val="2"/>
            <w:vAlign w:val="center"/>
          </w:tcPr>
          <w:p w14:paraId="10D60F10">
            <w:pPr>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2023年预算数</w:t>
            </w:r>
          </w:p>
        </w:tc>
        <w:tc>
          <w:tcPr>
            <w:tcW w:w="2104" w:type="dxa"/>
            <w:gridSpan w:val="2"/>
            <w:vAlign w:val="center"/>
          </w:tcPr>
          <w:p w14:paraId="77F7F78B">
            <w:pPr>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2023年决算数</w:t>
            </w:r>
          </w:p>
        </w:tc>
      </w:tr>
      <w:tr w14:paraId="7ECC0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2836" w:type="dxa"/>
            <w:vAlign w:val="center"/>
          </w:tcPr>
          <w:p w14:paraId="3C823D16">
            <w:pPr>
              <w:spacing w:line="360" w:lineRule="exact"/>
              <w:jc w:val="left"/>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三公经费</w:t>
            </w:r>
          </w:p>
        </w:tc>
        <w:tc>
          <w:tcPr>
            <w:tcW w:w="2142" w:type="dxa"/>
            <w:gridSpan w:val="2"/>
            <w:vAlign w:val="center"/>
          </w:tcPr>
          <w:p w14:paraId="2C6B2ED9">
            <w:pPr>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2</w:t>
            </w:r>
            <w:r>
              <w:rPr>
                <w:rFonts w:ascii="宋体" w:hAnsi="宋体" w:eastAsia="宋体" w:cs="宋体"/>
                <w:kern w:val="0"/>
                <w:szCs w:val="21"/>
                <w:shd w:val="clear" w:color="auto" w:fill="FFFFFF"/>
              </w:rPr>
              <w:t>.44</w:t>
            </w:r>
          </w:p>
        </w:tc>
        <w:tc>
          <w:tcPr>
            <w:tcW w:w="2714" w:type="dxa"/>
            <w:gridSpan w:val="2"/>
            <w:vAlign w:val="center"/>
          </w:tcPr>
          <w:p w14:paraId="3F94FFED">
            <w:pPr>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4</w:t>
            </w:r>
            <w:r>
              <w:rPr>
                <w:rFonts w:ascii="宋体" w:hAnsi="宋体" w:eastAsia="宋体" w:cs="宋体"/>
                <w:kern w:val="0"/>
                <w:szCs w:val="21"/>
                <w:shd w:val="clear" w:color="auto" w:fill="FFFFFF"/>
              </w:rPr>
              <w:t>.15</w:t>
            </w:r>
          </w:p>
        </w:tc>
        <w:tc>
          <w:tcPr>
            <w:tcW w:w="2104" w:type="dxa"/>
            <w:gridSpan w:val="2"/>
            <w:vAlign w:val="center"/>
          </w:tcPr>
          <w:p w14:paraId="07D30C5E">
            <w:pPr>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3</w:t>
            </w:r>
            <w:r>
              <w:rPr>
                <w:rFonts w:ascii="宋体" w:hAnsi="宋体" w:eastAsia="宋体" w:cs="宋体"/>
                <w:kern w:val="0"/>
                <w:szCs w:val="21"/>
                <w:shd w:val="clear" w:color="auto" w:fill="FFFFFF"/>
              </w:rPr>
              <w:t>.24</w:t>
            </w:r>
          </w:p>
        </w:tc>
      </w:tr>
      <w:tr w14:paraId="379DD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2836" w:type="dxa"/>
            <w:vAlign w:val="center"/>
          </w:tcPr>
          <w:p w14:paraId="5F63FE13">
            <w:pPr>
              <w:spacing w:line="360" w:lineRule="exact"/>
              <w:jc w:val="left"/>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1.公务用车购置和维护经费</w:t>
            </w:r>
          </w:p>
        </w:tc>
        <w:tc>
          <w:tcPr>
            <w:tcW w:w="2142" w:type="dxa"/>
            <w:gridSpan w:val="2"/>
            <w:vAlign w:val="center"/>
          </w:tcPr>
          <w:p w14:paraId="5A568910">
            <w:pPr>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2</w:t>
            </w:r>
            <w:r>
              <w:rPr>
                <w:rFonts w:ascii="宋体" w:hAnsi="宋体" w:eastAsia="宋体" w:cs="宋体"/>
                <w:kern w:val="0"/>
                <w:szCs w:val="21"/>
                <w:shd w:val="clear" w:color="auto" w:fill="FFFFFF"/>
              </w:rPr>
              <w:t>.37</w:t>
            </w:r>
          </w:p>
        </w:tc>
        <w:tc>
          <w:tcPr>
            <w:tcW w:w="2714" w:type="dxa"/>
            <w:gridSpan w:val="2"/>
            <w:vAlign w:val="center"/>
          </w:tcPr>
          <w:p w14:paraId="00CA549E">
            <w:pPr>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3</w:t>
            </w:r>
            <w:r>
              <w:rPr>
                <w:rFonts w:ascii="宋体" w:hAnsi="宋体" w:eastAsia="宋体" w:cs="宋体"/>
                <w:kern w:val="0"/>
                <w:szCs w:val="21"/>
                <w:shd w:val="clear" w:color="auto" w:fill="FFFFFF"/>
              </w:rPr>
              <w:t>.30</w:t>
            </w:r>
          </w:p>
        </w:tc>
        <w:tc>
          <w:tcPr>
            <w:tcW w:w="2104" w:type="dxa"/>
            <w:gridSpan w:val="2"/>
            <w:vAlign w:val="center"/>
          </w:tcPr>
          <w:p w14:paraId="255E6B50">
            <w:pPr>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2</w:t>
            </w:r>
            <w:r>
              <w:rPr>
                <w:rFonts w:ascii="宋体" w:hAnsi="宋体" w:eastAsia="宋体" w:cs="宋体"/>
                <w:kern w:val="0"/>
                <w:szCs w:val="21"/>
                <w:shd w:val="clear" w:color="auto" w:fill="FFFFFF"/>
              </w:rPr>
              <w:t>.62</w:t>
            </w:r>
          </w:p>
        </w:tc>
      </w:tr>
      <w:tr w14:paraId="75FE1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2836" w:type="dxa"/>
            <w:vAlign w:val="center"/>
          </w:tcPr>
          <w:p w14:paraId="5DDCC2E1">
            <w:pPr>
              <w:spacing w:line="360" w:lineRule="exact"/>
              <w:jc w:val="left"/>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其中：公车购置</w:t>
            </w:r>
          </w:p>
        </w:tc>
        <w:tc>
          <w:tcPr>
            <w:tcW w:w="2142" w:type="dxa"/>
            <w:gridSpan w:val="2"/>
            <w:vAlign w:val="center"/>
          </w:tcPr>
          <w:p w14:paraId="6E2B67D0">
            <w:pPr>
              <w:spacing w:line="360" w:lineRule="exact"/>
              <w:jc w:val="center"/>
              <w:rPr>
                <w:rFonts w:ascii="宋体" w:hAnsi="宋体" w:eastAsia="宋体" w:cs="宋体"/>
                <w:kern w:val="0"/>
                <w:szCs w:val="21"/>
                <w:shd w:val="clear" w:color="auto" w:fill="FFFFFF"/>
              </w:rPr>
            </w:pPr>
          </w:p>
        </w:tc>
        <w:tc>
          <w:tcPr>
            <w:tcW w:w="2714" w:type="dxa"/>
            <w:gridSpan w:val="2"/>
            <w:vAlign w:val="center"/>
          </w:tcPr>
          <w:p w14:paraId="6B9A5049">
            <w:pPr>
              <w:spacing w:line="360" w:lineRule="exact"/>
              <w:jc w:val="center"/>
              <w:rPr>
                <w:rFonts w:ascii="宋体" w:hAnsi="宋体" w:eastAsia="宋体" w:cs="宋体"/>
                <w:kern w:val="0"/>
                <w:szCs w:val="21"/>
                <w:shd w:val="clear" w:color="auto" w:fill="FFFFFF"/>
              </w:rPr>
            </w:pPr>
          </w:p>
        </w:tc>
        <w:tc>
          <w:tcPr>
            <w:tcW w:w="2104" w:type="dxa"/>
            <w:gridSpan w:val="2"/>
            <w:vAlign w:val="center"/>
          </w:tcPr>
          <w:p w14:paraId="5CA7F3CE">
            <w:pPr>
              <w:spacing w:line="360" w:lineRule="exact"/>
              <w:jc w:val="center"/>
              <w:rPr>
                <w:rFonts w:ascii="宋体" w:hAnsi="宋体" w:eastAsia="宋体" w:cs="宋体"/>
                <w:kern w:val="0"/>
                <w:szCs w:val="21"/>
                <w:shd w:val="clear" w:color="auto" w:fill="FFFFFF"/>
              </w:rPr>
            </w:pPr>
          </w:p>
        </w:tc>
      </w:tr>
      <w:tr w14:paraId="4C188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2836" w:type="dxa"/>
            <w:vAlign w:val="center"/>
          </w:tcPr>
          <w:p w14:paraId="2FA6A0BA">
            <w:pPr>
              <w:spacing w:line="360" w:lineRule="exact"/>
              <w:jc w:val="left"/>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 xml:space="preserve">      公车运行维护</w:t>
            </w:r>
          </w:p>
        </w:tc>
        <w:tc>
          <w:tcPr>
            <w:tcW w:w="2142" w:type="dxa"/>
            <w:gridSpan w:val="2"/>
            <w:vAlign w:val="center"/>
          </w:tcPr>
          <w:p w14:paraId="174C66C2">
            <w:pPr>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2</w:t>
            </w:r>
            <w:r>
              <w:rPr>
                <w:rFonts w:ascii="宋体" w:hAnsi="宋体" w:eastAsia="宋体" w:cs="宋体"/>
                <w:kern w:val="0"/>
                <w:szCs w:val="21"/>
                <w:shd w:val="clear" w:color="auto" w:fill="FFFFFF"/>
              </w:rPr>
              <w:t>.37</w:t>
            </w:r>
          </w:p>
        </w:tc>
        <w:tc>
          <w:tcPr>
            <w:tcW w:w="2714" w:type="dxa"/>
            <w:gridSpan w:val="2"/>
            <w:vAlign w:val="center"/>
          </w:tcPr>
          <w:p w14:paraId="049740F4">
            <w:pPr>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3</w:t>
            </w:r>
            <w:r>
              <w:rPr>
                <w:rFonts w:ascii="宋体" w:hAnsi="宋体" w:eastAsia="宋体" w:cs="宋体"/>
                <w:kern w:val="0"/>
                <w:szCs w:val="21"/>
                <w:shd w:val="clear" w:color="auto" w:fill="FFFFFF"/>
              </w:rPr>
              <w:t>.30</w:t>
            </w:r>
          </w:p>
        </w:tc>
        <w:tc>
          <w:tcPr>
            <w:tcW w:w="2104" w:type="dxa"/>
            <w:gridSpan w:val="2"/>
            <w:vAlign w:val="center"/>
          </w:tcPr>
          <w:p w14:paraId="4D30C45D">
            <w:pPr>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2</w:t>
            </w:r>
            <w:r>
              <w:rPr>
                <w:rFonts w:ascii="宋体" w:hAnsi="宋体" w:eastAsia="宋体" w:cs="宋体"/>
                <w:kern w:val="0"/>
                <w:szCs w:val="21"/>
                <w:shd w:val="clear" w:color="auto" w:fill="FFFFFF"/>
              </w:rPr>
              <w:t>.62</w:t>
            </w:r>
          </w:p>
        </w:tc>
      </w:tr>
      <w:tr w14:paraId="64EDB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2836" w:type="dxa"/>
            <w:vAlign w:val="center"/>
          </w:tcPr>
          <w:p w14:paraId="11EF5838">
            <w:pPr>
              <w:spacing w:line="360" w:lineRule="exact"/>
              <w:jc w:val="left"/>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2.出国经费</w:t>
            </w:r>
          </w:p>
        </w:tc>
        <w:tc>
          <w:tcPr>
            <w:tcW w:w="2142" w:type="dxa"/>
            <w:gridSpan w:val="2"/>
            <w:vAlign w:val="center"/>
          </w:tcPr>
          <w:p w14:paraId="27568BA1">
            <w:pPr>
              <w:spacing w:line="360" w:lineRule="exact"/>
              <w:jc w:val="center"/>
              <w:rPr>
                <w:rFonts w:ascii="宋体" w:hAnsi="宋体" w:eastAsia="宋体" w:cs="宋体"/>
                <w:kern w:val="0"/>
                <w:szCs w:val="21"/>
                <w:shd w:val="clear" w:color="auto" w:fill="FFFFFF"/>
              </w:rPr>
            </w:pPr>
          </w:p>
        </w:tc>
        <w:tc>
          <w:tcPr>
            <w:tcW w:w="2714" w:type="dxa"/>
            <w:gridSpan w:val="2"/>
            <w:vAlign w:val="center"/>
          </w:tcPr>
          <w:p w14:paraId="6A0A824F">
            <w:pPr>
              <w:spacing w:line="360" w:lineRule="exact"/>
              <w:jc w:val="center"/>
              <w:rPr>
                <w:rFonts w:ascii="宋体" w:hAnsi="宋体" w:eastAsia="宋体" w:cs="宋体"/>
                <w:kern w:val="0"/>
                <w:szCs w:val="21"/>
                <w:shd w:val="clear" w:color="auto" w:fill="FFFFFF"/>
              </w:rPr>
            </w:pPr>
          </w:p>
        </w:tc>
        <w:tc>
          <w:tcPr>
            <w:tcW w:w="2104" w:type="dxa"/>
            <w:gridSpan w:val="2"/>
            <w:vAlign w:val="center"/>
          </w:tcPr>
          <w:p w14:paraId="63B97917">
            <w:pPr>
              <w:spacing w:line="360" w:lineRule="exact"/>
              <w:jc w:val="center"/>
              <w:rPr>
                <w:rFonts w:ascii="宋体" w:hAnsi="宋体" w:eastAsia="宋体" w:cs="宋体"/>
                <w:kern w:val="0"/>
                <w:szCs w:val="21"/>
                <w:shd w:val="clear" w:color="auto" w:fill="FFFFFF"/>
              </w:rPr>
            </w:pPr>
          </w:p>
        </w:tc>
      </w:tr>
      <w:tr w14:paraId="1CC80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2836" w:type="dxa"/>
            <w:vAlign w:val="center"/>
          </w:tcPr>
          <w:p w14:paraId="0752C7C0">
            <w:pPr>
              <w:spacing w:line="360" w:lineRule="exact"/>
              <w:jc w:val="left"/>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3.公务接待</w:t>
            </w:r>
          </w:p>
        </w:tc>
        <w:tc>
          <w:tcPr>
            <w:tcW w:w="2142" w:type="dxa"/>
            <w:gridSpan w:val="2"/>
            <w:vAlign w:val="center"/>
          </w:tcPr>
          <w:p w14:paraId="398DF125">
            <w:pPr>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0</w:t>
            </w:r>
            <w:r>
              <w:rPr>
                <w:rFonts w:ascii="宋体" w:hAnsi="宋体" w:eastAsia="宋体" w:cs="宋体"/>
                <w:kern w:val="0"/>
                <w:szCs w:val="21"/>
                <w:shd w:val="clear" w:color="auto" w:fill="FFFFFF"/>
              </w:rPr>
              <w:t>.07</w:t>
            </w:r>
          </w:p>
        </w:tc>
        <w:tc>
          <w:tcPr>
            <w:tcW w:w="2714" w:type="dxa"/>
            <w:gridSpan w:val="2"/>
            <w:vAlign w:val="center"/>
          </w:tcPr>
          <w:p w14:paraId="4A20F356">
            <w:pPr>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0</w:t>
            </w:r>
            <w:r>
              <w:rPr>
                <w:rFonts w:ascii="宋体" w:hAnsi="宋体" w:eastAsia="宋体" w:cs="宋体"/>
                <w:kern w:val="0"/>
                <w:szCs w:val="21"/>
                <w:shd w:val="clear" w:color="auto" w:fill="FFFFFF"/>
              </w:rPr>
              <w:t>.85</w:t>
            </w:r>
          </w:p>
        </w:tc>
        <w:tc>
          <w:tcPr>
            <w:tcW w:w="2104" w:type="dxa"/>
            <w:gridSpan w:val="2"/>
            <w:vAlign w:val="center"/>
          </w:tcPr>
          <w:p w14:paraId="307334CF">
            <w:pPr>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0</w:t>
            </w:r>
            <w:r>
              <w:rPr>
                <w:rFonts w:ascii="宋体" w:hAnsi="宋体" w:eastAsia="宋体" w:cs="宋体"/>
                <w:kern w:val="0"/>
                <w:szCs w:val="21"/>
                <w:shd w:val="clear" w:color="auto" w:fill="FFFFFF"/>
              </w:rPr>
              <w:t>.62</w:t>
            </w:r>
          </w:p>
        </w:tc>
      </w:tr>
      <w:tr w14:paraId="45126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2836" w:type="dxa"/>
            <w:vAlign w:val="center"/>
          </w:tcPr>
          <w:p w14:paraId="6AF2C114">
            <w:pPr>
              <w:spacing w:line="360" w:lineRule="exact"/>
              <w:jc w:val="left"/>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项目支出</w:t>
            </w:r>
          </w:p>
        </w:tc>
        <w:tc>
          <w:tcPr>
            <w:tcW w:w="2142" w:type="dxa"/>
            <w:gridSpan w:val="2"/>
            <w:vAlign w:val="center"/>
          </w:tcPr>
          <w:p w14:paraId="0825C8EF">
            <w:pPr>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65.71</w:t>
            </w:r>
          </w:p>
        </w:tc>
        <w:tc>
          <w:tcPr>
            <w:tcW w:w="2714" w:type="dxa"/>
            <w:gridSpan w:val="2"/>
            <w:vAlign w:val="center"/>
          </w:tcPr>
          <w:p w14:paraId="5BC01405">
            <w:pPr>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32.72</w:t>
            </w:r>
          </w:p>
        </w:tc>
        <w:tc>
          <w:tcPr>
            <w:tcW w:w="2104" w:type="dxa"/>
            <w:gridSpan w:val="2"/>
            <w:vAlign w:val="center"/>
          </w:tcPr>
          <w:p w14:paraId="1D8D1F8E">
            <w:pPr>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3</w:t>
            </w:r>
            <w:r>
              <w:rPr>
                <w:rFonts w:ascii="宋体" w:hAnsi="宋体" w:eastAsia="宋体" w:cs="宋体"/>
                <w:kern w:val="0"/>
                <w:szCs w:val="21"/>
                <w:shd w:val="clear" w:color="auto" w:fill="FFFFFF"/>
              </w:rPr>
              <w:t>7.72</w:t>
            </w:r>
          </w:p>
        </w:tc>
      </w:tr>
      <w:tr w14:paraId="7EE3C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2836" w:type="dxa"/>
            <w:vAlign w:val="center"/>
          </w:tcPr>
          <w:p w14:paraId="64E27709">
            <w:pPr>
              <w:spacing w:line="360" w:lineRule="exact"/>
              <w:jc w:val="left"/>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1档案日常管理和征集费</w:t>
            </w:r>
          </w:p>
        </w:tc>
        <w:tc>
          <w:tcPr>
            <w:tcW w:w="2142" w:type="dxa"/>
            <w:gridSpan w:val="2"/>
            <w:vAlign w:val="center"/>
          </w:tcPr>
          <w:p w14:paraId="10EA71B0">
            <w:pPr>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3</w:t>
            </w:r>
            <w:r>
              <w:rPr>
                <w:rFonts w:ascii="宋体" w:hAnsi="宋体" w:eastAsia="宋体" w:cs="宋体"/>
                <w:kern w:val="0"/>
                <w:szCs w:val="21"/>
                <w:shd w:val="clear" w:color="auto" w:fill="FFFFFF"/>
              </w:rPr>
              <w:t>6.60</w:t>
            </w:r>
          </w:p>
        </w:tc>
        <w:tc>
          <w:tcPr>
            <w:tcW w:w="2714" w:type="dxa"/>
            <w:gridSpan w:val="2"/>
            <w:vAlign w:val="center"/>
          </w:tcPr>
          <w:p w14:paraId="4280EAD0">
            <w:pPr>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3</w:t>
            </w:r>
            <w:r>
              <w:rPr>
                <w:rFonts w:ascii="宋体" w:hAnsi="宋体" w:eastAsia="宋体" w:cs="宋体"/>
                <w:kern w:val="0"/>
                <w:szCs w:val="21"/>
                <w:shd w:val="clear" w:color="auto" w:fill="FFFFFF"/>
              </w:rPr>
              <w:t>0.50</w:t>
            </w:r>
          </w:p>
        </w:tc>
        <w:tc>
          <w:tcPr>
            <w:tcW w:w="2104" w:type="dxa"/>
            <w:gridSpan w:val="2"/>
            <w:vAlign w:val="center"/>
          </w:tcPr>
          <w:p w14:paraId="5088BC9D">
            <w:pPr>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3</w:t>
            </w:r>
            <w:r>
              <w:rPr>
                <w:rFonts w:ascii="宋体" w:hAnsi="宋体" w:eastAsia="宋体" w:cs="宋体"/>
                <w:kern w:val="0"/>
                <w:szCs w:val="21"/>
                <w:shd w:val="clear" w:color="auto" w:fill="FFFFFF"/>
              </w:rPr>
              <w:t>0.50</w:t>
            </w:r>
          </w:p>
        </w:tc>
      </w:tr>
      <w:tr w14:paraId="429BC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2836" w:type="dxa"/>
            <w:vAlign w:val="center"/>
          </w:tcPr>
          <w:p w14:paraId="0F72E9AE">
            <w:pPr>
              <w:spacing w:line="360" w:lineRule="exact"/>
              <w:jc w:val="left"/>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2.运转工作经费</w:t>
            </w:r>
          </w:p>
        </w:tc>
        <w:tc>
          <w:tcPr>
            <w:tcW w:w="2142" w:type="dxa"/>
            <w:gridSpan w:val="2"/>
            <w:vAlign w:val="center"/>
          </w:tcPr>
          <w:p w14:paraId="0F28BAFD">
            <w:pPr>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5</w:t>
            </w:r>
            <w:r>
              <w:rPr>
                <w:rFonts w:ascii="宋体" w:hAnsi="宋体" w:eastAsia="宋体" w:cs="宋体"/>
                <w:kern w:val="0"/>
                <w:szCs w:val="21"/>
                <w:shd w:val="clear" w:color="auto" w:fill="FFFFFF"/>
              </w:rPr>
              <w:t>.00</w:t>
            </w:r>
          </w:p>
        </w:tc>
        <w:tc>
          <w:tcPr>
            <w:tcW w:w="2714" w:type="dxa"/>
            <w:gridSpan w:val="2"/>
            <w:vAlign w:val="center"/>
          </w:tcPr>
          <w:p w14:paraId="53CF7788">
            <w:pPr>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0</w:t>
            </w:r>
            <w:r>
              <w:rPr>
                <w:rFonts w:ascii="宋体" w:hAnsi="宋体" w:eastAsia="宋体" w:cs="宋体"/>
                <w:kern w:val="0"/>
                <w:szCs w:val="21"/>
                <w:shd w:val="clear" w:color="auto" w:fill="FFFFFF"/>
              </w:rPr>
              <w:t>.00</w:t>
            </w:r>
          </w:p>
        </w:tc>
        <w:tc>
          <w:tcPr>
            <w:tcW w:w="2104" w:type="dxa"/>
            <w:gridSpan w:val="2"/>
            <w:vAlign w:val="center"/>
          </w:tcPr>
          <w:p w14:paraId="2AC09E7F">
            <w:pPr>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5</w:t>
            </w:r>
            <w:r>
              <w:rPr>
                <w:rFonts w:ascii="宋体" w:hAnsi="宋体" w:eastAsia="宋体" w:cs="宋体"/>
                <w:kern w:val="0"/>
                <w:szCs w:val="21"/>
                <w:shd w:val="clear" w:color="auto" w:fill="FFFFFF"/>
              </w:rPr>
              <w:t>.00</w:t>
            </w:r>
          </w:p>
        </w:tc>
      </w:tr>
      <w:tr w14:paraId="46E8F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2836" w:type="dxa"/>
            <w:vAlign w:val="center"/>
          </w:tcPr>
          <w:p w14:paraId="0D8567D5">
            <w:pPr>
              <w:spacing w:line="360" w:lineRule="exact"/>
              <w:jc w:val="left"/>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3.档案库房配套设施建设经费</w:t>
            </w:r>
          </w:p>
        </w:tc>
        <w:tc>
          <w:tcPr>
            <w:tcW w:w="2142" w:type="dxa"/>
            <w:gridSpan w:val="2"/>
            <w:vAlign w:val="center"/>
          </w:tcPr>
          <w:p w14:paraId="5AE09DDA">
            <w:pPr>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2</w:t>
            </w:r>
            <w:r>
              <w:rPr>
                <w:rFonts w:ascii="宋体" w:hAnsi="宋体" w:eastAsia="宋体" w:cs="宋体"/>
                <w:kern w:val="0"/>
                <w:szCs w:val="21"/>
                <w:shd w:val="clear" w:color="auto" w:fill="FFFFFF"/>
              </w:rPr>
              <w:t>4.11</w:t>
            </w:r>
          </w:p>
        </w:tc>
        <w:tc>
          <w:tcPr>
            <w:tcW w:w="2714" w:type="dxa"/>
            <w:gridSpan w:val="2"/>
            <w:vAlign w:val="center"/>
          </w:tcPr>
          <w:p w14:paraId="03E1C38E">
            <w:pPr>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2</w:t>
            </w:r>
            <w:r>
              <w:rPr>
                <w:rFonts w:ascii="宋体" w:hAnsi="宋体" w:eastAsia="宋体" w:cs="宋体"/>
                <w:kern w:val="0"/>
                <w:szCs w:val="21"/>
                <w:shd w:val="clear" w:color="auto" w:fill="FFFFFF"/>
              </w:rPr>
              <w:t>.22</w:t>
            </w:r>
          </w:p>
        </w:tc>
        <w:tc>
          <w:tcPr>
            <w:tcW w:w="2104" w:type="dxa"/>
            <w:gridSpan w:val="2"/>
            <w:vAlign w:val="center"/>
          </w:tcPr>
          <w:p w14:paraId="6B49E96E">
            <w:pPr>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2</w:t>
            </w:r>
            <w:r>
              <w:rPr>
                <w:rFonts w:ascii="宋体" w:hAnsi="宋体" w:eastAsia="宋体" w:cs="宋体"/>
                <w:kern w:val="0"/>
                <w:szCs w:val="21"/>
                <w:shd w:val="clear" w:color="auto" w:fill="FFFFFF"/>
              </w:rPr>
              <w:t>.22</w:t>
            </w:r>
          </w:p>
        </w:tc>
      </w:tr>
      <w:tr w14:paraId="02A75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2836" w:type="dxa"/>
            <w:vAlign w:val="center"/>
          </w:tcPr>
          <w:p w14:paraId="12A7B506">
            <w:pPr>
              <w:spacing w:line="360" w:lineRule="exact"/>
              <w:jc w:val="left"/>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公用经费</w:t>
            </w:r>
          </w:p>
        </w:tc>
        <w:tc>
          <w:tcPr>
            <w:tcW w:w="2142" w:type="dxa"/>
            <w:gridSpan w:val="2"/>
            <w:vAlign w:val="center"/>
          </w:tcPr>
          <w:p w14:paraId="2C536BCD">
            <w:pPr>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3</w:t>
            </w:r>
            <w:r>
              <w:rPr>
                <w:rFonts w:ascii="宋体" w:hAnsi="宋体" w:eastAsia="宋体" w:cs="宋体"/>
                <w:kern w:val="0"/>
                <w:szCs w:val="21"/>
                <w:shd w:val="clear" w:color="auto" w:fill="FFFFFF"/>
              </w:rPr>
              <w:t>1.13</w:t>
            </w:r>
          </w:p>
        </w:tc>
        <w:tc>
          <w:tcPr>
            <w:tcW w:w="2714" w:type="dxa"/>
            <w:gridSpan w:val="2"/>
            <w:vAlign w:val="center"/>
          </w:tcPr>
          <w:p w14:paraId="02DCABB1">
            <w:pPr>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2</w:t>
            </w:r>
            <w:r>
              <w:rPr>
                <w:rFonts w:ascii="宋体" w:hAnsi="宋体" w:eastAsia="宋体" w:cs="宋体"/>
                <w:kern w:val="0"/>
                <w:szCs w:val="21"/>
                <w:shd w:val="clear" w:color="auto" w:fill="FFFFFF"/>
              </w:rPr>
              <w:t>4</w:t>
            </w:r>
          </w:p>
        </w:tc>
        <w:tc>
          <w:tcPr>
            <w:tcW w:w="2104" w:type="dxa"/>
            <w:gridSpan w:val="2"/>
            <w:vAlign w:val="center"/>
          </w:tcPr>
          <w:p w14:paraId="42C01855">
            <w:pPr>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3</w:t>
            </w:r>
            <w:r>
              <w:rPr>
                <w:rFonts w:ascii="宋体" w:hAnsi="宋体" w:eastAsia="宋体" w:cs="宋体"/>
                <w:kern w:val="0"/>
                <w:szCs w:val="21"/>
                <w:shd w:val="clear" w:color="auto" w:fill="FFFFFF"/>
              </w:rPr>
              <w:t>3.31</w:t>
            </w:r>
          </w:p>
        </w:tc>
      </w:tr>
      <w:tr w14:paraId="7A35F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2836" w:type="dxa"/>
            <w:vAlign w:val="center"/>
          </w:tcPr>
          <w:p w14:paraId="0E902BD3">
            <w:pPr>
              <w:spacing w:line="360" w:lineRule="exact"/>
              <w:jc w:val="left"/>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其中：办公费</w:t>
            </w:r>
          </w:p>
        </w:tc>
        <w:tc>
          <w:tcPr>
            <w:tcW w:w="2142" w:type="dxa"/>
            <w:gridSpan w:val="2"/>
            <w:vAlign w:val="center"/>
          </w:tcPr>
          <w:p w14:paraId="03055E02">
            <w:pPr>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1</w:t>
            </w:r>
            <w:r>
              <w:rPr>
                <w:rFonts w:ascii="宋体" w:hAnsi="宋体" w:eastAsia="宋体" w:cs="宋体"/>
                <w:kern w:val="0"/>
                <w:szCs w:val="21"/>
                <w:shd w:val="clear" w:color="auto" w:fill="FFFFFF"/>
              </w:rPr>
              <w:t>.07</w:t>
            </w:r>
          </w:p>
        </w:tc>
        <w:tc>
          <w:tcPr>
            <w:tcW w:w="2714" w:type="dxa"/>
            <w:gridSpan w:val="2"/>
            <w:vAlign w:val="center"/>
          </w:tcPr>
          <w:p w14:paraId="5FF00CC1">
            <w:pPr>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5</w:t>
            </w:r>
            <w:r>
              <w:rPr>
                <w:rFonts w:ascii="宋体" w:hAnsi="宋体" w:eastAsia="宋体" w:cs="宋体"/>
                <w:kern w:val="0"/>
                <w:szCs w:val="21"/>
                <w:shd w:val="clear" w:color="auto" w:fill="FFFFFF"/>
              </w:rPr>
              <w:t>.00</w:t>
            </w:r>
          </w:p>
        </w:tc>
        <w:tc>
          <w:tcPr>
            <w:tcW w:w="2104" w:type="dxa"/>
            <w:gridSpan w:val="2"/>
            <w:vAlign w:val="center"/>
          </w:tcPr>
          <w:p w14:paraId="395CD1EE">
            <w:pPr>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0</w:t>
            </w:r>
            <w:r>
              <w:rPr>
                <w:rFonts w:ascii="宋体" w:hAnsi="宋体" w:eastAsia="宋体" w:cs="宋体"/>
                <w:kern w:val="0"/>
                <w:szCs w:val="21"/>
                <w:shd w:val="clear" w:color="auto" w:fill="FFFFFF"/>
              </w:rPr>
              <w:t>.58</w:t>
            </w:r>
          </w:p>
        </w:tc>
      </w:tr>
      <w:tr w14:paraId="537DE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2836" w:type="dxa"/>
            <w:vAlign w:val="center"/>
          </w:tcPr>
          <w:p w14:paraId="116196FF">
            <w:pPr>
              <w:spacing w:line="360" w:lineRule="exact"/>
              <w:ind w:firstLine="630" w:firstLineChars="300"/>
              <w:jc w:val="left"/>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水费、电费、差旅费</w:t>
            </w:r>
          </w:p>
        </w:tc>
        <w:tc>
          <w:tcPr>
            <w:tcW w:w="2142" w:type="dxa"/>
            <w:gridSpan w:val="2"/>
            <w:vAlign w:val="center"/>
          </w:tcPr>
          <w:p w14:paraId="33856751">
            <w:pPr>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0</w:t>
            </w:r>
            <w:r>
              <w:rPr>
                <w:rFonts w:ascii="宋体" w:hAnsi="宋体" w:eastAsia="宋体" w:cs="宋体"/>
                <w:kern w:val="0"/>
                <w:szCs w:val="21"/>
                <w:shd w:val="clear" w:color="auto" w:fill="FFFFFF"/>
              </w:rPr>
              <w:t>.41</w:t>
            </w:r>
          </w:p>
        </w:tc>
        <w:tc>
          <w:tcPr>
            <w:tcW w:w="2714" w:type="dxa"/>
            <w:gridSpan w:val="2"/>
            <w:vAlign w:val="center"/>
          </w:tcPr>
          <w:p w14:paraId="63FF5970">
            <w:pPr>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0</w:t>
            </w:r>
            <w:r>
              <w:rPr>
                <w:rFonts w:ascii="宋体" w:hAnsi="宋体" w:eastAsia="宋体" w:cs="宋体"/>
                <w:kern w:val="0"/>
                <w:szCs w:val="21"/>
                <w:shd w:val="clear" w:color="auto" w:fill="FFFFFF"/>
              </w:rPr>
              <w:t>.00</w:t>
            </w:r>
          </w:p>
        </w:tc>
        <w:tc>
          <w:tcPr>
            <w:tcW w:w="2104" w:type="dxa"/>
            <w:gridSpan w:val="2"/>
            <w:vAlign w:val="center"/>
          </w:tcPr>
          <w:p w14:paraId="6AF2F7E7">
            <w:pPr>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1</w:t>
            </w:r>
            <w:r>
              <w:rPr>
                <w:rFonts w:ascii="宋体" w:hAnsi="宋体" w:eastAsia="宋体" w:cs="宋体"/>
                <w:kern w:val="0"/>
                <w:szCs w:val="21"/>
                <w:shd w:val="clear" w:color="auto" w:fill="FFFFFF"/>
              </w:rPr>
              <w:t>.57</w:t>
            </w:r>
          </w:p>
        </w:tc>
      </w:tr>
      <w:tr w14:paraId="1EB9B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2836" w:type="dxa"/>
            <w:vAlign w:val="center"/>
          </w:tcPr>
          <w:p w14:paraId="1B94DF13">
            <w:pPr>
              <w:spacing w:line="360" w:lineRule="exact"/>
              <w:ind w:firstLine="630" w:firstLineChars="300"/>
              <w:jc w:val="left"/>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会议费、培训费</w:t>
            </w:r>
          </w:p>
        </w:tc>
        <w:tc>
          <w:tcPr>
            <w:tcW w:w="2142" w:type="dxa"/>
            <w:gridSpan w:val="2"/>
            <w:vAlign w:val="center"/>
          </w:tcPr>
          <w:p w14:paraId="14C0717B">
            <w:pPr>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0</w:t>
            </w:r>
            <w:r>
              <w:rPr>
                <w:rFonts w:ascii="宋体" w:hAnsi="宋体" w:eastAsia="宋体" w:cs="宋体"/>
                <w:kern w:val="0"/>
                <w:szCs w:val="21"/>
                <w:shd w:val="clear" w:color="auto" w:fill="FFFFFF"/>
              </w:rPr>
              <w:t>.09</w:t>
            </w:r>
          </w:p>
        </w:tc>
        <w:tc>
          <w:tcPr>
            <w:tcW w:w="2714" w:type="dxa"/>
            <w:gridSpan w:val="2"/>
            <w:vAlign w:val="center"/>
          </w:tcPr>
          <w:p w14:paraId="44582964">
            <w:pPr>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0</w:t>
            </w:r>
            <w:r>
              <w:rPr>
                <w:rFonts w:ascii="宋体" w:hAnsi="宋体" w:eastAsia="宋体" w:cs="宋体"/>
                <w:kern w:val="0"/>
                <w:szCs w:val="21"/>
                <w:shd w:val="clear" w:color="auto" w:fill="FFFFFF"/>
              </w:rPr>
              <w:t>.00</w:t>
            </w:r>
          </w:p>
        </w:tc>
        <w:tc>
          <w:tcPr>
            <w:tcW w:w="2104" w:type="dxa"/>
            <w:gridSpan w:val="2"/>
            <w:vAlign w:val="center"/>
          </w:tcPr>
          <w:p w14:paraId="15C05D18">
            <w:pPr>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0</w:t>
            </w:r>
            <w:r>
              <w:rPr>
                <w:rFonts w:ascii="宋体" w:hAnsi="宋体" w:eastAsia="宋体" w:cs="宋体"/>
                <w:kern w:val="0"/>
                <w:szCs w:val="21"/>
                <w:shd w:val="clear" w:color="auto" w:fill="FFFFFF"/>
              </w:rPr>
              <w:t>.09</w:t>
            </w:r>
          </w:p>
        </w:tc>
      </w:tr>
      <w:tr w14:paraId="1CD8E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2836" w:type="dxa"/>
            <w:vAlign w:val="center"/>
          </w:tcPr>
          <w:p w14:paraId="7CD94797">
            <w:pPr>
              <w:spacing w:line="360" w:lineRule="exact"/>
              <w:jc w:val="left"/>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政府采购金额</w:t>
            </w:r>
          </w:p>
        </w:tc>
        <w:tc>
          <w:tcPr>
            <w:tcW w:w="2142" w:type="dxa"/>
            <w:gridSpan w:val="2"/>
            <w:vAlign w:val="center"/>
          </w:tcPr>
          <w:p w14:paraId="56D1B944">
            <w:pPr>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w:t>
            </w:r>
          </w:p>
        </w:tc>
        <w:tc>
          <w:tcPr>
            <w:tcW w:w="2714" w:type="dxa"/>
            <w:gridSpan w:val="2"/>
            <w:vAlign w:val="center"/>
          </w:tcPr>
          <w:p w14:paraId="62D3D0A2">
            <w:pPr>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0.7531.13</w:t>
            </w:r>
          </w:p>
        </w:tc>
        <w:tc>
          <w:tcPr>
            <w:tcW w:w="2104" w:type="dxa"/>
            <w:gridSpan w:val="2"/>
            <w:vAlign w:val="center"/>
          </w:tcPr>
          <w:p w14:paraId="309EC138">
            <w:pPr>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0</w:t>
            </w:r>
            <w:r>
              <w:rPr>
                <w:rFonts w:ascii="宋体" w:hAnsi="宋体" w:eastAsia="宋体" w:cs="宋体"/>
                <w:kern w:val="0"/>
                <w:szCs w:val="21"/>
                <w:shd w:val="clear" w:color="auto" w:fill="FFFFFF"/>
              </w:rPr>
              <w:t>.75</w:t>
            </w:r>
          </w:p>
        </w:tc>
      </w:tr>
      <w:tr w14:paraId="35B51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2836" w:type="dxa"/>
            <w:vAlign w:val="center"/>
          </w:tcPr>
          <w:p w14:paraId="42367183">
            <w:pPr>
              <w:spacing w:line="360" w:lineRule="exact"/>
              <w:jc w:val="left"/>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 xml:space="preserve">部门基本支出预算调整 </w:t>
            </w:r>
          </w:p>
        </w:tc>
        <w:tc>
          <w:tcPr>
            <w:tcW w:w="2142" w:type="dxa"/>
            <w:gridSpan w:val="2"/>
            <w:vAlign w:val="center"/>
          </w:tcPr>
          <w:p w14:paraId="04DE1AAF">
            <w:pPr>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w:t>
            </w:r>
          </w:p>
        </w:tc>
        <w:tc>
          <w:tcPr>
            <w:tcW w:w="2714" w:type="dxa"/>
            <w:gridSpan w:val="2"/>
            <w:vAlign w:val="center"/>
          </w:tcPr>
          <w:p w14:paraId="79779E50">
            <w:pPr>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3</w:t>
            </w:r>
            <w:r>
              <w:rPr>
                <w:rFonts w:ascii="宋体" w:hAnsi="宋体" w:eastAsia="宋体" w:cs="宋体"/>
                <w:kern w:val="0"/>
                <w:szCs w:val="21"/>
                <w:shd w:val="clear" w:color="auto" w:fill="FFFFFF"/>
              </w:rPr>
              <w:t>10.92</w:t>
            </w:r>
          </w:p>
        </w:tc>
        <w:tc>
          <w:tcPr>
            <w:tcW w:w="2104" w:type="dxa"/>
            <w:gridSpan w:val="2"/>
            <w:vAlign w:val="center"/>
          </w:tcPr>
          <w:p w14:paraId="52EAF49F">
            <w:pPr>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2</w:t>
            </w:r>
            <w:r>
              <w:rPr>
                <w:rFonts w:ascii="宋体" w:hAnsi="宋体" w:eastAsia="宋体" w:cs="宋体"/>
                <w:kern w:val="0"/>
                <w:szCs w:val="21"/>
                <w:shd w:val="clear" w:color="auto" w:fill="FFFFFF"/>
              </w:rPr>
              <w:t>78.32</w:t>
            </w:r>
          </w:p>
        </w:tc>
      </w:tr>
      <w:tr w14:paraId="3FB36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0" w:hRule="atLeast"/>
          <w:jc w:val="center"/>
        </w:trPr>
        <w:tc>
          <w:tcPr>
            <w:tcW w:w="2836" w:type="dxa"/>
            <w:vMerge w:val="restart"/>
            <w:vAlign w:val="center"/>
          </w:tcPr>
          <w:p w14:paraId="297E9C9E">
            <w:pPr>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楼堂馆所控制情况</w:t>
            </w:r>
          </w:p>
        </w:tc>
        <w:tc>
          <w:tcPr>
            <w:tcW w:w="1142" w:type="dxa"/>
            <w:vAlign w:val="center"/>
          </w:tcPr>
          <w:p w14:paraId="38BA0312">
            <w:pPr>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批复规模</w:t>
            </w:r>
            <w:r>
              <w:rPr>
                <w:rFonts w:hint="eastAsia" w:ascii="宋体" w:hAnsi="宋体" w:eastAsia="宋体" w:cs="宋体"/>
                <w:kern w:val="0"/>
                <w:szCs w:val="21"/>
                <w:shd w:val="clear" w:color="auto" w:fill="FFFFFF"/>
              </w:rPr>
              <w:br w:type="textWrapping"/>
            </w:r>
            <w:r>
              <w:rPr>
                <w:rFonts w:hint="eastAsia" w:ascii="宋体" w:hAnsi="宋体" w:eastAsia="宋体" w:cs="宋体"/>
                <w:kern w:val="0"/>
                <w:szCs w:val="21"/>
                <w:shd w:val="clear" w:color="auto" w:fill="FFFFFF"/>
              </w:rPr>
              <w:t>（㎡）</w:t>
            </w:r>
          </w:p>
        </w:tc>
        <w:tc>
          <w:tcPr>
            <w:tcW w:w="1000" w:type="dxa"/>
            <w:vAlign w:val="center"/>
          </w:tcPr>
          <w:p w14:paraId="7A330510">
            <w:pPr>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实际规模（㎡）</w:t>
            </w:r>
          </w:p>
        </w:tc>
        <w:tc>
          <w:tcPr>
            <w:tcW w:w="1428" w:type="dxa"/>
            <w:vAlign w:val="center"/>
          </w:tcPr>
          <w:p w14:paraId="5FB124A8">
            <w:pPr>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规模控制率</w:t>
            </w:r>
          </w:p>
        </w:tc>
        <w:tc>
          <w:tcPr>
            <w:tcW w:w="1286" w:type="dxa"/>
            <w:vAlign w:val="center"/>
          </w:tcPr>
          <w:p w14:paraId="523B6BF1">
            <w:pPr>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预算投资</w:t>
            </w:r>
          </w:p>
          <w:p w14:paraId="13FD22EB">
            <w:pPr>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（万元）</w:t>
            </w:r>
          </w:p>
        </w:tc>
        <w:tc>
          <w:tcPr>
            <w:tcW w:w="1150" w:type="dxa"/>
            <w:vAlign w:val="center"/>
          </w:tcPr>
          <w:p w14:paraId="1619E4A5">
            <w:pPr>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实际投资（万元）</w:t>
            </w:r>
          </w:p>
        </w:tc>
        <w:tc>
          <w:tcPr>
            <w:tcW w:w="954" w:type="dxa"/>
            <w:vAlign w:val="center"/>
          </w:tcPr>
          <w:p w14:paraId="037F0C25">
            <w:pPr>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投资概算控制率</w:t>
            </w:r>
          </w:p>
        </w:tc>
      </w:tr>
      <w:tr w14:paraId="7C39C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2836" w:type="dxa"/>
            <w:vMerge w:val="continue"/>
            <w:vAlign w:val="center"/>
          </w:tcPr>
          <w:p w14:paraId="60CC7CE2">
            <w:pPr>
              <w:spacing w:line="360" w:lineRule="exact"/>
              <w:jc w:val="center"/>
              <w:rPr>
                <w:rFonts w:ascii="宋体" w:hAnsi="宋体" w:eastAsia="宋体" w:cs="宋体"/>
                <w:kern w:val="0"/>
                <w:szCs w:val="21"/>
                <w:shd w:val="clear" w:color="auto" w:fill="FFFFFF"/>
              </w:rPr>
            </w:pPr>
          </w:p>
        </w:tc>
        <w:tc>
          <w:tcPr>
            <w:tcW w:w="1142" w:type="dxa"/>
            <w:vAlign w:val="center"/>
          </w:tcPr>
          <w:p w14:paraId="2414CAA4">
            <w:pPr>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0</w:t>
            </w:r>
            <w:r>
              <w:rPr>
                <w:rFonts w:ascii="宋体" w:hAnsi="宋体" w:eastAsia="宋体" w:cs="宋体"/>
                <w:kern w:val="0"/>
                <w:szCs w:val="21"/>
                <w:shd w:val="clear" w:color="auto" w:fill="FFFFFF"/>
              </w:rPr>
              <w:t>.00</w:t>
            </w:r>
          </w:p>
        </w:tc>
        <w:tc>
          <w:tcPr>
            <w:tcW w:w="1000" w:type="dxa"/>
            <w:vAlign w:val="center"/>
          </w:tcPr>
          <w:p w14:paraId="34614501">
            <w:pPr>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0</w:t>
            </w:r>
            <w:r>
              <w:rPr>
                <w:rFonts w:ascii="宋体" w:hAnsi="宋体" w:eastAsia="宋体" w:cs="宋体"/>
                <w:kern w:val="0"/>
                <w:szCs w:val="21"/>
                <w:shd w:val="clear" w:color="auto" w:fill="FFFFFF"/>
              </w:rPr>
              <w:t>.00</w:t>
            </w:r>
          </w:p>
        </w:tc>
        <w:tc>
          <w:tcPr>
            <w:tcW w:w="1428" w:type="dxa"/>
            <w:vAlign w:val="center"/>
          </w:tcPr>
          <w:p w14:paraId="6DCD026D">
            <w:pPr>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0</w:t>
            </w:r>
            <w:r>
              <w:rPr>
                <w:rFonts w:ascii="宋体" w:hAnsi="宋体" w:eastAsia="宋体" w:cs="宋体"/>
                <w:kern w:val="0"/>
                <w:szCs w:val="21"/>
                <w:shd w:val="clear" w:color="auto" w:fill="FFFFFF"/>
              </w:rPr>
              <w:t>.00</w:t>
            </w:r>
          </w:p>
        </w:tc>
        <w:tc>
          <w:tcPr>
            <w:tcW w:w="1286" w:type="dxa"/>
            <w:vAlign w:val="center"/>
          </w:tcPr>
          <w:p w14:paraId="5071BE7D">
            <w:pPr>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0</w:t>
            </w:r>
            <w:r>
              <w:rPr>
                <w:rFonts w:ascii="宋体" w:hAnsi="宋体" w:eastAsia="宋体" w:cs="宋体"/>
                <w:kern w:val="0"/>
                <w:szCs w:val="21"/>
                <w:shd w:val="clear" w:color="auto" w:fill="FFFFFF"/>
              </w:rPr>
              <w:t>.00</w:t>
            </w:r>
          </w:p>
        </w:tc>
        <w:tc>
          <w:tcPr>
            <w:tcW w:w="1150" w:type="dxa"/>
            <w:vAlign w:val="center"/>
          </w:tcPr>
          <w:p w14:paraId="0D190498">
            <w:pPr>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0</w:t>
            </w:r>
            <w:r>
              <w:rPr>
                <w:rFonts w:ascii="宋体" w:hAnsi="宋体" w:eastAsia="宋体" w:cs="宋体"/>
                <w:kern w:val="0"/>
                <w:szCs w:val="21"/>
                <w:shd w:val="clear" w:color="auto" w:fill="FFFFFF"/>
              </w:rPr>
              <w:t>.00</w:t>
            </w:r>
          </w:p>
        </w:tc>
        <w:tc>
          <w:tcPr>
            <w:tcW w:w="954" w:type="dxa"/>
            <w:vAlign w:val="center"/>
          </w:tcPr>
          <w:p w14:paraId="5E58ECE8">
            <w:pPr>
              <w:spacing w:line="360" w:lineRule="exact"/>
              <w:jc w:val="center"/>
              <w:rPr>
                <w:rFonts w:ascii="宋体" w:hAnsi="宋体" w:eastAsia="宋体" w:cs="宋体"/>
                <w:kern w:val="0"/>
                <w:szCs w:val="21"/>
                <w:shd w:val="clear" w:color="auto" w:fill="FFFFFF"/>
              </w:rPr>
            </w:pPr>
            <w:r>
              <w:rPr>
                <w:rFonts w:ascii="宋体" w:hAnsi="宋体" w:eastAsia="宋体" w:cs="宋体"/>
                <w:kern w:val="0"/>
                <w:szCs w:val="21"/>
                <w:shd w:val="clear" w:color="auto" w:fill="FFFFFF"/>
              </w:rPr>
              <w:t>100</w:t>
            </w:r>
            <w:r>
              <w:rPr>
                <w:rFonts w:hint="eastAsia" w:ascii="宋体" w:hAnsi="宋体" w:eastAsia="宋体" w:cs="宋体"/>
                <w:kern w:val="0"/>
                <w:szCs w:val="21"/>
                <w:shd w:val="clear" w:color="auto" w:fill="FFFFFF"/>
              </w:rPr>
              <w:t>%</w:t>
            </w:r>
          </w:p>
        </w:tc>
      </w:tr>
      <w:tr w14:paraId="438D3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2836" w:type="dxa"/>
            <w:vAlign w:val="center"/>
          </w:tcPr>
          <w:p w14:paraId="079B8F36">
            <w:pPr>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厉行节约保障措施</w:t>
            </w:r>
          </w:p>
        </w:tc>
        <w:tc>
          <w:tcPr>
            <w:tcW w:w="6960" w:type="dxa"/>
            <w:gridSpan w:val="6"/>
            <w:vAlign w:val="center"/>
          </w:tcPr>
          <w:p w14:paraId="5E73EB8B">
            <w:pPr>
              <w:spacing w:line="360" w:lineRule="exact"/>
              <w:jc w:val="left"/>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科学合理编制预算，严格执行《财务管理制度》、《专项资金管理办法》。</w:t>
            </w:r>
          </w:p>
        </w:tc>
      </w:tr>
    </w:tbl>
    <w:p w14:paraId="0C02D23C">
      <w:pPr>
        <w:widowControl/>
        <w:spacing w:line="360" w:lineRule="exact"/>
        <w:jc w:val="left"/>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 xml:space="preserve">  </w:t>
      </w:r>
      <w:r>
        <w:rPr>
          <w:rFonts w:ascii="宋体" w:hAnsi="宋体" w:eastAsia="宋体" w:cs="宋体"/>
          <w:kern w:val="0"/>
          <w:szCs w:val="21"/>
          <w:shd w:val="clear" w:color="auto" w:fill="FFFFFF"/>
        </w:rPr>
        <w:t>填表人：</w:t>
      </w:r>
      <w:r>
        <w:rPr>
          <w:rFonts w:hint="eastAsia" w:ascii="宋体" w:hAnsi="宋体" w:eastAsia="宋体" w:cs="微软雅黑"/>
          <w:kern w:val="0"/>
          <w:szCs w:val="21"/>
          <w:shd w:val="clear" w:color="auto" w:fill="FFFFFF"/>
        </w:rPr>
        <w:t>钟娟</w:t>
      </w:r>
      <w:r>
        <w:rPr>
          <w:rFonts w:hint="eastAsia" w:ascii="宋体" w:hAnsi="宋体" w:eastAsia="宋体" w:cs="宋体"/>
          <w:kern w:val="0"/>
          <w:szCs w:val="21"/>
          <w:shd w:val="clear" w:color="auto" w:fill="FFFFFF"/>
        </w:rPr>
        <w:t xml:space="preserve">  </w:t>
      </w:r>
      <w:r>
        <w:rPr>
          <w:rFonts w:ascii="宋体" w:hAnsi="宋体" w:eastAsia="宋体" w:cs="宋体"/>
          <w:kern w:val="0"/>
          <w:szCs w:val="21"/>
          <w:shd w:val="clear" w:color="auto" w:fill="FFFFFF"/>
        </w:rPr>
        <w:t xml:space="preserve">    </w:t>
      </w:r>
      <w:r>
        <w:rPr>
          <w:rFonts w:hint="eastAsia" w:ascii="宋体" w:hAnsi="宋体" w:eastAsia="宋体" w:cs="宋体"/>
          <w:kern w:val="0"/>
          <w:szCs w:val="21"/>
          <w:shd w:val="clear" w:color="auto" w:fill="FFFFFF"/>
        </w:rPr>
        <w:t xml:space="preserve"> </w:t>
      </w:r>
      <w:r>
        <w:rPr>
          <w:rFonts w:ascii="宋体" w:hAnsi="宋体" w:eastAsia="宋体" w:cs="宋体"/>
          <w:kern w:val="0"/>
          <w:szCs w:val="21"/>
          <w:shd w:val="clear" w:color="auto" w:fill="FFFFFF"/>
        </w:rPr>
        <w:t>填报日期：</w:t>
      </w:r>
      <w:r>
        <w:rPr>
          <w:rFonts w:hint="eastAsia" w:ascii="宋体" w:hAnsi="宋体" w:eastAsia="宋体" w:cs="宋体"/>
          <w:kern w:val="0"/>
          <w:szCs w:val="21"/>
          <w:shd w:val="clear" w:color="auto" w:fill="FFFFFF"/>
        </w:rPr>
        <w:t xml:space="preserve"> </w:t>
      </w:r>
      <w:r>
        <w:rPr>
          <w:rFonts w:ascii="宋体" w:hAnsi="宋体" w:eastAsia="宋体" w:cs="宋体"/>
          <w:kern w:val="0"/>
          <w:szCs w:val="21"/>
          <w:shd w:val="clear" w:color="auto" w:fill="FFFFFF"/>
        </w:rPr>
        <w:t xml:space="preserve">  </w:t>
      </w:r>
      <w:r>
        <w:rPr>
          <w:rFonts w:hint="eastAsia" w:ascii="宋体" w:hAnsi="宋体" w:eastAsia="宋体" w:cs="宋体"/>
          <w:kern w:val="0"/>
          <w:szCs w:val="21"/>
          <w:shd w:val="clear" w:color="auto" w:fill="FFFFFF"/>
        </w:rPr>
        <w:t xml:space="preserve"> </w:t>
      </w:r>
      <w:r>
        <w:rPr>
          <w:rFonts w:ascii="宋体" w:hAnsi="宋体" w:eastAsia="宋体" w:cs="宋体"/>
          <w:kern w:val="0"/>
          <w:szCs w:val="21"/>
          <w:shd w:val="clear" w:color="auto" w:fill="FFFFFF"/>
        </w:rPr>
        <w:t>2024</w:t>
      </w:r>
      <w:r>
        <w:rPr>
          <w:rFonts w:hint="eastAsia" w:ascii="宋体" w:hAnsi="宋体" w:eastAsia="宋体" w:cs="微软雅黑"/>
          <w:kern w:val="0"/>
          <w:szCs w:val="21"/>
          <w:shd w:val="clear" w:color="auto" w:fill="FFFFFF"/>
        </w:rPr>
        <w:t>年6月6日</w:t>
      </w:r>
      <w:r>
        <w:rPr>
          <w:rFonts w:hint="eastAsia" w:ascii="宋体" w:hAnsi="宋体" w:eastAsia="宋体" w:cs="宋体"/>
          <w:kern w:val="0"/>
          <w:szCs w:val="21"/>
          <w:shd w:val="clear" w:color="auto" w:fill="FFFFFF"/>
        </w:rPr>
        <w:t xml:space="preserve">   </w:t>
      </w:r>
      <w:r>
        <w:rPr>
          <w:rFonts w:ascii="宋体" w:hAnsi="宋体" w:eastAsia="宋体" w:cs="宋体"/>
          <w:kern w:val="0"/>
          <w:szCs w:val="21"/>
          <w:shd w:val="clear" w:color="auto" w:fill="FFFFFF"/>
        </w:rPr>
        <w:t xml:space="preserve">     联系电话</w:t>
      </w:r>
      <w:r>
        <w:rPr>
          <w:rFonts w:hint="eastAsia" w:ascii="宋体" w:hAnsi="宋体" w:eastAsia="宋体" w:cs="宋体"/>
          <w:kern w:val="0"/>
          <w:szCs w:val="21"/>
          <w:shd w:val="clear" w:color="auto" w:fill="FFFFFF"/>
        </w:rPr>
        <w:t>1</w:t>
      </w:r>
      <w:r>
        <w:rPr>
          <w:rFonts w:ascii="宋体" w:hAnsi="宋体" w:eastAsia="宋体" w:cs="宋体"/>
          <w:kern w:val="0"/>
          <w:szCs w:val="21"/>
          <w:shd w:val="clear" w:color="auto" w:fill="FFFFFF"/>
        </w:rPr>
        <w:t>3397459782</w:t>
      </w:r>
      <w:r>
        <w:rPr>
          <w:rFonts w:ascii="宋体" w:hAnsi="宋体" w:eastAsia="宋体" w:cs="宋体"/>
          <w:kern w:val="0"/>
          <w:szCs w:val="21"/>
          <w:shd w:val="clear" w:color="auto" w:fill="FFFFFF"/>
        </w:rPr>
        <w:br w:type="page"/>
      </w:r>
    </w:p>
    <w:p w14:paraId="2515FEA4">
      <w:pPr>
        <w:spacing w:line="360" w:lineRule="exact"/>
        <w:jc w:val="left"/>
        <w:rPr>
          <w:rFonts w:ascii="宋体" w:hAnsi="宋体" w:eastAsia="宋体" w:cs="黑体"/>
          <w:kern w:val="0"/>
          <w:szCs w:val="21"/>
          <w:shd w:val="clear" w:color="auto" w:fill="FFFFFF"/>
        </w:rPr>
      </w:pPr>
      <w:r>
        <w:rPr>
          <w:rFonts w:hint="eastAsia" w:ascii="宋体" w:hAnsi="宋体" w:eastAsia="宋体" w:cs="黑体"/>
          <w:kern w:val="0"/>
          <w:szCs w:val="21"/>
          <w:shd w:val="clear" w:color="auto" w:fill="FFFFFF"/>
        </w:rPr>
        <w:t>附件2</w:t>
      </w:r>
    </w:p>
    <w:p w14:paraId="7E782299">
      <w:pPr>
        <w:spacing w:line="360" w:lineRule="exact"/>
        <w:jc w:val="center"/>
        <w:rPr>
          <w:rFonts w:ascii="宋体" w:hAnsi="宋体" w:eastAsia="宋体" w:cs="方正小标宋_GBK"/>
          <w:kern w:val="0"/>
          <w:szCs w:val="21"/>
          <w:shd w:val="clear" w:color="auto" w:fill="FFFFFF"/>
        </w:rPr>
      </w:pPr>
      <w:r>
        <w:rPr>
          <w:rFonts w:hint="eastAsia" w:ascii="宋体" w:hAnsi="宋体" w:eastAsia="宋体" w:cs="方正小标宋_GBK"/>
          <w:kern w:val="0"/>
          <w:szCs w:val="21"/>
          <w:shd w:val="clear" w:color="auto" w:fill="FFFFFF"/>
        </w:rPr>
        <w:t>怀化市档案馆整体支出绩效自评表</w:t>
      </w:r>
    </w:p>
    <w:tbl>
      <w:tblPr>
        <w:tblStyle w:val="25"/>
        <w:tblW w:w="91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7"/>
        <w:gridCol w:w="1080"/>
        <w:gridCol w:w="780"/>
        <w:gridCol w:w="864"/>
        <w:gridCol w:w="792"/>
        <w:gridCol w:w="1106"/>
        <w:gridCol w:w="750"/>
        <w:gridCol w:w="742"/>
        <w:gridCol w:w="63"/>
        <w:gridCol w:w="1235"/>
      </w:tblGrid>
      <w:tr w14:paraId="6C7C8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9199" w:type="dxa"/>
            <w:gridSpan w:val="10"/>
            <w:tcBorders>
              <w:top w:val="nil"/>
              <w:left w:val="nil"/>
              <w:right w:val="nil"/>
            </w:tcBorders>
            <w:vAlign w:val="center"/>
          </w:tcPr>
          <w:p w14:paraId="0082DE2A">
            <w:pPr>
              <w:widowControl/>
              <w:spacing w:line="360" w:lineRule="exact"/>
              <w:jc w:val="left"/>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填报单位：怀化市档案馆</w:t>
            </w:r>
          </w:p>
        </w:tc>
      </w:tr>
      <w:tr w14:paraId="2E9B0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787" w:type="dxa"/>
            <w:vAlign w:val="center"/>
          </w:tcPr>
          <w:p w14:paraId="74C79803">
            <w:pPr>
              <w:widowControl/>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预算单位名称</w:t>
            </w:r>
          </w:p>
        </w:tc>
        <w:tc>
          <w:tcPr>
            <w:tcW w:w="7412" w:type="dxa"/>
            <w:gridSpan w:val="9"/>
            <w:vAlign w:val="center"/>
          </w:tcPr>
          <w:p w14:paraId="6E08A9B1">
            <w:pPr>
              <w:widowControl/>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怀化市档案馆</w:t>
            </w:r>
          </w:p>
        </w:tc>
      </w:tr>
      <w:tr w14:paraId="04C0A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787" w:type="dxa"/>
            <w:vMerge w:val="restart"/>
            <w:vAlign w:val="center"/>
          </w:tcPr>
          <w:p w14:paraId="4974F5B3">
            <w:pPr>
              <w:widowControl/>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年度预算申请</w:t>
            </w:r>
            <w:r>
              <w:rPr>
                <w:rFonts w:hint="eastAsia" w:ascii="宋体" w:hAnsi="宋体" w:eastAsia="宋体" w:cs="宋体"/>
                <w:kern w:val="0"/>
                <w:szCs w:val="21"/>
                <w:shd w:val="clear" w:color="auto" w:fill="FFFFFF"/>
              </w:rPr>
              <w:br w:type="textWrapping"/>
            </w:r>
            <w:r>
              <w:rPr>
                <w:rFonts w:hint="eastAsia" w:ascii="宋体" w:hAnsi="宋体" w:eastAsia="宋体" w:cs="宋体"/>
                <w:kern w:val="0"/>
                <w:szCs w:val="21"/>
                <w:shd w:val="clear" w:color="auto" w:fill="FFFFFF"/>
              </w:rPr>
              <w:t>（万元）</w:t>
            </w:r>
          </w:p>
        </w:tc>
        <w:tc>
          <w:tcPr>
            <w:tcW w:w="1080" w:type="dxa"/>
            <w:vAlign w:val="center"/>
          </w:tcPr>
          <w:p w14:paraId="060287FD">
            <w:pPr>
              <w:widowControl/>
              <w:spacing w:line="360" w:lineRule="exact"/>
              <w:jc w:val="center"/>
              <w:rPr>
                <w:rFonts w:ascii="宋体" w:hAnsi="宋体" w:eastAsia="宋体" w:cs="宋体"/>
                <w:kern w:val="0"/>
                <w:szCs w:val="21"/>
                <w:shd w:val="clear" w:color="auto" w:fill="FFFFFF"/>
              </w:rPr>
            </w:pPr>
          </w:p>
        </w:tc>
        <w:tc>
          <w:tcPr>
            <w:tcW w:w="1644" w:type="dxa"/>
            <w:gridSpan w:val="2"/>
            <w:vAlign w:val="center"/>
          </w:tcPr>
          <w:p w14:paraId="2BCD5AFD">
            <w:pPr>
              <w:widowControl/>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年初预算数</w:t>
            </w:r>
          </w:p>
        </w:tc>
        <w:tc>
          <w:tcPr>
            <w:tcW w:w="792" w:type="dxa"/>
            <w:vAlign w:val="center"/>
          </w:tcPr>
          <w:p w14:paraId="305BE40C">
            <w:pPr>
              <w:widowControl/>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全年预算数</w:t>
            </w:r>
          </w:p>
        </w:tc>
        <w:tc>
          <w:tcPr>
            <w:tcW w:w="1106" w:type="dxa"/>
            <w:vAlign w:val="center"/>
          </w:tcPr>
          <w:p w14:paraId="33B5CF33">
            <w:pPr>
              <w:widowControl/>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全年执行数</w:t>
            </w:r>
          </w:p>
        </w:tc>
        <w:tc>
          <w:tcPr>
            <w:tcW w:w="750" w:type="dxa"/>
            <w:vAlign w:val="center"/>
          </w:tcPr>
          <w:p w14:paraId="385508EE">
            <w:pPr>
              <w:widowControl/>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分值</w:t>
            </w:r>
          </w:p>
        </w:tc>
        <w:tc>
          <w:tcPr>
            <w:tcW w:w="805" w:type="dxa"/>
            <w:gridSpan w:val="2"/>
            <w:vAlign w:val="center"/>
          </w:tcPr>
          <w:p w14:paraId="0000DE4F">
            <w:pPr>
              <w:widowControl/>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执行率</w:t>
            </w:r>
          </w:p>
        </w:tc>
        <w:tc>
          <w:tcPr>
            <w:tcW w:w="1235" w:type="dxa"/>
            <w:vAlign w:val="center"/>
          </w:tcPr>
          <w:p w14:paraId="29D9A78E">
            <w:pPr>
              <w:widowControl/>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得分</w:t>
            </w:r>
          </w:p>
        </w:tc>
      </w:tr>
      <w:tr w14:paraId="5CC81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1787" w:type="dxa"/>
            <w:vMerge w:val="continue"/>
            <w:vAlign w:val="center"/>
          </w:tcPr>
          <w:p w14:paraId="5FB800BD">
            <w:pPr>
              <w:widowControl/>
              <w:spacing w:line="360" w:lineRule="exact"/>
              <w:jc w:val="center"/>
              <w:rPr>
                <w:rFonts w:ascii="宋体" w:hAnsi="宋体" w:eastAsia="宋体" w:cs="宋体"/>
                <w:kern w:val="0"/>
                <w:szCs w:val="21"/>
                <w:shd w:val="clear" w:color="auto" w:fill="FFFFFF"/>
              </w:rPr>
            </w:pPr>
          </w:p>
        </w:tc>
        <w:tc>
          <w:tcPr>
            <w:tcW w:w="1080" w:type="dxa"/>
            <w:vAlign w:val="center"/>
          </w:tcPr>
          <w:p w14:paraId="37CE9E92">
            <w:pPr>
              <w:widowControl/>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年度资金</w:t>
            </w:r>
            <w:r>
              <w:rPr>
                <w:rFonts w:ascii="宋体" w:hAnsi="宋体" w:eastAsia="宋体" w:cs="宋体"/>
                <w:kern w:val="0"/>
                <w:szCs w:val="21"/>
                <w:shd w:val="clear" w:color="auto" w:fill="FFFFFF"/>
              </w:rPr>
              <w:t>总额</w:t>
            </w:r>
          </w:p>
        </w:tc>
        <w:tc>
          <w:tcPr>
            <w:tcW w:w="1644" w:type="dxa"/>
            <w:gridSpan w:val="2"/>
            <w:vAlign w:val="center"/>
          </w:tcPr>
          <w:p w14:paraId="772D65F6">
            <w:pPr>
              <w:widowControl/>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3</w:t>
            </w:r>
            <w:r>
              <w:rPr>
                <w:rFonts w:ascii="宋体" w:hAnsi="宋体" w:eastAsia="宋体" w:cs="宋体"/>
                <w:kern w:val="0"/>
                <w:szCs w:val="21"/>
                <w:shd w:val="clear" w:color="auto" w:fill="FFFFFF"/>
              </w:rPr>
              <w:t>41.42</w:t>
            </w:r>
          </w:p>
        </w:tc>
        <w:tc>
          <w:tcPr>
            <w:tcW w:w="792" w:type="dxa"/>
            <w:vAlign w:val="center"/>
          </w:tcPr>
          <w:p w14:paraId="76B83BED">
            <w:pPr>
              <w:widowControl/>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3</w:t>
            </w:r>
            <w:r>
              <w:rPr>
                <w:rFonts w:ascii="宋体" w:hAnsi="宋体" w:eastAsia="宋体" w:cs="宋体"/>
                <w:kern w:val="0"/>
                <w:szCs w:val="21"/>
                <w:shd w:val="clear" w:color="auto" w:fill="FFFFFF"/>
              </w:rPr>
              <w:t>16.04</w:t>
            </w:r>
          </w:p>
        </w:tc>
        <w:tc>
          <w:tcPr>
            <w:tcW w:w="1106" w:type="dxa"/>
            <w:vAlign w:val="center"/>
          </w:tcPr>
          <w:p w14:paraId="69325543">
            <w:pPr>
              <w:widowControl/>
              <w:spacing w:line="360" w:lineRule="exact"/>
              <w:jc w:val="center"/>
              <w:rPr>
                <w:rFonts w:ascii="宋体" w:hAnsi="宋体" w:eastAsia="宋体" w:cs="宋体"/>
                <w:kern w:val="0"/>
                <w:szCs w:val="21"/>
                <w:shd w:val="clear" w:color="auto" w:fill="FFFFFF"/>
              </w:rPr>
            </w:pPr>
            <w:r>
              <w:rPr>
                <w:rFonts w:ascii="宋体" w:hAnsi="宋体" w:eastAsia="宋体" w:cs="宋体"/>
                <w:kern w:val="0"/>
                <w:szCs w:val="21"/>
                <w:shd w:val="clear" w:color="auto" w:fill="FFFFFF"/>
              </w:rPr>
              <w:t>316.04</w:t>
            </w:r>
          </w:p>
        </w:tc>
        <w:tc>
          <w:tcPr>
            <w:tcW w:w="750" w:type="dxa"/>
            <w:vAlign w:val="center"/>
          </w:tcPr>
          <w:p w14:paraId="35FCF435">
            <w:pPr>
              <w:widowControl/>
              <w:spacing w:line="360" w:lineRule="exact"/>
              <w:jc w:val="center"/>
              <w:rPr>
                <w:rFonts w:ascii="宋体" w:hAnsi="宋体" w:eastAsia="宋体" w:cs="宋体"/>
                <w:kern w:val="0"/>
                <w:szCs w:val="21"/>
                <w:shd w:val="clear" w:color="auto" w:fill="FFFFFF"/>
              </w:rPr>
            </w:pPr>
            <w:r>
              <w:rPr>
                <w:rFonts w:ascii="宋体" w:hAnsi="宋体" w:eastAsia="宋体" w:cs="宋体"/>
                <w:kern w:val="0"/>
                <w:szCs w:val="21"/>
                <w:shd w:val="clear" w:color="auto" w:fill="FFFFFF"/>
              </w:rPr>
              <w:t>1</w:t>
            </w:r>
            <w:r>
              <w:rPr>
                <w:rFonts w:hint="eastAsia" w:ascii="宋体" w:hAnsi="宋体" w:eastAsia="宋体" w:cs="宋体"/>
                <w:kern w:val="0"/>
                <w:szCs w:val="21"/>
                <w:shd w:val="clear" w:color="auto" w:fill="FFFFFF"/>
              </w:rPr>
              <w:t>0</w:t>
            </w:r>
          </w:p>
        </w:tc>
        <w:tc>
          <w:tcPr>
            <w:tcW w:w="805" w:type="dxa"/>
            <w:gridSpan w:val="2"/>
            <w:vAlign w:val="center"/>
          </w:tcPr>
          <w:p w14:paraId="44B81700">
            <w:pPr>
              <w:widowControl/>
              <w:spacing w:line="360" w:lineRule="exact"/>
              <w:jc w:val="center"/>
              <w:rPr>
                <w:rFonts w:ascii="宋体" w:hAnsi="宋体" w:eastAsia="宋体" w:cs="宋体"/>
                <w:kern w:val="0"/>
                <w:szCs w:val="21"/>
                <w:shd w:val="clear" w:color="auto" w:fill="FFFFFF"/>
              </w:rPr>
            </w:pPr>
            <w:r>
              <w:rPr>
                <w:rFonts w:ascii="宋体" w:hAnsi="宋体" w:eastAsia="宋体" w:cs="宋体"/>
                <w:kern w:val="0"/>
                <w:szCs w:val="21"/>
                <w:shd w:val="clear" w:color="auto" w:fill="FFFFFF"/>
              </w:rPr>
              <w:t>100</w:t>
            </w:r>
            <w:r>
              <w:rPr>
                <w:rFonts w:hint="eastAsia" w:ascii="宋体" w:hAnsi="宋体" w:eastAsia="宋体" w:cs="宋体"/>
                <w:kern w:val="0"/>
                <w:szCs w:val="21"/>
                <w:shd w:val="clear" w:color="auto" w:fill="FFFFFF"/>
              </w:rPr>
              <w:t>%</w:t>
            </w:r>
          </w:p>
        </w:tc>
        <w:tc>
          <w:tcPr>
            <w:tcW w:w="1235" w:type="dxa"/>
            <w:vAlign w:val="center"/>
          </w:tcPr>
          <w:p w14:paraId="2F7EE31A">
            <w:pPr>
              <w:widowControl/>
              <w:spacing w:line="360" w:lineRule="exact"/>
              <w:jc w:val="center"/>
              <w:rPr>
                <w:rFonts w:ascii="宋体" w:hAnsi="宋体" w:eastAsia="宋体" w:cs="宋体"/>
                <w:kern w:val="0"/>
                <w:szCs w:val="21"/>
                <w:shd w:val="clear" w:color="auto" w:fill="FFFFFF"/>
              </w:rPr>
            </w:pPr>
            <w:r>
              <w:rPr>
                <w:rFonts w:ascii="宋体" w:hAnsi="宋体" w:eastAsia="宋体" w:cs="宋体"/>
                <w:kern w:val="0"/>
                <w:szCs w:val="21"/>
                <w:shd w:val="clear" w:color="auto" w:fill="FFFFFF"/>
              </w:rPr>
              <w:t>10</w:t>
            </w:r>
          </w:p>
        </w:tc>
      </w:tr>
      <w:tr w14:paraId="4CDB9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787" w:type="dxa"/>
            <w:vMerge w:val="continue"/>
            <w:vAlign w:val="center"/>
          </w:tcPr>
          <w:p w14:paraId="07A93C3A">
            <w:pPr>
              <w:widowControl/>
              <w:spacing w:line="360" w:lineRule="exact"/>
              <w:jc w:val="center"/>
              <w:rPr>
                <w:rFonts w:ascii="宋体" w:hAnsi="宋体" w:eastAsia="宋体" w:cs="宋体"/>
                <w:kern w:val="0"/>
                <w:szCs w:val="21"/>
                <w:shd w:val="clear" w:color="auto" w:fill="FFFFFF"/>
              </w:rPr>
            </w:pPr>
          </w:p>
        </w:tc>
        <w:tc>
          <w:tcPr>
            <w:tcW w:w="3516" w:type="dxa"/>
            <w:gridSpan w:val="4"/>
            <w:vAlign w:val="center"/>
          </w:tcPr>
          <w:p w14:paraId="2D442F78">
            <w:pPr>
              <w:widowControl/>
              <w:spacing w:line="360" w:lineRule="exact"/>
              <w:jc w:val="left"/>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按收入性质分：3</w:t>
            </w:r>
            <w:r>
              <w:rPr>
                <w:rFonts w:ascii="宋体" w:hAnsi="宋体" w:eastAsia="宋体" w:cs="宋体"/>
                <w:kern w:val="0"/>
                <w:szCs w:val="21"/>
                <w:shd w:val="clear" w:color="auto" w:fill="FFFFFF"/>
              </w:rPr>
              <w:t>16.04</w:t>
            </w:r>
          </w:p>
        </w:tc>
        <w:tc>
          <w:tcPr>
            <w:tcW w:w="3896" w:type="dxa"/>
            <w:gridSpan w:val="5"/>
            <w:vAlign w:val="center"/>
          </w:tcPr>
          <w:p w14:paraId="4AFA1E6F">
            <w:pPr>
              <w:widowControl/>
              <w:spacing w:line="360" w:lineRule="exact"/>
              <w:jc w:val="left"/>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按支出性质分：3</w:t>
            </w:r>
            <w:r>
              <w:rPr>
                <w:rFonts w:ascii="宋体" w:hAnsi="宋体" w:eastAsia="宋体" w:cs="宋体"/>
                <w:kern w:val="0"/>
                <w:szCs w:val="21"/>
                <w:shd w:val="clear" w:color="auto" w:fill="FFFFFF"/>
              </w:rPr>
              <w:t>16.04</w:t>
            </w:r>
          </w:p>
        </w:tc>
      </w:tr>
      <w:tr w14:paraId="42362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787" w:type="dxa"/>
            <w:vMerge w:val="continue"/>
            <w:vAlign w:val="center"/>
          </w:tcPr>
          <w:p w14:paraId="387AB9CF">
            <w:pPr>
              <w:widowControl/>
              <w:spacing w:line="360" w:lineRule="exact"/>
              <w:jc w:val="center"/>
              <w:rPr>
                <w:rFonts w:ascii="宋体" w:hAnsi="宋体" w:eastAsia="宋体" w:cs="宋体"/>
                <w:kern w:val="0"/>
                <w:szCs w:val="21"/>
                <w:shd w:val="clear" w:color="auto" w:fill="FFFFFF"/>
              </w:rPr>
            </w:pPr>
          </w:p>
        </w:tc>
        <w:tc>
          <w:tcPr>
            <w:tcW w:w="3516" w:type="dxa"/>
            <w:gridSpan w:val="4"/>
            <w:vAlign w:val="center"/>
          </w:tcPr>
          <w:p w14:paraId="02F2C934">
            <w:pPr>
              <w:widowControl/>
              <w:spacing w:line="360" w:lineRule="exact"/>
              <w:jc w:val="left"/>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 xml:space="preserve">其中： </w:t>
            </w:r>
            <w:r>
              <w:rPr>
                <w:rFonts w:ascii="宋体" w:hAnsi="宋体" w:eastAsia="宋体" w:cs="宋体"/>
                <w:kern w:val="0"/>
                <w:szCs w:val="21"/>
                <w:shd w:val="clear" w:color="auto" w:fill="FFFFFF"/>
              </w:rPr>
              <w:t xml:space="preserve">      </w:t>
            </w:r>
          </w:p>
          <w:p w14:paraId="069521D2">
            <w:pPr>
              <w:widowControl/>
              <w:spacing w:line="360" w:lineRule="exact"/>
              <w:jc w:val="left"/>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一般公共预算：3</w:t>
            </w:r>
            <w:r>
              <w:rPr>
                <w:rFonts w:ascii="宋体" w:hAnsi="宋体" w:eastAsia="宋体" w:cs="宋体"/>
                <w:kern w:val="0"/>
                <w:szCs w:val="21"/>
                <w:shd w:val="clear" w:color="auto" w:fill="FFFFFF"/>
              </w:rPr>
              <w:t>16.04</w:t>
            </w:r>
          </w:p>
        </w:tc>
        <w:tc>
          <w:tcPr>
            <w:tcW w:w="3896" w:type="dxa"/>
            <w:gridSpan w:val="5"/>
            <w:vAlign w:val="center"/>
          </w:tcPr>
          <w:p w14:paraId="4A7F324C">
            <w:pPr>
              <w:widowControl/>
              <w:spacing w:line="360" w:lineRule="exact"/>
              <w:jc w:val="left"/>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其中：</w:t>
            </w:r>
          </w:p>
          <w:p w14:paraId="6F53F800">
            <w:pPr>
              <w:widowControl/>
              <w:spacing w:line="360" w:lineRule="exact"/>
              <w:jc w:val="left"/>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基本支出：2</w:t>
            </w:r>
            <w:r>
              <w:rPr>
                <w:rFonts w:ascii="宋体" w:hAnsi="宋体" w:eastAsia="宋体" w:cs="宋体"/>
                <w:kern w:val="0"/>
                <w:szCs w:val="21"/>
                <w:shd w:val="clear" w:color="auto" w:fill="FFFFFF"/>
              </w:rPr>
              <w:t>78.32</w:t>
            </w:r>
          </w:p>
        </w:tc>
      </w:tr>
      <w:tr w14:paraId="54485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787" w:type="dxa"/>
            <w:vMerge w:val="continue"/>
            <w:vAlign w:val="center"/>
          </w:tcPr>
          <w:p w14:paraId="3A1E6E30">
            <w:pPr>
              <w:widowControl/>
              <w:spacing w:line="360" w:lineRule="exact"/>
              <w:jc w:val="center"/>
              <w:rPr>
                <w:rFonts w:ascii="宋体" w:hAnsi="宋体" w:eastAsia="宋体" w:cs="宋体"/>
                <w:kern w:val="0"/>
                <w:szCs w:val="21"/>
                <w:shd w:val="clear" w:color="auto" w:fill="FFFFFF"/>
              </w:rPr>
            </w:pPr>
          </w:p>
        </w:tc>
        <w:tc>
          <w:tcPr>
            <w:tcW w:w="3516" w:type="dxa"/>
            <w:gridSpan w:val="4"/>
            <w:vAlign w:val="center"/>
          </w:tcPr>
          <w:p w14:paraId="64373955">
            <w:pPr>
              <w:widowControl/>
              <w:spacing w:line="360" w:lineRule="exact"/>
              <w:jc w:val="left"/>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政府性基金拨款：</w:t>
            </w:r>
          </w:p>
        </w:tc>
        <w:tc>
          <w:tcPr>
            <w:tcW w:w="3896" w:type="dxa"/>
            <w:gridSpan w:val="5"/>
            <w:vAlign w:val="center"/>
          </w:tcPr>
          <w:p w14:paraId="1BC15226">
            <w:pPr>
              <w:widowControl/>
              <w:spacing w:line="360" w:lineRule="exact"/>
              <w:jc w:val="left"/>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项目支出：3</w:t>
            </w:r>
            <w:r>
              <w:rPr>
                <w:rFonts w:ascii="宋体" w:hAnsi="宋体" w:eastAsia="宋体" w:cs="宋体"/>
                <w:kern w:val="0"/>
                <w:szCs w:val="21"/>
                <w:shd w:val="clear" w:color="auto" w:fill="FFFFFF"/>
              </w:rPr>
              <w:t>7.72</w:t>
            </w:r>
          </w:p>
        </w:tc>
      </w:tr>
      <w:tr w14:paraId="51D3F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787" w:type="dxa"/>
            <w:vMerge w:val="continue"/>
            <w:vAlign w:val="center"/>
          </w:tcPr>
          <w:p w14:paraId="2A34E454">
            <w:pPr>
              <w:widowControl/>
              <w:spacing w:line="360" w:lineRule="exact"/>
              <w:jc w:val="center"/>
              <w:rPr>
                <w:rFonts w:ascii="宋体" w:hAnsi="宋体" w:eastAsia="宋体" w:cs="宋体"/>
                <w:kern w:val="0"/>
                <w:szCs w:val="21"/>
                <w:shd w:val="clear" w:color="auto" w:fill="FFFFFF"/>
              </w:rPr>
            </w:pPr>
          </w:p>
        </w:tc>
        <w:tc>
          <w:tcPr>
            <w:tcW w:w="3516" w:type="dxa"/>
            <w:gridSpan w:val="4"/>
            <w:vAlign w:val="center"/>
          </w:tcPr>
          <w:p w14:paraId="00F1BC2A">
            <w:pPr>
              <w:widowControl/>
              <w:spacing w:line="360" w:lineRule="exact"/>
              <w:jc w:val="left"/>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纳入专户管理的非税收入拨款：</w:t>
            </w:r>
          </w:p>
        </w:tc>
        <w:tc>
          <w:tcPr>
            <w:tcW w:w="3896" w:type="dxa"/>
            <w:gridSpan w:val="5"/>
            <w:vAlign w:val="center"/>
          </w:tcPr>
          <w:p w14:paraId="6CA9B321">
            <w:pPr>
              <w:widowControl/>
              <w:spacing w:line="360" w:lineRule="exact"/>
              <w:jc w:val="left"/>
              <w:rPr>
                <w:rFonts w:ascii="宋体" w:hAnsi="宋体" w:eastAsia="宋体" w:cs="宋体"/>
                <w:kern w:val="0"/>
                <w:szCs w:val="21"/>
                <w:shd w:val="clear" w:color="auto" w:fill="FFFFFF"/>
              </w:rPr>
            </w:pPr>
          </w:p>
        </w:tc>
      </w:tr>
      <w:tr w14:paraId="78AF7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787" w:type="dxa"/>
            <w:vMerge w:val="continue"/>
            <w:vAlign w:val="center"/>
          </w:tcPr>
          <w:p w14:paraId="68185F66">
            <w:pPr>
              <w:widowControl/>
              <w:spacing w:line="360" w:lineRule="exact"/>
              <w:jc w:val="center"/>
              <w:rPr>
                <w:rFonts w:ascii="宋体" w:hAnsi="宋体" w:eastAsia="宋体" w:cs="宋体"/>
                <w:kern w:val="0"/>
                <w:szCs w:val="21"/>
                <w:shd w:val="clear" w:color="auto" w:fill="FFFFFF"/>
              </w:rPr>
            </w:pPr>
          </w:p>
        </w:tc>
        <w:tc>
          <w:tcPr>
            <w:tcW w:w="3516" w:type="dxa"/>
            <w:gridSpan w:val="4"/>
            <w:vAlign w:val="center"/>
          </w:tcPr>
          <w:p w14:paraId="2506D0DD">
            <w:pPr>
              <w:widowControl/>
              <w:spacing w:line="360" w:lineRule="exact"/>
              <w:jc w:val="left"/>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其他资金：</w:t>
            </w:r>
          </w:p>
        </w:tc>
        <w:tc>
          <w:tcPr>
            <w:tcW w:w="3896" w:type="dxa"/>
            <w:gridSpan w:val="5"/>
            <w:vAlign w:val="center"/>
          </w:tcPr>
          <w:p w14:paraId="35DC8199">
            <w:pPr>
              <w:widowControl/>
              <w:spacing w:line="360" w:lineRule="exact"/>
              <w:jc w:val="left"/>
              <w:rPr>
                <w:rFonts w:ascii="宋体" w:hAnsi="宋体" w:eastAsia="宋体" w:cs="宋体"/>
                <w:kern w:val="0"/>
                <w:szCs w:val="21"/>
                <w:shd w:val="clear" w:color="auto" w:fill="FFFFFF"/>
              </w:rPr>
            </w:pPr>
          </w:p>
        </w:tc>
      </w:tr>
      <w:tr w14:paraId="55407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1787" w:type="dxa"/>
            <w:vMerge w:val="restart"/>
            <w:vAlign w:val="center"/>
          </w:tcPr>
          <w:p w14:paraId="01DC2A2E">
            <w:pPr>
              <w:widowControl/>
              <w:spacing w:line="360" w:lineRule="exact"/>
              <w:jc w:val="center"/>
              <w:rPr>
                <w:rFonts w:ascii="宋体" w:hAnsi="宋体" w:eastAsia="宋体" w:cs="宋体"/>
                <w:kern w:val="0"/>
                <w:szCs w:val="21"/>
                <w:shd w:val="clear" w:color="auto" w:fill="FFFFFF"/>
              </w:rPr>
            </w:pPr>
            <w:r>
              <w:rPr>
                <w:rFonts w:ascii="宋体" w:hAnsi="宋体" w:eastAsia="宋体" w:cs="宋体"/>
                <w:kern w:val="0"/>
                <w:szCs w:val="21"/>
                <w:shd w:val="clear" w:color="auto" w:fill="FFFFFF"/>
              </w:rPr>
              <w:t>年</w:t>
            </w:r>
            <w:r>
              <w:rPr>
                <w:rFonts w:hint="eastAsia" w:ascii="宋体" w:hAnsi="宋体" w:eastAsia="宋体" w:cs="宋体"/>
                <w:kern w:val="0"/>
                <w:szCs w:val="21"/>
                <w:shd w:val="clear" w:color="auto" w:fill="FFFFFF"/>
              </w:rPr>
              <w:t>度总体目标</w:t>
            </w:r>
          </w:p>
        </w:tc>
        <w:tc>
          <w:tcPr>
            <w:tcW w:w="3516" w:type="dxa"/>
            <w:gridSpan w:val="4"/>
            <w:vAlign w:val="center"/>
          </w:tcPr>
          <w:p w14:paraId="7ECC01A2">
            <w:pPr>
              <w:widowControl/>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预期目标</w:t>
            </w:r>
          </w:p>
        </w:tc>
        <w:tc>
          <w:tcPr>
            <w:tcW w:w="3896" w:type="dxa"/>
            <w:gridSpan w:val="5"/>
            <w:vAlign w:val="center"/>
          </w:tcPr>
          <w:p w14:paraId="786E8995">
            <w:pPr>
              <w:widowControl/>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实际完成情况</w:t>
            </w:r>
          </w:p>
        </w:tc>
      </w:tr>
      <w:tr w14:paraId="7BECC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3" w:hRule="atLeast"/>
          <w:jc w:val="center"/>
        </w:trPr>
        <w:tc>
          <w:tcPr>
            <w:tcW w:w="1787" w:type="dxa"/>
            <w:vMerge w:val="continue"/>
            <w:vAlign w:val="center"/>
          </w:tcPr>
          <w:p w14:paraId="3465C62B">
            <w:pPr>
              <w:widowControl/>
              <w:spacing w:line="360" w:lineRule="exact"/>
              <w:jc w:val="left"/>
              <w:rPr>
                <w:rFonts w:ascii="宋体" w:hAnsi="宋体" w:eastAsia="宋体" w:cs="宋体"/>
                <w:kern w:val="0"/>
                <w:szCs w:val="21"/>
                <w:shd w:val="clear" w:color="auto" w:fill="FFFFFF"/>
              </w:rPr>
            </w:pPr>
          </w:p>
        </w:tc>
        <w:tc>
          <w:tcPr>
            <w:tcW w:w="3516" w:type="dxa"/>
            <w:gridSpan w:val="4"/>
            <w:vAlign w:val="center"/>
          </w:tcPr>
          <w:p w14:paraId="688E01B2">
            <w:pPr>
              <w:widowControl/>
              <w:spacing w:line="360" w:lineRule="exact"/>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负责全市档案工作的接收、业务指导、执法检查、数字化管理以及全市35余万卷（册）档案资料的保管保护、开发利用。</w:t>
            </w:r>
          </w:p>
        </w:tc>
        <w:tc>
          <w:tcPr>
            <w:tcW w:w="3896" w:type="dxa"/>
            <w:gridSpan w:val="5"/>
            <w:vAlign w:val="center"/>
          </w:tcPr>
          <w:p w14:paraId="339A74D6">
            <w:pPr>
              <w:spacing w:line="360" w:lineRule="exact"/>
              <w:rPr>
                <w:rFonts w:ascii="宋体" w:hAnsi="宋体" w:eastAsia="宋体" w:cs="宋体"/>
                <w:kern w:val="0"/>
                <w:szCs w:val="21"/>
                <w:shd w:val="clear" w:color="auto" w:fill="FFFFFF"/>
              </w:rPr>
            </w:pPr>
            <w:r>
              <w:rPr>
                <w:rFonts w:ascii="宋体" w:hAnsi="宋体" w:eastAsia="宋体" w:cs="宋体"/>
                <w:kern w:val="0"/>
                <w:szCs w:val="21"/>
                <w:shd w:val="clear" w:color="auto" w:fill="FFFFFF"/>
              </w:rPr>
              <w:t>1.坚持以党的政治建设为统领，深入贯彻落实习近平新时代中国特色社会主义思想和党的二十大精神</w:t>
            </w:r>
            <w:r>
              <w:rPr>
                <w:rFonts w:hint="eastAsia" w:ascii="宋体" w:hAnsi="宋体" w:eastAsia="宋体" w:cs="宋体"/>
                <w:kern w:val="0"/>
                <w:szCs w:val="21"/>
                <w:shd w:val="clear" w:color="auto" w:fill="FFFFFF"/>
              </w:rPr>
              <w:t>。</w:t>
            </w:r>
            <w:r>
              <w:rPr>
                <w:rFonts w:ascii="宋体" w:hAnsi="宋体" w:eastAsia="宋体" w:cs="宋体"/>
                <w:kern w:val="0"/>
                <w:szCs w:val="21"/>
                <w:shd w:val="clear" w:color="auto" w:fill="FFFFFF"/>
              </w:rPr>
              <w:t>(1)深化理论武装，不断夯实思想根基</w:t>
            </w:r>
            <w:r>
              <w:rPr>
                <w:rFonts w:hint="eastAsia" w:ascii="宋体" w:hAnsi="宋体" w:eastAsia="宋体" w:cs="宋体"/>
                <w:kern w:val="0"/>
                <w:szCs w:val="21"/>
                <w:shd w:val="clear" w:color="auto" w:fill="FFFFFF"/>
              </w:rPr>
              <w:t>。始终坚持把党的政治建设摆在首位，深刻领悟“两个确立”的决定性意义，做到“两个维护”。①严格落实“第一议题”制度。今年以来，我单位坚持把学习贯彻习近平总书记重要讲话指示批示精神作为党组会、理论中心组（扩大）学习、支委会及其它党内重要会议的“第一议题”，第一时间组织传达学习，并紧密联系工作实际谈感想抓落实。②推进构建全方位多层次学习体系。坚持把学习贯彻习近平新时代中国特色社会主义思想、党的二十大精神与习近平总书记对档案工作重要指示批示精神紧密结合起来，依托党组理论学习中心组集体（扩大）学习、“三会一课”、“一月一课一片一实践”主题党日活动、“学习强国”</w:t>
            </w:r>
            <w:r>
              <w:rPr>
                <w:rFonts w:ascii="宋体" w:hAnsi="宋体" w:eastAsia="宋体" w:cs="宋体"/>
                <w:kern w:val="0"/>
                <w:szCs w:val="21"/>
                <w:shd w:val="clear" w:color="auto" w:fill="FFFFFF"/>
              </w:rPr>
              <w:t>APP等多种形式，组织全员开展集中学习和自主学习，进一步提升干部职工理论素养水平。今年以来，已组织党组理论学习中心组（扩大）学习15次，每次学习有理论讲解，有交流发言和小结；全年组织党员上党课及微党课21次、观看党员教育片20余次，做到干部职工学习无遗漏、无死角，确保学习实效，进一步强化“为党管档为国守史”的责任感和使命感。</w:t>
            </w:r>
          </w:p>
          <w:p w14:paraId="4D372285">
            <w:pPr>
              <w:spacing w:line="360" w:lineRule="exact"/>
              <w:rPr>
                <w:rFonts w:ascii="宋体" w:hAnsi="宋体" w:eastAsia="宋体" w:cs="宋体"/>
                <w:kern w:val="0"/>
                <w:szCs w:val="21"/>
                <w:shd w:val="clear" w:color="auto" w:fill="FFFFFF"/>
              </w:rPr>
            </w:pPr>
            <w:r>
              <w:rPr>
                <w:rFonts w:ascii="宋体" w:hAnsi="宋体" w:eastAsia="宋体" w:cs="宋体"/>
                <w:kern w:val="0"/>
                <w:szCs w:val="21"/>
                <w:shd w:val="clear" w:color="auto" w:fill="FFFFFF"/>
              </w:rPr>
              <w:t>(2)强化组织领导，不断推进主题教育取得实效</w:t>
            </w:r>
            <w:r>
              <w:rPr>
                <w:rFonts w:hint="eastAsia" w:ascii="宋体" w:hAnsi="宋体" w:eastAsia="宋体" w:cs="宋体"/>
                <w:kern w:val="0"/>
                <w:szCs w:val="21"/>
                <w:shd w:val="clear" w:color="auto" w:fill="FFFFFF"/>
              </w:rPr>
              <w:t>，坚持把开展好主题教育作为当前首要政治任务，精心组织，统筹谋划，切实提高主题教育质量。①及时启动部署。</w:t>
            </w:r>
            <w:r>
              <w:rPr>
                <w:rFonts w:ascii="宋体" w:hAnsi="宋体" w:eastAsia="宋体" w:cs="宋体"/>
                <w:kern w:val="0"/>
                <w:szCs w:val="21"/>
                <w:shd w:val="clear" w:color="auto" w:fill="FFFFFF"/>
              </w:rPr>
              <w:t>9月12日召开党组会议研究部署主题教育工作，9月14日召开主题教育动员部署会议。结合怀化市档案馆实际，制定了本馆主题教育实施方案、主题教育读书班实施方案、领导班子主题教育期间理论学习计划、党支部学习计划、馆副处级以上的领导干部个人学习计划等，进一步加强对主题教育的统筹谋划。②对标对表抓好重点任务的落实。9月21日至9月27日举办了“学习贯彻习近平新时代中国特色社会主义思想主题教育读书班”，馆领导班子成员及副处</w:t>
            </w:r>
            <w:r>
              <w:rPr>
                <w:rFonts w:hint="eastAsia" w:ascii="宋体" w:hAnsi="宋体" w:eastAsia="宋体" w:cs="宋体"/>
                <w:kern w:val="0"/>
                <w:szCs w:val="21"/>
                <w:shd w:val="clear" w:color="auto" w:fill="FFFFFF"/>
              </w:rPr>
              <w:t>级以上干部均参加了读书班。班子成员每月至少安排</w:t>
            </w:r>
            <w:r>
              <w:rPr>
                <w:rFonts w:ascii="宋体" w:hAnsi="宋体" w:eastAsia="宋体" w:cs="宋体"/>
                <w:kern w:val="0"/>
                <w:szCs w:val="21"/>
                <w:shd w:val="clear" w:color="auto" w:fill="FFFFFF"/>
              </w:rPr>
              <w:t>1天时间开展集中学习，及时跟进学习习近平总书记最新重要讲话精神。根据学习教育安排，围绕“以学铸魂”、“以学增智”、“以学正风”、“以学促干”、“四下基层”、“树立和践行正确政绩观”开展专题研讨和集中学习讨论，切实把学习成效转化为实际行动，达到理论和实践相统一。3名班子成员均结合工作实际上了专题党课。③坚持创新方式学。充分用好红色资源开展党性教育，11月份，组织全体党员干部职工前往新晃县龙溪书院、唐伯赓烈士故居开展清廉文化及红色教育活动，进一步了坚定理想信念，重拾</w:t>
            </w:r>
            <w:r>
              <w:rPr>
                <w:rFonts w:hint="eastAsia" w:ascii="宋体" w:hAnsi="宋体" w:eastAsia="宋体" w:cs="宋体"/>
                <w:kern w:val="0"/>
                <w:szCs w:val="21"/>
                <w:shd w:val="clear" w:color="auto" w:fill="FFFFFF"/>
              </w:rPr>
              <w:t>入党初心。深入开展警示教育，将易鹏飞案件专题警示教育作为开展主题教育的重要内容，扎实开展易鹏飞案“镜鉴”以案促改专项活动，切实增强学习教育的针对性。④深入开展调查研究。大兴调查研究之风，持续深入开展“走基层、找问题、想办法、促发展”活动，坚持问题导向，深入到鹤城区、洪江市、洪江区、麻阳县、中方县、溆浦县、会同县、通道县、新晃县等县直部门、乡镇开展了</w:t>
            </w:r>
            <w:r>
              <w:rPr>
                <w:rFonts w:ascii="宋体" w:hAnsi="宋体" w:eastAsia="宋体" w:cs="宋体"/>
                <w:kern w:val="0"/>
                <w:szCs w:val="21"/>
                <w:shd w:val="clear" w:color="auto" w:fill="FFFFFF"/>
              </w:rPr>
              <w:t>10余次现场调研，共查找办理了38个意见建议，解决率100</w:t>
            </w:r>
            <w:r>
              <w:rPr>
                <w:rFonts w:hint="eastAsia" w:ascii="宋体" w:hAnsi="宋体" w:eastAsia="宋体" w:cs="宋体"/>
                <w:kern w:val="0"/>
                <w:szCs w:val="21"/>
                <w:shd w:val="clear" w:color="auto" w:fill="FFFFFF"/>
              </w:rPr>
              <w:t>%</w:t>
            </w:r>
            <w:r>
              <w:rPr>
                <w:rFonts w:ascii="宋体" w:hAnsi="宋体" w:eastAsia="宋体" w:cs="宋体"/>
                <w:kern w:val="0"/>
                <w:szCs w:val="21"/>
                <w:shd w:val="clear" w:color="auto" w:fill="FFFFFF"/>
              </w:rPr>
              <w:t>。确定正面典型案例1个（传承创新推动专题档案库建设）、反面典型案例1个（检视档案部门安全设施不达标问题</w:t>
            </w:r>
            <w:r>
              <w:rPr>
                <w:rFonts w:hint="eastAsia" w:ascii="宋体" w:hAnsi="宋体" w:eastAsia="宋体" w:cs="宋体"/>
                <w:kern w:val="0"/>
                <w:szCs w:val="21"/>
                <w:shd w:val="clear" w:color="auto" w:fill="FFFFFF"/>
              </w:rPr>
              <w:t>），形成正反典型案例调研报告</w:t>
            </w:r>
            <w:r>
              <w:rPr>
                <w:rFonts w:ascii="宋体" w:hAnsi="宋体" w:eastAsia="宋体" w:cs="宋体"/>
                <w:kern w:val="0"/>
                <w:szCs w:val="21"/>
                <w:shd w:val="clear" w:color="auto" w:fill="FFFFFF"/>
              </w:rPr>
              <w:t>2篇，通过“以点带面”解决一批难点堵点问题，进一步推动调研成果的转化。⑤切实推动干事创业。聚焦群众所需，结合档案工作实际情况，制定了“设立政务信息公开查询点”的民生项目清单，并已完成。认真落实“四下基层”制度，主题教育期间，领导班子成员共开展理论宣讲3人次、下访接访3人次、现场办公3人次，解决群众诉求1个。扎实开展“立足岗位作贡献”活动，结合工作实际，设立了5个党员示范岗、1个党员责任区，组织29名党员开展了承诺践诺，组建了1支党员突击队，16名在职党员到社区服务群众。全体党员积</w:t>
            </w:r>
            <w:r>
              <w:rPr>
                <w:rFonts w:hint="eastAsia" w:ascii="宋体" w:hAnsi="宋体" w:eastAsia="宋体" w:cs="宋体"/>
                <w:kern w:val="0"/>
                <w:szCs w:val="21"/>
                <w:shd w:val="clear" w:color="auto" w:fill="FFFFFF"/>
              </w:rPr>
              <w:t>极参与为群众“谋一策、办一事、解一难”活动，主题教育期间共为群众献策</w:t>
            </w:r>
            <w:r>
              <w:rPr>
                <w:rFonts w:ascii="宋体" w:hAnsi="宋体" w:eastAsia="宋体" w:cs="宋体"/>
                <w:kern w:val="0"/>
                <w:szCs w:val="21"/>
                <w:shd w:val="clear" w:color="auto" w:fill="FFFFFF"/>
              </w:rPr>
              <w:t>3条、为群众办实事23件、为民解难19个。注重发现和挖掘先进典型，用身边事教育身边人，学习了我单位“省部级劳模”刘国宏同志的先进事迹，在馆内形成了学先进、赶先进、当先进的良好风尚。⑥抓实抓细整改整治。聚焦“五个方面”问题，深入检视剖析存在的突出问题，共梳理出2个问题，制定整改措施6条，已全部完成整改。</w:t>
            </w:r>
          </w:p>
          <w:p w14:paraId="733617C7">
            <w:pPr>
              <w:spacing w:line="360" w:lineRule="exact"/>
              <w:rPr>
                <w:rFonts w:ascii="宋体" w:hAnsi="宋体" w:eastAsia="宋体" w:cs="宋体"/>
                <w:kern w:val="0"/>
                <w:szCs w:val="21"/>
                <w:shd w:val="clear" w:color="auto" w:fill="FFFFFF"/>
              </w:rPr>
            </w:pPr>
            <w:r>
              <w:rPr>
                <w:rFonts w:ascii="宋体" w:hAnsi="宋体" w:eastAsia="宋体" w:cs="宋体"/>
                <w:kern w:val="0"/>
                <w:szCs w:val="21"/>
                <w:shd w:val="clear" w:color="auto" w:fill="FFFFFF"/>
              </w:rPr>
              <w:t>(3)坚持民主集中制，自觉维护领导班子团结</w:t>
            </w:r>
            <w:r>
              <w:rPr>
                <w:rFonts w:hint="eastAsia" w:ascii="宋体" w:hAnsi="宋体" w:eastAsia="宋体" w:cs="宋体"/>
                <w:kern w:val="0"/>
                <w:szCs w:val="21"/>
                <w:shd w:val="clear" w:color="auto" w:fill="FFFFFF"/>
              </w:rPr>
              <w:t>，严格落实民主集中制、“三重一大”等决策制度。对重大问题决策、重要干部任免、重大项目投资决策、大额资金使用等，凡属方针政策性的大事，凡属全馆性的问题，馆党组都坚持按照“集体领导、民主集中、个别酝酿、会议决定”的要求，按照党组议事规则由党组集体讨论决定，党务、政务实行规范化、公开化操作，及时向干部职工进行公示，让干部职工有最大限度的知情权、参与权。同时，严格落实“三重一大”报告制度，主动邀请派驻纪检监察组列席会议，自觉接受民主决策监督。今年，在档案业务建设评价工作中，邀请派驻纪检监察组负责同志列席党组会议，研究业务建设评价经费使用情况，确保民主集中制落到实处。</w:t>
            </w:r>
          </w:p>
          <w:p w14:paraId="25DFD122">
            <w:pPr>
              <w:spacing w:line="360" w:lineRule="exact"/>
              <w:rPr>
                <w:rFonts w:ascii="宋体" w:hAnsi="宋体" w:eastAsia="宋体" w:cs="宋体"/>
                <w:kern w:val="0"/>
                <w:szCs w:val="21"/>
                <w:shd w:val="clear" w:color="auto" w:fill="FFFFFF"/>
              </w:rPr>
            </w:pPr>
            <w:r>
              <w:rPr>
                <w:rFonts w:ascii="宋体" w:hAnsi="宋体" w:eastAsia="宋体" w:cs="宋体"/>
                <w:kern w:val="0"/>
                <w:szCs w:val="21"/>
                <w:shd w:val="clear" w:color="auto" w:fill="FFFFFF"/>
              </w:rPr>
              <w:t>(4)坚持正确导向，抓牢意识形态主动权</w:t>
            </w:r>
            <w:r>
              <w:rPr>
                <w:rFonts w:hint="eastAsia" w:ascii="宋体" w:hAnsi="宋体" w:eastAsia="宋体" w:cs="宋体"/>
                <w:kern w:val="0"/>
                <w:szCs w:val="21"/>
                <w:shd w:val="clear" w:color="auto" w:fill="FFFFFF"/>
              </w:rPr>
              <w:t>，严格落实意识形态工作责任制，切实抓好意识形态和网络意识形态工作。①抓好主体责任落实。把意识形态工作作为单位党建工作的重要内容，纳入重要议事日程，纳入党建工作责任制，纳入领导班子述职、民主生活会和干部考察、年度绩效考核的重要内容，与业务工作一同部署、一并检查、一起考核。②定期进行分析研判。党组每季度专题研究和分析研判意识形态、网络意识形态工作，班子成员把意识形态工作作为民主生活会和年度述职的重要内容。③管好守好意识形态阵地。严格执行信息发布“三审制”，上网的信息必须经过审核才能发布，杜绝出现网络舆情。一年来单位没有负面舆论。④及时了解掌握思想动态。开展经常性谈心谈话和思想动态调研分析，及时了解党员干部的思想动态，发现问题及时解决。⑤认真做好其他工作。按时完成了本年度党报党刊及其他重点理论读物征订任务；认真开展好反邪教工作和关心下一代工作。</w:t>
            </w:r>
          </w:p>
          <w:p w14:paraId="366E41EF">
            <w:pPr>
              <w:spacing w:line="360" w:lineRule="exact"/>
              <w:rPr>
                <w:rFonts w:ascii="宋体" w:hAnsi="宋体" w:eastAsia="宋体" w:cs="宋体"/>
                <w:kern w:val="0"/>
                <w:szCs w:val="21"/>
                <w:shd w:val="clear" w:color="auto" w:fill="FFFFFF"/>
              </w:rPr>
            </w:pPr>
            <w:r>
              <w:rPr>
                <w:rFonts w:ascii="宋体" w:hAnsi="宋体" w:eastAsia="宋体" w:cs="宋体"/>
                <w:kern w:val="0"/>
                <w:szCs w:val="21"/>
                <w:shd w:val="clear" w:color="auto" w:fill="FFFFFF"/>
              </w:rPr>
              <w:t>2.完整、准确、全面贯彻新发展理念，不断推动高质量发展</w:t>
            </w:r>
            <w:r>
              <w:rPr>
                <w:rFonts w:hint="eastAsia" w:ascii="宋体" w:hAnsi="宋体" w:eastAsia="宋体" w:cs="宋体"/>
                <w:kern w:val="0"/>
                <w:szCs w:val="21"/>
                <w:shd w:val="clear" w:color="auto" w:fill="FFFFFF"/>
              </w:rPr>
              <w:t>。</w:t>
            </w:r>
          </w:p>
          <w:p w14:paraId="00063805">
            <w:pPr>
              <w:spacing w:line="360" w:lineRule="exact"/>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w:t>
            </w:r>
            <w:r>
              <w:rPr>
                <w:rFonts w:ascii="宋体" w:hAnsi="宋体" w:eastAsia="宋体" w:cs="宋体"/>
                <w:kern w:val="0"/>
                <w:szCs w:val="21"/>
                <w:shd w:val="clear" w:color="auto" w:fill="FFFFFF"/>
              </w:rPr>
              <w:t>1）深入贯彻落实习近平总书记对档案工作的重要指示批示精神，助力档案工作取得新成效</w:t>
            </w:r>
            <w:r>
              <w:rPr>
                <w:rFonts w:hint="eastAsia" w:ascii="宋体" w:hAnsi="宋体" w:eastAsia="宋体" w:cs="宋体"/>
                <w:kern w:val="0"/>
                <w:szCs w:val="21"/>
                <w:shd w:val="clear" w:color="auto" w:fill="FFFFFF"/>
              </w:rPr>
              <w:t>。①坚持扩容提质，不断强化档案资源建设。切实加强档案接收和征集工作，全面记录和留存新时代党领导人民推进实现中华民族伟大复兴的奋斗历史的新变化、新发展、新成就，做到应归尽归，不断优化馆藏结构，丰富馆藏资源。一是大力推进档案接收工作。今年共接收到市委组织部、市林业馆等</w:t>
            </w:r>
            <w:r>
              <w:rPr>
                <w:rFonts w:ascii="宋体" w:hAnsi="宋体" w:eastAsia="宋体" w:cs="宋体"/>
                <w:kern w:val="0"/>
                <w:szCs w:val="21"/>
                <w:shd w:val="clear" w:color="auto" w:fill="FFFFFF"/>
              </w:rPr>
              <w:t>8个单位的档案1012卷17735件。其中，接收到儿童福利机构业务档案219卷、疫情防控专门档案5794件、死亡干部档案229卷，进一步拓宽了档案门类，优化了馆藏档案结构。同时，为确保国有资产档案的安全，多次上门对华峰电子厂、安江纱厂改制档案规范化进</w:t>
            </w:r>
            <w:r>
              <w:rPr>
                <w:rFonts w:hint="eastAsia" w:ascii="宋体" w:hAnsi="宋体" w:eastAsia="宋体" w:cs="宋体"/>
                <w:kern w:val="0"/>
                <w:szCs w:val="21"/>
                <w:shd w:val="clear" w:color="auto" w:fill="FFFFFF"/>
              </w:rPr>
              <w:t>行指导，督促其尽快移交进馆。二是努力加强档案征集。今年以来，征集到省文联原副主席向本贵文学作品集</w:t>
            </w:r>
            <w:r>
              <w:rPr>
                <w:rFonts w:ascii="宋体" w:hAnsi="宋体" w:eastAsia="宋体" w:cs="宋体"/>
                <w:kern w:val="0"/>
                <w:szCs w:val="21"/>
                <w:shd w:val="clear" w:color="auto" w:fill="FFFFFF"/>
              </w:rPr>
              <w:t>2套共16册，向本贵评论及历年作品发表刊物102册，《怀化学院学报》、《湖湘档案图典》等各类图书229册，《满朝荐自作实录》等数字化版及影印件2卷，古籍孤本《潕水集》数字化版及影印件1卷，目莲戏数字化唱段149段共2813分钟，首届怀化市旅发大会、怀化市首届艺术节、市第六届少数民族运动会、怀化市体育赛事文件1056份、电子照片1391张、书法书画作品电子版102幅、摄影作品713幅，艺术节、旅发大会、民族团结示范</w:t>
            </w:r>
            <w:r>
              <w:rPr>
                <w:rFonts w:hint="eastAsia" w:ascii="宋体" w:hAnsi="宋体" w:eastAsia="宋体" w:cs="宋体"/>
                <w:kern w:val="0"/>
                <w:szCs w:val="21"/>
                <w:shd w:val="clear" w:color="auto" w:fill="FFFFFF"/>
              </w:rPr>
              <w:t>市创建的《怀化一个怀景怀乡怀味的地方》《一粒种子改变世界</w:t>
            </w:r>
            <w:r>
              <w:rPr>
                <w:rFonts w:ascii="宋体" w:hAnsi="宋体" w:eastAsia="宋体" w:cs="宋体"/>
                <w:kern w:val="0"/>
                <w:szCs w:val="21"/>
                <w:shd w:val="clear" w:color="auto" w:fill="FFFFFF"/>
              </w:rPr>
              <w:t>-中国怀化》和《石榴红了》等宣传片及赛事视频60段共1134分钟，潕水剪纸非遗作品7件、黔阳竹编非遗作品15件、首届经博会伴手礼“怀小稻”“陆小港” 雕塑作品4件、疫情防控奖章及证书2件、市少数民族运动会吉祥物及奖牌等13件，怀化市各县府志数字化版37部799卷。</w:t>
            </w:r>
            <w:r>
              <w:rPr>
                <w:rFonts w:hint="eastAsia" w:ascii="宋体" w:hAnsi="宋体" w:eastAsia="宋体" w:cs="宋体"/>
                <w:kern w:val="0"/>
                <w:szCs w:val="21"/>
                <w:shd w:val="clear" w:color="auto" w:fill="FFFFFF"/>
              </w:rPr>
              <w:t>②坚持“两个服务”宗旨，不断深化档案开发利用。贯彻新理念，不断强化服务，推进转型升级，稳步推进档案利用服务体系建设。一是大力提升服务质量，及时帮助群众解难消困。结合“立足岗位作贡献”活动，聚焦查档群众对档案工作的急难愁盼问题，高效推出函电查询、网络查询、工作日延时查询、节假日预约查询、跨馆代查代邮等便民查档利用举措，与省档案馆、各县市区档案馆签订了《民生档案跨馆利用协议》，进一步提升档案工作服务民生的质量和水平。全年共接待查阅利用档案</w:t>
            </w:r>
            <w:r>
              <w:rPr>
                <w:rFonts w:ascii="宋体" w:hAnsi="宋体" w:eastAsia="宋体" w:cs="宋体"/>
                <w:kern w:val="0"/>
                <w:szCs w:val="21"/>
                <w:shd w:val="clear" w:color="auto" w:fill="FFFFFF"/>
              </w:rPr>
              <w:t>2683人次，利用档案8104卷9237件，复制档案17850页。接待查阅</w:t>
            </w:r>
            <w:r>
              <w:rPr>
                <w:rFonts w:hint="eastAsia" w:ascii="宋体" w:hAnsi="宋体" w:eastAsia="宋体" w:cs="宋体"/>
                <w:kern w:val="0"/>
                <w:szCs w:val="21"/>
                <w:shd w:val="clear" w:color="auto" w:fill="FFFFFF"/>
              </w:rPr>
              <w:t>利用档案资料</w:t>
            </w:r>
            <w:r>
              <w:rPr>
                <w:rFonts w:ascii="宋体" w:hAnsi="宋体" w:eastAsia="宋体" w:cs="宋体"/>
                <w:kern w:val="0"/>
                <w:szCs w:val="21"/>
                <w:shd w:val="clear" w:color="auto" w:fill="FFFFFF"/>
              </w:rPr>
              <w:t>352人次，利用档案资料547册，复制资料683页。收到了查阅利用者专门写的感谢信两封。省档案馆业务评价建设专家组根据查阅利用服务情况记录进行随机回访，服务对象满意度达100</w:t>
            </w:r>
            <w:r>
              <w:rPr>
                <w:rFonts w:hint="eastAsia" w:ascii="宋体" w:hAnsi="宋体" w:eastAsia="宋体" w:cs="宋体"/>
                <w:kern w:val="0"/>
                <w:szCs w:val="21"/>
                <w:shd w:val="clear" w:color="auto" w:fill="FFFFFF"/>
              </w:rPr>
              <w:t>%</w:t>
            </w:r>
            <w:r>
              <w:rPr>
                <w:rFonts w:ascii="宋体" w:hAnsi="宋体" w:eastAsia="宋体" w:cs="宋体"/>
                <w:kern w:val="0"/>
                <w:szCs w:val="21"/>
                <w:shd w:val="clear" w:color="auto" w:fill="FFFFFF"/>
              </w:rPr>
              <w:t>。二是深入挖掘资源，编研档案文化产品展示怀化风貌。收录全市各县市区、高校、部分市直单位档案利用典型实例共174篇，编著《怀化市档案利用效果实例汇编》，推动了各档案馆、档案员磨炼编写利用实例的基本功，记录服务群众服务中心的工作，展示了怀化档案人扎根岗位做奉献的精神风貌。三是用好用活档案资源，弘扬传统文化。组织筹划了“6·9”</w:t>
            </w:r>
            <w:r>
              <w:rPr>
                <w:rFonts w:hint="eastAsia" w:ascii="宋体" w:hAnsi="宋体" w:eastAsia="宋体" w:cs="宋体"/>
                <w:kern w:val="0"/>
                <w:szCs w:val="21"/>
                <w:shd w:val="clear" w:color="auto" w:fill="FFFFFF"/>
              </w:rPr>
              <w:t>国际档案日系列活动，邀请潕水剪纸非遗传承人到馆开展剪纸非遗体验活动，精选</w:t>
            </w:r>
            <w:r>
              <w:rPr>
                <w:rFonts w:ascii="宋体" w:hAnsi="宋体" w:eastAsia="宋体" w:cs="宋体"/>
                <w:kern w:val="0"/>
                <w:szCs w:val="21"/>
                <w:shd w:val="clear" w:color="auto" w:fill="FFFFFF"/>
              </w:rPr>
              <w:t>119幅我市非物质文化遗产图片，进行了《拾掇档案珍珠弘扬传统文化图片展》“6·9”国际档案日图片展，300余名学生、机关干部职工观展，亲身体验了非遗传承潕水剪纸的制作，在湖南日报客服端、怀化电视台新闻联播、怀化日报及怀化日报抖音视频进行了宣传刊载，用档案展示了我市非物质文化遗产传统文化的魅力。四是用心开展档案鉴定，提供更多可利用档案资源服务。组织全馆干部职工克服困难，完成了对馆藏1975-1997年206个全宗共计59803卷、836件</w:t>
            </w:r>
            <w:r>
              <w:rPr>
                <w:rFonts w:hint="eastAsia" w:ascii="宋体" w:hAnsi="宋体" w:eastAsia="宋体" w:cs="宋体"/>
                <w:kern w:val="0"/>
                <w:szCs w:val="21"/>
                <w:shd w:val="clear" w:color="auto" w:fill="FFFFFF"/>
              </w:rPr>
              <w:t>到期文书档案的开放鉴定工作，扩大了对外开放档案数量，方便了公众查阅利用。五是拓展服务渠道，全面提升档案利用服务能级。在一楼设置有专门的政府公开信息查阅场所，配备</w:t>
            </w:r>
            <w:r>
              <w:rPr>
                <w:rFonts w:ascii="宋体" w:hAnsi="宋体" w:eastAsia="宋体" w:cs="宋体"/>
                <w:kern w:val="0"/>
                <w:szCs w:val="21"/>
                <w:shd w:val="clear" w:color="auto" w:fill="FFFFFF"/>
              </w:rPr>
              <w:t>1台大触摸屏，与软件公司合作开发了专门的政府信息公开网页,涵盖自2013年以来的政府公开文件；编制了各部门送交的政府公开信息目录，有专门档案柜摆放近几年的《国务院公报》、《湖南省人民政府公报》、《怀化市人民政府公报》，供利用者查阅。</w:t>
            </w:r>
            <w:r>
              <w:rPr>
                <w:rFonts w:hint="eastAsia" w:ascii="宋体" w:hAnsi="宋体" w:eastAsia="宋体" w:cs="宋体"/>
                <w:kern w:val="0"/>
                <w:szCs w:val="21"/>
                <w:shd w:val="clear" w:color="auto" w:fill="FFFFFF"/>
              </w:rPr>
              <w:t>③坚持稳步推进，不断提升档案信息化水平。加快推进档案信息化，不断加强基础设施建设、档案数据库建设等，提高档案标准化、规范化水平。进一步完善馆藏档案数据库。完善了“重大活动”和“突发事件”两个专题目录数据库；接收了</w:t>
            </w:r>
            <w:r>
              <w:rPr>
                <w:rFonts w:ascii="宋体" w:hAnsi="宋体" w:eastAsia="宋体" w:cs="宋体"/>
                <w:kern w:val="0"/>
                <w:szCs w:val="21"/>
                <w:shd w:val="clear" w:color="auto" w:fill="FFFFFF"/>
              </w:rPr>
              <w:t>25个市直单位的精准扶贫档案和疫情防控档案原文电子版，建立了两类档案的文件级数据库；新建了照片档案、视频档案、实物档案数据库，共录入照片档案394张，视频档案39条，实物档案17条；接收到市林业馆、市水利馆、市疫情防疫指挥部、团市委、市科技馆、市卫健委等单位电子档案11896件、23.4GB。</w:t>
            </w:r>
          </w:p>
          <w:p w14:paraId="0F9E99B7">
            <w:pPr>
              <w:spacing w:line="360" w:lineRule="exact"/>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w:t>
            </w:r>
            <w:r>
              <w:rPr>
                <w:rFonts w:ascii="宋体" w:hAnsi="宋体" w:eastAsia="宋体" w:cs="宋体"/>
                <w:kern w:val="0"/>
                <w:szCs w:val="21"/>
                <w:shd w:val="clear" w:color="auto" w:fill="FFFFFF"/>
              </w:rPr>
              <w:t>2）乡村振兴工作成效明显。认真贯彻落实巩固拓展脱贫攻坚成果同乡村振兴有效衔接相关要求。①进一步明确帮扶责任。明确了党组书记、馆长为驻村帮扶第一负责人、一名班子成员分管驻村帮扶和结对帮扶工作，选派办公室副主任、三级主任科员梁贤文同志担任工作队队长。②积极出谋划策。党组专题研究制定年度驻村帮扶工作计划及帮扶经费，先后3次牵头召开联席会议为乡村发展出谋划策，从单位工作经费中解决帮扶工作经费和项目经费7万元。③驻村帮扶扎实有力。工作队坚持党建引领，不断强化队伍建设，开展全员大走访，收集民情民意，用心用情用力为民办</w:t>
            </w:r>
            <w:r>
              <w:rPr>
                <w:rFonts w:hint="eastAsia" w:ascii="宋体" w:hAnsi="宋体" w:eastAsia="宋体" w:cs="宋体"/>
                <w:kern w:val="0"/>
                <w:szCs w:val="21"/>
                <w:shd w:val="clear" w:color="auto" w:fill="FFFFFF"/>
              </w:rPr>
              <w:t>实事，协调筹集</w:t>
            </w:r>
            <w:r>
              <w:rPr>
                <w:rFonts w:ascii="宋体" w:hAnsi="宋体" w:eastAsia="宋体" w:cs="宋体"/>
                <w:kern w:val="0"/>
                <w:szCs w:val="21"/>
                <w:shd w:val="clear" w:color="auto" w:fill="FFFFFF"/>
              </w:rPr>
              <w:t>150余万元资金，用于道路硬化、院落平整、水库（山塘）维修，解决村民用水困难的问题，切实增强了群众的获得感、幸福感。</w:t>
            </w:r>
          </w:p>
          <w:p w14:paraId="5FC0D65D">
            <w:pPr>
              <w:spacing w:line="360" w:lineRule="exact"/>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w:t>
            </w:r>
            <w:r>
              <w:rPr>
                <w:rFonts w:ascii="宋体" w:hAnsi="宋体" w:eastAsia="宋体" w:cs="宋体"/>
                <w:kern w:val="0"/>
                <w:szCs w:val="21"/>
                <w:shd w:val="clear" w:color="auto" w:fill="FFFFFF"/>
              </w:rPr>
              <w:t>3）以安全为重点，坚决防范化解重大风险。我单位始终坚持把平安创建和综合治理维稳、消防、安全生产的各项措施真正落到实处，切实开展各项工作。一年来，我单位无失泄密事件、无刑事案件、重大治安案件和火灾事故发生，无因单位职工责任引发的群体性事件，没有发生一起群体性上访事件，全馆治安环境稳定、公共秩序良好。</w:t>
            </w:r>
            <w:r>
              <w:rPr>
                <w:rFonts w:hint="eastAsia" w:ascii="宋体" w:hAnsi="宋体" w:eastAsia="宋体" w:cs="宋体"/>
                <w:kern w:val="0"/>
                <w:szCs w:val="21"/>
                <w:shd w:val="clear" w:color="auto" w:fill="FFFFFF"/>
              </w:rPr>
              <w:t>①不断筑牢档案安全底线。把档案安全作为档案工作的底线和生命线，压实安全责任，确保档案绝对安全，万无一失。一是改善档案保管保护条件。以综合档案馆业务建设评价工作为契机，按照《档案馆建设标准》和档案安全管理业务规范、技术标准，加大保障力度，争取到市财政经费</w:t>
            </w:r>
            <w:r>
              <w:rPr>
                <w:rFonts w:ascii="宋体" w:hAnsi="宋体" w:eastAsia="宋体" w:cs="宋体"/>
                <w:kern w:val="0"/>
                <w:szCs w:val="21"/>
                <w:shd w:val="clear" w:color="auto" w:fill="FFFFFF"/>
              </w:rPr>
              <w:t>48万余元，进一步提升馆库安全等级。库房安装了门禁、风管送风式中央空调4台、除湿机6台，业务技术用房和对外服务用房安装了监控、防盗窗及防盗门；对机房和电子档案数字化室进行了改造，铺设了静电地板，配置了温湿度自控仪，新增了3扇防盗门、2套门禁系统、3台除湿机、2</w:t>
            </w:r>
            <w:r>
              <w:rPr>
                <w:rFonts w:hint="eastAsia" w:ascii="宋体" w:hAnsi="宋体" w:eastAsia="宋体" w:cs="宋体"/>
                <w:kern w:val="0"/>
                <w:szCs w:val="21"/>
                <w:shd w:val="clear" w:color="auto" w:fill="FFFFFF"/>
              </w:rPr>
              <w:t>组档案架以及</w:t>
            </w:r>
            <w:r>
              <w:rPr>
                <w:rFonts w:ascii="宋体" w:hAnsi="宋体" w:eastAsia="宋体" w:cs="宋体"/>
                <w:kern w:val="0"/>
                <w:szCs w:val="21"/>
                <w:shd w:val="clear" w:color="auto" w:fill="FFFFFF"/>
              </w:rPr>
              <w:t>1组存包柜。二是加强安全培训及检查。馆党组高度重视档案安全，每季度专题研究部署安全工作，每年组织全馆干部职工开展线上线下消防培训并组织应急演练。坚持库房巡查制度，极端天气和节假日前领导带头对库房进行重点巡检，针对漏雨、渗水、消防等问题及时发现和解决，确保档案的保管安全。</w:t>
            </w:r>
            <w:r>
              <w:rPr>
                <w:rFonts w:hint="eastAsia" w:ascii="宋体" w:hAnsi="宋体" w:eastAsia="宋体" w:cs="宋体"/>
                <w:kern w:val="0"/>
                <w:szCs w:val="21"/>
                <w:shd w:val="clear" w:color="auto" w:fill="FFFFFF"/>
              </w:rPr>
              <w:t>②积极推进平安建设工作。一是健全组织机构。馆党组高度重视，始终将这项工作放在重要位置，研究制定了平安创建暨安全维稳工作方案，做到年度有安排部署、有专人负责、有办事机构、有安全检查，切实使安全隐患得到了及时排除。同时，将平安创建和社会治安综合治理工作纳入各部室年度工作目标考核。二是增强责任意识。馆领导逢会必讲安全，经常在全馆干职工会议上强调综治和维稳工作的重要性，每个季度召开一次形势分析会，每月馆主要领导在工作调度会上对综治工作及平安创建进行点评，让每一位干部职工进一步增强责任意识、安全意识。一年来，我单位无失泄密事件、无刑事案件、重大治安案件和火灾事故发生，无因单位职工责任引发的群体性闹事，没有发生一起群体性上访事件。③不断强化风险防控。一是严格落实防范化解涉众非法经营风险工作。加强涉众金融风险日常监管、隐患排查、防范化解，今年以来，没有发生非法金融活动及群体性事件，没有发生违规举债、虚假化债等债务风险事件和债务舆情事件。二是有效利用民生档案，为群众解除难题，使社会矛盾化解在萌芽状态，发挥了档案在维护社会稳定、构建和谐社会中的重要作用。④强化保密意识，筑牢保密工作防线。成立保密工作领导小组，强化对保密工作的领导，确保保密工作机构健全；严格遵守保密法律法规，不断完善各项保密规章制度；加强宣传教育，提高全馆人员的保密意识；加强督促检查，定期开展保密自查自评，及时排查安全问题隐患。今年以来，没有发生失泄密事件。（</w:t>
            </w:r>
            <w:r>
              <w:rPr>
                <w:rFonts w:ascii="宋体" w:hAnsi="宋体" w:eastAsia="宋体" w:cs="宋体"/>
                <w:kern w:val="0"/>
                <w:szCs w:val="21"/>
                <w:shd w:val="clear" w:color="auto" w:fill="FFFFFF"/>
              </w:rPr>
              <w:t>4）铸牢中华民族共同体意识，做好统战民族宗教工作。馆党组高度重视统战民族宗教工作，馆党组理论学习中心组专题学习民族团结思想工作并开展研讨交流；民族团结进步创建问卷调查与知识答题全馆干部职工全面覆盖；参观新晃县博物馆民族团结示范展厅，进一步增强干部职工民族团结意识；利用馆内LED电子显示屏与大厅触摸屏进行民族团结标语及视频宣传，在宣传栏张贴民族团结海报，进一步营造了浓厚氛围。</w:t>
            </w:r>
          </w:p>
          <w:p w14:paraId="50A0F773">
            <w:pPr>
              <w:spacing w:line="360" w:lineRule="exact"/>
              <w:rPr>
                <w:rFonts w:ascii="宋体" w:hAnsi="宋体" w:eastAsia="宋体" w:cs="宋体"/>
                <w:kern w:val="0"/>
                <w:szCs w:val="21"/>
                <w:shd w:val="clear" w:color="auto" w:fill="FFFFFF"/>
              </w:rPr>
            </w:pPr>
            <w:r>
              <w:rPr>
                <w:rFonts w:ascii="宋体" w:hAnsi="宋体" w:eastAsia="宋体" w:cs="宋体"/>
                <w:kern w:val="0"/>
                <w:szCs w:val="21"/>
                <w:shd w:val="clear" w:color="auto" w:fill="FFFFFF"/>
              </w:rPr>
              <w:t>3.提高制度执行力和治理能力，不断把制度优势转化为治理优势</w:t>
            </w:r>
            <w:r>
              <w:rPr>
                <w:rFonts w:hint="eastAsia" w:ascii="宋体" w:hAnsi="宋体" w:eastAsia="宋体" w:cs="宋体"/>
                <w:kern w:val="0"/>
                <w:szCs w:val="21"/>
                <w:shd w:val="clear" w:color="auto" w:fill="FFFFFF"/>
              </w:rPr>
              <w:t>。（</w:t>
            </w:r>
            <w:r>
              <w:rPr>
                <w:rFonts w:ascii="宋体" w:hAnsi="宋体" w:eastAsia="宋体" w:cs="宋体"/>
                <w:kern w:val="0"/>
                <w:szCs w:val="21"/>
                <w:shd w:val="clear" w:color="auto" w:fill="FFFFFF"/>
              </w:rPr>
              <w:t>1）以制度建设为抓手，实现内部管理精细化。为全面加强档案管理工作水平，提升全馆干部职工对制度规范的认识，夯实内部管理基础，今年以来，我单位对《怀化市档案馆规章制度汇编》(以下简称《汇编》)进行了全面修订，新增了《怀化市档案馆因私出国（境）管理办法》，进一步完善了《怀化市档案馆党组会动议制度》、《市档案馆党组理论学习中心组学习制度》、《怀化市档案馆政府采购内部控制管理制度》、《怀化市档案馆修复工作技术流程》、《怀化市档案馆关于翻拍档案的有关规定》、《怀化市档案馆缩微工作制度》、《怀化市档案馆电子档案移交与接</w:t>
            </w:r>
            <w:r>
              <w:rPr>
                <w:rFonts w:hint="eastAsia" w:ascii="宋体" w:hAnsi="宋体" w:eastAsia="宋体" w:cs="宋体"/>
                <w:kern w:val="0"/>
                <w:szCs w:val="21"/>
                <w:shd w:val="clear" w:color="auto" w:fill="FFFFFF"/>
              </w:rPr>
              <w:t>收制度》等，形成以制度管权、管编、管事、管人，补短板、堵漏洞、固根本的工作格馆，实现各项工作有章可循，努力提高档案工作科学化、规范化、法治化水平。</w:t>
            </w:r>
          </w:p>
          <w:p w14:paraId="1A98D16F">
            <w:pPr>
              <w:spacing w:line="360" w:lineRule="exact"/>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w:t>
            </w:r>
            <w:r>
              <w:rPr>
                <w:rFonts w:ascii="宋体" w:hAnsi="宋体" w:eastAsia="宋体" w:cs="宋体"/>
                <w:kern w:val="0"/>
                <w:szCs w:val="21"/>
                <w:shd w:val="clear" w:color="auto" w:fill="FFFFFF"/>
              </w:rPr>
              <w:t>2）强化对党员领导干部和行使公权力人员监督。①根据监察对象信息更新要求，及时对单位信息、监察对象信息进行更新，确保监察对象信息录入系统不漏一人，并保持常态化更新。②严格落实“互联网+监督”平台数据更新。根据人员调整，对“互联网+监督”平台用户账号信息进行了变更；严把公务接待关口，充分发挥“互联网＋监督”平台作用，按照“不公开不报销、要报销必公开”要求，在规定时间内将怀化市档案馆的公务用餐事项相关信息在同级“互联网＋监督”平台内部门户网站公开，自觉接受监督检查。③建立健全权力运行机制。对馆内各部室、重点岗位</w:t>
            </w:r>
            <w:r>
              <w:rPr>
                <w:rFonts w:hint="eastAsia" w:ascii="宋体" w:hAnsi="宋体" w:eastAsia="宋体" w:cs="宋体"/>
                <w:kern w:val="0"/>
                <w:szCs w:val="21"/>
                <w:shd w:val="clear" w:color="auto" w:fill="FFFFFF"/>
              </w:rPr>
              <w:t>、重点人员实行分级分类管控，权力运行责任清单做到公开公示。④加强机关作风监督，依照《怀化市档案馆考勤管理办法》把工作纪律、工作作风、服务态度、履职尽责、服务承诺等情况纳入干部职工平时考核和年终考核内容，作为评先评优重要依据。</w:t>
            </w:r>
          </w:p>
          <w:p w14:paraId="5858E260">
            <w:pPr>
              <w:spacing w:line="360" w:lineRule="exact"/>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w:t>
            </w:r>
            <w:r>
              <w:rPr>
                <w:rFonts w:ascii="宋体" w:hAnsi="宋体" w:eastAsia="宋体" w:cs="宋体"/>
                <w:kern w:val="0"/>
                <w:szCs w:val="21"/>
                <w:shd w:val="clear" w:color="auto" w:fill="FFFFFF"/>
              </w:rPr>
              <w:t>3）加强法治宣传，提高法治素养。始终在学习培训、强基固本上下功夫。①不断强化干部职工法治观念。充分利用每月的集中学习和相关行政会议时机，认真组织全体党员干部学习有关法律、法规。今年，馆党组理论学习中心组开展了一次以习近平法治思想为主题的集中学习，进一步增强了干部职工的法治意识。②普及和宣传法治知识。今年，以“6·9”国际档案日为平台，通过横幅、开放档案馆等形式开展了以“奋进新征程  兰台谱新篇”为主题的非遗文化图片展以及新修订《档案法》的系列宣传活动，1000多名市民前来观展，发放《中华人民共和国档案法》</w:t>
            </w:r>
            <w:r>
              <w:rPr>
                <w:rFonts w:hint="eastAsia" w:ascii="宋体" w:hAnsi="宋体" w:eastAsia="宋体" w:cs="宋体"/>
                <w:kern w:val="0"/>
                <w:szCs w:val="21"/>
                <w:shd w:val="clear" w:color="auto" w:fill="FFFFFF"/>
              </w:rPr>
              <w:t>《档案法律法规知识》等宣传资料</w:t>
            </w:r>
            <w:r>
              <w:rPr>
                <w:rFonts w:ascii="宋体" w:hAnsi="宋体" w:eastAsia="宋体" w:cs="宋体"/>
                <w:kern w:val="0"/>
                <w:szCs w:val="21"/>
                <w:shd w:val="clear" w:color="auto" w:fill="FFFFFF"/>
              </w:rPr>
              <w:t>600多份，接受市民群众咨询90人(次)，受到广大市民一致好评，提高了社会、公民的档案法律意识。③组织全馆干部职工开展普法学习，全员普法学习均达到规定学时，普法考试合格率达100</w:t>
            </w:r>
            <w:r>
              <w:rPr>
                <w:rFonts w:hint="eastAsia" w:ascii="宋体" w:hAnsi="宋体" w:eastAsia="宋体" w:cs="宋体"/>
                <w:kern w:val="0"/>
                <w:szCs w:val="21"/>
                <w:shd w:val="clear" w:color="auto" w:fill="FFFFFF"/>
              </w:rPr>
              <w:t>%</w:t>
            </w:r>
            <w:r>
              <w:rPr>
                <w:rFonts w:ascii="宋体" w:hAnsi="宋体" w:eastAsia="宋体" w:cs="宋体"/>
                <w:kern w:val="0"/>
                <w:szCs w:val="21"/>
                <w:shd w:val="clear" w:color="auto" w:fill="FFFFFF"/>
              </w:rPr>
              <w:t>。</w:t>
            </w:r>
          </w:p>
          <w:p w14:paraId="3AE2DD41">
            <w:pPr>
              <w:spacing w:line="360" w:lineRule="exact"/>
              <w:rPr>
                <w:rFonts w:ascii="宋体" w:hAnsi="宋体" w:eastAsia="宋体" w:cs="宋体"/>
                <w:kern w:val="0"/>
                <w:szCs w:val="21"/>
                <w:shd w:val="clear" w:color="auto" w:fill="FFFFFF"/>
              </w:rPr>
            </w:pPr>
            <w:r>
              <w:rPr>
                <w:rFonts w:ascii="宋体" w:hAnsi="宋体" w:eastAsia="宋体" w:cs="宋体"/>
                <w:kern w:val="0"/>
                <w:szCs w:val="21"/>
                <w:shd w:val="clear" w:color="auto" w:fill="FFFFFF"/>
              </w:rPr>
              <w:t>4.严格履行全面从严治党主体责任和“一岗双责”，扎实推进党风廉政建设</w:t>
            </w:r>
            <w:r>
              <w:rPr>
                <w:rFonts w:hint="eastAsia" w:ascii="宋体" w:hAnsi="宋体" w:eastAsia="宋体" w:cs="宋体"/>
                <w:kern w:val="0"/>
                <w:szCs w:val="21"/>
                <w:shd w:val="clear" w:color="auto" w:fill="FFFFFF"/>
              </w:rPr>
              <w:t>。（</w:t>
            </w:r>
            <w:r>
              <w:rPr>
                <w:rFonts w:ascii="宋体" w:hAnsi="宋体" w:eastAsia="宋体" w:cs="宋体"/>
                <w:kern w:val="0"/>
                <w:szCs w:val="21"/>
                <w:shd w:val="clear" w:color="auto" w:fill="FFFFFF"/>
              </w:rPr>
              <w:t>1）认真履行全面从严治党主体责任。馆党组始终坚持把抓全面从严治党作为应尽之责、分内之事，坚持把全面从严治党与业务工作同安排、同落实、同检查、同考核，不断推动“一岗双责”落到实处。严格落实好党风廉政建设主体责任，支持纪检监察机关履行监督责任，全年专题研究党风廉政建设和反腐败工作4次。切实加强党的纪律建设，开展经常性教育，特别是党章党规和党性党风党纪教育，加强廉政文化建设，在全馆营造全面从严治党良好氛围。</w:t>
            </w:r>
            <w:r>
              <w:rPr>
                <w:rFonts w:hint="eastAsia" w:ascii="宋体" w:hAnsi="宋体" w:eastAsia="宋体" w:cs="宋体"/>
                <w:kern w:val="0"/>
                <w:szCs w:val="21"/>
                <w:shd w:val="clear" w:color="auto" w:fill="FFFFFF"/>
              </w:rPr>
              <w:t>（</w:t>
            </w:r>
            <w:r>
              <w:rPr>
                <w:rFonts w:ascii="宋体" w:hAnsi="宋体" w:eastAsia="宋体" w:cs="宋体"/>
                <w:kern w:val="0"/>
                <w:szCs w:val="21"/>
                <w:shd w:val="clear" w:color="auto" w:fill="FFFFFF"/>
              </w:rPr>
              <w:t>2）持续抓好干部廉政教育。始终坚持作风建设永远在路上，深入贯彻落实中央八项规定精神及其实施细则，持之以恒反对“四风”，及时传达学习上级文件会议精神和典型案例通报，抓好警示教育和以案促改。今年以来，共组织全馆干部职工学习了102起省、市纪委通报的典型案例；在领导干部利用职权为亲友牟利专项整治、“两带头五整治”纠风防腐专项行动、领导干部子女请托办事问题整治等专项行动中认真开展自查自纠，切实筑牢拒腐防变思想防线，做到警钟长鸣。今年来，我单位无一人存在违纪违法现象。</w:t>
            </w:r>
            <w:r>
              <w:rPr>
                <w:rFonts w:hint="eastAsia" w:ascii="宋体" w:hAnsi="宋体" w:eastAsia="宋体" w:cs="宋体"/>
                <w:kern w:val="0"/>
                <w:szCs w:val="21"/>
                <w:shd w:val="clear" w:color="auto" w:fill="FFFFFF"/>
              </w:rPr>
              <w:t>（</w:t>
            </w:r>
            <w:r>
              <w:rPr>
                <w:rFonts w:ascii="宋体" w:hAnsi="宋体" w:eastAsia="宋体" w:cs="宋体"/>
                <w:kern w:val="0"/>
                <w:szCs w:val="21"/>
                <w:shd w:val="clear" w:color="auto" w:fill="FFFFFF"/>
              </w:rPr>
              <w:t>3）持续优化机关作风。常态化开展“三整顿两提升”干部作风建设专项活动，制定了《怀化市档案馆常态化开展“三整顿两提升”干部作风建设实施方案》，下发了《怀化市档案馆关于建立“亲清”履职关系清单推进清廉机关建设的意见（试行）》，进一步“转作风、优环境、促发展、做表率”，切实干部作风建设与推进年度目标任务结合起来，教育引导广大党员干部奋发图强、争先进位，为服务加快建设现代化新怀化、推进档案事业新发展，提供坚强的作风保障。</w:t>
            </w:r>
            <w:r>
              <w:rPr>
                <w:rFonts w:hint="eastAsia" w:ascii="宋体" w:hAnsi="宋体" w:eastAsia="宋体" w:cs="宋体"/>
                <w:kern w:val="0"/>
                <w:szCs w:val="21"/>
                <w:shd w:val="clear" w:color="auto" w:fill="FFFFFF"/>
              </w:rPr>
              <w:t>（</w:t>
            </w:r>
            <w:r>
              <w:rPr>
                <w:rFonts w:ascii="宋体" w:hAnsi="宋体" w:eastAsia="宋体" w:cs="宋体"/>
                <w:kern w:val="0"/>
                <w:szCs w:val="21"/>
                <w:shd w:val="clear" w:color="auto" w:fill="FFFFFF"/>
              </w:rPr>
              <w:t>4）扎实抓好清廉机关创建工作。①营造浓厚清廉氛围。在馆大厅LED电子显示屏上滚动播放清廉文化创建工作标语，在大型触摸屏上反复播放廉洁教育片，大厅及楼道新增24块清廉知识展板，廉政文化阵地建设得以进一步完善。②加强干部廉政教育。组织全馆党员干部职工签订廉洁家庭承诺书16份，建立科级及以下党员干部廉政档案13份；通过馆党组理论学习组（扩大）学习和党支部学习，观看《忠诚与背叛—2022湖南反腐警示录》、《正风反腐在身边》（共4集）等警示教育片；馆党组书记上了2堂廉政党课，支部书记上了1堂廉政党课。③丰富清廉活动</w:t>
            </w:r>
            <w:r>
              <w:rPr>
                <w:rFonts w:hint="eastAsia" w:ascii="宋体" w:hAnsi="宋体" w:eastAsia="宋体" w:cs="宋体"/>
                <w:kern w:val="0"/>
                <w:szCs w:val="21"/>
                <w:shd w:val="clear" w:color="auto" w:fill="FFFFFF"/>
              </w:rPr>
              <w:t>。</w:t>
            </w:r>
            <w:r>
              <w:rPr>
                <w:rFonts w:ascii="宋体" w:hAnsi="宋体" w:eastAsia="宋体" w:cs="宋体"/>
                <w:kern w:val="0"/>
                <w:szCs w:val="21"/>
                <w:shd w:val="clear" w:color="auto" w:fill="FFFFFF"/>
              </w:rPr>
              <w:t>11月份，全体党员赴新晃县龙溪书院与唐伯赓烈士故居开展了廉政教育现场教学活动；组织开展了清廉家风座谈会，全体在职党员干部职工及家属和退休老同志积极参加；举办清廉演讲赛，馆内干部职工积极参与；馆内干部职工撰写清廉家书，展现清正家风；建立“清廉书屋  廉政谈话室”，并按“四必谈”要求开展廉政谈话，覆盖率100</w:t>
            </w:r>
            <w:r>
              <w:rPr>
                <w:rFonts w:hint="eastAsia" w:ascii="宋体" w:hAnsi="宋体" w:eastAsia="宋体" w:cs="宋体"/>
                <w:kern w:val="0"/>
                <w:szCs w:val="21"/>
                <w:shd w:val="clear" w:color="auto" w:fill="FFFFFF"/>
              </w:rPr>
              <w:t>%</w:t>
            </w:r>
            <w:r>
              <w:rPr>
                <w:rFonts w:ascii="宋体" w:hAnsi="宋体" w:eastAsia="宋体" w:cs="宋体"/>
                <w:kern w:val="0"/>
                <w:szCs w:val="21"/>
                <w:shd w:val="clear" w:color="auto" w:fill="FFFFFF"/>
              </w:rPr>
              <w:t>，全馆干部职工思想得到有效净化。5.贯彻新时代党的建设总要求和新时代党的组织路线，不断推进党的组织工作科学化制度化规范化</w:t>
            </w:r>
            <w:r>
              <w:rPr>
                <w:rFonts w:hint="eastAsia" w:ascii="宋体" w:hAnsi="宋体" w:eastAsia="宋体" w:cs="宋体"/>
                <w:kern w:val="0"/>
                <w:szCs w:val="21"/>
                <w:shd w:val="clear" w:color="auto" w:fill="FFFFFF"/>
              </w:rPr>
              <w:t>。（</w:t>
            </w:r>
            <w:r>
              <w:rPr>
                <w:rFonts w:ascii="宋体" w:hAnsi="宋体" w:eastAsia="宋体" w:cs="宋体"/>
                <w:kern w:val="0"/>
                <w:szCs w:val="21"/>
                <w:shd w:val="clear" w:color="auto" w:fill="FFFFFF"/>
              </w:rPr>
              <w:t>1）不断强化组织建设，切实落实党建工作责任制 。馆党组认真落实新时代党的建设总要求和新时代党的组织路线，不断拓展思路，创新工作方法，将党建工作与档案工作有机结合，深入推进“模范机关”、“四强”党支部建设，扎实有效地推进党员队伍的思想建设、组织建设、作风建设，全面提升机关党建质量。①突出党建工作和业务工作同频导向。馆党组严格按照“以党建促业务，以业务强党建”的工作思路，将党建工作与业务工作同谋划、同部署、同推进、同考核，不断激发档案工作高质量发展活力。②落实责任不松劲。馆党组对标对表贯彻落实党内法规，专题研</w:t>
            </w:r>
            <w:r>
              <w:rPr>
                <w:rFonts w:hint="eastAsia" w:ascii="宋体" w:hAnsi="宋体" w:eastAsia="宋体" w:cs="宋体"/>
                <w:kern w:val="0"/>
                <w:szCs w:val="21"/>
                <w:shd w:val="clear" w:color="auto" w:fill="FFFFFF"/>
              </w:rPr>
              <w:t>究机关党建工作；馆党组书记认真履行机关党建第一责任人职责，重要工作亲自部署、重大问题亲自过问、重要环节亲自协调；馆党组成员、副馆长具体分管党建工作，确保了党建和业务工作一起抓、工作推动力度一样大、工作标准一样严。③夯实组织建设基础抓党建。坚持由一名党组成员担任机关支部书记，选好配强机关支部副书记和机关支部委员，今年，支部副书记钟娟被评为优秀党务工作者、纪检委员被评为优秀共产党员，切实提升了支部组织力。严格落实党员领导干部双重组织生活制度和“三会一课”、民主评议党员等党内生活制度，党费收缴做到按时交纳、及时调整、足额上缴。（</w:t>
            </w:r>
            <w:r>
              <w:rPr>
                <w:rFonts w:ascii="宋体" w:hAnsi="宋体" w:eastAsia="宋体" w:cs="宋体"/>
                <w:kern w:val="0"/>
                <w:szCs w:val="21"/>
                <w:shd w:val="clear" w:color="auto" w:fill="FFFFFF"/>
              </w:rPr>
              <w:t>2）充分发挥模范作用，深入推进党员志愿服务活动。①用好“五溪先锋”平台。今年以来，馆支部在“五溪先锋”志愿服务平台发布卫生大清扫、文明交通劝导、捐书、无偿献血、文明创建等志愿者招募信息52条，参与党员志愿者共计300余人次，进一步增强了党员的责任意识和服务意识，拓宽了党员服务群众的渠道，推进了创先争优活动的深入开展。②积极组织慈善募捐活动。其中点亮微心愿·党群圆梦行—怀化市档案馆关爱困境妇女公益募捐志愿活动累计捐款1855元，99公益“情系老小，善行五溪”慈善募捐活动累计捐款2614元，爱心助残捐款活动累</w:t>
            </w:r>
            <w:r>
              <w:rPr>
                <w:rFonts w:hint="eastAsia" w:ascii="宋体" w:hAnsi="宋体" w:eastAsia="宋体" w:cs="宋体"/>
                <w:kern w:val="0"/>
                <w:szCs w:val="21"/>
                <w:shd w:val="clear" w:color="auto" w:fill="FFFFFF"/>
              </w:rPr>
              <w:t>计捐款</w:t>
            </w:r>
            <w:r>
              <w:rPr>
                <w:rFonts w:ascii="宋体" w:hAnsi="宋体" w:eastAsia="宋体" w:cs="宋体"/>
                <w:kern w:val="0"/>
                <w:szCs w:val="21"/>
                <w:shd w:val="clear" w:color="auto" w:fill="FFFFFF"/>
              </w:rPr>
              <w:t>2850元。③助力我市争创全国文明城市。积极响应全市创文集中帮扶月活动，配合社区开展创建全国文明城市查漏补缺，为长湾里社区西南名都小区解决了5000元创文帮扶资金,用于小区路面坑洼点修补、垃圾清运费、增补公益广告、配备灭火器等；组织全馆党员干部职工开展了四轮大宣教活动、四轮大清洁行动以及为期一个月的集中交通文明劝导行动，共发放宣传册500余份。④积极开展助农消费帮扶活动。组织全馆在职党员前往乡村振兴帮扶村—鹤城区凉亭坳乡老寨溪村开展消费帮扶活动，共计购买西瓜500余斤、蜂蜜60余斤、鸡鸭30余只、辣椒</w:t>
            </w:r>
            <w:r>
              <w:rPr>
                <w:rFonts w:hint="eastAsia" w:ascii="宋体" w:hAnsi="宋体" w:eastAsia="宋体" w:cs="宋体"/>
                <w:kern w:val="0"/>
                <w:szCs w:val="21"/>
                <w:shd w:val="clear" w:color="auto" w:fill="FFFFFF"/>
              </w:rPr>
              <w:t>及茄子</w:t>
            </w:r>
            <w:r>
              <w:rPr>
                <w:rFonts w:ascii="宋体" w:hAnsi="宋体" w:eastAsia="宋体" w:cs="宋体"/>
                <w:kern w:val="0"/>
                <w:szCs w:val="21"/>
                <w:shd w:val="clear" w:color="auto" w:fill="FFFFFF"/>
              </w:rPr>
              <w:t>300余斤，帮助群众解决农产品滞销问题。</w:t>
            </w:r>
            <w:r>
              <w:rPr>
                <w:rFonts w:hint="eastAsia" w:ascii="宋体" w:hAnsi="宋体" w:eastAsia="宋体" w:cs="宋体"/>
                <w:kern w:val="0"/>
                <w:szCs w:val="21"/>
                <w:shd w:val="clear" w:color="auto" w:fill="FFFFFF"/>
              </w:rPr>
              <w:t>（</w:t>
            </w:r>
            <w:r>
              <w:rPr>
                <w:rFonts w:ascii="宋体" w:hAnsi="宋体" w:eastAsia="宋体" w:cs="宋体"/>
                <w:kern w:val="0"/>
                <w:szCs w:val="21"/>
                <w:shd w:val="clear" w:color="auto" w:fill="FFFFFF"/>
              </w:rPr>
              <w:t>3）坚持人才强档，不断加强干部队伍建设。①扎实开展党的二十大精神集中轮训。今年5月，组织全馆干部职工开展了为期4天的学习贯彻党的二十大精神集中轮训研讨班，邀请市委党校教授前来授课，开展集体研讨交流，广泛学习宣传党的二十大报告精髓，确保真正学深悟透。②积极组织参加培训学习。今年以来，共组织党务干部参训3人次，领导干部到市委党校参训7人次。同时，不断适应新时代档案事业工作新要求，组织全馆干部职工参加了湖南省档案人员素质能力提升线上培训班，选派了4名干部参加全省档案干部业务提升班，有效提升了干部职工的业务能力水</w:t>
            </w:r>
            <w:r>
              <w:rPr>
                <w:rFonts w:hint="eastAsia" w:ascii="宋体" w:hAnsi="宋体" w:eastAsia="宋体" w:cs="宋体"/>
                <w:kern w:val="0"/>
                <w:szCs w:val="21"/>
                <w:shd w:val="clear" w:color="auto" w:fill="FFFFFF"/>
              </w:rPr>
              <w:t>平。③积极组织参加档案学术研究和学术交流。我市档案学会在湖南省档案学会第三十一次档案学术论文评选中获优秀组织奖，馆干部职工姜远坚、向怀香的论文获得优秀奖；组织市档案学会开展</w:t>
            </w:r>
            <w:r>
              <w:rPr>
                <w:rFonts w:ascii="宋体" w:hAnsi="宋体" w:eastAsia="宋体" w:cs="宋体"/>
                <w:kern w:val="0"/>
                <w:szCs w:val="21"/>
                <w:shd w:val="clear" w:color="auto" w:fill="FFFFFF"/>
              </w:rPr>
              <w:t>2023年度档案学术论文评选，我单位3名干部职工的论文获得优秀奖，进一步提升了我单位干部的综合素养。④专业人才队伍建设颇有成效。馆党组成员、副馆长杨顺利同志入选全国档案工匠型人才、全省档案专家型人才、怀化市新型智库第一批入库专家。</w:t>
            </w:r>
            <w:r>
              <w:rPr>
                <w:rFonts w:hint="eastAsia" w:ascii="宋体" w:hAnsi="宋体" w:eastAsia="宋体" w:cs="宋体"/>
                <w:kern w:val="0"/>
                <w:szCs w:val="21"/>
                <w:shd w:val="clear" w:color="auto" w:fill="FFFFFF"/>
              </w:rPr>
              <w:t>（</w:t>
            </w:r>
            <w:r>
              <w:rPr>
                <w:rFonts w:ascii="宋体" w:hAnsi="宋体" w:eastAsia="宋体" w:cs="宋体"/>
                <w:kern w:val="0"/>
                <w:szCs w:val="21"/>
                <w:shd w:val="clear" w:color="auto" w:fill="FFFFFF"/>
              </w:rPr>
              <w:t>4）坚持好干部标准，牢固树立正确的选人用人导向。在干部选拔任用上始终坚持党管干部原则，严格按照党的干部工作原则、程序、纪律办事，不断规范业务流程。在召开党组会议研究之前，首先征求纪检组意见，班子成员之间统一意见，严防带病提拔、带病上岗，树立了良好的选人用人之风。今年以来，我单位职级晋升1人、职务任免1人。</w:t>
            </w:r>
          </w:p>
        </w:tc>
      </w:tr>
      <w:tr w14:paraId="414B8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1787" w:type="dxa"/>
            <w:vMerge w:val="restart"/>
            <w:vAlign w:val="center"/>
          </w:tcPr>
          <w:p w14:paraId="40795306">
            <w:pPr>
              <w:widowControl/>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绩效指标</w:t>
            </w:r>
          </w:p>
        </w:tc>
        <w:tc>
          <w:tcPr>
            <w:tcW w:w="1080" w:type="dxa"/>
            <w:vAlign w:val="center"/>
          </w:tcPr>
          <w:p w14:paraId="5EEEE367">
            <w:pPr>
              <w:widowControl/>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一级指标</w:t>
            </w:r>
          </w:p>
        </w:tc>
        <w:tc>
          <w:tcPr>
            <w:tcW w:w="780" w:type="dxa"/>
            <w:vAlign w:val="center"/>
          </w:tcPr>
          <w:p w14:paraId="155E0517">
            <w:pPr>
              <w:widowControl/>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二级指标</w:t>
            </w:r>
          </w:p>
        </w:tc>
        <w:tc>
          <w:tcPr>
            <w:tcW w:w="864" w:type="dxa"/>
            <w:vAlign w:val="center"/>
          </w:tcPr>
          <w:p w14:paraId="231BE9DC">
            <w:pPr>
              <w:widowControl/>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三级</w:t>
            </w:r>
          </w:p>
          <w:p w14:paraId="609151CD">
            <w:pPr>
              <w:widowControl/>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指标</w:t>
            </w:r>
          </w:p>
        </w:tc>
        <w:tc>
          <w:tcPr>
            <w:tcW w:w="792" w:type="dxa"/>
            <w:vAlign w:val="center"/>
          </w:tcPr>
          <w:p w14:paraId="04A69E27">
            <w:pPr>
              <w:widowControl/>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年度指标值</w:t>
            </w:r>
          </w:p>
        </w:tc>
        <w:tc>
          <w:tcPr>
            <w:tcW w:w="1106" w:type="dxa"/>
            <w:vAlign w:val="center"/>
          </w:tcPr>
          <w:p w14:paraId="1FC0D505">
            <w:pPr>
              <w:widowControl/>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实际完成值</w:t>
            </w:r>
          </w:p>
        </w:tc>
        <w:tc>
          <w:tcPr>
            <w:tcW w:w="750" w:type="dxa"/>
            <w:vAlign w:val="center"/>
          </w:tcPr>
          <w:p w14:paraId="56423210">
            <w:pPr>
              <w:widowControl/>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分值</w:t>
            </w:r>
          </w:p>
        </w:tc>
        <w:tc>
          <w:tcPr>
            <w:tcW w:w="742" w:type="dxa"/>
            <w:vAlign w:val="center"/>
          </w:tcPr>
          <w:p w14:paraId="6E039DCB">
            <w:pPr>
              <w:widowControl/>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得分</w:t>
            </w:r>
          </w:p>
        </w:tc>
        <w:tc>
          <w:tcPr>
            <w:tcW w:w="1298" w:type="dxa"/>
            <w:gridSpan w:val="2"/>
            <w:vAlign w:val="center"/>
          </w:tcPr>
          <w:p w14:paraId="7AD52FEA">
            <w:pPr>
              <w:widowControl/>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偏差原因</w:t>
            </w:r>
          </w:p>
          <w:p w14:paraId="2D5C544B">
            <w:pPr>
              <w:widowControl/>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分析及</w:t>
            </w:r>
          </w:p>
          <w:p w14:paraId="509BF0F3">
            <w:pPr>
              <w:widowControl/>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改进措施</w:t>
            </w:r>
          </w:p>
        </w:tc>
      </w:tr>
      <w:tr w14:paraId="32170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1787" w:type="dxa"/>
            <w:vMerge w:val="continue"/>
            <w:vAlign w:val="center"/>
          </w:tcPr>
          <w:p w14:paraId="79E23C67">
            <w:pPr>
              <w:widowControl/>
              <w:spacing w:line="360" w:lineRule="exact"/>
              <w:jc w:val="left"/>
              <w:rPr>
                <w:rFonts w:ascii="宋体" w:hAnsi="宋体" w:eastAsia="宋体" w:cs="宋体"/>
                <w:kern w:val="0"/>
                <w:szCs w:val="21"/>
                <w:shd w:val="clear" w:color="auto" w:fill="FFFFFF"/>
              </w:rPr>
            </w:pPr>
          </w:p>
        </w:tc>
        <w:tc>
          <w:tcPr>
            <w:tcW w:w="1080" w:type="dxa"/>
            <w:vMerge w:val="restart"/>
            <w:vAlign w:val="center"/>
          </w:tcPr>
          <w:p w14:paraId="344BE095">
            <w:pPr>
              <w:widowControl/>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产出指标</w:t>
            </w:r>
          </w:p>
          <w:p w14:paraId="236405B6">
            <w:pPr>
              <w:widowControl/>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（50分)</w:t>
            </w:r>
          </w:p>
        </w:tc>
        <w:tc>
          <w:tcPr>
            <w:tcW w:w="780" w:type="dxa"/>
            <w:vAlign w:val="center"/>
          </w:tcPr>
          <w:p w14:paraId="2C08506A">
            <w:pPr>
              <w:widowControl/>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数量</w:t>
            </w:r>
          </w:p>
          <w:p w14:paraId="0F8326A0">
            <w:pPr>
              <w:widowControl/>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指标</w:t>
            </w:r>
          </w:p>
        </w:tc>
        <w:tc>
          <w:tcPr>
            <w:tcW w:w="864" w:type="dxa"/>
            <w:vAlign w:val="center"/>
          </w:tcPr>
          <w:p w14:paraId="7A148D5D">
            <w:pPr>
              <w:widowControl/>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重点工作完成数</w:t>
            </w:r>
          </w:p>
        </w:tc>
        <w:tc>
          <w:tcPr>
            <w:tcW w:w="792" w:type="dxa"/>
            <w:vAlign w:val="center"/>
          </w:tcPr>
          <w:p w14:paraId="262C6B6D">
            <w:pPr>
              <w:widowControl/>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3次</w:t>
            </w:r>
          </w:p>
        </w:tc>
        <w:tc>
          <w:tcPr>
            <w:tcW w:w="1106" w:type="dxa"/>
            <w:vAlign w:val="center"/>
          </w:tcPr>
          <w:p w14:paraId="08AA0CCB">
            <w:pPr>
              <w:widowControl/>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3次</w:t>
            </w:r>
          </w:p>
        </w:tc>
        <w:tc>
          <w:tcPr>
            <w:tcW w:w="750" w:type="dxa"/>
            <w:vAlign w:val="center"/>
          </w:tcPr>
          <w:p w14:paraId="0C61F174">
            <w:pPr>
              <w:widowControl/>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1</w:t>
            </w:r>
            <w:r>
              <w:rPr>
                <w:rFonts w:ascii="宋体" w:hAnsi="宋体" w:eastAsia="宋体" w:cs="宋体"/>
                <w:kern w:val="0"/>
                <w:szCs w:val="21"/>
                <w:shd w:val="clear" w:color="auto" w:fill="FFFFFF"/>
              </w:rPr>
              <w:t>5</w:t>
            </w:r>
          </w:p>
        </w:tc>
        <w:tc>
          <w:tcPr>
            <w:tcW w:w="742" w:type="dxa"/>
            <w:vAlign w:val="center"/>
          </w:tcPr>
          <w:p w14:paraId="3013EB0E">
            <w:pPr>
              <w:widowControl/>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1</w:t>
            </w:r>
            <w:r>
              <w:rPr>
                <w:rFonts w:ascii="宋体" w:hAnsi="宋体" w:eastAsia="宋体" w:cs="宋体"/>
                <w:kern w:val="0"/>
                <w:szCs w:val="21"/>
                <w:shd w:val="clear" w:color="auto" w:fill="FFFFFF"/>
              </w:rPr>
              <w:t>5</w:t>
            </w:r>
          </w:p>
        </w:tc>
        <w:tc>
          <w:tcPr>
            <w:tcW w:w="1298" w:type="dxa"/>
            <w:gridSpan w:val="2"/>
            <w:vAlign w:val="center"/>
          </w:tcPr>
          <w:p w14:paraId="70A3D331">
            <w:pPr>
              <w:widowControl/>
              <w:spacing w:line="360" w:lineRule="exact"/>
              <w:jc w:val="right"/>
              <w:rPr>
                <w:rFonts w:ascii="宋体" w:hAnsi="宋体" w:eastAsia="宋体" w:cs="宋体"/>
                <w:kern w:val="0"/>
                <w:szCs w:val="21"/>
                <w:shd w:val="clear" w:color="auto" w:fill="FFFFFF"/>
              </w:rPr>
            </w:pPr>
          </w:p>
        </w:tc>
      </w:tr>
      <w:tr w14:paraId="06266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1787" w:type="dxa"/>
            <w:vMerge w:val="continue"/>
            <w:vAlign w:val="center"/>
          </w:tcPr>
          <w:p w14:paraId="5408E724">
            <w:pPr>
              <w:widowControl/>
              <w:spacing w:line="360" w:lineRule="exact"/>
              <w:jc w:val="left"/>
              <w:rPr>
                <w:rFonts w:ascii="宋体" w:hAnsi="宋体" w:eastAsia="宋体" w:cs="宋体"/>
                <w:kern w:val="0"/>
                <w:szCs w:val="21"/>
                <w:shd w:val="clear" w:color="auto" w:fill="FFFFFF"/>
              </w:rPr>
            </w:pPr>
          </w:p>
        </w:tc>
        <w:tc>
          <w:tcPr>
            <w:tcW w:w="1080" w:type="dxa"/>
            <w:vMerge w:val="continue"/>
            <w:vAlign w:val="center"/>
          </w:tcPr>
          <w:p w14:paraId="22FF0CF3">
            <w:pPr>
              <w:widowControl/>
              <w:spacing w:line="360" w:lineRule="exact"/>
              <w:jc w:val="center"/>
              <w:rPr>
                <w:rFonts w:ascii="宋体" w:hAnsi="宋体" w:eastAsia="宋体" w:cs="宋体"/>
                <w:kern w:val="0"/>
                <w:szCs w:val="21"/>
                <w:shd w:val="clear" w:color="auto" w:fill="FFFFFF"/>
              </w:rPr>
            </w:pPr>
          </w:p>
        </w:tc>
        <w:tc>
          <w:tcPr>
            <w:tcW w:w="780" w:type="dxa"/>
            <w:vAlign w:val="center"/>
          </w:tcPr>
          <w:p w14:paraId="7DD50E2A">
            <w:pPr>
              <w:widowControl/>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质量</w:t>
            </w:r>
          </w:p>
          <w:p w14:paraId="2B8D7508">
            <w:pPr>
              <w:widowControl/>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指标</w:t>
            </w:r>
          </w:p>
        </w:tc>
        <w:tc>
          <w:tcPr>
            <w:tcW w:w="864" w:type="dxa"/>
            <w:vAlign w:val="center"/>
          </w:tcPr>
          <w:p w14:paraId="26878AF5">
            <w:pPr>
              <w:widowControl/>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质量达标完成率</w:t>
            </w:r>
          </w:p>
        </w:tc>
        <w:tc>
          <w:tcPr>
            <w:tcW w:w="792" w:type="dxa"/>
            <w:vAlign w:val="center"/>
          </w:tcPr>
          <w:p w14:paraId="1B940C44">
            <w:pPr>
              <w:widowControl/>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1</w:t>
            </w:r>
            <w:r>
              <w:rPr>
                <w:rFonts w:ascii="宋体" w:hAnsi="宋体" w:eastAsia="宋体" w:cs="宋体"/>
                <w:kern w:val="0"/>
                <w:szCs w:val="21"/>
                <w:shd w:val="clear" w:color="auto" w:fill="FFFFFF"/>
              </w:rPr>
              <w:t>00</w:t>
            </w:r>
            <w:r>
              <w:rPr>
                <w:rFonts w:hint="eastAsia" w:ascii="宋体" w:hAnsi="宋体" w:eastAsia="宋体" w:cs="宋体"/>
                <w:kern w:val="0"/>
                <w:szCs w:val="21"/>
                <w:shd w:val="clear" w:color="auto" w:fill="FFFFFF"/>
              </w:rPr>
              <w:t>%</w:t>
            </w:r>
          </w:p>
        </w:tc>
        <w:tc>
          <w:tcPr>
            <w:tcW w:w="1106" w:type="dxa"/>
            <w:vAlign w:val="center"/>
          </w:tcPr>
          <w:p w14:paraId="384252B2">
            <w:pPr>
              <w:widowControl/>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1</w:t>
            </w:r>
            <w:r>
              <w:rPr>
                <w:rFonts w:ascii="宋体" w:hAnsi="宋体" w:eastAsia="宋体" w:cs="宋体"/>
                <w:kern w:val="0"/>
                <w:szCs w:val="21"/>
                <w:shd w:val="clear" w:color="auto" w:fill="FFFFFF"/>
              </w:rPr>
              <w:t>00</w:t>
            </w:r>
            <w:r>
              <w:rPr>
                <w:rFonts w:hint="eastAsia" w:ascii="宋体" w:hAnsi="宋体" w:eastAsia="宋体" w:cs="宋体"/>
                <w:kern w:val="0"/>
                <w:szCs w:val="21"/>
                <w:shd w:val="clear" w:color="auto" w:fill="FFFFFF"/>
              </w:rPr>
              <w:t>%</w:t>
            </w:r>
          </w:p>
        </w:tc>
        <w:tc>
          <w:tcPr>
            <w:tcW w:w="750" w:type="dxa"/>
            <w:vAlign w:val="center"/>
          </w:tcPr>
          <w:p w14:paraId="345B0BDF">
            <w:pPr>
              <w:widowControl/>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1</w:t>
            </w:r>
            <w:r>
              <w:rPr>
                <w:rFonts w:ascii="宋体" w:hAnsi="宋体" w:eastAsia="宋体" w:cs="宋体"/>
                <w:kern w:val="0"/>
                <w:szCs w:val="21"/>
                <w:shd w:val="clear" w:color="auto" w:fill="FFFFFF"/>
              </w:rPr>
              <w:t>5</w:t>
            </w:r>
          </w:p>
        </w:tc>
        <w:tc>
          <w:tcPr>
            <w:tcW w:w="742" w:type="dxa"/>
            <w:vAlign w:val="center"/>
          </w:tcPr>
          <w:p w14:paraId="12778E97">
            <w:pPr>
              <w:widowControl/>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1</w:t>
            </w:r>
            <w:r>
              <w:rPr>
                <w:rFonts w:ascii="宋体" w:hAnsi="宋体" w:eastAsia="宋体" w:cs="宋体"/>
                <w:kern w:val="0"/>
                <w:szCs w:val="21"/>
                <w:shd w:val="clear" w:color="auto" w:fill="FFFFFF"/>
              </w:rPr>
              <w:t>5</w:t>
            </w:r>
          </w:p>
        </w:tc>
        <w:tc>
          <w:tcPr>
            <w:tcW w:w="1298" w:type="dxa"/>
            <w:gridSpan w:val="2"/>
            <w:vAlign w:val="center"/>
          </w:tcPr>
          <w:p w14:paraId="2A0BAD50">
            <w:pPr>
              <w:widowControl/>
              <w:spacing w:line="360" w:lineRule="exact"/>
              <w:jc w:val="right"/>
              <w:rPr>
                <w:rFonts w:ascii="宋体" w:hAnsi="宋体" w:eastAsia="宋体" w:cs="宋体"/>
                <w:kern w:val="0"/>
                <w:szCs w:val="21"/>
                <w:shd w:val="clear" w:color="auto" w:fill="FFFFFF"/>
              </w:rPr>
            </w:pPr>
          </w:p>
        </w:tc>
      </w:tr>
      <w:tr w14:paraId="6C7DD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jc w:val="center"/>
        </w:trPr>
        <w:tc>
          <w:tcPr>
            <w:tcW w:w="1787" w:type="dxa"/>
            <w:vMerge w:val="continue"/>
            <w:vAlign w:val="center"/>
          </w:tcPr>
          <w:p w14:paraId="195D9EEF">
            <w:pPr>
              <w:widowControl/>
              <w:spacing w:line="360" w:lineRule="exact"/>
              <w:jc w:val="left"/>
              <w:rPr>
                <w:rFonts w:ascii="宋体" w:hAnsi="宋体" w:eastAsia="宋体" w:cs="宋体"/>
                <w:kern w:val="0"/>
                <w:szCs w:val="21"/>
                <w:shd w:val="clear" w:color="auto" w:fill="FFFFFF"/>
              </w:rPr>
            </w:pPr>
          </w:p>
        </w:tc>
        <w:tc>
          <w:tcPr>
            <w:tcW w:w="1080" w:type="dxa"/>
            <w:vMerge w:val="continue"/>
            <w:vAlign w:val="center"/>
          </w:tcPr>
          <w:p w14:paraId="0EFDDE92">
            <w:pPr>
              <w:widowControl/>
              <w:spacing w:line="360" w:lineRule="exact"/>
              <w:jc w:val="center"/>
              <w:rPr>
                <w:rFonts w:ascii="宋体" w:hAnsi="宋体" w:eastAsia="宋体" w:cs="宋体"/>
                <w:kern w:val="0"/>
                <w:szCs w:val="21"/>
                <w:shd w:val="clear" w:color="auto" w:fill="FFFFFF"/>
              </w:rPr>
            </w:pPr>
          </w:p>
        </w:tc>
        <w:tc>
          <w:tcPr>
            <w:tcW w:w="780" w:type="dxa"/>
            <w:vAlign w:val="center"/>
          </w:tcPr>
          <w:p w14:paraId="040AF054">
            <w:pPr>
              <w:widowControl/>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时效</w:t>
            </w:r>
          </w:p>
          <w:p w14:paraId="69A9477C">
            <w:pPr>
              <w:widowControl/>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指标</w:t>
            </w:r>
          </w:p>
        </w:tc>
        <w:tc>
          <w:tcPr>
            <w:tcW w:w="864" w:type="dxa"/>
            <w:vAlign w:val="center"/>
          </w:tcPr>
          <w:p w14:paraId="740C98FA">
            <w:pPr>
              <w:widowControl/>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及时完成情况</w:t>
            </w:r>
          </w:p>
        </w:tc>
        <w:tc>
          <w:tcPr>
            <w:tcW w:w="792" w:type="dxa"/>
            <w:vAlign w:val="center"/>
          </w:tcPr>
          <w:p w14:paraId="0873E395">
            <w:pPr>
              <w:widowControl/>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2</w:t>
            </w:r>
            <w:r>
              <w:rPr>
                <w:rFonts w:ascii="宋体" w:hAnsi="宋体" w:eastAsia="宋体" w:cs="宋体"/>
                <w:kern w:val="0"/>
                <w:szCs w:val="21"/>
                <w:shd w:val="clear" w:color="auto" w:fill="FFFFFF"/>
              </w:rPr>
              <w:t>023</w:t>
            </w:r>
            <w:r>
              <w:rPr>
                <w:rFonts w:hint="eastAsia" w:ascii="宋体" w:hAnsi="宋体" w:eastAsia="宋体" w:cs="宋体"/>
                <w:kern w:val="0"/>
                <w:szCs w:val="21"/>
                <w:shd w:val="clear" w:color="auto" w:fill="FFFFFF"/>
              </w:rPr>
              <w:t>年1</w:t>
            </w:r>
            <w:r>
              <w:rPr>
                <w:rFonts w:ascii="宋体" w:hAnsi="宋体" w:eastAsia="宋体" w:cs="宋体"/>
                <w:kern w:val="0"/>
                <w:szCs w:val="21"/>
                <w:shd w:val="clear" w:color="auto" w:fill="FFFFFF"/>
              </w:rPr>
              <w:t>2</w:t>
            </w:r>
            <w:r>
              <w:rPr>
                <w:rFonts w:hint="eastAsia" w:ascii="宋体" w:hAnsi="宋体" w:eastAsia="宋体" w:cs="宋体"/>
                <w:kern w:val="0"/>
                <w:szCs w:val="21"/>
                <w:shd w:val="clear" w:color="auto" w:fill="FFFFFF"/>
              </w:rPr>
              <w:t>月3</w:t>
            </w:r>
            <w:r>
              <w:rPr>
                <w:rFonts w:ascii="宋体" w:hAnsi="宋体" w:eastAsia="宋体" w:cs="宋体"/>
                <w:kern w:val="0"/>
                <w:szCs w:val="21"/>
                <w:shd w:val="clear" w:color="auto" w:fill="FFFFFF"/>
              </w:rPr>
              <w:t>1</w:t>
            </w:r>
            <w:r>
              <w:rPr>
                <w:rFonts w:hint="eastAsia" w:ascii="宋体" w:hAnsi="宋体" w:eastAsia="宋体" w:cs="宋体"/>
                <w:kern w:val="0"/>
                <w:szCs w:val="21"/>
                <w:shd w:val="clear" w:color="auto" w:fill="FFFFFF"/>
              </w:rPr>
              <w:t>日前</w:t>
            </w:r>
          </w:p>
        </w:tc>
        <w:tc>
          <w:tcPr>
            <w:tcW w:w="1106" w:type="dxa"/>
            <w:vAlign w:val="center"/>
          </w:tcPr>
          <w:p w14:paraId="461128F1">
            <w:pPr>
              <w:widowControl/>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2</w:t>
            </w:r>
            <w:r>
              <w:rPr>
                <w:rFonts w:ascii="宋体" w:hAnsi="宋体" w:eastAsia="宋体" w:cs="宋体"/>
                <w:kern w:val="0"/>
                <w:szCs w:val="21"/>
                <w:shd w:val="clear" w:color="auto" w:fill="FFFFFF"/>
              </w:rPr>
              <w:t>02</w:t>
            </w:r>
            <w:r>
              <w:rPr>
                <w:rFonts w:hint="eastAsia" w:ascii="宋体" w:hAnsi="宋体" w:eastAsia="宋体" w:cs="宋体"/>
                <w:kern w:val="0"/>
                <w:szCs w:val="21"/>
                <w:shd w:val="clear" w:color="auto" w:fill="FFFFFF"/>
              </w:rPr>
              <w:t>年1</w:t>
            </w:r>
            <w:r>
              <w:rPr>
                <w:rFonts w:ascii="宋体" w:hAnsi="宋体" w:eastAsia="宋体" w:cs="宋体"/>
                <w:kern w:val="0"/>
                <w:szCs w:val="21"/>
                <w:shd w:val="clear" w:color="auto" w:fill="FFFFFF"/>
              </w:rPr>
              <w:t>2</w:t>
            </w:r>
            <w:r>
              <w:rPr>
                <w:rFonts w:hint="eastAsia" w:ascii="宋体" w:hAnsi="宋体" w:eastAsia="宋体" w:cs="宋体"/>
                <w:kern w:val="0"/>
                <w:szCs w:val="21"/>
                <w:shd w:val="clear" w:color="auto" w:fill="FFFFFF"/>
              </w:rPr>
              <w:t>月3</w:t>
            </w:r>
            <w:r>
              <w:rPr>
                <w:rFonts w:ascii="宋体" w:hAnsi="宋体" w:eastAsia="宋体" w:cs="宋体"/>
                <w:kern w:val="0"/>
                <w:szCs w:val="21"/>
                <w:shd w:val="clear" w:color="auto" w:fill="FFFFFF"/>
              </w:rPr>
              <w:t>1</w:t>
            </w:r>
            <w:r>
              <w:rPr>
                <w:rFonts w:hint="eastAsia" w:ascii="宋体" w:hAnsi="宋体" w:eastAsia="宋体" w:cs="宋体"/>
                <w:kern w:val="0"/>
                <w:szCs w:val="21"/>
                <w:shd w:val="clear" w:color="auto" w:fill="FFFFFF"/>
              </w:rPr>
              <w:t>日前</w:t>
            </w:r>
          </w:p>
        </w:tc>
        <w:tc>
          <w:tcPr>
            <w:tcW w:w="750" w:type="dxa"/>
            <w:vAlign w:val="center"/>
          </w:tcPr>
          <w:p w14:paraId="4396E540">
            <w:pPr>
              <w:widowControl/>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1</w:t>
            </w:r>
            <w:r>
              <w:rPr>
                <w:rFonts w:ascii="宋体" w:hAnsi="宋体" w:eastAsia="宋体" w:cs="宋体"/>
                <w:kern w:val="0"/>
                <w:szCs w:val="21"/>
                <w:shd w:val="clear" w:color="auto" w:fill="FFFFFF"/>
              </w:rPr>
              <w:t>0</w:t>
            </w:r>
          </w:p>
        </w:tc>
        <w:tc>
          <w:tcPr>
            <w:tcW w:w="742" w:type="dxa"/>
            <w:vAlign w:val="center"/>
          </w:tcPr>
          <w:p w14:paraId="2F533BE7">
            <w:pPr>
              <w:widowControl/>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1</w:t>
            </w:r>
            <w:r>
              <w:rPr>
                <w:rFonts w:ascii="宋体" w:hAnsi="宋体" w:eastAsia="宋体" w:cs="宋体"/>
                <w:kern w:val="0"/>
                <w:szCs w:val="21"/>
                <w:shd w:val="clear" w:color="auto" w:fill="FFFFFF"/>
              </w:rPr>
              <w:t>0</w:t>
            </w:r>
          </w:p>
        </w:tc>
        <w:tc>
          <w:tcPr>
            <w:tcW w:w="1298" w:type="dxa"/>
            <w:gridSpan w:val="2"/>
            <w:vAlign w:val="center"/>
          </w:tcPr>
          <w:p w14:paraId="31761D3E">
            <w:pPr>
              <w:widowControl/>
              <w:spacing w:line="360" w:lineRule="exact"/>
              <w:jc w:val="right"/>
              <w:rPr>
                <w:rFonts w:ascii="宋体" w:hAnsi="宋体" w:eastAsia="宋体" w:cs="宋体"/>
                <w:kern w:val="0"/>
                <w:szCs w:val="21"/>
                <w:shd w:val="clear" w:color="auto" w:fill="FFFFFF"/>
              </w:rPr>
            </w:pPr>
          </w:p>
        </w:tc>
      </w:tr>
      <w:tr w14:paraId="0BCFE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jc w:val="center"/>
        </w:trPr>
        <w:tc>
          <w:tcPr>
            <w:tcW w:w="1787" w:type="dxa"/>
            <w:vMerge w:val="continue"/>
            <w:vAlign w:val="center"/>
          </w:tcPr>
          <w:p w14:paraId="0C273BA8">
            <w:pPr>
              <w:widowControl/>
              <w:spacing w:line="360" w:lineRule="exact"/>
              <w:jc w:val="left"/>
              <w:rPr>
                <w:rFonts w:ascii="宋体" w:hAnsi="宋体" w:eastAsia="宋体" w:cs="宋体"/>
                <w:kern w:val="0"/>
                <w:szCs w:val="21"/>
                <w:shd w:val="clear" w:color="auto" w:fill="FFFFFF"/>
              </w:rPr>
            </w:pPr>
          </w:p>
        </w:tc>
        <w:tc>
          <w:tcPr>
            <w:tcW w:w="1080" w:type="dxa"/>
            <w:vMerge w:val="continue"/>
            <w:vAlign w:val="center"/>
          </w:tcPr>
          <w:p w14:paraId="13C5724F">
            <w:pPr>
              <w:widowControl/>
              <w:spacing w:line="360" w:lineRule="exact"/>
              <w:jc w:val="center"/>
              <w:rPr>
                <w:rFonts w:ascii="宋体" w:hAnsi="宋体" w:eastAsia="宋体" w:cs="宋体"/>
                <w:kern w:val="0"/>
                <w:szCs w:val="21"/>
                <w:shd w:val="clear" w:color="auto" w:fill="FFFFFF"/>
              </w:rPr>
            </w:pPr>
          </w:p>
        </w:tc>
        <w:tc>
          <w:tcPr>
            <w:tcW w:w="780" w:type="dxa"/>
            <w:vAlign w:val="center"/>
          </w:tcPr>
          <w:p w14:paraId="6C6B65EA">
            <w:pPr>
              <w:widowControl/>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成本</w:t>
            </w:r>
          </w:p>
          <w:p w14:paraId="2E8FA190">
            <w:pPr>
              <w:widowControl/>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指标</w:t>
            </w:r>
          </w:p>
        </w:tc>
        <w:tc>
          <w:tcPr>
            <w:tcW w:w="864" w:type="dxa"/>
            <w:vAlign w:val="center"/>
          </w:tcPr>
          <w:p w14:paraId="325079E8">
            <w:pPr>
              <w:widowControl/>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“三公经费”控制率</w:t>
            </w:r>
          </w:p>
        </w:tc>
        <w:tc>
          <w:tcPr>
            <w:tcW w:w="792" w:type="dxa"/>
            <w:vAlign w:val="center"/>
          </w:tcPr>
          <w:p w14:paraId="12178A5B">
            <w:pPr>
              <w:widowControl/>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≤财政预算指标控制数</w:t>
            </w:r>
          </w:p>
        </w:tc>
        <w:tc>
          <w:tcPr>
            <w:tcW w:w="1106" w:type="dxa"/>
            <w:vAlign w:val="center"/>
          </w:tcPr>
          <w:p w14:paraId="0AEA529A">
            <w:pPr>
              <w:widowControl/>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≤财政预算指标控制数</w:t>
            </w:r>
          </w:p>
        </w:tc>
        <w:tc>
          <w:tcPr>
            <w:tcW w:w="750" w:type="dxa"/>
            <w:vAlign w:val="center"/>
          </w:tcPr>
          <w:p w14:paraId="411772FE">
            <w:pPr>
              <w:widowControl/>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1</w:t>
            </w:r>
            <w:r>
              <w:rPr>
                <w:rFonts w:ascii="宋体" w:hAnsi="宋体" w:eastAsia="宋体" w:cs="宋体"/>
                <w:kern w:val="0"/>
                <w:szCs w:val="21"/>
                <w:shd w:val="clear" w:color="auto" w:fill="FFFFFF"/>
              </w:rPr>
              <w:t>0</w:t>
            </w:r>
          </w:p>
        </w:tc>
        <w:tc>
          <w:tcPr>
            <w:tcW w:w="742" w:type="dxa"/>
            <w:vAlign w:val="center"/>
          </w:tcPr>
          <w:p w14:paraId="47906313">
            <w:pPr>
              <w:widowControl/>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1</w:t>
            </w:r>
            <w:r>
              <w:rPr>
                <w:rFonts w:ascii="宋体" w:hAnsi="宋体" w:eastAsia="宋体" w:cs="宋体"/>
                <w:kern w:val="0"/>
                <w:szCs w:val="21"/>
                <w:shd w:val="clear" w:color="auto" w:fill="FFFFFF"/>
              </w:rPr>
              <w:t>0</w:t>
            </w:r>
          </w:p>
        </w:tc>
        <w:tc>
          <w:tcPr>
            <w:tcW w:w="1298" w:type="dxa"/>
            <w:gridSpan w:val="2"/>
            <w:vAlign w:val="center"/>
          </w:tcPr>
          <w:p w14:paraId="32EE584A">
            <w:pPr>
              <w:widowControl/>
              <w:spacing w:line="360" w:lineRule="exact"/>
              <w:jc w:val="right"/>
              <w:rPr>
                <w:rFonts w:ascii="宋体" w:hAnsi="宋体" w:eastAsia="宋体" w:cs="宋体"/>
                <w:kern w:val="0"/>
                <w:szCs w:val="21"/>
                <w:shd w:val="clear" w:color="auto" w:fill="FFFFFF"/>
              </w:rPr>
            </w:pPr>
          </w:p>
        </w:tc>
      </w:tr>
      <w:tr w14:paraId="7070D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787" w:type="dxa"/>
            <w:vMerge w:val="continue"/>
            <w:vAlign w:val="center"/>
          </w:tcPr>
          <w:p w14:paraId="467A54FE">
            <w:pPr>
              <w:widowControl/>
              <w:spacing w:line="360" w:lineRule="exact"/>
              <w:jc w:val="left"/>
              <w:rPr>
                <w:rFonts w:ascii="宋体" w:hAnsi="宋体" w:eastAsia="宋体" w:cs="宋体"/>
                <w:kern w:val="0"/>
                <w:szCs w:val="21"/>
                <w:shd w:val="clear" w:color="auto" w:fill="FFFFFF"/>
              </w:rPr>
            </w:pPr>
          </w:p>
        </w:tc>
        <w:tc>
          <w:tcPr>
            <w:tcW w:w="1080" w:type="dxa"/>
            <w:vMerge w:val="restart"/>
            <w:vAlign w:val="center"/>
          </w:tcPr>
          <w:p w14:paraId="06F6010E">
            <w:pPr>
              <w:widowControl/>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效益指标</w:t>
            </w:r>
          </w:p>
          <w:p w14:paraId="10DF74D9">
            <w:pPr>
              <w:widowControl/>
              <w:spacing w:line="360" w:lineRule="exact"/>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（30分）</w:t>
            </w:r>
          </w:p>
        </w:tc>
        <w:tc>
          <w:tcPr>
            <w:tcW w:w="780" w:type="dxa"/>
            <w:vAlign w:val="center"/>
          </w:tcPr>
          <w:p w14:paraId="0906EDFC">
            <w:pPr>
              <w:widowControl/>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经济效益指标</w:t>
            </w:r>
          </w:p>
        </w:tc>
        <w:tc>
          <w:tcPr>
            <w:tcW w:w="864" w:type="dxa"/>
            <w:vAlign w:val="center"/>
          </w:tcPr>
          <w:p w14:paraId="353B0AE1">
            <w:pPr>
              <w:widowControl/>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无</w:t>
            </w:r>
          </w:p>
        </w:tc>
        <w:tc>
          <w:tcPr>
            <w:tcW w:w="792" w:type="dxa"/>
            <w:vAlign w:val="center"/>
          </w:tcPr>
          <w:p w14:paraId="715C2212">
            <w:pPr>
              <w:widowControl/>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效果明显</w:t>
            </w:r>
          </w:p>
        </w:tc>
        <w:tc>
          <w:tcPr>
            <w:tcW w:w="1106" w:type="dxa"/>
            <w:vAlign w:val="center"/>
          </w:tcPr>
          <w:p w14:paraId="5CDC6EF5">
            <w:pPr>
              <w:widowControl/>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效果明显</w:t>
            </w:r>
          </w:p>
        </w:tc>
        <w:tc>
          <w:tcPr>
            <w:tcW w:w="750" w:type="dxa"/>
            <w:vAlign w:val="center"/>
          </w:tcPr>
          <w:p w14:paraId="37AE1A92">
            <w:pPr>
              <w:widowControl/>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1</w:t>
            </w:r>
            <w:r>
              <w:rPr>
                <w:rFonts w:ascii="宋体" w:hAnsi="宋体" w:eastAsia="宋体" w:cs="宋体"/>
                <w:kern w:val="0"/>
                <w:szCs w:val="21"/>
                <w:shd w:val="clear" w:color="auto" w:fill="FFFFFF"/>
              </w:rPr>
              <w:t>0</w:t>
            </w:r>
          </w:p>
        </w:tc>
        <w:tc>
          <w:tcPr>
            <w:tcW w:w="742" w:type="dxa"/>
            <w:vAlign w:val="center"/>
          </w:tcPr>
          <w:p w14:paraId="55850106">
            <w:pPr>
              <w:widowControl/>
              <w:spacing w:line="360" w:lineRule="exact"/>
              <w:jc w:val="center"/>
              <w:rPr>
                <w:rFonts w:ascii="宋体" w:hAnsi="宋体" w:eastAsia="宋体" w:cs="宋体"/>
                <w:kern w:val="0"/>
                <w:szCs w:val="21"/>
                <w:shd w:val="clear" w:color="auto" w:fill="FFFFFF"/>
              </w:rPr>
            </w:pPr>
            <w:r>
              <w:rPr>
                <w:rFonts w:ascii="宋体" w:hAnsi="宋体" w:eastAsia="宋体" w:cs="宋体"/>
                <w:kern w:val="0"/>
                <w:szCs w:val="21"/>
                <w:shd w:val="clear" w:color="auto" w:fill="FFFFFF"/>
              </w:rPr>
              <w:t>10</w:t>
            </w:r>
          </w:p>
        </w:tc>
        <w:tc>
          <w:tcPr>
            <w:tcW w:w="1298" w:type="dxa"/>
            <w:gridSpan w:val="2"/>
            <w:vAlign w:val="center"/>
          </w:tcPr>
          <w:p w14:paraId="0080467E">
            <w:pPr>
              <w:widowControl/>
              <w:spacing w:line="360" w:lineRule="exact"/>
              <w:jc w:val="right"/>
              <w:rPr>
                <w:rFonts w:ascii="宋体" w:hAnsi="宋体" w:eastAsia="宋体" w:cs="宋体"/>
                <w:kern w:val="0"/>
                <w:szCs w:val="21"/>
                <w:shd w:val="clear" w:color="auto" w:fill="FFFFFF"/>
              </w:rPr>
            </w:pPr>
          </w:p>
          <w:p w14:paraId="556D9B6B">
            <w:pPr>
              <w:widowControl/>
              <w:spacing w:line="360" w:lineRule="exact"/>
              <w:jc w:val="right"/>
              <w:rPr>
                <w:rFonts w:ascii="宋体" w:hAnsi="宋体" w:eastAsia="宋体" w:cs="宋体"/>
                <w:kern w:val="0"/>
                <w:szCs w:val="21"/>
                <w:shd w:val="clear" w:color="auto" w:fill="FFFFFF"/>
              </w:rPr>
            </w:pPr>
          </w:p>
        </w:tc>
      </w:tr>
      <w:tr w14:paraId="1CC4B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5" w:hRule="atLeast"/>
          <w:jc w:val="center"/>
        </w:trPr>
        <w:tc>
          <w:tcPr>
            <w:tcW w:w="1787" w:type="dxa"/>
            <w:vMerge w:val="continue"/>
            <w:vAlign w:val="center"/>
          </w:tcPr>
          <w:p w14:paraId="6DBFCC51">
            <w:pPr>
              <w:widowControl/>
              <w:spacing w:line="360" w:lineRule="exact"/>
              <w:jc w:val="left"/>
              <w:rPr>
                <w:rFonts w:ascii="宋体" w:hAnsi="宋体" w:eastAsia="宋体" w:cs="宋体"/>
                <w:kern w:val="0"/>
                <w:szCs w:val="21"/>
                <w:shd w:val="clear" w:color="auto" w:fill="FFFFFF"/>
              </w:rPr>
            </w:pPr>
          </w:p>
        </w:tc>
        <w:tc>
          <w:tcPr>
            <w:tcW w:w="1080" w:type="dxa"/>
            <w:vMerge w:val="continue"/>
            <w:vAlign w:val="center"/>
          </w:tcPr>
          <w:p w14:paraId="42283B8B">
            <w:pPr>
              <w:widowControl/>
              <w:spacing w:line="360" w:lineRule="exact"/>
              <w:jc w:val="center"/>
              <w:rPr>
                <w:rFonts w:ascii="宋体" w:hAnsi="宋体" w:eastAsia="宋体" w:cs="宋体"/>
                <w:kern w:val="0"/>
                <w:szCs w:val="21"/>
                <w:shd w:val="clear" w:color="auto" w:fill="FFFFFF"/>
              </w:rPr>
            </w:pPr>
          </w:p>
        </w:tc>
        <w:tc>
          <w:tcPr>
            <w:tcW w:w="780" w:type="dxa"/>
            <w:vAlign w:val="center"/>
          </w:tcPr>
          <w:p w14:paraId="0FFC3F3F">
            <w:pPr>
              <w:widowControl/>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社会效益指标</w:t>
            </w:r>
          </w:p>
        </w:tc>
        <w:tc>
          <w:tcPr>
            <w:tcW w:w="864" w:type="dxa"/>
            <w:vAlign w:val="center"/>
          </w:tcPr>
          <w:p w14:paraId="624E8254">
            <w:pPr>
              <w:widowControl/>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提供日常档案管理保障，增强服务社会意识</w:t>
            </w:r>
          </w:p>
        </w:tc>
        <w:tc>
          <w:tcPr>
            <w:tcW w:w="792" w:type="dxa"/>
            <w:vAlign w:val="center"/>
          </w:tcPr>
          <w:p w14:paraId="30875751">
            <w:pPr>
              <w:widowControl/>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效果明显</w:t>
            </w:r>
          </w:p>
        </w:tc>
        <w:tc>
          <w:tcPr>
            <w:tcW w:w="1106" w:type="dxa"/>
            <w:vAlign w:val="center"/>
          </w:tcPr>
          <w:p w14:paraId="416DE9AE">
            <w:pPr>
              <w:widowControl/>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效果明显</w:t>
            </w:r>
          </w:p>
        </w:tc>
        <w:tc>
          <w:tcPr>
            <w:tcW w:w="750" w:type="dxa"/>
            <w:vAlign w:val="center"/>
          </w:tcPr>
          <w:p w14:paraId="5672C897">
            <w:pPr>
              <w:widowControl/>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1</w:t>
            </w:r>
            <w:r>
              <w:rPr>
                <w:rFonts w:ascii="宋体" w:hAnsi="宋体" w:eastAsia="宋体" w:cs="宋体"/>
                <w:kern w:val="0"/>
                <w:szCs w:val="21"/>
                <w:shd w:val="clear" w:color="auto" w:fill="FFFFFF"/>
              </w:rPr>
              <w:t>0</w:t>
            </w:r>
          </w:p>
        </w:tc>
        <w:tc>
          <w:tcPr>
            <w:tcW w:w="742" w:type="dxa"/>
            <w:vAlign w:val="center"/>
          </w:tcPr>
          <w:p w14:paraId="2E08806B">
            <w:pPr>
              <w:widowControl/>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1</w:t>
            </w:r>
            <w:r>
              <w:rPr>
                <w:rFonts w:ascii="宋体" w:hAnsi="宋体" w:eastAsia="宋体" w:cs="宋体"/>
                <w:kern w:val="0"/>
                <w:szCs w:val="21"/>
                <w:shd w:val="clear" w:color="auto" w:fill="FFFFFF"/>
              </w:rPr>
              <w:t>0</w:t>
            </w:r>
          </w:p>
        </w:tc>
        <w:tc>
          <w:tcPr>
            <w:tcW w:w="1298" w:type="dxa"/>
            <w:gridSpan w:val="2"/>
            <w:vAlign w:val="center"/>
          </w:tcPr>
          <w:p w14:paraId="0BC873EE">
            <w:pPr>
              <w:widowControl/>
              <w:spacing w:line="360" w:lineRule="exact"/>
              <w:jc w:val="right"/>
              <w:rPr>
                <w:rFonts w:ascii="宋体" w:hAnsi="宋体" w:eastAsia="宋体" w:cs="宋体"/>
                <w:kern w:val="0"/>
                <w:szCs w:val="21"/>
                <w:shd w:val="clear" w:color="auto" w:fill="FFFFFF"/>
              </w:rPr>
            </w:pPr>
          </w:p>
        </w:tc>
      </w:tr>
      <w:tr w14:paraId="0A3A0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jc w:val="center"/>
        </w:trPr>
        <w:tc>
          <w:tcPr>
            <w:tcW w:w="1787" w:type="dxa"/>
            <w:vMerge w:val="continue"/>
            <w:vAlign w:val="center"/>
          </w:tcPr>
          <w:p w14:paraId="5DEB3050">
            <w:pPr>
              <w:widowControl/>
              <w:spacing w:line="360" w:lineRule="exact"/>
              <w:jc w:val="left"/>
              <w:rPr>
                <w:rFonts w:ascii="宋体" w:hAnsi="宋体" w:eastAsia="宋体" w:cs="宋体"/>
                <w:kern w:val="0"/>
                <w:szCs w:val="21"/>
                <w:shd w:val="clear" w:color="auto" w:fill="FFFFFF"/>
              </w:rPr>
            </w:pPr>
          </w:p>
        </w:tc>
        <w:tc>
          <w:tcPr>
            <w:tcW w:w="1080" w:type="dxa"/>
            <w:vMerge w:val="continue"/>
            <w:vAlign w:val="center"/>
          </w:tcPr>
          <w:p w14:paraId="1F21FB08">
            <w:pPr>
              <w:widowControl/>
              <w:spacing w:line="360" w:lineRule="exact"/>
              <w:jc w:val="center"/>
              <w:rPr>
                <w:rFonts w:ascii="宋体" w:hAnsi="宋体" w:eastAsia="宋体" w:cs="宋体"/>
                <w:kern w:val="0"/>
                <w:szCs w:val="21"/>
                <w:shd w:val="clear" w:color="auto" w:fill="FFFFFF"/>
              </w:rPr>
            </w:pPr>
          </w:p>
        </w:tc>
        <w:tc>
          <w:tcPr>
            <w:tcW w:w="780" w:type="dxa"/>
            <w:vAlign w:val="center"/>
          </w:tcPr>
          <w:p w14:paraId="177C9672">
            <w:pPr>
              <w:widowControl/>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生态效益指标</w:t>
            </w:r>
          </w:p>
        </w:tc>
        <w:tc>
          <w:tcPr>
            <w:tcW w:w="864" w:type="dxa"/>
            <w:vAlign w:val="center"/>
          </w:tcPr>
          <w:p w14:paraId="3EBDFC76">
            <w:pPr>
              <w:widowControl/>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无</w:t>
            </w:r>
          </w:p>
        </w:tc>
        <w:tc>
          <w:tcPr>
            <w:tcW w:w="792" w:type="dxa"/>
            <w:vAlign w:val="center"/>
          </w:tcPr>
          <w:p w14:paraId="3CCA332A">
            <w:pPr>
              <w:widowControl/>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效果明显</w:t>
            </w:r>
          </w:p>
        </w:tc>
        <w:tc>
          <w:tcPr>
            <w:tcW w:w="1106" w:type="dxa"/>
            <w:vAlign w:val="center"/>
          </w:tcPr>
          <w:p w14:paraId="51F38631">
            <w:pPr>
              <w:widowControl/>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效果明显</w:t>
            </w:r>
          </w:p>
        </w:tc>
        <w:tc>
          <w:tcPr>
            <w:tcW w:w="750" w:type="dxa"/>
            <w:vAlign w:val="center"/>
          </w:tcPr>
          <w:p w14:paraId="6AD99A8C">
            <w:pPr>
              <w:widowControl/>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1</w:t>
            </w:r>
            <w:r>
              <w:rPr>
                <w:rFonts w:ascii="宋体" w:hAnsi="宋体" w:eastAsia="宋体" w:cs="宋体"/>
                <w:kern w:val="0"/>
                <w:szCs w:val="21"/>
                <w:shd w:val="clear" w:color="auto" w:fill="FFFFFF"/>
              </w:rPr>
              <w:t>0</w:t>
            </w:r>
          </w:p>
        </w:tc>
        <w:tc>
          <w:tcPr>
            <w:tcW w:w="742" w:type="dxa"/>
            <w:vAlign w:val="center"/>
          </w:tcPr>
          <w:p w14:paraId="55DB61AF">
            <w:pPr>
              <w:widowControl/>
              <w:spacing w:line="360" w:lineRule="exact"/>
              <w:jc w:val="center"/>
              <w:rPr>
                <w:rFonts w:ascii="宋体" w:hAnsi="宋体" w:eastAsia="宋体" w:cs="宋体"/>
                <w:kern w:val="0"/>
                <w:szCs w:val="21"/>
                <w:shd w:val="clear" w:color="auto" w:fill="FFFFFF"/>
              </w:rPr>
            </w:pPr>
            <w:r>
              <w:rPr>
                <w:rFonts w:ascii="宋体" w:hAnsi="宋体" w:eastAsia="宋体" w:cs="宋体"/>
                <w:kern w:val="0"/>
                <w:szCs w:val="21"/>
                <w:shd w:val="clear" w:color="auto" w:fill="FFFFFF"/>
              </w:rPr>
              <w:t>8</w:t>
            </w:r>
          </w:p>
        </w:tc>
        <w:tc>
          <w:tcPr>
            <w:tcW w:w="1298" w:type="dxa"/>
            <w:gridSpan w:val="2"/>
            <w:vAlign w:val="center"/>
          </w:tcPr>
          <w:p w14:paraId="17ED2833">
            <w:pPr>
              <w:widowControl/>
              <w:spacing w:line="360" w:lineRule="exact"/>
              <w:jc w:val="right"/>
              <w:rPr>
                <w:rFonts w:ascii="宋体" w:hAnsi="宋体" w:eastAsia="宋体" w:cs="宋体"/>
                <w:kern w:val="0"/>
                <w:szCs w:val="21"/>
                <w:shd w:val="clear" w:color="auto" w:fill="FFFFFF"/>
              </w:rPr>
            </w:pPr>
          </w:p>
        </w:tc>
      </w:tr>
      <w:tr w14:paraId="02362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1787" w:type="dxa"/>
            <w:vMerge w:val="continue"/>
            <w:vAlign w:val="center"/>
          </w:tcPr>
          <w:p w14:paraId="72B5A366">
            <w:pPr>
              <w:widowControl/>
              <w:spacing w:line="360" w:lineRule="exact"/>
              <w:jc w:val="left"/>
              <w:rPr>
                <w:rFonts w:ascii="宋体" w:hAnsi="宋体" w:eastAsia="宋体" w:cs="宋体"/>
                <w:kern w:val="0"/>
                <w:szCs w:val="21"/>
                <w:shd w:val="clear" w:color="auto" w:fill="FFFFFF"/>
              </w:rPr>
            </w:pPr>
          </w:p>
        </w:tc>
        <w:tc>
          <w:tcPr>
            <w:tcW w:w="1080" w:type="dxa"/>
            <w:vAlign w:val="center"/>
          </w:tcPr>
          <w:p w14:paraId="71A5F7B6">
            <w:pPr>
              <w:widowControl/>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可持续影响指标</w:t>
            </w:r>
          </w:p>
        </w:tc>
        <w:tc>
          <w:tcPr>
            <w:tcW w:w="780" w:type="dxa"/>
            <w:vAlign w:val="center"/>
          </w:tcPr>
          <w:p w14:paraId="3656074E">
            <w:pPr>
              <w:widowControl/>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可持续影响指标</w:t>
            </w:r>
          </w:p>
        </w:tc>
        <w:tc>
          <w:tcPr>
            <w:tcW w:w="864" w:type="dxa"/>
            <w:vAlign w:val="center"/>
          </w:tcPr>
          <w:p w14:paraId="3988C218">
            <w:pPr>
              <w:widowControl/>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提升档案管理水平</w:t>
            </w:r>
          </w:p>
        </w:tc>
        <w:tc>
          <w:tcPr>
            <w:tcW w:w="792" w:type="dxa"/>
            <w:vAlign w:val="center"/>
          </w:tcPr>
          <w:p w14:paraId="515C5FEA">
            <w:pPr>
              <w:widowControl/>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效果明显</w:t>
            </w:r>
          </w:p>
        </w:tc>
        <w:tc>
          <w:tcPr>
            <w:tcW w:w="1106" w:type="dxa"/>
            <w:vAlign w:val="center"/>
          </w:tcPr>
          <w:p w14:paraId="6EEEAA93">
            <w:pPr>
              <w:widowControl/>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效果明显</w:t>
            </w:r>
          </w:p>
        </w:tc>
        <w:tc>
          <w:tcPr>
            <w:tcW w:w="750" w:type="dxa"/>
            <w:vAlign w:val="center"/>
          </w:tcPr>
          <w:p w14:paraId="10FABBD7">
            <w:pPr>
              <w:widowControl/>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1</w:t>
            </w:r>
            <w:r>
              <w:rPr>
                <w:rFonts w:ascii="宋体" w:hAnsi="宋体" w:eastAsia="宋体" w:cs="宋体"/>
                <w:kern w:val="0"/>
                <w:szCs w:val="21"/>
                <w:shd w:val="clear" w:color="auto" w:fill="FFFFFF"/>
              </w:rPr>
              <w:t>0</w:t>
            </w:r>
          </w:p>
        </w:tc>
        <w:tc>
          <w:tcPr>
            <w:tcW w:w="742" w:type="dxa"/>
            <w:vAlign w:val="center"/>
          </w:tcPr>
          <w:p w14:paraId="1E7BF6BE">
            <w:pPr>
              <w:widowControl/>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1</w:t>
            </w:r>
            <w:r>
              <w:rPr>
                <w:rFonts w:ascii="宋体" w:hAnsi="宋体" w:eastAsia="宋体" w:cs="宋体"/>
                <w:kern w:val="0"/>
                <w:szCs w:val="21"/>
                <w:shd w:val="clear" w:color="auto" w:fill="FFFFFF"/>
              </w:rPr>
              <w:t>0</w:t>
            </w:r>
          </w:p>
        </w:tc>
        <w:tc>
          <w:tcPr>
            <w:tcW w:w="1298" w:type="dxa"/>
            <w:gridSpan w:val="2"/>
            <w:vAlign w:val="center"/>
          </w:tcPr>
          <w:p w14:paraId="0E7902BC">
            <w:pPr>
              <w:widowControl/>
              <w:spacing w:line="360" w:lineRule="exact"/>
              <w:jc w:val="right"/>
              <w:rPr>
                <w:rFonts w:ascii="宋体" w:hAnsi="宋体" w:eastAsia="宋体" w:cs="宋体"/>
                <w:kern w:val="0"/>
                <w:szCs w:val="21"/>
                <w:shd w:val="clear" w:color="auto" w:fill="FFFFFF"/>
              </w:rPr>
            </w:pPr>
          </w:p>
        </w:tc>
      </w:tr>
      <w:tr w14:paraId="78F9A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jc w:val="center"/>
        </w:trPr>
        <w:tc>
          <w:tcPr>
            <w:tcW w:w="1787" w:type="dxa"/>
            <w:vMerge w:val="continue"/>
            <w:vAlign w:val="center"/>
          </w:tcPr>
          <w:p w14:paraId="6E55817D">
            <w:pPr>
              <w:widowControl/>
              <w:spacing w:line="360" w:lineRule="exact"/>
              <w:jc w:val="left"/>
              <w:rPr>
                <w:rFonts w:ascii="宋体" w:hAnsi="宋体" w:eastAsia="宋体" w:cs="宋体"/>
                <w:kern w:val="0"/>
                <w:szCs w:val="21"/>
                <w:shd w:val="clear" w:color="auto" w:fill="FFFFFF"/>
              </w:rPr>
            </w:pPr>
          </w:p>
        </w:tc>
        <w:tc>
          <w:tcPr>
            <w:tcW w:w="1080" w:type="dxa"/>
            <w:vAlign w:val="center"/>
          </w:tcPr>
          <w:p w14:paraId="70A8A13D">
            <w:pPr>
              <w:widowControl/>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满意度指指标</w:t>
            </w:r>
          </w:p>
          <w:p w14:paraId="606778F8">
            <w:pPr>
              <w:widowControl/>
              <w:spacing w:line="360" w:lineRule="exact"/>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（10分）</w:t>
            </w:r>
          </w:p>
        </w:tc>
        <w:tc>
          <w:tcPr>
            <w:tcW w:w="780" w:type="dxa"/>
            <w:vAlign w:val="center"/>
          </w:tcPr>
          <w:p w14:paraId="6AFE51BE">
            <w:pPr>
              <w:widowControl/>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服务对象满意度指标</w:t>
            </w:r>
          </w:p>
        </w:tc>
        <w:tc>
          <w:tcPr>
            <w:tcW w:w="864" w:type="dxa"/>
            <w:vAlign w:val="center"/>
          </w:tcPr>
          <w:p w14:paraId="5FB924A2">
            <w:pPr>
              <w:widowControl/>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社会公众满意度</w:t>
            </w:r>
          </w:p>
        </w:tc>
        <w:tc>
          <w:tcPr>
            <w:tcW w:w="792" w:type="dxa"/>
            <w:vAlign w:val="center"/>
          </w:tcPr>
          <w:p w14:paraId="5E9CD0A4">
            <w:pPr>
              <w:widowControl/>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9</w:t>
            </w:r>
            <w:r>
              <w:rPr>
                <w:rFonts w:ascii="宋体" w:hAnsi="宋体" w:eastAsia="宋体" w:cs="宋体"/>
                <w:kern w:val="0"/>
                <w:szCs w:val="21"/>
                <w:shd w:val="clear" w:color="auto" w:fill="FFFFFF"/>
              </w:rPr>
              <w:t>5</w:t>
            </w:r>
            <w:r>
              <w:rPr>
                <w:rFonts w:hint="eastAsia" w:ascii="宋体" w:hAnsi="宋体" w:eastAsia="宋体" w:cs="宋体"/>
                <w:kern w:val="0"/>
                <w:szCs w:val="21"/>
                <w:shd w:val="clear" w:color="auto" w:fill="FFFFFF"/>
              </w:rPr>
              <w:t>%</w:t>
            </w:r>
          </w:p>
        </w:tc>
        <w:tc>
          <w:tcPr>
            <w:tcW w:w="1106" w:type="dxa"/>
            <w:vAlign w:val="center"/>
          </w:tcPr>
          <w:p w14:paraId="4BCF37A8">
            <w:pPr>
              <w:widowControl/>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9</w:t>
            </w:r>
            <w:r>
              <w:rPr>
                <w:rFonts w:ascii="宋体" w:hAnsi="宋体" w:eastAsia="宋体" w:cs="宋体"/>
                <w:kern w:val="0"/>
                <w:szCs w:val="21"/>
                <w:shd w:val="clear" w:color="auto" w:fill="FFFFFF"/>
              </w:rPr>
              <w:t>5</w:t>
            </w:r>
            <w:r>
              <w:rPr>
                <w:rFonts w:hint="eastAsia" w:ascii="宋体" w:hAnsi="宋体" w:eastAsia="宋体" w:cs="宋体"/>
                <w:kern w:val="0"/>
                <w:szCs w:val="21"/>
                <w:shd w:val="clear" w:color="auto" w:fill="FFFFFF"/>
              </w:rPr>
              <w:t>%</w:t>
            </w:r>
          </w:p>
        </w:tc>
        <w:tc>
          <w:tcPr>
            <w:tcW w:w="750" w:type="dxa"/>
            <w:vAlign w:val="center"/>
          </w:tcPr>
          <w:p w14:paraId="59131D79">
            <w:pPr>
              <w:widowControl/>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1</w:t>
            </w:r>
            <w:r>
              <w:rPr>
                <w:rFonts w:ascii="宋体" w:hAnsi="宋体" w:eastAsia="宋体" w:cs="宋体"/>
                <w:kern w:val="0"/>
                <w:szCs w:val="21"/>
                <w:shd w:val="clear" w:color="auto" w:fill="FFFFFF"/>
              </w:rPr>
              <w:t>0</w:t>
            </w:r>
          </w:p>
        </w:tc>
        <w:tc>
          <w:tcPr>
            <w:tcW w:w="742" w:type="dxa"/>
            <w:vAlign w:val="center"/>
          </w:tcPr>
          <w:p w14:paraId="4E2A8BA7">
            <w:pPr>
              <w:widowControl/>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1</w:t>
            </w:r>
            <w:r>
              <w:rPr>
                <w:rFonts w:ascii="宋体" w:hAnsi="宋体" w:eastAsia="宋体" w:cs="宋体"/>
                <w:kern w:val="0"/>
                <w:szCs w:val="21"/>
                <w:shd w:val="clear" w:color="auto" w:fill="FFFFFF"/>
              </w:rPr>
              <w:t>0</w:t>
            </w:r>
          </w:p>
        </w:tc>
        <w:tc>
          <w:tcPr>
            <w:tcW w:w="1298" w:type="dxa"/>
            <w:gridSpan w:val="2"/>
            <w:vAlign w:val="center"/>
          </w:tcPr>
          <w:p w14:paraId="20BAB664">
            <w:pPr>
              <w:widowControl/>
              <w:spacing w:line="360" w:lineRule="exact"/>
              <w:jc w:val="right"/>
              <w:rPr>
                <w:rFonts w:ascii="宋体" w:hAnsi="宋体" w:eastAsia="宋体" w:cs="宋体"/>
                <w:kern w:val="0"/>
                <w:szCs w:val="21"/>
                <w:shd w:val="clear" w:color="auto" w:fill="FFFFFF"/>
              </w:rPr>
            </w:pPr>
          </w:p>
        </w:tc>
      </w:tr>
      <w:tr w14:paraId="770DB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6409" w:type="dxa"/>
            <w:gridSpan w:val="6"/>
            <w:vAlign w:val="center"/>
          </w:tcPr>
          <w:p w14:paraId="7DFBF9F4">
            <w:pPr>
              <w:widowControl/>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总分</w:t>
            </w:r>
          </w:p>
        </w:tc>
        <w:tc>
          <w:tcPr>
            <w:tcW w:w="750" w:type="dxa"/>
            <w:vAlign w:val="center"/>
          </w:tcPr>
          <w:p w14:paraId="5BE35136">
            <w:pPr>
              <w:widowControl/>
              <w:spacing w:line="360" w:lineRule="exact"/>
              <w:jc w:val="center"/>
              <w:rPr>
                <w:rFonts w:ascii="宋体" w:hAnsi="宋体" w:eastAsia="宋体" w:cs="宋体"/>
                <w:kern w:val="0"/>
                <w:szCs w:val="21"/>
                <w:shd w:val="clear" w:color="auto" w:fill="FFFFFF"/>
              </w:rPr>
            </w:pPr>
            <w:r>
              <w:rPr>
                <w:rFonts w:ascii="宋体" w:hAnsi="宋体" w:eastAsia="宋体" w:cs="宋体"/>
                <w:kern w:val="0"/>
                <w:szCs w:val="21"/>
                <w:shd w:val="clear" w:color="auto" w:fill="FFFFFF"/>
              </w:rPr>
              <w:t>1</w:t>
            </w:r>
            <w:r>
              <w:rPr>
                <w:rFonts w:hint="eastAsia" w:ascii="宋体" w:hAnsi="宋体" w:eastAsia="宋体" w:cs="宋体"/>
                <w:kern w:val="0"/>
                <w:szCs w:val="21"/>
                <w:shd w:val="clear" w:color="auto" w:fill="FFFFFF"/>
              </w:rPr>
              <w:t>00</w:t>
            </w:r>
          </w:p>
        </w:tc>
        <w:tc>
          <w:tcPr>
            <w:tcW w:w="742" w:type="dxa"/>
            <w:vAlign w:val="center"/>
          </w:tcPr>
          <w:p w14:paraId="69F84ECD">
            <w:pPr>
              <w:widowControl/>
              <w:spacing w:line="360" w:lineRule="exact"/>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98</w:t>
            </w:r>
          </w:p>
        </w:tc>
        <w:tc>
          <w:tcPr>
            <w:tcW w:w="1298" w:type="dxa"/>
            <w:gridSpan w:val="2"/>
            <w:vAlign w:val="center"/>
          </w:tcPr>
          <w:p w14:paraId="067042DD">
            <w:pPr>
              <w:widowControl/>
              <w:spacing w:line="360" w:lineRule="exact"/>
              <w:jc w:val="right"/>
              <w:rPr>
                <w:rFonts w:ascii="宋体" w:hAnsi="宋体" w:eastAsia="宋体" w:cs="宋体"/>
                <w:kern w:val="0"/>
                <w:szCs w:val="21"/>
                <w:shd w:val="clear" w:color="auto" w:fill="FFFFFF"/>
              </w:rPr>
            </w:pPr>
          </w:p>
        </w:tc>
      </w:tr>
    </w:tbl>
    <w:p w14:paraId="6AE7C017">
      <w:pPr>
        <w:spacing w:line="360" w:lineRule="exact"/>
        <w:ind w:right="82" w:rightChars="39"/>
        <w:jc w:val="left"/>
        <w:rPr>
          <w:rFonts w:ascii="宋体" w:hAnsi="宋体" w:eastAsia="宋体" w:cs="宋体"/>
          <w:kern w:val="0"/>
          <w:szCs w:val="21"/>
          <w:shd w:val="clear" w:color="auto" w:fill="FFFFFF"/>
        </w:rPr>
      </w:pPr>
      <w:r>
        <w:rPr>
          <w:rFonts w:ascii="宋体" w:hAnsi="宋体" w:eastAsia="宋体" w:cs="宋体"/>
          <w:kern w:val="0"/>
          <w:szCs w:val="21"/>
          <w:shd w:val="clear" w:color="auto" w:fill="FFFFFF"/>
        </w:rPr>
        <w:t>填表人：</w:t>
      </w:r>
      <w:r>
        <w:rPr>
          <w:rFonts w:hint="eastAsia" w:ascii="宋体" w:hAnsi="宋体" w:eastAsia="宋体" w:cs="宋体"/>
          <w:kern w:val="0"/>
          <w:szCs w:val="21"/>
          <w:shd w:val="clear" w:color="auto" w:fill="FFFFFF"/>
        </w:rPr>
        <w:t xml:space="preserve">钟娟    </w:t>
      </w:r>
      <w:r>
        <w:rPr>
          <w:rFonts w:ascii="宋体" w:hAnsi="宋体" w:eastAsia="宋体" w:cs="宋体"/>
          <w:kern w:val="0"/>
          <w:szCs w:val="21"/>
          <w:shd w:val="clear" w:color="auto" w:fill="FFFFFF"/>
        </w:rPr>
        <w:t xml:space="preserve">         填报日期：</w:t>
      </w:r>
      <w:r>
        <w:rPr>
          <w:rFonts w:hint="eastAsia" w:ascii="宋体" w:hAnsi="宋体" w:eastAsia="宋体" w:cs="宋体"/>
          <w:kern w:val="0"/>
          <w:szCs w:val="21"/>
          <w:shd w:val="clear" w:color="auto" w:fill="FFFFFF"/>
        </w:rPr>
        <w:t>2</w:t>
      </w:r>
      <w:r>
        <w:rPr>
          <w:rFonts w:ascii="宋体" w:hAnsi="宋体" w:eastAsia="宋体" w:cs="宋体"/>
          <w:kern w:val="0"/>
          <w:szCs w:val="21"/>
          <w:shd w:val="clear" w:color="auto" w:fill="FFFFFF"/>
        </w:rPr>
        <w:t>024</w:t>
      </w:r>
      <w:r>
        <w:rPr>
          <w:rFonts w:hint="eastAsia" w:ascii="宋体" w:hAnsi="宋体" w:eastAsia="宋体" w:cs="宋体"/>
          <w:kern w:val="0"/>
          <w:szCs w:val="21"/>
          <w:shd w:val="clear" w:color="auto" w:fill="FFFFFF"/>
        </w:rPr>
        <w:t>年6月6日</w:t>
      </w:r>
      <w:r>
        <w:rPr>
          <w:rFonts w:ascii="宋体" w:hAnsi="宋体" w:eastAsia="宋体" w:cs="宋体"/>
          <w:kern w:val="0"/>
          <w:szCs w:val="21"/>
          <w:shd w:val="clear" w:color="auto" w:fill="FFFFFF"/>
        </w:rPr>
        <w:t xml:space="preserve"> </w:t>
      </w:r>
      <w:r>
        <w:rPr>
          <w:rFonts w:hint="eastAsia" w:ascii="宋体" w:hAnsi="宋体" w:eastAsia="宋体" w:cs="宋体"/>
          <w:kern w:val="0"/>
          <w:szCs w:val="21"/>
          <w:shd w:val="clear" w:color="auto" w:fill="FFFFFF"/>
        </w:rPr>
        <w:t xml:space="preserve">  </w:t>
      </w:r>
      <w:r>
        <w:rPr>
          <w:rFonts w:ascii="宋体" w:hAnsi="宋体" w:eastAsia="宋体" w:cs="宋体"/>
          <w:kern w:val="0"/>
          <w:szCs w:val="21"/>
          <w:shd w:val="clear" w:color="auto" w:fill="FFFFFF"/>
        </w:rPr>
        <w:t xml:space="preserve">     </w:t>
      </w:r>
      <w:r>
        <w:rPr>
          <w:rFonts w:hint="eastAsia" w:ascii="宋体" w:hAnsi="宋体" w:eastAsia="宋体" w:cs="宋体"/>
          <w:kern w:val="0"/>
          <w:szCs w:val="21"/>
          <w:shd w:val="clear" w:color="auto" w:fill="FFFFFF"/>
        </w:rPr>
        <w:t xml:space="preserve"> </w:t>
      </w:r>
      <w:r>
        <w:rPr>
          <w:rFonts w:ascii="宋体" w:hAnsi="宋体" w:eastAsia="宋体" w:cs="宋体"/>
          <w:kern w:val="0"/>
          <w:szCs w:val="21"/>
          <w:shd w:val="clear" w:color="auto" w:fill="FFFFFF"/>
        </w:rPr>
        <w:t>联系电话13397459782</w:t>
      </w:r>
    </w:p>
    <w:p w14:paraId="751820A0">
      <w:pPr>
        <w:widowControl/>
        <w:spacing w:line="360" w:lineRule="exact"/>
        <w:jc w:val="left"/>
        <w:rPr>
          <w:rFonts w:ascii="宋体" w:hAnsi="宋体" w:eastAsia="宋体" w:cs="宋体"/>
          <w:kern w:val="0"/>
          <w:szCs w:val="21"/>
          <w:shd w:val="clear" w:color="auto" w:fill="FFFFFF"/>
        </w:rPr>
      </w:pPr>
    </w:p>
    <w:p w14:paraId="09575F7E">
      <w:pPr>
        <w:widowControl/>
        <w:jc w:val="left"/>
        <w:rPr>
          <w:rFonts w:ascii="宋体" w:hAnsi="宋体" w:eastAsia="宋体" w:cs="宋体"/>
          <w:kern w:val="0"/>
          <w:sz w:val="18"/>
          <w:szCs w:val="18"/>
          <w:shd w:val="clear" w:color="auto" w:fill="FFFFFF"/>
        </w:rPr>
      </w:pPr>
    </w:p>
    <w:p w14:paraId="3B678F6A">
      <w:pPr>
        <w:widowControl/>
        <w:jc w:val="left"/>
        <w:rPr>
          <w:rFonts w:ascii="宋体" w:hAnsi="宋体" w:eastAsia="宋体" w:cs="宋体"/>
          <w:kern w:val="0"/>
          <w:sz w:val="28"/>
          <w:szCs w:val="28"/>
          <w:shd w:val="clear" w:color="auto" w:fill="FFFFFF"/>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0000000000000000000"/>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等线 Light">
    <w:altName w:val="宋体"/>
    <w:panose1 w:val="00000000000000000000"/>
    <w:charset w:val="86"/>
    <w:family w:val="auto"/>
    <w:pitch w:val="default"/>
    <w:sig w:usb0="00000000" w:usb1="00000000" w:usb2="00000016" w:usb3="00000000" w:csb0="0004000F" w:csb1="00000000"/>
  </w:font>
  <w:font w:name="微软雅黑">
    <w:panose1 w:val="020B0503020204020204"/>
    <w:charset w:val="86"/>
    <w:family w:val="swiss"/>
    <w:pitch w:val="default"/>
    <w:sig w:usb0="80000287" w:usb1="280F3C52" w:usb2="00000016" w:usb3="00000000" w:csb0="0004001F" w:csb1="00000000"/>
  </w:font>
  <w:font w:name="DLF-3-0-1061508550+ZLTFEy-360">
    <w:altName w:val="Cambria"/>
    <w:panose1 w:val="00000000000000000000"/>
    <w:charset w:val="00"/>
    <w:family w:val="roman"/>
    <w:pitch w:val="default"/>
    <w:sig w:usb0="00000000" w:usb1="00000000" w:usb2="00000000" w:usb3="00000000" w:csb0="00000000" w:csb1="00000000"/>
  </w:font>
  <w:font w:name="方正仿宋简体">
    <w:panose1 w:val="02010601030101010101"/>
    <w:charset w:val="86"/>
    <w:family w:val="auto"/>
    <w:pitch w:val="default"/>
    <w:sig w:usb0="00000001" w:usb1="080E0000" w:usb2="0000000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Cambria">
    <w:panose1 w:val="02040503050406030204"/>
    <w:charset w:val="00"/>
    <w:family w:val="auto"/>
    <w:pitch w:val="default"/>
    <w:sig w:usb0="E00002FF" w:usb1="400004FF" w:usb2="00000000" w:usb3="00000000" w:csb0="2000019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85771975"/>
      <w:docPartObj>
        <w:docPartGallery w:val="AutoText"/>
      </w:docPartObj>
    </w:sdtPr>
    <w:sdtEndPr>
      <w:rPr>
        <w:rFonts w:ascii="Times New Roman" w:hAnsi="Times New Roman" w:cs="Times New Roman"/>
      </w:rPr>
    </w:sdtEndPr>
    <w:sdtContent>
      <w:p w14:paraId="74D8F878">
        <w:pPr>
          <w:pStyle w:val="14"/>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27</w:t>
        </w:r>
        <w:r>
          <w:rPr>
            <w:rFonts w:ascii="Times New Roman" w:hAnsi="Times New Roman" w:cs="Times New Roman"/>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hideSpellingErrors/>
  <w:documentProtection w:enforcement="0"/>
  <w:defaultTabStop w:val="420"/>
  <w:drawingGridHorizontalSpacing w:val="18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jNlMjRiY2VmNjVhYWZiZDVhMWNlZWZlNTJiMTM5YjcifQ=="/>
  </w:docVars>
  <w:rsids>
    <w:rsidRoot w:val="000444D6"/>
    <w:rsid w:val="000000E6"/>
    <w:rsid w:val="000001A6"/>
    <w:rsid w:val="00000F4E"/>
    <w:rsid w:val="00000F50"/>
    <w:rsid w:val="0000100A"/>
    <w:rsid w:val="00001614"/>
    <w:rsid w:val="00002995"/>
    <w:rsid w:val="00002FB6"/>
    <w:rsid w:val="000034F0"/>
    <w:rsid w:val="00003F09"/>
    <w:rsid w:val="0000532B"/>
    <w:rsid w:val="000058D0"/>
    <w:rsid w:val="00007088"/>
    <w:rsid w:val="000075AE"/>
    <w:rsid w:val="00007666"/>
    <w:rsid w:val="00007E74"/>
    <w:rsid w:val="00010441"/>
    <w:rsid w:val="00010AAF"/>
    <w:rsid w:val="00011C8D"/>
    <w:rsid w:val="0001239D"/>
    <w:rsid w:val="0001251D"/>
    <w:rsid w:val="00012F21"/>
    <w:rsid w:val="00012F55"/>
    <w:rsid w:val="00013F83"/>
    <w:rsid w:val="000143A5"/>
    <w:rsid w:val="0001514A"/>
    <w:rsid w:val="000155A4"/>
    <w:rsid w:val="00015DB2"/>
    <w:rsid w:val="00016BD1"/>
    <w:rsid w:val="0001726E"/>
    <w:rsid w:val="0001749E"/>
    <w:rsid w:val="00017A25"/>
    <w:rsid w:val="00017A67"/>
    <w:rsid w:val="00017F83"/>
    <w:rsid w:val="00020E17"/>
    <w:rsid w:val="00021524"/>
    <w:rsid w:val="0002380D"/>
    <w:rsid w:val="00024953"/>
    <w:rsid w:val="00024C19"/>
    <w:rsid w:val="00024E55"/>
    <w:rsid w:val="00024EC5"/>
    <w:rsid w:val="00025855"/>
    <w:rsid w:val="000264B2"/>
    <w:rsid w:val="00027B50"/>
    <w:rsid w:val="00027CBD"/>
    <w:rsid w:val="000312DC"/>
    <w:rsid w:val="000315E9"/>
    <w:rsid w:val="00033C09"/>
    <w:rsid w:val="00033E5A"/>
    <w:rsid w:val="0003508D"/>
    <w:rsid w:val="00036493"/>
    <w:rsid w:val="0003652E"/>
    <w:rsid w:val="00036B19"/>
    <w:rsid w:val="0003700A"/>
    <w:rsid w:val="00037DFC"/>
    <w:rsid w:val="00040116"/>
    <w:rsid w:val="00040735"/>
    <w:rsid w:val="000407E6"/>
    <w:rsid w:val="0004274C"/>
    <w:rsid w:val="0004296C"/>
    <w:rsid w:val="00042A57"/>
    <w:rsid w:val="00042DD6"/>
    <w:rsid w:val="00042EEC"/>
    <w:rsid w:val="000431EA"/>
    <w:rsid w:val="000444D6"/>
    <w:rsid w:val="0004489F"/>
    <w:rsid w:val="0004577C"/>
    <w:rsid w:val="000460D1"/>
    <w:rsid w:val="000468A2"/>
    <w:rsid w:val="00046D79"/>
    <w:rsid w:val="00047101"/>
    <w:rsid w:val="00047C8C"/>
    <w:rsid w:val="000514EB"/>
    <w:rsid w:val="0005291D"/>
    <w:rsid w:val="0005304D"/>
    <w:rsid w:val="00053356"/>
    <w:rsid w:val="0005424B"/>
    <w:rsid w:val="00054851"/>
    <w:rsid w:val="00054986"/>
    <w:rsid w:val="00054F46"/>
    <w:rsid w:val="000555FB"/>
    <w:rsid w:val="00056C5D"/>
    <w:rsid w:val="00056D19"/>
    <w:rsid w:val="000612C8"/>
    <w:rsid w:val="0006133F"/>
    <w:rsid w:val="00062A8B"/>
    <w:rsid w:val="00063605"/>
    <w:rsid w:val="0006410F"/>
    <w:rsid w:val="00064155"/>
    <w:rsid w:val="00064793"/>
    <w:rsid w:val="00066433"/>
    <w:rsid w:val="00066F3E"/>
    <w:rsid w:val="00071096"/>
    <w:rsid w:val="00071305"/>
    <w:rsid w:val="00071F30"/>
    <w:rsid w:val="00073086"/>
    <w:rsid w:val="0007369A"/>
    <w:rsid w:val="00074188"/>
    <w:rsid w:val="000747B6"/>
    <w:rsid w:val="00074C51"/>
    <w:rsid w:val="000754AB"/>
    <w:rsid w:val="00075684"/>
    <w:rsid w:val="00075EE1"/>
    <w:rsid w:val="00076D96"/>
    <w:rsid w:val="0007700F"/>
    <w:rsid w:val="00077F3E"/>
    <w:rsid w:val="00082EF3"/>
    <w:rsid w:val="00083EBE"/>
    <w:rsid w:val="00083F5F"/>
    <w:rsid w:val="00085062"/>
    <w:rsid w:val="00085D3C"/>
    <w:rsid w:val="0008638C"/>
    <w:rsid w:val="00087092"/>
    <w:rsid w:val="000879C0"/>
    <w:rsid w:val="0009003E"/>
    <w:rsid w:val="00090534"/>
    <w:rsid w:val="00091055"/>
    <w:rsid w:val="00091300"/>
    <w:rsid w:val="0009233A"/>
    <w:rsid w:val="0009251B"/>
    <w:rsid w:val="00092654"/>
    <w:rsid w:val="000932B5"/>
    <w:rsid w:val="00093504"/>
    <w:rsid w:val="00093D91"/>
    <w:rsid w:val="00095B80"/>
    <w:rsid w:val="00095B8E"/>
    <w:rsid w:val="00095BBB"/>
    <w:rsid w:val="000962E2"/>
    <w:rsid w:val="00097CA7"/>
    <w:rsid w:val="00097F54"/>
    <w:rsid w:val="000A066E"/>
    <w:rsid w:val="000A1902"/>
    <w:rsid w:val="000A2743"/>
    <w:rsid w:val="000A2FAF"/>
    <w:rsid w:val="000A3C2A"/>
    <w:rsid w:val="000A4F87"/>
    <w:rsid w:val="000A52A8"/>
    <w:rsid w:val="000A546B"/>
    <w:rsid w:val="000A5482"/>
    <w:rsid w:val="000A596F"/>
    <w:rsid w:val="000A6B24"/>
    <w:rsid w:val="000A7EBA"/>
    <w:rsid w:val="000B3CE4"/>
    <w:rsid w:val="000B4DD5"/>
    <w:rsid w:val="000B4FC4"/>
    <w:rsid w:val="000B52E9"/>
    <w:rsid w:val="000B5520"/>
    <w:rsid w:val="000B64C1"/>
    <w:rsid w:val="000B72E5"/>
    <w:rsid w:val="000C072F"/>
    <w:rsid w:val="000C10BE"/>
    <w:rsid w:val="000C207E"/>
    <w:rsid w:val="000C21D1"/>
    <w:rsid w:val="000C3997"/>
    <w:rsid w:val="000C5778"/>
    <w:rsid w:val="000C6BA2"/>
    <w:rsid w:val="000C6CAA"/>
    <w:rsid w:val="000C7142"/>
    <w:rsid w:val="000C79A2"/>
    <w:rsid w:val="000C79D5"/>
    <w:rsid w:val="000C7D5A"/>
    <w:rsid w:val="000D0985"/>
    <w:rsid w:val="000D0B9D"/>
    <w:rsid w:val="000D2F37"/>
    <w:rsid w:val="000D3F8E"/>
    <w:rsid w:val="000D425B"/>
    <w:rsid w:val="000D4C92"/>
    <w:rsid w:val="000D5CBA"/>
    <w:rsid w:val="000D5DD9"/>
    <w:rsid w:val="000D67E9"/>
    <w:rsid w:val="000D6BBF"/>
    <w:rsid w:val="000D6C30"/>
    <w:rsid w:val="000E0641"/>
    <w:rsid w:val="000E0669"/>
    <w:rsid w:val="000E08B9"/>
    <w:rsid w:val="000E2136"/>
    <w:rsid w:val="000E2A0C"/>
    <w:rsid w:val="000E3EE0"/>
    <w:rsid w:val="000E4436"/>
    <w:rsid w:val="000E764F"/>
    <w:rsid w:val="000F03D5"/>
    <w:rsid w:val="000F0503"/>
    <w:rsid w:val="000F0B1D"/>
    <w:rsid w:val="000F1BF7"/>
    <w:rsid w:val="000F1CF8"/>
    <w:rsid w:val="000F2211"/>
    <w:rsid w:val="000F35D2"/>
    <w:rsid w:val="000F3768"/>
    <w:rsid w:val="000F440C"/>
    <w:rsid w:val="000F44D6"/>
    <w:rsid w:val="000F45C6"/>
    <w:rsid w:val="000F5156"/>
    <w:rsid w:val="000F53EA"/>
    <w:rsid w:val="000F554E"/>
    <w:rsid w:val="000F5645"/>
    <w:rsid w:val="000F665E"/>
    <w:rsid w:val="000F7A3D"/>
    <w:rsid w:val="000F7F10"/>
    <w:rsid w:val="00100088"/>
    <w:rsid w:val="00101B65"/>
    <w:rsid w:val="001029D1"/>
    <w:rsid w:val="00103FE0"/>
    <w:rsid w:val="0010449F"/>
    <w:rsid w:val="001058EB"/>
    <w:rsid w:val="00105D9F"/>
    <w:rsid w:val="00106CD6"/>
    <w:rsid w:val="00110134"/>
    <w:rsid w:val="001109CA"/>
    <w:rsid w:val="00110F68"/>
    <w:rsid w:val="001120B4"/>
    <w:rsid w:val="0011252C"/>
    <w:rsid w:val="00112646"/>
    <w:rsid w:val="001129C8"/>
    <w:rsid w:val="00112FDC"/>
    <w:rsid w:val="001139B7"/>
    <w:rsid w:val="00113C14"/>
    <w:rsid w:val="00114994"/>
    <w:rsid w:val="00114ACE"/>
    <w:rsid w:val="00114E44"/>
    <w:rsid w:val="00115FD8"/>
    <w:rsid w:val="001161C1"/>
    <w:rsid w:val="001169E8"/>
    <w:rsid w:val="00117336"/>
    <w:rsid w:val="001209B7"/>
    <w:rsid w:val="00120EAF"/>
    <w:rsid w:val="001229C2"/>
    <w:rsid w:val="00123CA7"/>
    <w:rsid w:val="001248D7"/>
    <w:rsid w:val="001274C3"/>
    <w:rsid w:val="00127AEB"/>
    <w:rsid w:val="001302DA"/>
    <w:rsid w:val="00131040"/>
    <w:rsid w:val="00131842"/>
    <w:rsid w:val="001321CD"/>
    <w:rsid w:val="001333B7"/>
    <w:rsid w:val="00133B95"/>
    <w:rsid w:val="00135631"/>
    <w:rsid w:val="0013598D"/>
    <w:rsid w:val="00135E31"/>
    <w:rsid w:val="00135F75"/>
    <w:rsid w:val="00136B16"/>
    <w:rsid w:val="001371A9"/>
    <w:rsid w:val="00137F18"/>
    <w:rsid w:val="0014027C"/>
    <w:rsid w:val="001411A7"/>
    <w:rsid w:val="001415F5"/>
    <w:rsid w:val="00141D9B"/>
    <w:rsid w:val="001432A4"/>
    <w:rsid w:val="00143907"/>
    <w:rsid w:val="00146A8B"/>
    <w:rsid w:val="00147E2F"/>
    <w:rsid w:val="00151CE1"/>
    <w:rsid w:val="00151F19"/>
    <w:rsid w:val="001526C7"/>
    <w:rsid w:val="00152CD9"/>
    <w:rsid w:val="00152F4D"/>
    <w:rsid w:val="001543D6"/>
    <w:rsid w:val="00154CB1"/>
    <w:rsid w:val="00155094"/>
    <w:rsid w:val="0015732A"/>
    <w:rsid w:val="0015761C"/>
    <w:rsid w:val="00160F1C"/>
    <w:rsid w:val="00163065"/>
    <w:rsid w:val="00163272"/>
    <w:rsid w:val="00163709"/>
    <w:rsid w:val="00165FB4"/>
    <w:rsid w:val="001665B3"/>
    <w:rsid w:val="001679EF"/>
    <w:rsid w:val="00167B59"/>
    <w:rsid w:val="00167D27"/>
    <w:rsid w:val="00170145"/>
    <w:rsid w:val="00170D85"/>
    <w:rsid w:val="0017186F"/>
    <w:rsid w:val="00172561"/>
    <w:rsid w:val="001727DF"/>
    <w:rsid w:val="00173411"/>
    <w:rsid w:val="00173683"/>
    <w:rsid w:val="00173FED"/>
    <w:rsid w:val="00174B83"/>
    <w:rsid w:val="001758B8"/>
    <w:rsid w:val="00176781"/>
    <w:rsid w:val="0017683E"/>
    <w:rsid w:val="001769A5"/>
    <w:rsid w:val="0018032C"/>
    <w:rsid w:val="0018096A"/>
    <w:rsid w:val="00180ED3"/>
    <w:rsid w:val="00182D9C"/>
    <w:rsid w:val="00183BBB"/>
    <w:rsid w:val="00185D78"/>
    <w:rsid w:val="00186404"/>
    <w:rsid w:val="00186652"/>
    <w:rsid w:val="00186ADC"/>
    <w:rsid w:val="00186C7B"/>
    <w:rsid w:val="00186F5C"/>
    <w:rsid w:val="001872DD"/>
    <w:rsid w:val="0019012F"/>
    <w:rsid w:val="00190E7F"/>
    <w:rsid w:val="001913E6"/>
    <w:rsid w:val="00191989"/>
    <w:rsid w:val="001935AC"/>
    <w:rsid w:val="00194362"/>
    <w:rsid w:val="001A0069"/>
    <w:rsid w:val="001A0F77"/>
    <w:rsid w:val="001A107D"/>
    <w:rsid w:val="001A170C"/>
    <w:rsid w:val="001A187C"/>
    <w:rsid w:val="001A2F7B"/>
    <w:rsid w:val="001A3E4D"/>
    <w:rsid w:val="001A5B4F"/>
    <w:rsid w:val="001A674F"/>
    <w:rsid w:val="001A6CAE"/>
    <w:rsid w:val="001A7274"/>
    <w:rsid w:val="001A78AA"/>
    <w:rsid w:val="001B00D0"/>
    <w:rsid w:val="001B00FB"/>
    <w:rsid w:val="001B08AC"/>
    <w:rsid w:val="001B097A"/>
    <w:rsid w:val="001B1897"/>
    <w:rsid w:val="001B1E19"/>
    <w:rsid w:val="001B1E96"/>
    <w:rsid w:val="001B2E5D"/>
    <w:rsid w:val="001B4209"/>
    <w:rsid w:val="001B6215"/>
    <w:rsid w:val="001B70C5"/>
    <w:rsid w:val="001B727B"/>
    <w:rsid w:val="001C079B"/>
    <w:rsid w:val="001C0ADD"/>
    <w:rsid w:val="001C0B99"/>
    <w:rsid w:val="001C1CD5"/>
    <w:rsid w:val="001C2B46"/>
    <w:rsid w:val="001C3B31"/>
    <w:rsid w:val="001C4BD0"/>
    <w:rsid w:val="001C4F02"/>
    <w:rsid w:val="001C51AD"/>
    <w:rsid w:val="001C5A48"/>
    <w:rsid w:val="001C666A"/>
    <w:rsid w:val="001C6798"/>
    <w:rsid w:val="001C6C61"/>
    <w:rsid w:val="001C78BA"/>
    <w:rsid w:val="001C7F0F"/>
    <w:rsid w:val="001D0529"/>
    <w:rsid w:val="001D0F5D"/>
    <w:rsid w:val="001D1872"/>
    <w:rsid w:val="001D19CB"/>
    <w:rsid w:val="001D2819"/>
    <w:rsid w:val="001D2EE0"/>
    <w:rsid w:val="001D3E88"/>
    <w:rsid w:val="001D6A7A"/>
    <w:rsid w:val="001E0230"/>
    <w:rsid w:val="001E07BF"/>
    <w:rsid w:val="001E1930"/>
    <w:rsid w:val="001E39DD"/>
    <w:rsid w:val="001E3EF1"/>
    <w:rsid w:val="001E45D3"/>
    <w:rsid w:val="001E477E"/>
    <w:rsid w:val="001E4D56"/>
    <w:rsid w:val="001E5EB9"/>
    <w:rsid w:val="001E6391"/>
    <w:rsid w:val="001F04FF"/>
    <w:rsid w:val="001F293C"/>
    <w:rsid w:val="001F3CEC"/>
    <w:rsid w:val="001F567D"/>
    <w:rsid w:val="001F5D4B"/>
    <w:rsid w:val="001F7480"/>
    <w:rsid w:val="001F7686"/>
    <w:rsid w:val="001F7B4E"/>
    <w:rsid w:val="001F7CC6"/>
    <w:rsid w:val="00200607"/>
    <w:rsid w:val="002011E0"/>
    <w:rsid w:val="0020218D"/>
    <w:rsid w:val="00202F81"/>
    <w:rsid w:val="0020358A"/>
    <w:rsid w:val="00204284"/>
    <w:rsid w:val="00206099"/>
    <w:rsid w:val="0020740C"/>
    <w:rsid w:val="0021069B"/>
    <w:rsid w:val="00210A6A"/>
    <w:rsid w:val="00210EA2"/>
    <w:rsid w:val="002112AF"/>
    <w:rsid w:val="00212E6F"/>
    <w:rsid w:val="00214015"/>
    <w:rsid w:val="0021402B"/>
    <w:rsid w:val="002145E7"/>
    <w:rsid w:val="00215BE3"/>
    <w:rsid w:val="00220429"/>
    <w:rsid w:val="00220638"/>
    <w:rsid w:val="00221165"/>
    <w:rsid w:val="002211B7"/>
    <w:rsid w:val="002218FB"/>
    <w:rsid w:val="002226ED"/>
    <w:rsid w:val="00222E8B"/>
    <w:rsid w:val="00222FD4"/>
    <w:rsid w:val="00223256"/>
    <w:rsid w:val="00223547"/>
    <w:rsid w:val="002243C7"/>
    <w:rsid w:val="002243FA"/>
    <w:rsid w:val="00225DA0"/>
    <w:rsid w:val="00226167"/>
    <w:rsid w:val="00226177"/>
    <w:rsid w:val="00226B6D"/>
    <w:rsid w:val="00227DED"/>
    <w:rsid w:val="002300E3"/>
    <w:rsid w:val="00231E5E"/>
    <w:rsid w:val="0023229C"/>
    <w:rsid w:val="0023321A"/>
    <w:rsid w:val="00234435"/>
    <w:rsid w:val="00234816"/>
    <w:rsid w:val="002366C2"/>
    <w:rsid w:val="00241D95"/>
    <w:rsid w:val="002423A1"/>
    <w:rsid w:val="00244353"/>
    <w:rsid w:val="00244B4C"/>
    <w:rsid w:val="00244C03"/>
    <w:rsid w:val="00244D2F"/>
    <w:rsid w:val="002454FB"/>
    <w:rsid w:val="00246D7D"/>
    <w:rsid w:val="00247507"/>
    <w:rsid w:val="00247AB3"/>
    <w:rsid w:val="00247B2F"/>
    <w:rsid w:val="0025027C"/>
    <w:rsid w:val="0025046B"/>
    <w:rsid w:val="00250FA4"/>
    <w:rsid w:val="002512B4"/>
    <w:rsid w:val="00253055"/>
    <w:rsid w:val="00253776"/>
    <w:rsid w:val="00253D3D"/>
    <w:rsid w:val="00254A1F"/>
    <w:rsid w:val="00254F58"/>
    <w:rsid w:val="0025550F"/>
    <w:rsid w:val="00256801"/>
    <w:rsid w:val="00257200"/>
    <w:rsid w:val="0025728F"/>
    <w:rsid w:val="00257F37"/>
    <w:rsid w:val="00260CF7"/>
    <w:rsid w:val="00260DFB"/>
    <w:rsid w:val="002612BC"/>
    <w:rsid w:val="002633D9"/>
    <w:rsid w:val="0026430E"/>
    <w:rsid w:val="00264B00"/>
    <w:rsid w:val="00266083"/>
    <w:rsid w:val="002668B6"/>
    <w:rsid w:val="00266AD9"/>
    <w:rsid w:val="00267851"/>
    <w:rsid w:val="0026798B"/>
    <w:rsid w:val="00267FBD"/>
    <w:rsid w:val="00270206"/>
    <w:rsid w:val="0027072C"/>
    <w:rsid w:val="00271B1B"/>
    <w:rsid w:val="00271B3D"/>
    <w:rsid w:val="002724D4"/>
    <w:rsid w:val="00272B70"/>
    <w:rsid w:val="002730C7"/>
    <w:rsid w:val="00274265"/>
    <w:rsid w:val="00275405"/>
    <w:rsid w:val="0027713B"/>
    <w:rsid w:val="00281777"/>
    <w:rsid w:val="00281818"/>
    <w:rsid w:val="00283BE3"/>
    <w:rsid w:val="0028525A"/>
    <w:rsid w:val="002860BC"/>
    <w:rsid w:val="00286685"/>
    <w:rsid w:val="002869C7"/>
    <w:rsid w:val="0028788A"/>
    <w:rsid w:val="00287920"/>
    <w:rsid w:val="002916B8"/>
    <w:rsid w:val="002919DA"/>
    <w:rsid w:val="0029247E"/>
    <w:rsid w:val="00293E3D"/>
    <w:rsid w:val="002942B2"/>
    <w:rsid w:val="0029471A"/>
    <w:rsid w:val="00295BB9"/>
    <w:rsid w:val="002963E6"/>
    <w:rsid w:val="00296FC0"/>
    <w:rsid w:val="002A15DA"/>
    <w:rsid w:val="002A2130"/>
    <w:rsid w:val="002A2E26"/>
    <w:rsid w:val="002A4BF9"/>
    <w:rsid w:val="002A5165"/>
    <w:rsid w:val="002A5C09"/>
    <w:rsid w:val="002A68F1"/>
    <w:rsid w:val="002B0961"/>
    <w:rsid w:val="002B2BBA"/>
    <w:rsid w:val="002B45E8"/>
    <w:rsid w:val="002B5ADF"/>
    <w:rsid w:val="002B5F28"/>
    <w:rsid w:val="002B67D4"/>
    <w:rsid w:val="002B6891"/>
    <w:rsid w:val="002B6BA2"/>
    <w:rsid w:val="002B77F4"/>
    <w:rsid w:val="002B798F"/>
    <w:rsid w:val="002C189A"/>
    <w:rsid w:val="002C3A5B"/>
    <w:rsid w:val="002C4531"/>
    <w:rsid w:val="002C543D"/>
    <w:rsid w:val="002C6060"/>
    <w:rsid w:val="002C6359"/>
    <w:rsid w:val="002C6820"/>
    <w:rsid w:val="002C6D69"/>
    <w:rsid w:val="002C7019"/>
    <w:rsid w:val="002C775A"/>
    <w:rsid w:val="002D08FB"/>
    <w:rsid w:val="002D0A5A"/>
    <w:rsid w:val="002D0D87"/>
    <w:rsid w:val="002D0DBA"/>
    <w:rsid w:val="002D265E"/>
    <w:rsid w:val="002D288A"/>
    <w:rsid w:val="002D3552"/>
    <w:rsid w:val="002D39D5"/>
    <w:rsid w:val="002D42BE"/>
    <w:rsid w:val="002D438A"/>
    <w:rsid w:val="002D560D"/>
    <w:rsid w:val="002D5B46"/>
    <w:rsid w:val="002D6FF6"/>
    <w:rsid w:val="002D77A9"/>
    <w:rsid w:val="002E1770"/>
    <w:rsid w:val="002E26FB"/>
    <w:rsid w:val="002E44ED"/>
    <w:rsid w:val="002E6CBC"/>
    <w:rsid w:val="002E730F"/>
    <w:rsid w:val="002E77FA"/>
    <w:rsid w:val="002E7E1F"/>
    <w:rsid w:val="002F1699"/>
    <w:rsid w:val="002F1BDA"/>
    <w:rsid w:val="002F2190"/>
    <w:rsid w:val="002F2745"/>
    <w:rsid w:val="002F2B8E"/>
    <w:rsid w:val="002F3764"/>
    <w:rsid w:val="002F41A8"/>
    <w:rsid w:val="002F58C7"/>
    <w:rsid w:val="002F5D8A"/>
    <w:rsid w:val="002F666D"/>
    <w:rsid w:val="002F7372"/>
    <w:rsid w:val="00300832"/>
    <w:rsid w:val="00301A72"/>
    <w:rsid w:val="003042D9"/>
    <w:rsid w:val="00304DB3"/>
    <w:rsid w:val="003057CA"/>
    <w:rsid w:val="00306561"/>
    <w:rsid w:val="003072AC"/>
    <w:rsid w:val="00307647"/>
    <w:rsid w:val="00307F5D"/>
    <w:rsid w:val="00310688"/>
    <w:rsid w:val="00311BEE"/>
    <w:rsid w:val="003127C8"/>
    <w:rsid w:val="00312A57"/>
    <w:rsid w:val="00314821"/>
    <w:rsid w:val="00315044"/>
    <w:rsid w:val="00315E77"/>
    <w:rsid w:val="003163C3"/>
    <w:rsid w:val="0031715B"/>
    <w:rsid w:val="00320703"/>
    <w:rsid w:val="00320FC5"/>
    <w:rsid w:val="003213E5"/>
    <w:rsid w:val="00321CFF"/>
    <w:rsid w:val="0032254D"/>
    <w:rsid w:val="00322942"/>
    <w:rsid w:val="00323B83"/>
    <w:rsid w:val="003244AC"/>
    <w:rsid w:val="003251DF"/>
    <w:rsid w:val="00325318"/>
    <w:rsid w:val="0032532C"/>
    <w:rsid w:val="00325486"/>
    <w:rsid w:val="00326C57"/>
    <w:rsid w:val="00326CD5"/>
    <w:rsid w:val="003271E6"/>
    <w:rsid w:val="00327F9F"/>
    <w:rsid w:val="0033060E"/>
    <w:rsid w:val="00330794"/>
    <w:rsid w:val="00332341"/>
    <w:rsid w:val="0033249D"/>
    <w:rsid w:val="00333CEC"/>
    <w:rsid w:val="00333E4C"/>
    <w:rsid w:val="00334344"/>
    <w:rsid w:val="00334F83"/>
    <w:rsid w:val="00336057"/>
    <w:rsid w:val="003364D1"/>
    <w:rsid w:val="003365A8"/>
    <w:rsid w:val="00336F48"/>
    <w:rsid w:val="00337244"/>
    <w:rsid w:val="003373E4"/>
    <w:rsid w:val="00337743"/>
    <w:rsid w:val="003378F7"/>
    <w:rsid w:val="00337B18"/>
    <w:rsid w:val="00340C55"/>
    <w:rsid w:val="00341C02"/>
    <w:rsid w:val="00344339"/>
    <w:rsid w:val="0034475D"/>
    <w:rsid w:val="00344D9C"/>
    <w:rsid w:val="003455F5"/>
    <w:rsid w:val="003456D8"/>
    <w:rsid w:val="003469EC"/>
    <w:rsid w:val="003472D4"/>
    <w:rsid w:val="00347466"/>
    <w:rsid w:val="00347BE5"/>
    <w:rsid w:val="003503E8"/>
    <w:rsid w:val="003510C7"/>
    <w:rsid w:val="00351CEC"/>
    <w:rsid w:val="00352131"/>
    <w:rsid w:val="003524FD"/>
    <w:rsid w:val="003558E5"/>
    <w:rsid w:val="00355F99"/>
    <w:rsid w:val="00356514"/>
    <w:rsid w:val="003565E7"/>
    <w:rsid w:val="003565F6"/>
    <w:rsid w:val="003573C2"/>
    <w:rsid w:val="003578F2"/>
    <w:rsid w:val="00360FF1"/>
    <w:rsid w:val="00361EDE"/>
    <w:rsid w:val="00361F97"/>
    <w:rsid w:val="00362BE2"/>
    <w:rsid w:val="00363D81"/>
    <w:rsid w:val="00363F37"/>
    <w:rsid w:val="0036408D"/>
    <w:rsid w:val="00364EE3"/>
    <w:rsid w:val="00365086"/>
    <w:rsid w:val="003666D4"/>
    <w:rsid w:val="00367ABA"/>
    <w:rsid w:val="00372394"/>
    <w:rsid w:val="003729BF"/>
    <w:rsid w:val="003748AD"/>
    <w:rsid w:val="00374BAC"/>
    <w:rsid w:val="00375894"/>
    <w:rsid w:val="00375F60"/>
    <w:rsid w:val="003768A3"/>
    <w:rsid w:val="003768A4"/>
    <w:rsid w:val="0037691C"/>
    <w:rsid w:val="00377D74"/>
    <w:rsid w:val="00377F15"/>
    <w:rsid w:val="0038187E"/>
    <w:rsid w:val="00383851"/>
    <w:rsid w:val="00384300"/>
    <w:rsid w:val="00384F71"/>
    <w:rsid w:val="00385F04"/>
    <w:rsid w:val="00385F43"/>
    <w:rsid w:val="00386007"/>
    <w:rsid w:val="00386F1E"/>
    <w:rsid w:val="00387F74"/>
    <w:rsid w:val="003906C3"/>
    <w:rsid w:val="00391704"/>
    <w:rsid w:val="00391785"/>
    <w:rsid w:val="00391C3B"/>
    <w:rsid w:val="0039249E"/>
    <w:rsid w:val="00392CE6"/>
    <w:rsid w:val="003936E0"/>
    <w:rsid w:val="00394957"/>
    <w:rsid w:val="0039605F"/>
    <w:rsid w:val="0039612F"/>
    <w:rsid w:val="003967C4"/>
    <w:rsid w:val="00397E29"/>
    <w:rsid w:val="003A033D"/>
    <w:rsid w:val="003A0852"/>
    <w:rsid w:val="003A0B2C"/>
    <w:rsid w:val="003A0D3B"/>
    <w:rsid w:val="003A2D9B"/>
    <w:rsid w:val="003A2E02"/>
    <w:rsid w:val="003A3033"/>
    <w:rsid w:val="003A4AFD"/>
    <w:rsid w:val="003A575C"/>
    <w:rsid w:val="003A73BF"/>
    <w:rsid w:val="003A7C3E"/>
    <w:rsid w:val="003B0298"/>
    <w:rsid w:val="003B08A9"/>
    <w:rsid w:val="003B0CA9"/>
    <w:rsid w:val="003B13C2"/>
    <w:rsid w:val="003B1740"/>
    <w:rsid w:val="003B1862"/>
    <w:rsid w:val="003B1C73"/>
    <w:rsid w:val="003B1F60"/>
    <w:rsid w:val="003B2827"/>
    <w:rsid w:val="003B40F2"/>
    <w:rsid w:val="003B458E"/>
    <w:rsid w:val="003B4BF0"/>
    <w:rsid w:val="003B4D36"/>
    <w:rsid w:val="003B5696"/>
    <w:rsid w:val="003B56A6"/>
    <w:rsid w:val="003B5EA9"/>
    <w:rsid w:val="003B6C28"/>
    <w:rsid w:val="003B7BBE"/>
    <w:rsid w:val="003B7C0D"/>
    <w:rsid w:val="003C0D62"/>
    <w:rsid w:val="003C1187"/>
    <w:rsid w:val="003C2AFE"/>
    <w:rsid w:val="003C2B67"/>
    <w:rsid w:val="003C702A"/>
    <w:rsid w:val="003C73EC"/>
    <w:rsid w:val="003D098B"/>
    <w:rsid w:val="003D1399"/>
    <w:rsid w:val="003D1478"/>
    <w:rsid w:val="003D16D2"/>
    <w:rsid w:val="003D1F5F"/>
    <w:rsid w:val="003D2A6D"/>
    <w:rsid w:val="003D2F64"/>
    <w:rsid w:val="003D304D"/>
    <w:rsid w:val="003D3439"/>
    <w:rsid w:val="003D43AE"/>
    <w:rsid w:val="003D4CD2"/>
    <w:rsid w:val="003D6A74"/>
    <w:rsid w:val="003D78FF"/>
    <w:rsid w:val="003E25DE"/>
    <w:rsid w:val="003E2AE0"/>
    <w:rsid w:val="003E308E"/>
    <w:rsid w:val="003E3E73"/>
    <w:rsid w:val="003E3F16"/>
    <w:rsid w:val="003E63A9"/>
    <w:rsid w:val="003E6653"/>
    <w:rsid w:val="003E6799"/>
    <w:rsid w:val="003E75A6"/>
    <w:rsid w:val="003E794D"/>
    <w:rsid w:val="003F1653"/>
    <w:rsid w:val="003F16E2"/>
    <w:rsid w:val="003F4D22"/>
    <w:rsid w:val="003F5A82"/>
    <w:rsid w:val="003F6A58"/>
    <w:rsid w:val="003F6D08"/>
    <w:rsid w:val="003F7B15"/>
    <w:rsid w:val="003F7F76"/>
    <w:rsid w:val="00400AA3"/>
    <w:rsid w:val="00401AAE"/>
    <w:rsid w:val="00401D78"/>
    <w:rsid w:val="00402D91"/>
    <w:rsid w:val="004030C8"/>
    <w:rsid w:val="00403EDD"/>
    <w:rsid w:val="004048DB"/>
    <w:rsid w:val="00404CDD"/>
    <w:rsid w:val="00404E3E"/>
    <w:rsid w:val="00405D13"/>
    <w:rsid w:val="00405D34"/>
    <w:rsid w:val="00406875"/>
    <w:rsid w:val="00406BB0"/>
    <w:rsid w:val="00407BD1"/>
    <w:rsid w:val="00407C6F"/>
    <w:rsid w:val="00407CD8"/>
    <w:rsid w:val="00407FE3"/>
    <w:rsid w:val="00410180"/>
    <w:rsid w:val="00411CDD"/>
    <w:rsid w:val="00412EA4"/>
    <w:rsid w:val="00412EE4"/>
    <w:rsid w:val="00413261"/>
    <w:rsid w:val="004138C9"/>
    <w:rsid w:val="00415769"/>
    <w:rsid w:val="00417FF5"/>
    <w:rsid w:val="0042045A"/>
    <w:rsid w:val="00420755"/>
    <w:rsid w:val="00420DAB"/>
    <w:rsid w:val="00421883"/>
    <w:rsid w:val="00421B64"/>
    <w:rsid w:val="004232FA"/>
    <w:rsid w:val="0042356D"/>
    <w:rsid w:val="004238AB"/>
    <w:rsid w:val="00423BC7"/>
    <w:rsid w:val="00425C33"/>
    <w:rsid w:val="004266AF"/>
    <w:rsid w:val="00426A74"/>
    <w:rsid w:val="00426DE0"/>
    <w:rsid w:val="00427401"/>
    <w:rsid w:val="00430BB3"/>
    <w:rsid w:val="00430ED4"/>
    <w:rsid w:val="00431DC4"/>
    <w:rsid w:val="00432202"/>
    <w:rsid w:val="00432DDE"/>
    <w:rsid w:val="00432F9F"/>
    <w:rsid w:val="00433A98"/>
    <w:rsid w:val="004341C1"/>
    <w:rsid w:val="0043439F"/>
    <w:rsid w:val="00434B1C"/>
    <w:rsid w:val="00434B52"/>
    <w:rsid w:val="00435423"/>
    <w:rsid w:val="0043546C"/>
    <w:rsid w:val="00435552"/>
    <w:rsid w:val="00435970"/>
    <w:rsid w:val="00435F46"/>
    <w:rsid w:val="004362B0"/>
    <w:rsid w:val="00437AB9"/>
    <w:rsid w:val="00437D0F"/>
    <w:rsid w:val="00440BAE"/>
    <w:rsid w:val="00440E56"/>
    <w:rsid w:val="004413A3"/>
    <w:rsid w:val="0044181F"/>
    <w:rsid w:val="0044183D"/>
    <w:rsid w:val="0044254B"/>
    <w:rsid w:val="0044255F"/>
    <w:rsid w:val="00443A93"/>
    <w:rsid w:val="00444EFC"/>
    <w:rsid w:val="00444FFC"/>
    <w:rsid w:val="00446429"/>
    <w:rsid w:val="00447260"/>
    <w:rsid w:val="004473BA"/>
    <w:rsid w:val="004516C0"/>
    <w:rsid w:val="00452312"/>
    <w:rsid w:val="00453EB3"/>
    <w:rsid w:val="004567F4"/>
    <w:rsid w:val="00456AA2"/>
    <w:rsid w:val="004602E2"/>
    <w:rsid w:val="004606C2"/>
    <w:rsid w:val="004615A3"/>
    <w:rsid w:val="004615B4"/>
    <w:rsid w:val="004621EE"/>
    <w:rsid w:val="00463C0A"/>
    <w:rsid w:val="00464B29"/>
    <w:rsid w:val="00464D7E"/>
    <w:rsid w:val="00465F37"/>
    <w:rsid w:val="004663F2"/>
    <w:rsid w:val="00466676"/>
    <w:rsid w:val="00466D58"/>
    <w:rsid w:val="00467558"/>
    <w:rsid w:val="004675CC"/>
    <w:rsid w:val="00467A2D"/>
    <w:rsid w:val="004710C2"/>
    <w:rsid w:val="00471709"/>
    <w:rsid w:val="00471D7C"/>
    <w:rsid w:val="00472064"/>
    <w:rsid w:val="0047218F"/>
    <w:rsid w:val="004728BF"/>
    <w:rsid w:val="00472C0A"/>
    <w:rsid w:val="00472EA5"/>
    <w:rsid w:val="00474A65"/>
    <w:rsid w:val="004750D0"/>
    <w:rsid w:val="004758C1"/>
    <w:rsid w:val="00475940"/>
    <w:rsid w:val="00475A18"/>
    <w:rsid w:val="00476381"/>
    <w:rsid w:val="00476485"/>
    <w:rsid w:val="00476C9F"/>
    <w:rsid w:val="00481897"/>
    <w:rsid w:val="00482ACF"/>
    <w:rsid w:val="004833B7"/>
    <w:rsid w:val="00483555"/>
    <w:rsid w:val="00483FF2"/>
    <w:rsid w:val="00485181"/>
    <w:rsid w:val="004916AC"/>
    <w:rsid w:val="0049363B"/>
    <w:rsid w:val="004944B2"/>
    <w:rsid w:val="00494552"/>
    <w:rsid w:val="00495CF6"/>
    <w:rsid w:val="00497343"/>
    <w:rsid w:val="00497762"/>
    <w:rsid w:val="004A0502"/>
    <w:rsid w:val="004A0821"/>
    <w:rsid w:val="004A1214"/>
    <w:rsid w:val="004A1D37"/>
    <w:rsid w:val="004A269D"/>
    <w:rsid w:val="004A3DB1"/>
    <w:rsid w:val="004A3E2F"/>
    <w:rsid w:val="004A3EAA"/>
    <w:rsid w:val="004A450C"/>
    <w:rsid w:val="004A45EC"/>
    <w:rsid w:val="004A4F6E"/>
    <w:rsid w:val="004A6CBC"/>
    <w:rsid w:val="004B312B"/>
    <w:rsid w:val="004B3156"/>
    <w:rsid w:val="004B3A86"/>
    <w:rsid w:val="004B44FD"/>
    <w:rsid w:val="004B4658"/>
    <w:rsid w:val="004B5321"/>
    <w:rsid w:val="004B5CC9"/>
    <w:rsid w:val="004B5F5F"/>
    <w:rsid w:val="004B6F97"/>
    <w:rsid w:val="004C0233"/>
    <w:rsid w:val="004C18DD"/>
    <w:rsid w:val="004C35E3"/>
    <w:rsid w:val="004C3A55"/>
    <w:rsid w:val="004C6123"/>
    <w:rsid w:val="004C69E1"/>
    <w:rsid w:val="004C7A06"/>
    <w:rsid w:val="004D12BD"/>
    <w:rsid w:val="004D15E6"/>
    <w:rsid w:val="004D1E60"/>
    <w:rsid w:val="004D2796"/>
    <w:rsid w:val="004D2C6F"/>
    <w:rsid w:val="004D2CF2"/>
    <w:rsid w:val="004D454D"/>
    <w:rsid w:val="004D464A"/>
    <w:rsid w:val="004D62AA"/>
    <w:rsid w:val="004D6465"/>
    <w:rsid w:val="004D6B61"/>
    <w:rsid w:val="004D76BF"/>
    <w:rsid w:val="004D772B"/>
    <w:rsid w:val="004D7987"/>
    <w:rsid w:val="004D7E2A"/>
    <w:rsid w:val="004E0003"/>
    <w:rsid w:val="004E09C0"/>
    <w:rsid w:val="004E167E"/>
    <w:rsid w:val="004E18BA"/>
    <w:rsid w:val="004E2967"/>
    <w:rsid w:val="004E2E94"/>
    <w:rsid w:val="004E3264"/>
    <w:rsid w:val="004E3C1D"/>
    <w:rsid w:val="004E3C41"/>
    <w:rsid w:val="004E57BD"/>
    <w:rsid w:val="004E5B20"/>
    <w:rsid w:val="004E7B83"/>
    <w:rsid w:val="004F10FC"/>
    <w:rsid w:val="004F1E7B"/>
    <w:rsid w:val="004F4ED1"/>
    <w:rsid w:val="004F50D2"/>
    <w:rsid w:val="004F51B6"/>
    <w:rsid w:val="004F5805"/>
    <w:rsid w:val="004F6555"/>
    <w:rsid w:val="004F7B63"/>
    <w:rsid w:val="004F7D8E"/>
    <w:rsid w:val="00501236"/>
    <w:rsid w:val="00502A0C"/>
    <w:rsid w:val="00503354"/>
    <w:rsid w:val="00503DA7"/>
    <w:rsid w:val="0050429B"/>
    <w:rsid w:val="005042E0"/>
    <w:rsid w:val="00504E77"/>
    <w:rsid w:val="005065DD"/>
    <w:rsid w:val="00506641"/>
    <w:rsid w:val="00506D07"/>
    <w:rsid w:val="00507E0F"/>
    <w:rsid w:val="005101C1"/>
    <w:rsid w:val="005112D7"/>
    <w:rsid w:val="00511B5E"/>
    <w:rsid w:val="005127B2"/>
    <w:rsid w:val="0051280D"/>
    <w:rsid w:val="00512DE4"/>
    <w:rsid w:val="005133D8"/>
    <w:rsid w:val="00513A4F"/>
    <w:rsid w:val="00515D82"/>
    <w:rsid w:val="00516762"/>
    <w:rsid w:val="005170F3"/>
    <w:rsid w:val="00517D19"/>
    <w:rsid w:val="005226FC"/>
    <w:rsid w:val="00522AC9"/>
    <w:rsid w:val="005230CE"/>
    <w:rsid w:val="0052371A"/>
    <w:rsid w:val="005237F8"/>
    <w:rsid w:val="00523C79"/>
    <w:rsid w:val="00524D62"/>
    <w:rsid w:val="005252D5"/>
    <w:rsid w:val="00525E2B"/>
    <w:rsid w:val="00526070"/>
    <w:rsid w:val="00526C42"/>
    <w:rsid w:val="00527486"/>
    <w:rsid w:val="00527683"/>
    <w:rsid w:val="005276AC"/>
    <w:rsid w:val="00527F74"/>
    <w:rsid w:val="0053002A"/>
    <w:rsid w:val="00531327"/>
    <w:rsid w:val="00531E86"/>
    <w:rsid w:val="00532601"/>
    <w:rsid w:val="00532C00"/>
    <w:rsid w:val="00533069"/>
    <w:rsid w:val="00533810"/>
    <w:rsid w:val="00533BB9"/>
    <w:rsid w:val="00534836"/>
    <w:rsid w:val="00535290"/>
    <w:rsid w:val="00535721"/>
    <w:rsid w:val="00535B7F"/>
    <w:rsid w:val="0054056D"/>
    <w:rsid w:val="00540699"/>
    <w:rsid w:val="0054299B"/>
    <w:rsid w:val="00543BBE"/>
    <w:rsid w:val="00544C10"/>
    <w:rsid w:val="00545658"/>
    <w:rsid w:val="00545A63"/>
    <w:rsid w:val="00545F0D"/>
    <w:rsid w:val="00546A9A"/>
    <w:rsid w:val="00546B04"/>
    <w:rsid w:val="005472FD"/>
    <w:rsid w:val="00547C3D"/>
    <w:rsid w:val="00550190"/>
    <w:rsid w:val="00550D85"/>
    <w:rsid w:val="0055271F"/>
    <w:rsid w:val="00552C65"/>
    <w:rsid w:val="00554476"/>
    <w:rsid w:val="00554481"/>
    <w:rsid w:val="00554DEC"/>
    <w:rsid w:val="005552B0"/>
    <w:rsid w:val="00555833"/>
    <w:rsid w:val="00555B2F"/>
    <w:rsid w:val="00556669"/>
    <w:rsid w:val="0056001B"/>
    <w:rsid w:val="00560AE2"/>
    <w:rsid w:val="00562922"/>
    <w:rsid w:val="00563754"/>
    <w:rsid w:val="00564024"/>
    <w:rsid w:val="0056444C"/>
    <w:rsid w:val="0056452E"/>
    <w:rsid w:val="00564984"/>
    <w:rsid w:val="00564CC8"/>
    <w:rsid w:val="0056615F"/>
    <w:rsid w:val="00567270"/>
    <w:rsid w:val="0056756E"/>
    <w:rsid w:val="00567FAD"/>
    <w:rsid w:val="005735B6"/>
    <w:rsid w:val="00574968"/>
    <w:rsid w:val="00576B8D"/>
    <w:rsid w:val="0057749E"/>
    <w:rsid w:val="005818BC"/>
    <w:rsid w:val="005822E4"/>
    <w:rsid w:val="00582855"/>
    <w:rsid w:val="005843D6"/>
    <w:rsid w:val="00584587"/>
    <w:rsid w:val="00584AEA"/>
    <w:rsid w:val="00584D43"/>
    <w:rsid w:val="005859AE"/>
    <w:rsid w:val="00585BFC"/>
    <w:rsid w:val="0058672E"/>
    <w:rsid w:val="0058678C"/>
    <w:rsid w:val="00586955"/>
    <w:rsid w:val="00586C31"/>
    <w:rsid w:val="0058739C"/>
    <w:rsid w:val="0058750C"/>
    <w:rsid w:val="005875A7"/>
    <w:rsid w:val="005879C8"/>
    <w:rsid w:val="00587BC9"/>
    <w:rsid w:val="005915DA"/>
    <w:rsid w:val="00591E79"/>
    <w:rsid w:val="005926B9"/>
    <w:rsid w:val="0059286B"/>
    <w:rsid w:val="00592FE0"/>
    <w:rsid w:val="00595B51"/>
    <w:rsid w:val="00595FDD"/>
    <w:rsid w:val="005965FD"/>
    <w:rsid w:val="005A006C"/>
    <w:rsid w:val="005A2243"/>
    <w:rsid w:val="005A2F5D"/>
    <w:rsid w:val="005A3D7F"/>
    <w:rsid w:val="005A4150"/>
    <w:rsid w:val="005A4477"/>
    <w:rsid w:val="005A56D8"/>
    <w:rsid w:val="005A6538"/>
    <w:rsid w:val="005A70B7"/>
    <w:rsid w:val="005B0AA6"/>
    <w:rsid w:val="005B1363"/>
    <w:rsid w:val="005B1A60"/>
    <w:rsid w:val="005B1B66"/>
    <w:rsid w:val="005B1E23"/>
    <w:rsid w:val="005B329F"/>
    <w:rsid w:val="005B33F1"/>
    <w:rsid w:val="005B4225"/>
    <w:rsid w:val="005B4E80"/>
    <w:rsid w:val="005B6707"/>
    <w:rsid w:val="005B7B13"/>
    <w:rsid w:val="005C016C"/>
    <w:rsid w:val="005C077A"/>
    <w:rsid w:val="005C183A"/>
    <w:rsid w:val="005C264A"/>
    <w:rsid w:val="005C2C9B"/>
    <w:rsid w:val="005C4FDB"/>
    <w:rsid w:val="005C5A34"/>
    <w:rsid w:val="005C74ED"/>
    <w:rsid w:val="005C7849"/>
    <w:rsid w:val="005D07C7"/>
    <w:rsid w:val="005D2776"/>
    <w:rsid w:val="005D4C1A"/>
    <w:rsid w:val="005D521E"/>
    <w:rsid w:val="005D5D48"/>
    <w:rsid w:val="005D6A19"/>
    <w:rsid w:val="005E1002"/>
    <w:rsid w:val="005E31F1"/>
    <w:rsid w:val="005E395C"/>
    <w:rsid w:val="005E3CB5"/>
    <w:rsid w:val="005E3CE0"/>
    <w:rsid w:val="005E41E8"/>
    <w:rsid w:val="005E4B35"/>
    <w:rsid w:val="005E59E5"/>
    <w:rsid w:val="005E5CB8"/>
    <w:rsid w:val="005E7388"/>
    <w:rsid w:val="005E7ABE"/>
    <w:rsid w:val="005F2CB6"/>
    <w:rsid w:val="005F2CD1"/>
    <w:rsid w:val="005F37CD"/>
    <w:rsid w:val="005F3921"/>
    <w:rsid w:val="005F68E3"/>
    <w:rsid w:val="005F7192"/>
    <w:rsid w:val="00600DC2"/>
    <w:rsid w:val="00601152"/>
    <w:rsid w:val="00601A48"/>
    <w:rsid w:val="00601DBA"/>
    <w:rsid w:val="006026E4"/>
    <w:rsid w:val="0060286D"/>
    <w:rsid w:val="00604C86"/>
    <w:rsid w:val="006061A1"/>
    <w:rsid w:val="006071D7"/>
    <w:rsid w:val="0060734C"/>
    <w:rsid w:val="00610B6D"/>
    <w:rsid w:val="00610BEF"/>
    <w:rsid w:val="00611A61"/>
    <w:rsid w:val="00614227"/>
    <w:rsid w:val="00614675"/>
    <w:rsid w:val="00614680"/>
    <w:rsid w:val="00615C9F"/>
    <w:rsid w:val="00621020"/>
    <w:rsid w:val="00621082"/>
    <w:rsid w:val="0062125D"/>
    <w:rsid w:val="00623694"/>
    <w:rsid w:val="00624295"/>
    <w:rsid w:val="006247DD"/>
    <w:rsid w:val="006251A3"/>
    <w:rsid w:val="0062541E"/>
    <w:rsid w:val="006257D0"/>
    <w:rsid w:val="00626FD1"/>
    <w:rsid w:val="00627C7C"/>
    <w:rsid w:val="00627F53"/>
    <w:rsid w:val="00630A9C"/>
    <w:rsid w:val="00631F6A"/>
    <w:rsid w:val="00632024"/>
    <w:rsid w:val="006328DA"/>
    <w:rsid w:val="00633E7E"/>
    <w:rsid w:val="00634176"/>
    <w:rsid w:val="0063486B"/>
    <w:rsid w:val="00637463"/>
    <w:rsid w:val="00640792"/>
    <w:rsid w:val="00640B49"/>
    <w:rsid w:val="00641EA0"/>
    <w:rsid w:val="00641FB2"/>
    <w:rsid w:val="00642062"/>
    <w:rsid w:val="006424D4"/>
    <w:rsid w:val="00645393"/>
    <w:rsid w:val="006455D0"/>
    <w:rsid w:val="00646327"/>
    <w:rsid w:val="00647062"/>
    <w:rsid w:val="006473F6"/>
    <w:rsid w:val="00647896"/>
    <w:rsid w:val="00650D62"/>
    <w:rsid w:val="00651BE7"/>
    <w:rsid w:val="00651D31"/>
    <w:rsid w:val="00651D3A"/>
    <w:rsid w:val="006527C5"/>
    <w:rsid w:val="00652A04"/>
    <w:rsid w:val="00653252"/>
    <w:rsid w:val="006538B5"/>
    <w:rsid w:val="0065392C"/>
    <w:rsid w:val="00653DC4"/>
    <w:rsid w:val="00656165"/>
    <w:rsid w:val="00656841"/>
    <w:rsid w:val="006576FD"/>
    <w:rsid w:val="00662362"/>
    <w:rsid w:val="00662DDB"/>
    <w:rsid w:val="00665EBC"/>
    <w:rsid w:val="0066667A"/>
    <w:rsid w:val="00666876"/>
    <w:rsid w:val="006673A8"/>
    <w:rsid w:val="00667682"/>
    <w:rsid w:val="00667796"/>
    <w:rsid w:val="00667D52"/>
    <w:rsid w:val="006703F1"/>
    <w:rsid w:val="00671092"/>
    <w:rsid w:val="0067130D"/>
    <w:rsid w:val="00671C58"/>
    <w:rsid w:val="00671D97"/>
    <w:rsid w:val="00672B6C"/>
    <w:rsid w:val="006744C3"/>
    <w:rsid w:val="00674C23"/>
    <w:rsid w:val="006754AF"/>
    <w:rsid w:val="00677F9F"/>
    <w:rsid w:val="006807FE"/>
    <w:rsid w:val="0068265B"/>
    <w:rsid w:val="00682875"/>
    <w:rsid w:val="00683E6A"/>
    <w:rsid w:val="00685D55"/>
    <w:rsid w:val="006861F9"/>
    <w:rsid w:val="006869AA"/>
    <w:rsid w:val="006874FD"/>
    <w:rsid w:val="00687E86"/>
    <w:rsid w:val="0069139A"/>
    <w:rsid w:val="006913B4"/>
    <w:rsid w:val="00691D24"/>
    <w:rsid w:val="00691DED"/>
    <w:rsid w:val="0069297D"/>
    <w:rsid w:val="006934FF"/>
    <w:rsid w:val="006941DA"/>
    <w:rsid w:val="00694BB6"/>
    <w:rsid w:val="00695E65"/>
    <w:rsid w:val="00696BB8"/>
    <w:rsid w:val="00696EED"/>
    <w:rsid w:val="006A0277"/>
    <w:rsid w:val="006A0F5F"/>
    <w:rsid w:val="006A18BE"/>
    <w:rsid w:val="006A1D9F"/>
    <w:rsid w:val="006A211B"/>
    <w:rsid w:val="006A2AB7"/>
    <w:rsid w:val="006A2AC5"/>
    <w:rsid w:val="006A3A92"/>
    <w:rsid w:val="006A49BA"/>
    <w:rsid w:val="006A5031"/>
    <w:rsid w:val="006A5164"/>
    <w:rsid w:val="006A59E3"/>
    <w:rsid w:val="006A6598"/>
    <w:rsid w:val="006B0081"/>
    <w:rsid w:val="006B02F7"/>
    <w:rsid w:val="006B0BBB"/>
    <w:rsid w:val="006B1C82"/>
    <w:rsid w:val="006B1DF2"/>
    <w:rsid w:val="006B2392"/>
    <w:rsid w:val="006B3059"/>
    <w:rsid w:val="006B32A3"/>
    <w:rsid w:val="006B39EA"/>
    <w:rsid w:val="006B3D48"/>
    <w:rsid w:val="006B3DF6"/>
    <w:rsid w:val="006B4CB8"/>
    <w:rsid w:val="006B5080"/>
    <w:rsid w:val="006B5E49"/>
    <w:rsid w:val="006B70DA"/>
    <w:rsid w:val="006B7384"/>
    <w:rsid w:val="006C0161"/>
    <w:rsid w:val="006C2E3D"/>
    <w:rsid w:val="006C3D12"/>
    <w:rsid w:val="006C452B"/>
    <w:rsid w:val="006C4AD3"/>
    <w:rsid w:val="006C5153"/>
    <w:rsid w:val="006C529E"/>
    <w:rsid w:val="006C5448"/>
    <w:rsid w:val="006C64C9"/>
    <w:rsid w:val="006C6851"/>
    <w:rsid w:val="006C6C4D"/>
    <w:rsid w:val="006C6D11"/>
    <w:rsid w:val="006C723F"/>
    <w:rsid w:val="006C7A53"/>
    <w:rsid w:val="006D013D"/>
    <w:rsid w:val="006D044A"/>
    <w:rsid w:val="006D1A21"/>
    <w:rsid w:val="006D3278"/>
    <w:rsid w:val="006D366C"/>
    <w:rsid w:val="006D3C25"/>
    <w:rsid w:val="006D4403"/>
    <w:rsid w:val="006D454C"/>
    <w:rsid w:val="006D5398"/>
    <w:rsid w:val="006D5407"/>
    <w:rsid w:val="006D54A9"/>
    <w:rsid w:val="006D56C7"/>
    <w:rsid w:val="006D67B2"/>
    <w:rsid w:val="006D6C32"/>
    <w:rsid w:val="006E03A7"/>
    <w:rsid w:val="006E066B"/>
    <w:rsid w:val="006E260E"/>
    <w:rsid w:val="006E2890"/>
    <w:rsid w:val="006E3B9E"/>
    <w:rsid w:val="006E418D"/>
    <w:rsid w:val="006E4930"/>
    <w:rsid w:val="006E4AED"/>
    <w:rsid w:val="006F0E4F"/>
    <w:rsid w:val="006F3034"/>
    <w:rsid w:val="006F50EC"/>
    <w:rsid w:val="006F74FD"/>
    <w:rsid w:val="006F7C1A"/>
    <w:rsid w:val="00700F4E"/>
    <w:rsid w:val="00700FA7"/>
    <w:rsid w:val="00701A81"/>
    <w:rsid w:val="007026B9"/>
    <w:rsid w:val="00703905"/>
    <w:rsid w:val="007051EF"/>
    <w:rsid w:val="00706D66"/>
    <w:rsid w:val="007073BE"/>
    <w:rsid w:val="00707C54"/>
    <w:rsid w:val="00707E26"/>
    <w:rsid w:val="007104AC"/>
    <w:rsid w:val="0071121E"/>
    <w:rsid w:val="00711300"/>
    <w:rsid w:val="007130AF"/>
    <w:rsid w:val="007130D9"/>
    <w:rsid w:val="007130EF"/>
    <w:rsid w:val="007135D3"/>
    <w:rsid w:val="00714918"/>
    <w:rsid w:val="00715EE9"/>
    <w:rsid w:val="0071683F"/>
    <w:rsid w:val="00716E0A"/>
    <w:rsid w:val="007178FB"/>
    <w:rsid w:val="00720293"/>
    <w:rsid w:val="00721025"/>
    <w:rsid w:val="00721952"/>
    <w:rsid w:val="00721B22"/>
    <w:rsid w:val="007222AC"/>
    <w:rsid w:val="00722967"/>
    <w:rsid w:val="007229D1"/>
    <w:rsid w:val="00722F25"/>
    <w:rsid w:val="00723B8F"/>
    <w:rsid w:val="00723BD6"/>
    <w:rsid w:val="00724435"/>
    <w:rsid w:val="00724F96"/>
    <w:rsid w:val="00724FE5"/>
    <w:rsid w:val="00725121"/>
    <w:rsid w:val="00725648"/>
    <w:rsid w:val="007256EE"/>
    <w:rsid w:val="00725AA6"/>
    <w:rsid w:val="00727236"/>
    <w:rsid w:val="0072791A"/>
    <w:rsid w:val="007303C9"/>
    <w:rsid w:val="0073087F"/>
    <w:rsid w:val="0073143E"/>
    <w:rsid w:val="00732016"/>
    <w:rsid w:val="00733381"/>
    <w:rsid w:val="00733892"/>
    <w:rsid w:val="00733ACE"/>
    <w:rsid w:val="00734AE2"/>
    <w:rsid w:val="00734F12"/>
    <w:rsid w:val="00734F6D"/>
    <w:rsid w:val="007352A1"/>
    <w:rsid w:val="00735AC1"/>
    <w:rsid w:val="00735BB2"/>
    <w:rsid w:val="007376E5"/>
    <w:rsid w:val="007409A9"/>
    <w:rsid w:val="00743359"/>
    <w:rsid w:val="00743F7A"/>
    <w:rsid w:val="00744545"/>
    <w:rsid w:val="00744851"/>
    <w:rsid w:val="0074511E"/>
    <w:rsid w:val="00745ECB"/>
    <w:rsid w:val="00745F28"/>
    <w:rsid w:val="007479F8"/>
    <w:rsid w:val="00750018"/>
    <w:rsid w:val="0075076E"/>
    <w:rsid w:val="007508E2"/>
    <w:rsid w:val="007530F4"/>
    <w:rsid w:val="00753580"/>
    <w:rsid w:val="00753CAB"/>
    <w:rsid w:val="007545AE"/>
    <w:rsid w:val="00754A35"/>
    <w:rsid w:val="00754E69"/>
    <w:rsid w:val="00755048"/>
    <w:rsid w:val="00756DAA"/>
    <w:rsid w:val="00757C12"/>
    <w:rsid w:val="00760A07"/>
    <w:rsid w:val="0076145E"/>
    <w:rsid w:val="007616DA"/>
    <w:rsid w:val="00761B06"/>
    <w:rsid w:val="00762016"/>
    <w:rsid w:val="00762442"/>
    <w:rsid w:val="0076298E"/>
    <w:rsid w:val="00763084"/>
    <w:rsid w:val="00763BFE"/>
    <w:rsid w:val="0076455F"/>
    <w:rsid w:val="00765416"/>
    <w:rsid w:val="00765DD7"/>
    <w:rsid w:val="00765EC2"/>
    <w:rsid w:val="00765EDF"/>
    <w:rsid w:val="00766975"/>
    <w:rsid w:val="00767057"/>
    <w:rsid w:val="00770339"/>
    <w:rsid w:val="00771C9D"/>
    <w:rsid w:val="007754EB"/>
    <w:rsid w:val="007762AF"/>
    <w:rsid w:val="00780B1F"/>
    <w:rsid w:val="00781D86"/>
    <w:rsid w:val="007827CC"/>
    <w:rsid w:val="00782813"/>
    <w:rsid w:val="00783061"/>
    <w:rsid w:val="007834EF"/>
    <w:rsid w:val="00783C6C"/>
    <w:rsid w:val="00784EAA"/>
    <w:rsid w:val="007853A4"/>
    <w:rsid w:val="00785B11"/>
    <w:rsid w:val="00785CC9"/>
    <w:rsid w:val="00786B29"/>
    <w:rsid w:val="007871A2"/>
    <w:rsid w:val="00787A71"/>
    <w:rsid w:val="00790479"/>
    <w:rsid w:val="00790CF6"/>
    <w:rsid w:val="0079165F"/>
    <w:rsid w:val="00791862"/>
    <w:rsid w:val="007921E6"/>
    <w:rsid w:val="00792AC2"/>
    <w:rsid w:val="00794398"/>
    <w:rsid w:val="00794BC1"/>
    <w:rsid w:val="00795BD4"/>
    <w:rsid w:val="0079640B"/>
    <w:rsid w:val="00797831"/>
    <w:rsid w:val="007A0904"/>
    <w:rsid w:val="007A1EBA"/>
    <w:rsid w:val="007A2517"/>
    <w:rsid w:val="007A4862"/>
    <w:rsid w:val="007A59C2"/>
    <w:rsid w:val="007A5A20"/>
    <w:rsid w:val="007A5BC1"/>
    <w:rsid w:val="007A5D8C"/>
    <w:rsid w:val="007A6053"/>
    <w:rsid w:val="007A697D"/>
    <w:rsid w:val="007B0295"/>
    <w:rsid w:val="007B1AB0"/>
    <w:rsid w:val="007B24F7"/>
    <w:rsid w:val="007B31DA"/>
    <w:rsid w:val="007B3432"/>
    <w:rsid w:val="007B3D8C"/>
    <w:rsid w:val="007B3E85"/>
    <w:rsid w:val="007B4AB7"/>
    <w:rsid w:val="007B5EA2"/>
    <w:rsid w:val="007C04AF"/>
    <w:rsid w:val="007C06C2"/>
    <w:rsid w:val="007C10D1"/>
    <w:rsid w:val="007C1F91"/>
    <w:rsid w:val="007C2886"/>
    <w:rsid w:val="007C2F66"/>
    <w:rsid w:val="007C3A77"/>
    <w:rsid w:val="007C6161"/>
    <w:rsid w:val="007C7212"/>
    <w:rsid w:val="007C7BF1"/>
    <w:rsid w:val="007D0C39"/>
    <w:rsid w:val="007D0D16"/>
    <w:rsid w:val="007D1499"/>
    <w:rsid w:val="007D1599"/>
    <w:rsid w:val="007D1D81"/>
    <w:rsid w:val="007D1E58"/>
    <w:rsid w:val="007D2080"/>
    <w:rsid w:val="007D2EB3"/>
    <w:rsid w:val="007D318F"/>
    <w:rsid w:val="007D3381"/>
    <w:rsid w:val="007D4026"/>
    <w:rsid w:val="007D4EDD"/>
    <w:rsid w:val="007D6089"/>
    <w:rsid w:val="007D64F5"/>
    <w:rsid w:val="007D7088"/>
    <w:rsid w:val="007D7D81"/>
    <w:rsid w:val="007E03CD"/>
    <w:rsid w:val="007E2D57"/>
    <w:rsid w:val="007E442D"/>
    <w:rsid w:val="007E6847"/>
    <w:rsid w:val="007E726C"/>
    <w:rsid w:val="007E7741"/>
    <w:rsid w:val="007F1652"/>
    <w:rsid w:val="007F19EB"/>
    <w:rsid w:val="007F2D13"/>
    <w:rsid w:val="007F48DF"/>
    <w:rsid w:val="007F4A1F"/>
    <w:rsid w:val="007F5E94"/>
    <w:rsid w:val="007F6AB9"/>
    <w:rsid w:val="007F6AE8"/>
    <w:rsid w:val="007F78D6"/>
    <w:rsid w:val="008006E8"/>
    <w:rsid w:val="00800738"/>
    <w:rsid w:val="00801124"/>
    <w:rsid w:val="008038FE"/>
    <w:rsid w:val="0080390F"/>
    <w:rsid w:val="00803F6B"/>
    <w:rsid w:val="0080799E"/>
    <w:rsid w:val="008101E7"/>
    <w:rsid w:val="008112F3"/>
    <w:rsid w:val="00812CFB"/>
    <w:rsid w:val="008137B0"/>
    <w:rsid w:val="00814F0F"/>
    <w:rsid w:val="008155AF"/>
    <w:rsid w:val="00815C83"/>
    <w:rsid w:val="00821017"/>
    <w:rsid w:val="0082171F"/>
    <w:rsid w:val="00821E8B"/>
    <w:rsid w:val="008233FD"/>
    <w:rsid w:val="00823C80"/>
    <w:rsid w:val="00823FE7"/>
    <w:rsid w:val="00824B7F"/>
    <w:rsid w:val="00826C6B"/>
    <w:rsid w:val="00827097"/>
    <w:rsid w:val="008270F8"/>
    <w:rsid w:val="008274EF"/>
    <w:rsid w:val="00827C81"/>
    <w:rsid w:val="00830FB2"/>
    <w:rsid w:val="00832014"/>
    <w:rsid w:val="00832E93"/>
    <w:rsid w:val="008335D3"/>
    <w:rsid w:val="008337CA"/>
    <w:rsid w:val="00833A21"/>
    <w:rsid w:val="00834345"/>
    <w:rsid w:val="00835364"/>
    <w:rsid w:val="0083600C"/>
    <w:rsid w:val="00836601"/>
    <w:rsid w:val="008369D4"/>
    <w:rsid w:val="00837DD3"/>
    <w:rsid w:val="008407DD"/>
    <w:rsid w:val="00841813"/>
    <w:rsid w:val="00841E74"/>
    <w:rsid w:val="008423EE"/>
    <w:rsid w:val="00842D86"/>
    <w:rsid w:val="00843153"/>
    <w:rsid w:val="008436A8"/>
    <w:rsid w:val="00846399"/>
    <w:rsid w:val="00847005"/>
    <w:rsid w:val="008470AB"/>
    <w:rsid w:val="00850762"/>
    <w:rsid w:val="0085159E"/>
    <w:rsid w:val="00852558"/>
    <w:rsid w:val="00854482"/>
    <w:rsid w:val="008544EF"/>
    <w:rsid w:val="00855A45"/>
    <w:rsid w:val="00856EBC"/>
    <w:rsid w:val="00857F18"/>
    <w:rsid w:val="0086070F"/>
    <w:rsid w:val="0086097E"/>
    <w:rsid w:val="00861B84"/>
    <w:rsid w:val="008624E1"/>
    <w:rsid w:val="00863F48"/>
    <w:rsid w:val="0086467B"/>
    <w:rsid w:val="00864907"/>
    <w:rsid w:val="0086546A"/>
    <w:rsid w:val="00865FEF"/>
    <w:rsid w:val="00866736"/>
    <w:rsid w:val="00866BE0"/>
    <w:rsid w:val="008671DE"/>
    <w:rsid w:val="00867274"/>
    <w:rsid w:val="008673E7"/>
    <w:rsid w:val="008709C7"/>
    <w:rsid w:val="00871F6B"/>
    <w:rsid w:val="00872B4D"/>
    <w:rsid w:val="008730FA"/>
    <w:rsid w:val="0087393A"/>
    <w:rsid w:val="00875092"/>
    <w:rsid w:val="008759A3"/>
    <w:rsid w:val="00875B69"/>
    <w:rsid w:val="00876B52"/>
    <w:rsid w:val="00877560"/>
    <w:rsid w:val="00877924"/>
    <w:rsid w:val="008805C7"/>
    <w:rsid w:val="00880CAE"/>
    <w:rsid w:val="00881E51"/>
    <w:rsid w:val="00882802"/>
    <w:rsid w:val="00883124"/>
    <w:rsid w:val="00883358"/>
    <w:rsid w:val="008838CC"/>
    <w:rsid w:val="00884DEC"/>
    <w:rsid w:val="00885191"/>
    <w:rsid w:val="0088592F"/>
    <w:rsid w:val="00886AE9"/>
    <w:rsid w:val="00886C69"/>
    <w:rsid w:val="00886F73"/>
    <w:rsid w:val="008872C3"/>
    <w:rsid w:val="0088788F"/>
    <w:rsid w:val="0088794C"/>
    <w:rsid w:val="008879FF"/>
    <w:rsid w:val="00887FFC"/>
    <w:rsid w:val="00890314"/>
    <w:rsid w:val="0089049C"/>
    <w:rsid w:val="00891266"/>
    <w:rsid w:val="00891AEE"/>
    <w:rsid w:val="00892B21"/>
    <w:rsid w:val="0089319D"/>
    <w:rsid w:val="00895788"/>
    <w:rsid w:val="0089618C"/>
    <w:rsid w:val="008961CF"/>
    <w:rsid w:val="008963E4"/>
    <w:rsid w:val="00897531"/>
    <w:rsid w:val="008A05C6"/>
    <w:rsid w:val="008A0A3D"/>
    <w:rsid w:val="008A2ACE"/>
    <w:rsid w:val="008A3BC6"/>
    <w:rsid w:val="008A4990"/>
    <w:rsid w:val="008A4D17"/>
    <w:rsid w:val="008A56C8"/>
    <w:rsid w:val="008A63C3"/>
    <w:rsid w:val="008A7166"/>
    <w:rsid w:val="008A79FF"/>
    <w:rsid w:val="008B0E6E"/>
    <w:rsid w:val="008B104E"/>
    <w:rsid w:val="008B29EB"/>
    <w:rsid w:val="008B2EB3"/>
    <w:rsid w:val="008B3093"/>
    <w:rsid w:val="008B3596"/>
    <w:rsid w:val="008B365D"/>
    <w:rsid w:val="008B41E5"/>
    <w:rsid w:val="008B444E"/>
    <w:rsid w:val="008B6A5C"/>
    <w:rsid w:val="008C04E5"/>
    <w:rsid w:val="008C07EB"/>
    <w:rsid w:val="008C2856"/>
    <w:rsid w:val="008C3CED"/>
    <w:rsid w:val="008C3CF5"/>
    <w:rsid w:val="008C6D7E"/>
    <w:rsid w:val="008C7F83"/>
    <w:rsid w:val="008D06B5"/>
    <w:rsid w:val="008D0850"/>
    <w:rsid w:val="008D2ABF"/>
    <w:rsid w:val="008D2C20"/>
    <w:rsid w:val="008D35AA"/>
    <w:rsid w:val="008D37F8"/>
    <w:rsid w:val="008D4FF7"/>
    <w:rsid w:val="008D55B0"/>
    <w:rsid w:val="008D7343"/>
    <w:rsid w:val="008D73B2"/>
    <w:rsid w:val="008D7E67"/>
    <w:rsid w:val="008D7EC4"/>
    <w:rsid w:val="008E2045"/>
    <w:rsid w:val="008E23A2"/>
    <w:rsid w:val="008E2E30"/>
    <w:rsid w:val="008E464B"/>
    <w:rsid w:val="008E4FFA"/>
    <w:rsid w:val="008E53B8"/>
    <w:rsid w:val="008E6039"/>
    <w:rsid w:val="008E6AC7"/>
    <w:rsid w:val="008E7358"/>
    <w:rsid w:val="008E7807"/>
    <w:rsid w:val="008F06C5"/>
    <w:rsid w:val="008F0AD7"/>
    <w:rsid w:val="008F0D33"/>
    <w:rsid w:val="008F1B61"/>
    <w:rsid w:val="008F3963"/>
    <w:rsid w:val="008F3AD3"/>
    <w:rsid w:val="008F40E8"/>
    <w:rsid w:val="008F5D8B"/>
    <w:rsid w:val="008F6722"/>
    <w:rsid w:val="008F6C20"/>
    <w:rsid w:val="008F73F1"/>
    <w:rsid w:val="008F7984"/>
    <w:rsid w:val="009000FC"/>
    <w:rsid w:val="0090102C"/>
    <w:rsid w:val="00901A36"/>
    <w:rsid w:val="00901A5C"/>
    <w:rsid w:val="00902291"/>
    <w:rsid w:val="0090397A"/>
    <w:rsid w:val="009053CA"/>
    <w:rsid w:val="0090561C"/>
    <w:rsid w:val="0090696F"/>
    <w:rsid w:val="00906A90"/>
    <w:rsid w:val="00906E35"/>
    <w:rsid w:val="00910537"/>
    <w:rsid w:val="00910FAD"/>
    <w:rsid w:val="00911957"/>
    <w:rsid w:val="00911CAD"/>
    <w:rsid w:val="0091405C"/>
    <w:rsid w:val="0091518B"/>
    <w:rsid w:val="0091577D"/>
    <w:rsid w:val="0091618C"/>
    <w:rsid w:val="00916B34"/>
    <w:rsid w:val="009171E6"/>
    <w:rsid w:val="009175BC"/>
    <w:rsid w:val="0092018E"/>
    <w:rsid w:val="00920340"/>
    <w:rsid w:val="009213F6"/>
    <w:rsid w:val="0092184E"/>
    <w:rsid w:val="00921B7E"/>
    <w:rsid w:val="00921BE8"/>
    <w:rsid w:val="0092205B"/>
    <w:rsid w:val="009223BF"/>
    <w:rsid w:val="00922704"/>
    <w:rsid w:val="00923013"/>
    <w:rsid w:val="0092356A"/>
    <w:rsid w:val="009240D6"/>
    <w:rsid w:val="0092491F"/>
    <w:rsid w:val="00924D49"/>
    <w:rsid w:val="009251AF"/>
    <w:rsid w:val="00925B7F"/>
    <w:rsid w:val="00926E51"/>
    <w:rsid w:val="00927BCB"/>
    <w:rsid w:val="00927F9F"/>
    <w:rsid w:val="009302C8"/>
    <w:rsid w:val="0093185B"/>
    <w:rsid w:val="00931B89"/>
    <w:rsid w:val="00931F29"/>
    <w:rsid w:val="009327B4"/>
    <w:rsid w:val="009327DF"/>
    <w:rsid w:val="00932E55"/>
    <w:rsid w:val="0093363A"/>
    <w:rsid w:val="00933684"/>
    <w:rsid w:val="00933B50"/>
    <w:rsid w:val="00934427"/>
    <w:rsid w:val="009348F3"/>
    <w:rsid w:val="00934C06"/>
    <w:rsid w:val="009351CE"/>
    <w:rsid w:val="00935DD9"/>
    <w:rsid w:val="00936552"/>
    <w:rsid w:val="00936745"/>
    <w:rsid w:val="0093782B"/>
    <w:rsid w:val="00940BF5"/>
    <w:rsid w:val="00941474"/>
    <w:rsid w:val="009417E6"/>
    <w:rsid w:val="00941F58"/>
    <w:rsid w:val="00941FF0"/>
    <w:rsid w:val="00942107"/>
    <w:rsid w:val="00942218"/>
    <w:rsid w:val="00942FEF"/>
    <w:rsid w:val="00943DCA"/>
    <w:rsid w:val="00944272"/>
    <w:rsid w:val="0094456B"/>
    <w:rsid w:val="0094612C"/>
    <w:rsid w:val="009466AF"/>
    <w:rsid w:val="00951406"/>
    <w:rsid w:val="00952C45"/>
    <w:rsid w:val="009531C5"/>
    <w:rsid w:val="00953BC4"/>
    <w:rsid w:val="00954632"/>
    <w:rsid w:val="009561FF"/>
    <w:rsid w:val="00957F0D"/>
    <w:rsid w:val="00960264"/>
    <w:rsid w:val="0096050E"/>
    <w:rsid w:val="00961C97"/>
    <w:rsid w:val="009629C6"/>
    <w:rsid w:val="00962E30"/>
    <w:rsid w:val="00963468"/>
    <w:rsid w:val="00967086"/>
    <w:rsid w:val="0097043F"/>
    <w:rsid w:val="00970D23"/>
    <w:rsid w:val="0097143E"/>
    <w:rsid w:val="009715F3"/>
    <w:rsid w:val="009728AC"/>
    <w:rsid w:val="009732F3"/>
    <w:rsid w:val="0097484B"/>
    <w:rsid w:val="00974E6C"/>
    <w:rsid w:val="00974EA6"/>
    <w:rsid w:val="009761B1"/>
    <w:rsid w:val="00980673"/>
    <w:rsid w:val="0098098F"/>
    <w:rsid w:val="00980BF5"/>
    <w:rsid w:val="00980DDA"/>
    <w:rsid w:val="00981240"/>
    <w:rsid w:val="009816FD"/>
    <w:rsid w:val="009817BA"/>
    <w:rsid w:val="009838EF"/>
    <w:rsid w:val="00983E10"/>
    <w:rsid w:val="00984443"/>
    <w:rsid w:val="009858A4"/>
    <w:rsid w:val="009864DD"/>
    <w:rsid w:val="009867B0"/>
    <w:rsid w:val="00991204"/>
    <w:rsid w:val="00991A22"/>
    <w:rsid w:val="00991B41"/>
    <w:rsid w:val="00992529"/>
    <w:rsid w:val="00994A78"/>
    <w:rsid w:val="00995525"/>
    <w:rsid w:val="009955B2"/>
    <w:rsid w:val="00996BA2"/>
    <w:rsid w:val="00996ECD"/>
    <w:rsid w:val="00997CE5"/>
    <w:rsid w:val="009A07B9"/>
    <w:rsid w:val="009A255B"/>
    <w:rsid w:val="009A2CCE"/>
    <w:rsid w:val="009A2E8D"/>
    <w:rsid w:val="009A39DC"/>
    <w:rsid w:val="009A3AC5"/>
    <w:rsid w:val="009A3F03"/>
    <w:rsid w:val="009A510F"/>
    <w:rsid w:val="009A556B"/>
    <w:rsid w:val="009A6B8C"/>
    <w:rsid w:val="009A74DC"/>
    <w:rsid w:val="009B12FB"/>
    <w:rsid w:val="009B2002"/>
    <w:rsid w:val="009B3767"/>
    <w:rsid w:val="009B4E3D"/>
    <w:rsid w:val="009B6991"/>
    <w:rsid w:val="009B6B39"/>
    <w:rsid w:val="009B6DEC"/>
    <w:rsid w:val="009C0406"/>
    <w:rsid w:val="009C12CC"/>
    <w:rsid w:val="009C2585"/>
    <w:rsid w:val="009C27B5"/>
    <w:rsid w:val="009C3947"/>
    <w:rsid w:val="009C428A"/>
    <w:rsid w:val="009C5D66"/>
    <w:rsid w:val="009C6804"/>
    <w:rsid w:val="009C6A33"/>
    <w:rsid w:val="009C75AD"/>
    <w:rsid w:val="009C786F"/>
    <w:rsid w:val="009D1628"/>
    <w:rsid w:val="009D1754"/>
    <w:rsid w:val="009D277B"/>
    <w:rsid w:val="009D44B0"/>
    <w:rsid w:val="009D4708"/>
    <w:rsid w:val="009E0AC7"/>
    <w:rsid w:val="009E15E0"/>
    <w:rsid w:val="009E1E7B"/>
    <w:rsid w:val="009E39F1"/>
    <w:rsid w:val="009E43B1"/>
    <w:rsid w:val="009E4A18"/>
    <w:rsid w:val="009E5453"/>
    <w:rsid w:val="009E54D7"/>
    <w:rsid w:val="009E5B5A"/>
    <w:rsid w:val="009E6A50"/>
    <w:rsid w:val="009E6F51"/>
    <w:rsid w:val="009F348B"/>
    <w:rsid w:val="009F3CE9"/>
    <w:rsid w:val="009F4DD0"/>
    <w:rsid w:val="009F58DE"/>
    <w:rsid w:val="009F6358"/>
    <w:rsid w:val="009F6C23"/>
    <w:rsid w:val="009F715B"/>
    <w:rsid w:val="009F743C"/>
    <w:rsid w:val="009F74C8"/>
    <w:rsid w:val="009F79C3"/>
    <w:rsid w:val="009F7C93"/>
    <w:rsid w:val="00A00A07"/>
    <w:rsid w:val="00A00B18"/>
    <w:rsid w:val="00A0115D"/>
    <w:rsid w:val="00A01AE2"/>
    <w:rsid w:val="00A01EB7"/>
    <w:rsid w:val="00A031ED"/>
    <w:rsid w:val="00A0679D"/>
    <w:rsid w:val="00A0725B"/>
    <w:rsid w:val="00A07E58"/>
    <w:rsid w:val="00A11E2A"/>
    <w:rsid w:val="00A12F65"/>
    <w:rsid w:val="00A12FD1"/>
    <w:rsid w:val="00A131B8"/>
    <w:rsid w:val="00A138CA"/>
    <w:rsid w:val="00A144F5"/>
    <w:rsid w:val="00A150D7"/>
    <w:rsid w:val="00A15BF9"/>
    <w:rsid w:val="00A163CA"/>
    <w:rsid w:val="00A164CC"/>
    <w:rsid w:val="00A207E9"/>
    <w:rsid w:val="00A21B8D"/>
    <w:rsid w:val="00A21E89"/>
    <w:rsid w:val="00A23138"/>
    <w:rsid w:val="00A2331E"/>
    <w:rsid w:val="00A2351F"/>
    <w:rsid w:val="00A23E04"/>
    <w:rsid w:val="00A256CA"/>
    <w:rsid w:val="00A25AA8"/>
    <w:rsid w:val="00A25E97"/>
    <w:rsid w:val="00A266E1"/>
    <w:rsid w:val="00A26765"/>
    <w:rsid w:val="00A268BF"/>
    <w:rsid w:val="00A27A83"/>
    <w:rsid w:val="00A30943"/>
    <w:rsid w:val="00A30A58"/>
    <w:rsid w:val="00A30A7B"/>
    <w:rsid w:val="00A313A9"/>
    <w:rsid w:val="00A32457"/>
    <w:rsid w:val="00A32D5C"/>
    <w:rsid w:val="00A3332C"/>
    <w:rsid w:val="00A33CEA"/>
    <w:rsid w:val="00A34058"/>
    <w:rsid w:val="00A345A6"/>
    <w:rsid w:val="00A34986"/>
    <w:rsid w:val="00A34A79"/>
    <w:rsid w:val="00A34C8D"/>
    <w:rsid w:val="00A356D6"/>
    <w:rsid w:val="00A35E2E"/>
    <w:rsid w:val="00A362D3"/>
    <w:rsid w:val="00A36DB8"/>
    <w:rsid w:val="00A37FE6"/>
    <w:rsid w:val="00A42330"/>
    <w:rsid w:val="00A42B2F"/>
    <w:rsid w:val="00A432F0"/>
    <w:rsid w:val="00A43B88"/>
    <w:rsid w:val="00A43D69"/>
    <w:rsid w:val="00A4459B"/>
    <w:rsid w:val="00A45244"/>
    <w:rsid w:val="00A45A05"/>
    <w:rsid w:val="00A45A12"/>
    <w:rsid w:val="00A45CB2"/>
    <w:rsid w:val="00A45EB4"/>
    <w:rsid w:val="00A463CD"/>
    <w:rsid w:val="00A46BC6"/>
    <w:rsid w:val="00A474B2"/>
    <w:rsid w:val="00A47B37"/>
    <w:rsid w:val="00A512B0"/>
    <w:rsid w:val="00A513EB"/>
    <w:rsid w:val="00A51C82"/>
    <w:rsid w:val="00A522A9"/>
    <w:rsid w:val="00A53076"/>
    <w:rsid w:val="00A53821"/>
    <w:rsid w:val="00A53952"/>
    <w:rsid w:val="00A53A90"/>
    <w:rsid w:val="00A5418F"/>
    <w:rsid w:val="00A5443C"/>
    <w:rsid w:val="00A54E35"/>
    <w:rsid w:val="00A54F0D"/>
    <w:rsid w:val="00A55306"/>
    <w:rsid w:val="00A574B9"/>
    <w:rsid w:val="00A576EC"/>
    <w:rsid w:val="00A6078B"/>
    <w:rsid w:val="00A60FBE"/>
    <w:rsid w:val="00A611E0"/>
    <w:rsid w:val="00A627E7"/>
    <w:rsid w:val="00A646BA"/>
    <w:rsid w:val="00A673F0"/>
    <w:rsid w:val="00A67515"/>
    <w:rsid w:val="00A7015B"/>
    <w:rsid w:val="00A70E7C"/>
    <w:rsid w:val="00A72CB4"/>
    <w:rsid w:val="00A72FAF"/>
    <w:rsid w:val="00A73B0B"/>
    <w:rsid w:val="00A7447E"/>
    <w:rsid w:val="00A74561"/>
    <w:rsid w:val="00A75213"/>
    <w:rsid w:val="00A75698"/>
    <w:rsid w:val="00A75844"/>
    <w:rsid w:val="00A76328"/>
    <w:rsid w:val="00A76D7E"/>
    <w:rsid w:val="00A77409"/>
    <w:rsid w:val="00A775E2"/>
    <w:rsid w:val="00A80594"/>
    <w:rsid w:val="00A80794"/>
    <w:rsid w:val="00A80A9A"/>
    <w:rsid w:val="00A810AE"/>
    <w:rsid w:val="00A81DFB"/>
    <w:rsid w:val="00A825BE"/>
    <w:rsid w:val="00A82D38"/>
    <w:rsid w:val="00A83639"/>
    <w:rsid w:val="00A84475"/>
    <w:rsid w:val="00A861C1"/>
    <w:rsid w:val="00A867AB"/>
    <w:rsid w:val="00A900EF"/>
    <w:rsid w:val="00A901F0"/>
    <w:rsid w:val="00A91350"/>
    <w:rsid w:val="00A91EC3"/>
    <w:rsid w:val="00A926DF"/>
    <w:rsid w:val="00A92A91"/>
    <w:rsid w:val="00A935F2"/>
    <w:rsid w:val="00A93F24"/>
    <w:rsid w:val="00A94210"/>
    <w:rsid w:val="00A94E97"/>
    <w:rsid w:val="00A96A3C"/>
    <w:rsid w:val="00A97905"/>
    <w:rsid w:val="00AA0916"/>
    <w:rsid w:val="00AA0EB2"/>
    <w:rsid w:val="00AA1E76"/>
    <w:rsid w:val="00AA24AD"/>
    <w:rsid w:val="00AA3137"/>
    <w:rsid w:val="00AA34BC"/>
    <w:rsid w:val="00AA3DC7"/>
    <w:rsid w:val="00AA599C"/>
    <w:rsid w:val="00AA67DF"/>
    <w:rsid w:val="00AA6AB3"/>
    <w:rsid w:val="00AA7458"/>
    <w:rsid w:val="00AB018E"/>
    <w:rsid w:val="00AB070B"/>
    <w:rsid w:val="00AB0A11"/>
    <w:rsid w:val="00AB297D"/>
    <w:rsid w:val="00AB2E90"/>
    <w:rsid w:val="00AB32B3"/>
    <w:rsid w:val="00AB359B"/>
    <w:rsid w:val="00AB428F"/>
    <w:rsid w:val="00AB6CAB"/>
    <w:rsid w:val="00AB77C5"/>
    <w:rsid w:val="00AC0398"/>
    <w:rsid w:val="00AC088D"/>
    <w:rsid w:val="00AC2910"/>
    <w:rsid w:val="00AC4222"/>
    <w:rsid w:val="00AC5164"/>
    <w:rsid w:val="00AC51AA"/>
    <w:rsid w:val="00AC54FA"/>
    <w:rsid w:val="00AC7911"/>
    <w:rsid w:val="00AD018B"/>
    <w:rsid w:val="00AD0387"/>
    <w:rsid w:val="00AD1340"/>
    <w:rsid w:val="00AD2639"/>
    <w:rsid w:val="00AD2694"/>
    <w:rsid w:val="00AD2CE5"/>
    <w:rsid w:val="00AD33E8"/>
    <w:rsid w:val="00AD33EC"/>
    <w:rsid w:val="00AD4591"/>
    <w:rsid w:val="00AD5C20"/>
    <w:rsid w:val="00AD5C81"/>
    <w:rsid w:val="00AD6011"/>
    <w:rsid w:val="00AD695D"/>
    <w:rsid w:val="00AD6F03"/>
    <w:rsid w:val="00AD6FFE"/>
    <w:rsid w:val="00AE0616"/>
    <w:rsid w:val="00AE0903"/>
    <w:rsid w:val="00AE1241"/>
    <w:rsid w:val="00AE18D1"/>
    <w:rsid w:val="00AE22F2"/>
    <w:rsid w:val="00AE49FB"/>
    <w:rsid w:val="00AE57C3"/>
    <w:rsid w:val="00AE762D"/>
    <w:rsid w:val="00AE7C51"/>
    <w:rsid w:val="00AF0038"/>
    <w:rsid w:val="00AF1229"/>
    <w:rsid w:val="00AF2D52"/>
    <w:rsid w:val="00AF37F7"/>
    <w:rsid w:val="00AF4E4D"/>
    <w:rsid w:val="00AF5695"/>
    <w:rsid w:val="00AF5952"/>
    <w:rsid w:val="00AF5E6E"/>
    <w:rsid w:val="00AF62F1"/>
    <w:rsid w:val="00AF65A8"/>
    <w:rsid w:val="00AF7642"/>
    <w:rsid w:val="00B00EEF"/>
    <w:rsid w:val="00B0178A"/>
    <w:rsid w:val="00B01C95"/>
    <w:rsid w:val="00B0298F"/>
    <w:rsid w:val="00B03F90"/>
    <w:rsid w:val="00B070AC"/>
    <w:rsid w:val="00B11012"/>
    <w:rsid w:val="00B11C52"/>
    <w:rsid w:val="00B12D6C"/>
    <w:rsid w:val="00B13D3A"/>
    <w:rsid w:val="00B15165"/>
    <w:rsid w:val="00B1632F"/>
    <w:rsid w:val="00B168B4"/>
    <w:rsid w:val="00B175F7"/>
    <w:rsid w:val="00B17666"/>
    <w:rsid w:val="00B17705"/>
    <w:rsid w:val="00B2070F"/>
    <w:rsid w:val="00B20A60"/>
    <w:rsid w:val="00B20BB2"/>
    <w:rsid w:val="00B21B10"/>
    <w:rsid w:val="00B23C2C"/>
    <w:rsid w:val="00B24821"/>
    <w:rsid w:val="00B25356"/>
    <w:rsid w:val="00B265B9"/>
    <w:rsid w:val="00B26855"/>
    <w:rsid w:val="00B268FF"/>
    <w:rsid w:val="00B26D4A"/>
    <w:rsid w:val="00B307FA"/>
    <w:rsid w:val="00B30E4C"/>
    <w:rsid w:val="00B31554"/>
    <w:rsid w:val="00B322DC"/>
    <w:rsid w:val="00B32C1B"/>
    <w:rsid w:val="00B332C9"/>
    <w:rsid w:val="00B345BF"/>
    <w:rsid w:val="00B35489"/>
    <w:rsid w:val="00B367B0"/>
    <w:rsid w:val="00B36B97"/>
    <w:rsid w:val="00B375BB"/>
    <w:rsid w:val="00B40E82"/>
    <w:rsid w:val="00B418EF"/>
    <w:rsid w:val="00B421B4"/>
    <w:rsid w:val="00B4354E"/>
    <w:rsid w:val="00B4380C"/>
    <w:rsid w:val="00B46203"/>
    <w:rsid w:val="00B4671D"/>
    <w:rsid w:val="00B50FDF"/>
    <w:rsid w:val="00B51610"/>
    <w:rsid w:val="00B52961"/>
    <w:rsid w:val="00B5360E"/>
    <w:rsid w:val="00B54983"/>
    <w:rsid w:val="00B551AC"/>
    <w:rsid w:val="00B55284"/>
    <w:rsid w:val="00B573CD"/>
    <w:rsid w:val="00B57D74"/>
    <w:rsid w:val="00B634EA"/>
    <w:rsid w:val="00B63FEF"/>
    <w:rsid w:val="00B6418F"/>
    <w:rsid w:val="00B64451"/>
    <w:rsid w:val="00B64FE5"/>
    <w:rsid w:val="00B6625F"/>
    <w:rsid w:val="00B66A98"/>
    <w:rsid w:val="00B67657"/>
    <w:rsid w:val="00B70A43"/>
    <w:rsid w:val="00B70ED1"/>
    <w:rsid w:val="00B711B4"/>
    <w:rsid w:val="00B72615"/>
    <w:rsid w:val="00B72E36"/>
    <w:rsid w:val="00B741A0"/>
    <w:rsid w:val="00B762AC"/>
    <w:rsid w:val="00B76B56"/>
    <w:rsid w:val="00B76DF1"/>
    <w:rsid w:val="00B82024"/>
    <w:rsid w:val="00B82707"/>
    <w:rsid w:val="00B83799"/>
    <w:rsid w:val="00B847DE"/>
    <w:rsid w:val="00B84CBB"/>
    <w:rsid w:val="00B85880"/>
    <w:rsid w:val="00B86C55"/>
    <w:rsid w:val="00B86F73"/>
    <w:rsid w:val="00B877C1"/>
    <w:rsid w:val="00B9376C"/>
    <w:rsid w:val="00B949FD"/>
    <w:rsid w:val="00B957C3"/>
    <w:rsid w:val="00B968BA"/>
    <w:rsid w:val="00B97491"/>
    <w:rsid w:val="00BA0035"/>
    <w:rsid w:val="00BA0672"/>
    <w:rsid w:val="00BA2027"/>
    <w:rsid w:val="00BA2866"/>
    <w:rsid w:val="00BA39E1"/>
    <w:rsid w:val="00BA3A1F"/>
    <w:rsid w:val="00BA5DCA"/>
    <w:rsid w:val="00BA686B"/>
    <w:rsid w:val="00BA6F06"/>
    <w:rsid w:val="00BA7222"/>
    <w:rsid w:val="00BA7CD0"/>
    <w:rsid w:val="00BB0506"/>
    <w:rsid w:val="00BB1100"/>
    <w:rsid w:val="00BB148A"/>
    <w:rsid w:val="00BB15C2"/>
    <w:rsid w:val="00BB2654"/>
    <w:rsid w:val="00BB33A0"/>
    <w:rsid w:val="00BB38C7"/>
    <w:rsid w:val="00BB515B"/>
    <w:rsid w:val="00BB5C6C"/>
    <w:rsid w:val="00BC0889"/>
    <w:rsid w:val="00BC0CFB"/>
    <w:rsid w:val="00BC1E76"/>
    <w:rsid w:val="00BC218D"/>
    <w:rsid w:val="00BC2C1E"/>
    <w:rsid w:val="00BC41A9"/>
    <w:rsid w:val="00BC4A83"/>
    <w:rsid w:val="00BC4EC3"/>
    <w:rsid w:val="00BC5BA8"/>
    <w:rsid w:val="00BC67E3"/>
    <w:rsid w:val="00BC743F"/>
    <w:rsid w:val="00BC76B9"/>
    <w:rsid w:val="00BC778A"/>
    <w:rsid w:val="00BC7ED2"/>
    <w:rsid w:val="00BC7EF0"/>
    <w:rsid w:val="00BD0BAF"/>
    <w:rsid w:val="00BD3024"/>
    <w:rsid w:val="00BD591E"/>
    <w:rsid w:val="00BD768B"/>
    <w:rsid w:val="00BD7BEE"/>
    <w:rsid w:val="00BD7F67"/>
    <w:rsid w:val="00BE1744"/>
    <w:rsid w:val="00BE176E"/>
    <w:rsid w:val="00BE24C2"/>
    <w:rsid w:val="00BE3F13"/>
    <w:rsid w:val="00BE437E"/>
    <w:rsid w:val="00BE59AB"/>
    <w:rsid w:val="00BE5C3B"/>
    <w:rsid w:val="00BE7838"/>
    <w:rsid w:val="00BF01DF"/>
    <w:rsid w:val="00BF0593"/>
    <w:rsid w:val="00BF0C1B"/>
    <w:rsid w:val="00BF0D2E"/>
    <w:rsid w:val="00BF2EC9"/>
    <w:rsid w:val="00BF407D"/>
    <w:rsid w:val="00BF4F5C"/>
    <w:rsid w:val="00BF63D3"/>
    <w:rsid w:val="00BF7897"/>
    <w:rsid w:val="00BF7F9A"/>
    <w:rsid w:val="00C00C08"/>
    <w:rsid w:val="00C02245"/>
    <w:rsid w:val="00C0269A"/>
    <w:rsid w:val="00C03088"/>
    <w:rsid w:val="00C03F3D"/>
    <w:rsid w:val="00C0505B"/>
    <w:rsid w:val="00C05208"/>
    <w:rsid w:val="00C057A9"/>
    <w:rsid w:val="00C058E6"/>
    <w:rsid w:val="00C069AD"/>
    <w:rsid w:val="00C10192"/>
    <w:rsid w:val="00C11EF5"/>
    <w:rsid w:val="00C12C1B"/>
    <w:rsid w:val="00C13493"/>
    <w:rsid w:val="00C13EEA"/>
    <w:rsid w:val="00C1469A"/>
    <w:rsid w:val="00C147EB"/>
    <w:rsid w:val="00C14B2A"/>
    <w:rsid w:val="00C15156"/>
    <w:rsid w:val="00C157B1"/>
    <w:rsid w:val="00C165E2"/>
    <w:rsid w:val="00C175CF"/>
    <w:rsid w:val="00C17B3D"/>
    <w:rsid w:val="00C202BD"/>
    <w:rsid w:val="00C20979"/>
    <w:rsid w:val="00C22EC7"/>
    <w:rsid w:val="00C23E9F"/>
    <w:rsid w:val="00C24301"/>
    <w:rsid w:val="00C244D5"/>
    <w:rsid w:val="00C24D4F"/>
    <w:rsid w:val="00C25433"/>
    <w:rsid w:val="00C254A3"/>
    <w:rsid w:val="00C269D2"/>
    <w:rsid w:val="00C27518"/>
    <w:rsid w:val="00C304A4"/>
    <w:rsid w:val="00C30FA4"/>
    <w:rsid w:val="00C31653"/>
    <w:rsid w:val="00C32A68"/>
    <w:rsid w:val="00C33939"/>
    <w:rsid w:val="00C34A0F"/>
    <w:rsid w:val="00C34C1E"/>
    <w:rsid w:val="00C34DC1"/>
    <w:rsid w:val="00C351B4"/>
    <w:rsid w:val="00C35214"/>
    <w:rsid w:val="00C3543C"/>
    <w:rsid w:val="00C3745A"/>
    <w:rsid w:val="00C37666"/>
    <w:rsid w:val="00C376B0"/>
    <w:rsid w:val="00C4110E"/>
    <w:rsid w:val="00C41C69"/>
    <w:rsid w:val="00C42E7B"/>
    <w:rsid w:val="00C4311A"/>
    <w:rsid w:val="00C45A3B"/>
    <w:rsid w:val="00C46296"/>
    <w:rsid w:val="00C472D9"/>
    <w:rsid w:val="00C4789A"/>
    <w:rsid w:val="00C51501"/>
    <w:rsid w:val="00C51666"/>
    <w:rsid w:val="00C5453B"/>
    <w:rsid w:val="00C549B2"/>
    <w:rsid w:val="00C54CB0"/>
    <w:rsid w:val="00C56064"/>
    <w:rsid w:val="00C609A3"/>
    <w:rsid w:val="00C61998"/>
    <w:rsid w:val="00C62C4A"/>
    <w:rsid w:val="00C62E2F"/>
    <w:rsid w:val="00C6558E"/>
    <w:rsid w:val="00C66082"/>
    <w:rsid w:val="00C67C30"/>
    <w:rsid w:val="00C67CEF"/>
    <w:rsid w:val="00C729F5"/>
    <w:rsid w:val="00C72C72"/>
    <w:rsid w:val="00C740E2"/>
    <w:rsid w:val="00C74178"/>
    <w:rsid w:val="00C74786"/>
    <w:rsid w:val="00C751FD"/>
    <w:rsid w:val="00C7526D"/>
    <w:rsid w:val="00C75BED"/>
    <w:rsid w:val="00C80D61"/>
    <w:rsid w:val="00C81311"/>
    <w:rsid w:val="00C81DF0"/>
    <w:rsid w:val="00C83196"/>
    <w:rsid w:val="00C83292"/>
    <w:rsid w:val="00C8336B"/>
    <w:rsid w:val="00C84EF1"/>
    <w:rsid w:val="00C8544E"/>
    <w:rsid w:val="00C85837"/>
    <w:rsid w:val="00C86685"/>
    <w:rsid w:val="00C9115F"/>
    <w:rsid w:val="00C91D19"/>
    <w:rsid w:val="00C930C3"/>
    <w:rsid w:val="00C94E9C"/>
    <w:rsid w:val="00C95267"/>
    <w:rsid w:val="00C95C0E"/>
    <w:rsid w:val="00C96CD5"/>
    <w:rsid w:val="00C96DC3"/>
    <w:rsid w:val="00CA013F"/>
    <w:rsid w:val="00CA03D0"/>
    <w:rsid w:val="00CA1647"/>
    <w:rsid w:val="00CA216C"/>
    <w:rsid w:val="00CA3C15"/>
    <w:rsid w:val="00CA4A35"/>
    <w:rsid w:val="00CA58CA"/>
    <w:rsid w:val="00CA5FE2"/>
    <w:rsid w:val="00CA63DD"/>
    <w:rsid w:val="00CA6539"/>
    <w:rsid w:val="00CB0839"/>
    <w:rsid w:val="00CB09E8"/>
    <w:rsid w:val="00CB140F"/>
    <w:rsid w:val="00CB1B23"/>
    <w:rsid w:val="00CB255F"/>
    <w:rsid w:val="00CB3016"/>
    <w:rsid w:val="00CB3424"/>
    <w:rsid w:val="00CB3DBA"/>
    <w:rsid w:val="00CB3EAC"/>
    <w:rsid w:val="00CB40DA"/>
    <w:rsid w:val="00CB4B53"/>
    <w:rsid w:val="00CB517E"/>
    <w:rsid w:val="00CB5B8D"/>
    <w:rsid w:val="00CB7107"/>
    <w:rsid w:val="00CB7134"/>
    <w:rsid w:val="00CB754C"/>
    <w:rsid w:val="00CC0449"/>
    <w:rsid w:val="00CC0C0E"/>
    <w:rsid w:val="00CC0F02"/>
    <w:rsid w:val="00CC13E8"/>
    <w:rsid w:val="00CC167E"/>
    <w:rsid w:val="00CC191B"/>
    <w:rsid w:val="00CC232C"/>
    <w:rsid w:val="00CC32C8"/>
    <w:rsid w:val="00CC4050"/>
    <w:rsid w:val="00CC52AD"/>
    <w:rsid w:val="00CC7E3B"/>
    <w:rsid w:val="00CD0560"/>
    <w:rsid w:val="00CD16AE"/>
    <w:rsid w:val="00CD1B89"/>
    <w:rsid w:val="00CD279D"/>
    <w:rsid w:val="00CD387E"/>
    <w:rsid w:val="00CD38B0"/>
    <w:rsid w:val="00CD3CA4"/>
    <w:rsid w:val="00CD498D"/>
    <w:rsid w:val="00CD6E47"/>
    <w:rsid w:val="00CD7A67"/>
    <w:rsid w:val="00CE05FB"/>
    <w:rsid w:val="00CE0670"/>
    <w:rsid w:val="00CE0F70"/>
    <w:rsid w:val="00CE2A41"/>
    <w:rsid w:val="00CE3404"/>
    <w:rsid w:val="00CE4469"/>
    <w:rsid w:val="00CE7256"/>
    <w:rsid w:val="00CF002F"/>
    <w:rsid w:val="00CF0953"/>
    <w:rsid w:val="00CF0B14"/>
    <w:rsid w:val="00CF0B76"/>
    <w:rsid w:val="00CF14A7"/>
    <w:rsid w:val="00CF2731"/>
    <w:rsid w:val="00CF3C7F"/>
    <w:rsid w:val="00CF6929"/>
    <w:rsid w:val="00CF784D"/>
    <w:rsid w:val="00CF7C47"/>
    <w:rsid w:val="00D01843"/>
    <w:rsid w:val="00D01942"/>
    <w:rsid w:val="00D0240D"/>
    <w:rsid w:val="00D03598"/>
    <w:rsid w:val="00D0425B"/>
    <w:rsid w:val="00D05013"/>
    <w:rsid w:val="00D0560B"/>
    <w:rsid w:val="00D073DB"/>
    <w:rsid w:val="00D1014C"/>
    <w:rsid w:val="00D10B2F"/>
    <w:rsid w:val="00D10CB6"/>
    <w:rsid w:val="00D12B9A"/>
    <w:rsid w:val="00D13F78"/>
    <w:rsid w:val="00D15A3A"/>
    <w:rsid w:val="00D16746"/>
    <w:rsid w:val="00D16BF2"/>
    <w:rsid w:val="00D1752F"/>
    <w:rsid w:val="00D1785D"/>
    <w:rsid w:val="00D17ACD"/>
    <w:rsid w:val="00D17B15"/>
    <w:rsid w:val="00D20957"/>
    <w:rsid w:val="00D21EF7"/>
    <w:rsid w:val="00D22EF3"/>
    <w:rsid w:val="00D2303B"/>
    <w:rsid w:val="00D254AA"/>
    <w:rsid w:val="00D25CA8"/>
    <w:rsid w:val="00D269BE"/>
    <w:rsid w:val="00D273A9"/>
    <w:rsid w:val="00D27C77"/>
    <w:rsid w:val="00D30527"/>
    <w:rsid w:val="00D308F3"/>
    <w:rsid w:val="00D31087"/>
    <w:rsid w:val="00D310FA"/>
    <w:rsid w:val="00D31899"/>
    <w:rsid w:val="00D33045"/>
    <w:rsid w:val="00D331AB"/>
    <w:rsid w:val="00D3326E"/>
    <w:rsid w:val="00D33745"/>
    <w:rsid w:val="00D351F7"/>
    <w:rsid w:val="00D363E5"/>
    <w:rsid w:val="00D36801"/>
    <w:rsid w:val="00D36D04"/>
    <w:rsid w:val="00D37D5F"/>
    <w:rsid w:val="00D37FFA"/>
    <w:rsid w:val="00D41100"/>
    <w:rsid w:val="00D4127D"/>
    <w:rsid w:val="00D41FCB"/>
    <w:rsid w:val="00D431D5"/>
    <w:rsid w:val="00D43C90"/>
    <w:rsid w:val="00D448BD"/>
    <w:rsid w:val="00D452FC"/>
    <w:rsid w:val="00D453B4"/>
    <w:rsid w:val="00D4582E"/>
    <w:rsid w:val="00D45B9A"/>
    <w:rsid w:val="00D464ED"/>
    <w:rsid w:val="00D50459"/>
    <w:rsid w:val="00D51A10"/>
    <w:rsid w:val="00D52375"/>
    <w:rsid w:val="00D52E61"/>
    <w:rsid w:val="00D55243"/>
    <w:rsid w:val="00D55869"/>
    <w:rsid w:val="00D56737"/>
    <w:rsid w:val="00D6090F"/>
    <w:rsid w:val="00D60EDF"/>
    <w:rsid w:val="00D615E2"/>
    <w:rsid w:val="00D61E45"/>
    <w:rsid w:val="00D62B1D"/>
    <w:rsid w:val="00D6329D"/>
    <w:rsid w:val="00D633BE"/>
    <w:rsid w:val="00D63DF3"/>
    <w:rsid w:val="00D63FEF"/>
    <w:rsid w:val="00D6458F"/>
    <w:rsid w:val="00D64656"/>
    <w:rsid w:val="00D65264"/>
    <w:rsid w:val="00D65E7A"/>
    <w:rsid w:val="00D67318"/>
    <w:rsid w:val="00D67616"/>
    <w:rsid w:val="00D67AA0"/>
    <w:rsid w:val="00D67D28"/>
    <w:rsid w:val="00D70649"/>
    <w:rsid w:val="00D70AC1"/>
    <w:rsid w:val="00D712A7"/>
    <w:rsid w:val="00D72C70"/>
    <w:rsid w:val="00D7324B"/>
    <w:rsid w:val="00D743ED"/>
    <w:rsid w:val="00D745F2"/>
    <w:rsid w:val="00D7517E"/>
    <w:rsid w:val="00D7574A"/>
    <w:rsid w:val="00D763DA"/>
    <w:rsid w:val="00D77085"/>
    <w:rsid w:val="00D77500"/>
    <w:rsid w:val="00D775A0"/>
    <w:rsid w:val="00D80324"/>
    <w:rsid w:val="00D808B8"/>
    <w:rsid w:val="00D80DBE"/>
    <w:rsid w:val="00D816CD"/>
    <w:rsid w:val="00D8180F"/>
    <w:rsid w:val="00D82ADC"/>
    <w:rsid w:val="00D82C4D"/>
    <w:rsid w:val="00D832E8"/>
    <w:rsid w:val="00D84CC1"/>
    <w:rsid w:val="00D8590F"/>
    <w:rsid w:val="00D8698E"/>
    <w:rsid w:val="00D86E0D"/>
    <w:rsid w:val="00D87738"/>
    <w:rsid w:val="00D879E7"/>
    <w:rsid w:val="00D903BC"/>
    <w:rsid w:val="00D92247"/>
    <w:rsid w:val="00D92D73"/>
    <w:rsid w:val="00D954FA"/>
    <w:rsid w:val="00D9626E"/>
    <w:rsid w:val="00D96662"/>
    <w:rsid w:val="00D96EAB"/>
    <w:rsid w:val="00D973C4"/>
    <w:rsid w:val="00D97E81"/>
    <w:rsid w:val="00DA046A"/>
    <w:rsid w:val="00DA1676"/>
    <w:rsid w:val="00DA35B7"/>
    <w:rsid w:val="00DA4162"/>
    <w:rsid w:val="00DA4269"/>
    <w:rsid w:val="00DA6007"/>
    <w:rsid w:val="00DA6223"/>
    <w:rsid w:val="00DA6EE3"/>
    <w:rsid w:val="00DA707D"/>
    <w:rsid w:val="00DB0F9D"/>
    <w:rsid w:val="00DB1AED"/>
    <w:rsid w:val="00DB36FD"/>
    <w:rsid w:val="00DB39DC"/>
    <w:rsid w:val="00DB3B62"/>
    <w:rsid w:val="00DB3E8D"/>
    <w:rsid w:val="00DC14A4"/>
    <w:rsid w:val="00DC193F"/>
    <w:rsid w:val="00DC1C0E"/>
    <w:rsid w:val="00DC1CB2"/>
    <w:rsid w:val="00DC1FB1"/>
    <w:rsid w:val="00DC36C6"/>
    <w:rsid w:val="00DC3D93"/>
    <w:rsid w:val="00DC3E0B"/>
    <w:rsid w:val="00DC495D"/>
    <w:rsid w:val="00DC61B6"/>
    <w:rsid w:val="00DC70C9"/>
    <w:rsid w:val="00DC710A"/>
    <w:rsid w:val="00DD0512"/>
    <w:rsid w:val="00DD1597"/>
    <w:rsid w:val="00DD1E02"/>
    <w:rsid w:val="00DD2B30"/>
    <w:rsid w:val="00DD3D29"/>
    <w:rsid w:val="00DD3F53"/>
    <w:rsid w:val="00DD4BFC"/>
    <w:rsid w:val="00DD4E56"/>
    <w:rsid w:val="00DD5C3F"/>
    <w:rsid w:val="00DD5F53"/>
    <w:rsid w:val="00DD6A32"/>
    <w:rsid w:val="00DD74AA"/>
    <w:rsid w:val="00DD7923"/>
    <w:rsid w:val="00DE07D5"/>
    <w:rsid w:val="00DE1AF4"/>
    <w:rsid w:val="00DE2964"/>
    <w:rsid w:val="00DE2A26"/>
    <w:rsid w:val="00DE3C2E"/>
    <w:rsid w:val="00DE60C6"/>
    <w:rsid w:val="00DE6191"/>
    <w:rsid w:val="00DE64B7"/>
    <w:rsid w:val="00DE6994"/>
    <w:rsid w:val="00DE7084"/>
    <w:rsid w:val="00DF051B"/>
    <w:rsid w:val="00DF2058"/>
    <w:rsid w:val="00DF2150"/>
    <w:rsid w:val="00DF226C"/>
    <w:rsid w:val="00DF2B5E"/>
    <w:rsid w:val="00DF332F"/>
    <w:rsid w:val="00DF4A87"/>
    <w:rsid w:val="00DF72FA"/>
    <w:rsid w:val="00DF7D37"/>
    <w:rsid w:val="00E004D5"/>
    <w:rsid w:val="00E00DEC"/>
    <w:rsid w:val="00E019F2"/>
    <w:rsid w:val="00E01E49"/>
    <w:rsid w:val="00E024B0"/>
    <w:rsid w:val="00E03AC7"/>
    <w:rsid w:val="00E03F87"/>
    <w:rsid w:val="00E04E8C"/>
    <w:rsid w:val="00E052E9"/>
    <w:rsid w:val="00E06A0C"/>
    <w:rsid w:val="00E06D00"/>
    <w:rsid w:val="00E07143"/>
    <w:rsid w:val="00E07204"/>
    <w:rsid w:val="00E07431"/>
    <w:rsid w:val="00E07C18"/>
    <w:rsid w:val="00E10739"/>
    <w:rsid w:val="00E13012"/>
    <w:rsid w:val="00E1365B"/>
    <w:rsid w:val="00E14AE7"/>
    <w:rsid w:val="00E14BED"/>
    <w:rsid w:val="00E15B32"/>
    <w:rsid w:val="00E16801"/>
    <w:rsid w:val="00E16924"/>
    <w:rsid w:val="00E16E86"/>
    <w:rsid w:val="00E20AAC"/>
    <w:rsid w:val="00E20DF2"/>
    <w:rsid w:val="00E21A78"/>
    <w:rsid w:val="00E21C05"/>
    <w:rsid w:val="00E23641"/>
    <w:rsid w:val="00E23AD2"/>
    <w:rsid w:val="00E23CC5"/>
    <w:rsid w:val="00E23E0C"/>
    <w:rsid w:val="00E270A1"/>
    <w:rsid w:val="00E303AF"/>
    <w:rsid w:val="00E314EC"/>
    <w:rsid w:val="00E3235F"/>
    <w:rsid w:val="00E32634"/>
    <w:rsid w:val="00E33C5B"/>
    <w:rsid w:val="00E348C8"/>
    <w:rsid w:val="00E351F8"/>
    <w:rsid w:val="00E35890"/>
    <w:rsid w:val="00E35DF9"/>
    <w:rsid w:val="00E36422"/>
    <w:rsid w:val="00E37944"/>
    <w:rsid w:val="00E41A02"/>
    <w:rsid w:val="00E437C3"/>
    <w:rsid w:val="00E43ED8"/>
    <w:rsid w:val="00E456EE"/>
    <w:rsid w:val="00E45B3A"/>
    <w:rsid w:val="00E4648C"/>
    <w:rsid w:val="00E46730"/>
    <w:rsid w:val="00E46832"/>
    <w:rsid w:val="00E473FE"/>
    <w:rsid w:val="00E475DD"/>
    <w:rsid w:val="00E51C65"/>
    <w:rsid w:val="00E546C6"/>
    <w:rsid w:val="00E5487C"/>
    <w:rsid w:val="00E55E3F"/>
    <w:rsid w:val="00E60713"/>
    <w:rsid w:val="00E60A71"/>
    <w:rsid w:val="00E60E27"/>
    <w:rsid w:val="00E61562"/>
    <w:rsid w:val="00E61A06"/>
    <w:rsid w:val="00E624DC"/>
    <w:rsid w:val="00E62666"/>
    <w:rsid w:val="00E62F11"/>
    <w:rsid w:val="00E63476"/>
    <w:rsid w:val="00E64D88"/>
    <w:rsid w:val="00E65D3A"/>
    <w:rsid w:val="00E66B83"/>
    <w:rsid w:val="00E67919"/>
    <w:rsid w:val="00E679A2"/>
    <w:rsid w:val="00E67AEA"/>
    <w:rsid w:val="00E67D7F"/>
    <w:rsid w:val="00E70E2D"/>
    <w:rsid w:val="00E718B1"/>
    <w:rsid w:val="00E719EA"/>
    <w:rsid w:val="00E72439"/>
    <w:rsid w:val="00E739E3"/>
    <w:rsid w:val="00E74E5F"/>
    <w:rsid w:val="00E74F0C"/>
    <w:rsid w:val="00E7666E"/>
    <w:rsid w:val="00E76CE3"/>
    <w:rsid w:val="00E8078A"/>
    <w:rsid w:val="00E80CA1"/>
    <w:rsid w:val="00E8223F"/>
    <w:rsid w:val="00E829C6"/>
    <w:rsid w:val="00E834F8"/>
    <w:rsid w:val="00E848A4"/>
    <w:rsid w:val="00E84CB2"/>
    <w:rsid w:val="00E853AA"/>
    <w:rsid w:val="00E85BF2"/>
    <w:rsid w:val="00E87B2C"/>
    <w:rsid w:val="00E903C7"/>
    <w:rsid w:val="00E90632"/>
    <w:rsid w:val="00E914FA"/>
    <w:rsid w:val="00E91F1F"/>
    <w:rsid w:val="00E9288E"/>
    <w:rsid w:val="00E94A89"/>
    <w:rsid w:val="00E94E22"/>
    <w:rsid w:val="00E96885"/>
    <w:rsid w:val="00E97EE6"/>
    <w:rsid w:val="00EA01A5"/>
    <w:rsid w:val="00EA0F0E"/>
    <w:rsid w:val="00EA4430"/>
    <w:rsid w:val="00EA4C5E"/>
    <w:rsid w:val="00EA4FAF"/>
    <w:rsid w:val="00EA558B"/>
    <w:rsid w:val="00EA6619"/>
    <w:rsid w:val="00EB08D1"/>
    <w:rsid w:val="00EB12B4"/>
    <w:rsid w:val="00EB1BFF"/>
    <w:rsid w:val="00EB27AB"/>
    <w:rsid w:val="00EB2BFD"/>
    <w:rsid w:val="00EB3358"/>
    <w:rsid w:val="00EB3606"/>
    <w:rsid w:val="00EB37B3"/>
    <w:rsid w:val="00EB40D2"/>
    <w:rsid w:val="00EB4B28"/>
    <w:rsid w:val="00EB4DEF"/>
    <w:rsid w:val="00EB6460"/>
    <w:rsid w:val="00EB78C9"/>
    <w:rsid w:val="00EB7A2F"/>
    <w:rsid w:val="00EC015B"/>
    <w:rsid w:val="00EC185B"/>
    <w:rsid w:val="00EC263C"/>
    <w:rsid w:val="00EC32B5"/>
    <w:rsid w:val="00EC3694"/>
    <w:rsid w:val="00EC42E4"/>
    <w:rsid w:val="00EC5863"/>
    <w:rsid w:val="00EC624F"/>
    <w:rsid w:val="00EC686A"/>
    <w:rsid w:val="00EC68DD"/>
    <w:rsid w:val="00EC691F"/>
    <w:rsid w:val="00EC7FF3"/>
    <w:rsid w:val="00ED03B9"/>
    <w:rsid w:val="00ED0760"/>
    <w:rsid w:val="00ED1251"/>
    <w:rsid w:val="00ED2C4F"/>
    <w:rsid w:val="00ED2FE2"/>
    <w:rsid w:val="00ED3CED"/>
    <w:rsid w:val="00ED5416"/>
    <w:rsid w:val="00ED6574"/>
    <w:rsid w:val="00ED7BB2"/>
    <w:rsid w:val="00ED7BDC"/>
    <w:rsid w:val="00EE002E"/>
    <w:rsid w:val="00EE03FA"/>
    <w:rsid w:val="00EE0A03"/>
    <w:rsid w:val="00EE0B61"/>
    <w:rsid w:val="00EE1ED9"/>
    <w:rsid w:val="00EE2BEA"/>
    <w:rsid w:val="00EE32A1"/>
    <w:rsid w:val="00EE34E9"/>
    <w:rsid w:val="00EE35B1"/>
    <w:rsid w:val="00EE43E1"/>
    <w:rsid w:val="00EE4DD8"/>
    <w:rsid w:val="00EE504A"/>
    <w:rsid w:val="00EE50E9"/>
    <w:rsid w:val="00EE5530"/>
    <w:rsid w:val="00EE6E7B"/>
    <w:rsid w:val="00EE7980"/>
    <w:rsid w:val="00EE7EBC"/>
    <w:rsid w:val="00EF09D1"/>
    <w:rsid w:val="00EF0FD6"/>
    <w:rsid w:val="00EF188C"/>
    <w:rsid w:val="00EF21C4"/>
    <w:rsid w:val="00EF35A4"/>
    <w:rsid w:val="00EF46F9"/>
    <w:rsid w:val="00EF746F"/>
    <w:rsid w:val="00EF7EBD"/>
    <w:rsid w:val="00F00E7A"/>
    <w:rsid w:val="00F00F38"/>
    <w:rsid w:val="00F014C0"/>
    <w:rsid w:val="00F03F51"/>
    <w:rsid w:val="00F045C3"/>
    <w:rsid w:val="00F045CC"/>
    <w:rsid w:val="00F04742"/>
    <w:rsid w:val="00F06298"/>
    <w:rsid w:val="00F06C11"/>
    <w:rsid w:val="00F11864"/>
    <w:rsid w:val="00F119E5"/>
    <w:rsid w:val="00F12046"/>
    <w:rsid w:val="00F1276A"/>
    <w:rsid w:val="00F12C88"/>
    <w:rsid w:val="00F1385D"/>
    <w:rsid w:val="00F140EC"/>
    <w:rsid w:val="00F1571B"/>
    <w:rsid w:val="00F179DD"/>
    <w:rsid w:val="00F22CCC"/>
    <w:rsid w:val="00F23706"/>
    <w:rsid w:val="00F25430"/>
    <w:rsid w:val="00F26036"/>
    <w:rsid w:val="00F268CF"/>
    <w:rsid w:val="00F3121E"/>
    <w:rsid w:val="00F3180B"/>
    <w:rsid w:val="00F338AB"/>
    <w:rsid w:val="00F3555D"/>
    <w:rsid w:val="00F35A2E"/>
    <w:rsid w:val="00F36081"/>
    <w:rsid w:val="00F37DC1"/>
    <w:rsid w:val="00F40632"/>
    <w:rsid w:val="00F40D05"/>
    <w:rsid w:val="00F40E3E"/>
    <w:rsid w:val="00F41C7A"/>
    <w:rsid w:val="00F42221"/>
    <w:rsid w:val="00F4231D"/>
    <w:rsid w:val="00F42872"/>
    <w:rsid w:val="00F43117"/>
    <w:rsid w:val="00F43C9E"/>
    <w:rsid w:val="00F44410"/>
    <w:rsid w:val="00F45787"/>
    <w:rsid w:val="00F46F2B"/>
    <w:rsid w:val="00F470FF"/>
    <w:rsid w:val="00F503E9"/>
    <w:rsid w:val="00F518F1"/>
    <w:rsid w:val="00F52659"/>
    <w:rsid w:val="00F53828"/>
    <w:rsid w:val="00F549A7"/>
    <w:rsid w:val="00F54FAE"/>
    <w:rsid w:val="00F55709"/>
    <w:rsid w:val="00F576F7"/>
    <w:rsid w:val="00F57ABE"/>
    <w:rsid w:val="00F57C26"/>
    <w:rsid w:val="00F61ED9"/>
    <w:rsid w:val="00F621BA"/>
    <w:rsid w:val="00F62E09"/>
    <w:rsid w:val="00F64ECE"/>
    <w:rsid w:val="00F6551F"/>
    <w:rsid w:val="00F65A14"/>
    <w:rsid w:val="00F65D00"/>
    <w:rsid w:val="00F66524"/>
    <w:rsid w:val="00F716F1"/>
    <w:rsid w:val="00F71F88"/>
    <w:rsid w:val="00F72CF8"/>
    <w:rsid w:val="00F7417B"/>
    <w:rsid w:val="00F747CD"/>
    <w:rsid w:val="00F765E5"/>
    <w:rsid w:val="00F77C06"/>
    <w:rsid w:val="00F77CC9"/>
    <w:rsid w:val="00F80828"/>
    <w:rsid w:val="00F81132"/>
    <w:rsid w:val="00F816A7"/>
    <w:rsid w:val="00F81E0B"/>
    <w:rsid w:val="00F82836"/>
    <w:rsid w:val="00F82A83"/>
    <w:rsid w:val="00F832FB"/>
    <w:rsid w:val="00F841DE"/>
    <w:rsid w:val="00F84FA4"/>
    <w:rsid w:val="00F87F65"/>
    <w:rsid w:val="00F90DBB"/>
    <w:rsid w:val="00F92169"/>
    <w:rsid w:val="00F92692"/>
    <w:rsid w:val="00F927DA"/>
    <w:rsid w:val="00F938CB"/>
    <w:rsid w:val="00F93B9B"/>
    <w:rsid w:val="00F960CB"/>
    <w:rsid w:val="00F96AE8"/>
    <w:rsid w:val="00F96C4A"/>
    <w:rsid w:val="00F96F3B"/>
    <w:rsid w:val="00F97A3B"/>
    <w:rsid w:val="00FA0345"/>
    <w:rsid w:val="00FA07DD"/>
    <w:rsid w:val="00FA0DA4"/>
    <w:rsid w:val="00FA0F79"/>
    <w:rsid w:val="00FA1D44"/>
    <w:rsid w:val="00FA25DB"/>
    <w:rsid w:val="00FA3592"/>
    <w:rsid w:val="00FA3C8C"/>
    <w:rsid w:val="00FA405A"/>
    <w:rsid w:val="00FA4C98"/>
    <w:rsid w:val="00FA4D75"/>
    <w:rsid w:val="00FA51E0"/>
    <w:rsid w:val="00FA55A4"/>
    <w:rsid w:val="00FA708A"/>
    <w:rsid w:val="00FA76E4"/>
    <w:rsid w:val="00FA776C"/>
    <w:rsid w:val="00FB0A91"/>
    <w:rsid w:val="00FB15B6"/>
    <w:rsid w:val="00FB1E7C"/>
    <w:rsid w:val="00FB22C1"/>
    <w:rsid w:val="00FB34C3"/>
    <w:rsid w:val="00FB521F"/>
    <w:rsid w:val="00FB5773"/>
    <w:rsid w:val="00FB6678"/>
    <w:rsid w:val="00FB6C09"/>
    <w:rsid w:val="00FB7188"/>
    <w:rsid w:val="00FB7770"/>
    <w:rsid w:val="00FC0211"/>
    <w:rsid w:val="00FC0FC7"/>
    <w:rsid w:val="00FC1297"/>
    <w:rsid w:val="00FC1D2C"/>
    <w:rsid w:val="00FC3766"/>
    <w:rsid w:val="00FC588F"/>
    <w:rsid w:val="00FC5B3D"/>
    <w:rsid w:val="00FC7279"/>
    <w:rsid w:val="00FC75FE"/>
    <w:rsid w:val="00FD02D7"/>
    <w:rsid w:val="00FD1E8C"/>
    <w:rsid w:val="00FD1F6B"/>
    <w:rsid w:val="00FD2E2C"/>
    <w:rsid w:val="00FD38C7"/>
    <w:rsid w:val="00FD3DB2"/>
    <w:rsid w:val="00FD408C"/>
    <w:rsid w:val="00FD482B"/>
    <w:rsid w:val="00FD5859"/>
    <w:rsid w:val="00FD5DFB"/>
    <w:rsid w:val="00FD6762"/>
    <w:rsid w:val="00FD72AB"/>
    <w:rsid w:val="00FD7A28"/>
    <w:rsid w:val="00FD7C7E"/>
    <w:rsid w:val="00FD7DFA"/>
    <w:rsid w:val="00FE11A2"/>
    <w:rsid w:val="00FE3258"/>
    <w:rsid w:val="00FE37AF"/>
    <w:rsid w:val="00FE4B83"/>
    <w:rsid w:val="00FE566E"/>
    <w:rsid w:val="00FE579F"/>
    <w:rsid w:val="00FE7A3A"/>
    <w:rsid w:val="00FE7AD5"/>
    <w:rsid w:val="00FF00AC"/>
    <w:rsid w:val="00FF13F2"/>
    <w:rsid w:val="00FF187C"/>
    <w:rsid w:val="00FF28B9"/>
    <w:rsid w:val="00FF32D1"/>
    <w:rsid w:val="00FF3552"/>
    <w:rsid w:val="00FF37C4"/>
    <w:rsid w:val="00FF54D0"/>
    <w:rsid w:val="00FF584F"/>
    <w:rsid w:val="00FF5EC8"/>
    <w:rsid w:val="00FF6D6F"/>
    <w:rsid w:val="00FF7129"/>
    <w:rsid w:val="00FF7809"/>
    <w:rsid w:val="5F2E0D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iPriority="99" w:semiHidden="0"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0"/>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4">
    <w:name w:val="toc 7"/>
    <w:basedOn w:val="1"/>
    <w:next w:val="1"/>
    <w:autoRedefine/>
    <w:unhideWhenUsed/>
    <w:qFormat/>
    <w:uiPriority w:val="39"/>
    <w:pPr>
      <w:ind w:left="2520" w:leftChars="1200"/>
    </w:pPr>
  </w:style>
  <w:style w:type="paragraph" w:styleId="5">
    <w:name w:val="table of authorities"/>
    <w:basedOn w:val="1"/>
    <w:next w:val="1"/>
    <w:link w:val="46"/>
    <w:semiHidden/>
    <w:unhideWhenUsed/>
    <w:qFormat/>
    <w:uiPriority w:val="99"/>
    <w:pPr>
      <w:ind w:left="420" w:leftChars="200"/>
    </w:pPr>
  </w:style>
  <w:style w:type="paragraph" w:styleId="6">
    <w:name w:val="Normal Indent"/>
    <w:basedOn w:val="1"/>
    <w:unhideWhenUsed/>
    <w:qFormat/>
    <w:uiPriority w:val="99"/>
    <w:pPr>
      <w:ind w:firstLine="420" w:firstLineChars="200"/>
    </w:pPr>
  </w:style>
  <w:style w:type="paragraph" w:styleId="7">
    <w:name w:val="Body Text Indent"/>
    <w:basedOn w:val="1"/>
    <w:link w:val="64"/>
    <w:unhideWhenUsed/>
    <w:qFormat/>
    <w:uiPriority w:val="0"/>
    <w:pPr>
      <w:spacing w:after="120"/>
      <w:ind w:left="420" w:leftChars="200"/>
    </w:pPr>
  </w:style>
  <w:style w:type="paragraph" w:styleId="8">
    <w:name w:val="toc 5"/>
    <w:basedOn w:val="1"/>
    <w:next w:val="1"/>
    <w:autoRedefine/>
    <w:unhideWhenUsed/>
    <w:qFormat/>
    <w:uiPriority w:val="39"/>
    <w:pPr>
      <w:ind w:left="1680" w:leftChars="800"/>
    </w:pPr>
  </w:style>
  <w:style w:type="paragraph" w:styleId="9">
    <w:name w:val="toc 3"/>
    <w:basedOn w:val="10"/>
    <w:next w:val="1"/>
    <w:autoRedefine/>
    <w:unhideWhenUsed/>
    <w:qFormat/>
    <w:uiPriority w:val="39"/>
    <w:pPr>
      <w:widowControl/>
      <w:tabs>
        <w:tab w:val="right" w:leader="dot" w:pos="8296"/>
      </w:tabs>
      <w:spacing w:after="100" w:line="276" w:lineRule="auto"/>
      <w:ind w:left="442"/>
    </w:pPr>
    <w:rPr>
      <w:b w:val="0"/>
      <w:kern w:val="0"/>
    </w:rPr>
  </w:style>
  <w:style w:type="paragraph" w:customStyle="1" w:styleId="10">
    <w:name w:val="3标题"/>
    <w:basedOn w:val="11"/>
    <w:link w:val="38"/>
    <w:qFormat/>
    <w:uiPriority w:val="0"/>
    <w:pPr>
      <w:snapToGrid w:val="0"/>
      <w:spacing w:before="0" w:after="0" w:line="440" w:lineRule="exact"/>
      <w:ind w:firstLine="200" w:firstLineChars="200"/>
      <w:jc w:val="left"/>
      <w:outlineLvl w:val="2"/>
    </w:pPr>
    <w:rPr>
      <w:rFonts w:ascii="Times New Roman" w:hAnsi="Times New Roman" w:eastAsia="宋体"/>
      <w:sz w:val="24"/>
      <w:szCs w:val="21"/>
    </w:rPr>
  </w:style>
  <w:style w:type="paragraph" w:styleId="11">
    <w:name w:val="Title"/>
    <w:basedOn w:val="1"/>
    <w:next w:val="1"/>
    <w:link w:val="35"/>
    <w:qFormat/>
    <w:uiPriority w:val="10"/>
    <w:pPr>
      <w:spacing w:before="240" w:after="60"/>
      <w:jc w:val="center"/>
      <w:outlineLvl w:val="0"/>
    </w:pPr>
    <w:rPr>
      <w:rFonts w:asciiTheme="majorHAnsi" w:hAnsiTheme="majorHAnsi" w:eastAsiaTheme="majorEastAsia" w:cstheme="majorBidi"/>
      <w:b/>
      <w:bCs/>
      <w:sz w:val="32"/>
      <w:szCs w:val="32"/>
    </w:rPr>
  </w:style>
  <w:style w:type="paragraph" w:styleId="12">
    <w:name w:val="toc 8"/>
    <w:basedOn w:val="1"/>
    <w:next w:val="1"/>
    <w:autoRedefine/>
    <w:unhideWhenUsed/>
    <w:qFormat/>
    <w:uiPriority w:val="39"/>
    <w:pPr>
      <w:ind w:left="2940" w:leftChars="1400"/>
    </w:pPr>
  </w:style>
  <w:style w:type="paragraph" w:styleId="13">
    <w:name w:val="Balloon Text"/>
    <w:basedOn w:val="1"/>
    <w:link w:val="51"/>
    <w:semiHidden/>
    <w:unhideWhenUsed/>
    <w:qFormat/>
    <w:uiPriority w:val="99"/>
    <w:rPr>
      <w:sz w:val="18"/>
      <w:szCs w:val="18"/>
    </w:rPr>
  </w:style>
  <w:style w:type="paragraph" w:styleId="14">
    <w:name w:val="footer"/>
    <w:basedOn w:val="1"/>
    <w:link w:val="32"/>
    <w:unhideWhenUsed/>
    <w:qFormat/>
    <w:uiPriority w:val="0"/>
    <w:pPr>
      <w:tabs>
        <w:tab w:val="center" w:pos="4153"/>
        <w:tab w:val="right" w:pos="8306"/>
      </w:tabs>
      <w:snapToGrid w:val="0"/>
      <w:jc w:val="left"/>
    </w:pPr>
    <w:rPr>
      <w:sz w:val="18"/>
      <w:szCs w:val="18"/>
    </w:rPr>
  </w:style>
  <w:style w:type="paragraph" w:styleId="15">
    <w:name w:val="header"/>
    <w:basedOn w:val="1"/>
    <w:link w:val="31"/>
    <w:unhideWhenUsed/>
    <w:qFormat/>
    <w:uiPriority w:val="0"/>
    <w:pPr>
      <w:pBdr>
        <w:bottom w:val="single" w:color="auto" w:sz="6" w:space="1"/>
      </w:pBdr>
      <w:tabs>
        <w:tab w:val="center" w:pos="4153"/>
        <w:tab w:val="right" w:pos="8306"/>
      </w:tabs>
      <w:snapToGrid w:val="0"/>
      <w:jc w:val="center"/>
    </w:pPr>
    <w:rPr>
      <w:sz w:val="18"/>
      <w:szCs w:val="18"/>
    </w:rPr>
  </w:style>
  <w:style w:type="paragraph" w:styleId="16">
    <w:name w:val="toc 1"/>
    <w:basedOn w:val="17"/>
    <w:next w:val="1"/>
    <w:autoRedefine/>
    <w:unhideWhenUsed/>
    <w:qFormat/>
    <w:uiPriority w:val="39"/>
    <w:pPr>
      <w:widowControl/>
      <w:spacing w:line="276" w:lineRule="auto"/>
    </w:pPr>
    <w:rPr>
      <w:b w:val="0"/>
      <w:snapToGrid w:val="0"/>
      <w:kern w:val="0"/>
    </w:rPr>
  </w:style>
  <w:style w:type="paragraph" w:customStyle="1" w:styleId="17">
    <w:name w:val="1标题"/>
    <w:basedOn w:val="18"/>
    <w:link w:val="36"/>
    <w:qFormat/>
    <w:uiPriority w:val="0"/>
    <w:pPr>
      <w:snapToGrid/>
      <w:spacing w:line="288" w:lineRule="auto"/>
      <w:ind w:firstLine="562"/>
    </w:pPr>
    <w:rPr>
      <w:sz w:val="30"/>
    </w:rPr>
  </w:style>
  <w:style w:type="paragraph" w:customStyle="1" w:styleId="18">
    <w:name w:val="2标题"/>
    <w:basedOn w:val="11"/>
    <w:link w:val="37"/>
    <w:qFormat/>
    <w:uiPriority w:val="0"/>
    <w:pPr>
      <w:snapToGrid w:val="0"/>
      <w:spacing w:before="0" w:after="0" w:line="440" w:lineRule="exact"/>
      <w:ind w:firstLine="200" w:firstLineChars="200"/>
      <w:jc w:val="left"/>
      <w:outlineLvl w:val="1"/>
    </w:pPr>
    <w:rPr>
      <w:rFonts w:ascii="Times New Roman" w:hAnsi="Times New Roman" w:eastAsia="宋体"/>
      <w:sz w:val="28"/>
      <w:szCs w:val="24"/>
    </w:rPr>
  </w:style>
  <w:style w:type="paragraph" w:styleId="19">
    <w:name w:val="toc 4"/>
    <w:basedOn w:val="1"/>
    <w:next w:val="1"/>
    <w:autoRedefine/>
    <w:unhideWhenUsed/>
    <w:uiPriority w:val="39"/>
    <w:pPr>
      <w:ind w:left="1260" w:leftChars="600"/>
    </w:pPr>
  </w:style>
  <w:style w:type="paragraph" w:styleId="20">
    <w:name w:val="toc 6"/>
    <w:basedOn w:val="1"/>
    <w:next w:val="1"/>
    <w:autoRedefine/>
    <w:unhideWhenUsed/>
    <w:qFormat/>
    <w:uiPriority w:val="39"/>
    <w:pPr>
      <w:ind w:left="2100" w:leftChars="1000"/>
    </w:pPr>
  </w:style>
  <w:style w:type="paragraph" w:styleId="21">
    <w:name w:val="toc 2"/>
    <w:basedOn w:val="18"/>
    <w:next w:val="1"/>
    <w:autoRedefine/>
    <w:unhideWhenUsed/>
    <w:qFormat/>
    <w:uiPriority w:val="39"/>
    <w:pPr>
      <w:widowControl/>
      <w:tabs>
        <w:tab w:val="right" w:leader="dot" w:pos="8296"/>
      </w:tabs>
      <w:spacing w:line="276" w:lineRule="auto"/>
      <w:ind w:left="221"/>
    </w:pPr>
    <w:rPr>
      <w:b w:val="0"/>
      <w:kern w:val="0"/>
    </w:rPr>
  </w:style>
  <w:style w:type="paragraph" w:styleId="22">
    <w:name w:val="toc 9"/>
    <w:basedOn w:val="1"/>
    <w:next w:val="1"/>
    <w:autoRedefine/>
    <w:unhideWhenUsed/>
    <w:qFormat/>
    <w:uiPriority w:val="39"/>
    <w:pPr>
      <w:ind w:left="3360" w:leftChars="1600"/>
    </w:pPr>
  </w:style>
  <w:style w:type="paragraph" w:styleId="23">
    <w:name w:val="Normal (Web)"/>
    <w:basedOn w:val="1"/>
    <w:autoRedefine/>
    <w:qFormat/>
    <w:uiPriority w:val="0"/>
    <w:pPr>
      <w:widowControl/>
      <w:shd w:val="clear" w:color="auto" w:fill="FFFFFF"/>
      <w:snapToGrid w:val="0"/>
      <w:spacing w:line="520" w:lineRule="exact"/>
      <w:ind w:firstLine="320" w:firstLineChars="100"/>
      <w:jc w:val="left"/>
    </w:pPr>
    <w:rPr>
      <w:rFonts w:ascii="微软雅黑" w:hAnsi="微软雅黑" w:eastAsia="微软雅黑" w:cs="微软雅黑"/>
      <w:color w:val="000000"/>
      <w:kern w:val="0"/>
      <w:sz w:val="32"/>
      <w:szCs w:val="32"/>
    </w:rPr>
  </w:style>
  <w:style w:type="paragraph" w:styleId="24">
    <w:name w:val="Body Text First Indent 2"/>
    <w:basedOn w:val="7"/>
    <w:link w:val="65"/>
    <w:unhideWhenUsed/>
    <w:qFormat/>
    <w:uiPriority w:val="99"/>
    <w:pPr>
      <w:ind w:firstLine="420" w:firstLineChars="200"/>
    </w:pPr>
  </w:style>
  <w:style w:type="table" w:styleId="26">
    <w:name w:val="Table Grid"/>
    <w:basedOn w:val="2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8">
    <w:name w:val="Hyperlink"/>
    <w:basedOn w:val="27"/>
    <w:unhideWhenUsed/>
    <w:qFormat/>
    <w:uiPriority w:val="99"/>
    <w:rPr>
      <w:color w:val="0563C1" w:themeColor="hyperlink"/>
      <w:u w:val="single"/>
    </w:rPr>
  </w:style>
  <w:style w:type="character" w:customStyle="1" w:styleId="29">
    <w:name w:val="标题 1 Char"/>
    <w:basedOn w:val="27"/>
    <w:link w:val="2"/>
    <w:qFormat/>
    <w:uiPriority w:val="9"/>
    <w:rPr>
      <w:b/>
      <w:bCs/>
      <w:kern w:val="44"/>
      <w:sz w:val="44"/>
      <w:szCs w:val="44"/>
    </w:rPr>
  </w:style>
  <w:style w:type="character" w:customStyle="1" w:styleId="30">
    <w:name w:val="标题 2 Char"/>
    <w:basedOn w:val="27"/>
    <w:link w:val="3"/>
    <w:qFormat/>
    <w:uiPriority w:val="0"/>
    <w:rPr>
      <w:rFonts w:asciiTheme="majorHAnsi" w:hAnsiTheme="majorHAnsi" w:eastAsiaTheme="majorEastAsia" w:cstheme="majorBidi"/>
      <w:b/>
      <w:bCs/>
      <w:sz w:val="32"/>
      <w:szCs w:val="32"/>
    </w:rPr>
  </w:style>
  <w:style w:type="character" w:customStyle="1" w:styleId="31">
    <w:name w:val="页眉 Char"/>
    <w:basedOn w:val="27"/>
    <w:link w:val="15"/>
    <w:qFormat/>
    <w:uiPriority w:val="0"/>
    <w:rPr>
      <w:sz w:val="18"/>
      <w:szCs w:val="18"/>
    </w:rPr>
  </w:style>
  <w:style w:type="character" w:customStyle="1" w:styleId="32">
    <w:name w:val="页脚 Char"/>
    <w:basedOn w:val="27"/>
    <w:link w:val="14"/>
    <w:qFormat/>
    <w:uiPriority w:val="0"/>
    <w:rPr>
      <w:sz w:val="18"/>
      <w:szCs w:val="18"/>
    </w:rPr>
  </w:style>
  <w:style w:type="table" w:customStyle="1" w:styleId="33">
    <w:name w:val="TableGrid"/>
    <w:qFormat/>
    <w:uiPriority w:val="0"/>
    <w:tblPr>
      <w:tblCellMar>
        <w:top w:w="0" w:type="dxa"/>
        <w:left w:w="0" w:type="dxa"/>
        <w:bottom w:w="0" w:type="dxa"/>
        <w:right w:w="0" w:type="dxa"/>
      </w:tblCellMar>
    </w:tblPr>
  </w:style>
  <w:style w:type="paragraph" w:styleId="34">
    <w:name w:val="List Paragraph"/>
    <w:basedOn w:val="1"/>
    <w:qFormat/>
    <w:uiPriority w:val="99"/>
    <w:pPr>
      <w:ind w:firstLine="420" w:firstLineChars="200"/>
    </w:pPr>
  </w:style>
  <w:style w:type="character" w:customStyle="1" w:styleId="35">
    <w:name w:val="标题 Char"/>
    <w:basedOn w:val="27"/>
    <w:link w:val="11"/>
    <w:qFormat/>
    <w:uiPriority w:val="10"/>
    <w:rPr>
      <w:rFonts w:asciiTheme="majorHAnsi" w:hAnsiTheme="majorHAnsi" w:eastAsiaTheme="majorEastAsia" w:cstheme="majorBidi"/>
      <w:b/>
      <w:bCs/>
      <w:sz w:val="32"/>
      <w:szCs w:val="32"/>
    </w:rPr>
  </w:style>
  <w:style w:type="character" w:customStyle="1" w:styleId="36">
    <w:name w:val="1标题 字符"/>
    <w:basedOn w:val="27"/>
    <w:link w:val="17"/>
    <w:uiPriority w:val="0"/>
    <w:rPr>
      <w:rFonts w:ascii="Times New Roman" w:hAnsi="Times New Roman" w:eastAsia="宋体" w:cstheme="majorBidi"/>
      <w:b/>
      <w:bCs/>
      <w:sz w:val="30"/>
      <w:szCs w:val="24"/>
    </w:rPr>
  </w:style>
  <w:style w:type="character" w:customStyle="1" w:styleId="37">
    <w:name w:val="2标题 字符"/>
    <w:basedOn w:val="27"/>
    <w:link w:val="18"/>
    <w:qFormat/>
    <w:uiPriority w:val="0"/>
    <w:rPr>
      <w:rFonts w:ascii="Times New Roman" w:hAnsi="Times New Roman" w:eastAsia="宋体" w:cstheme="majorBidi"/>
      <w:b/>
      <w:bCs/>
      <w:sz w:val="28"/>
      <w:szCs w:val="24"/>
    </w:rPr>
  </w:style>
  <w:style w:type="character" w:customStyle="1" w:styleId="38">
    <w:name w:val="3标题 字符"/>
    <w:basedOn w:val="37"/>
    <w:link w:val="10"/>
    <w:qFormat/>
    <w:uiPriority w:val="0"/>
    <w:rPr>
      <w:rFonts w:ascii="Times New Roman" w:hAnsi="Times New Roman" w:eastAsia="宋体" w:cstheme="majorBidi"/>
      <w:sz w:val="24"/>
      <w:szCs w:val="21"/>
    </w:rPr>
  </w:style>
  <w:style w:type="paragraph" w:customStyle="1" w:styleId="39">
    <w:name w:val="4正文"/>
    <w:basedOn w:val="1"/>
    <w:link w:val="40"/>
    <w:qFormat/>
    <w:uiPriority w:val="0"/>
    <w:pPr>
      <w:snapToGrid w:val="0"/>
      <w:spacing w:line="440" w:lineRule="exact"/>
      <w:ind w:firstLine="200" w:firstLineChars="200"/>
    </w:pPr>
    <w:rPr>
      <w:rFonts w:ascii="Times New Roman" w:hAnsi="Times New Roman" w:eastAsia="宋体"/>
      <w:sz w:val="24"/>
    </w:rPr>
  </w:style>
  <w:style w:type="character" w:customStyle="1" w:styleId="40">
    <w:name w:val="4正文 字符"/>
    <w:basedOn w:val="27"/>
    <w:link w:val="39"/>
    <w:qFormat/>
    <w:uiPriority w:val="0"/>
    <w:rPr>
      <w:rFonts w:ascii="Times New Roman" w:hAnsi="Times New Roman" w:eastAsia="宋体"/>
      <w:sz w:val="24"/>
    </w:rPr>
  </w:style>
  <w:style w:type="paragraph" w:customStyle="1" w:styleId="41">
    <w:name w:val="5表格内标题"/>
    <w:basedOn w:val="1"/>
    <w:link w:val="42"/>
    <w:qFormat/>
    <w:uiPriority w:val="0"/>
    <w:pPr>
      <w:snapToGrid w:val="0"/>
      <w:spacing w:line="440" w:lineRule="exact"/>
      <w:ind w:firstLine="200" w:firstLineChars="200"/>
      <w:jc w:val="center"/>
    </w:pPr>
    <w:rPr>
      <w:rFonts w:ascii="Times New Roman" w:hAnsi="Times New Roman" w:eastAsia="宋体"/>
    </w:rPr>
  </w:style>
  <w:style w:type="character" w:customStyle="1" w:styleId="42">
    <w:name w:val="5表格内标题 字符"/>
    <w:basedOn w:val="27"/>
    <w:link w:val="41"/>
    <w:qFormat/>
    <w:uiPriority w:val="0"/>
    <w:rPr>
      <w:rFonts w:ascii="Times New Roman" w:hAnsi="Times New Roman" w:eastAsia="宋体"/>
    </w:rPr>
  </w:style>
  <w:style w:type="paragraph" w:customStyle="1" w:styleId="43">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2F5496" w:themeColor="accent1" w:themeShade="BF"/>
      <w:kern w:val="0"/>
      <w:sz w:val="28"/>
      <w:szCs w:val="28"/>
    </w:rPr>
  </w:style>
  <w:style w:type="paragraph" w:customStyle="1" w:styleId="44">
    <w:name w:val="我的笔记目录"/>
    <w:basedOn w:val="16"/>
    <w:link w:val="45"/>
    <w:qFormat/>
    <w:uiPriority w:val="0"/>
    <w:pPr>
      <w:tabs>
        <w:tab w:val="right" w:leader="dot" w:pos="8296"/>
      </w:tabs>
    </w:pPr>
    <w:rPr>
      <w:szCs w:val="21"/>
    </w:rPr>
  </w:style>
  <w:style w:type="character" w:customStyle="1" w:styleId="45">
    <w:name w:val="我的笔记目录 字符"/>
    <w:basedOn w:val="46"/>
    <w:link w:val="44"/>
    <w:uiPriority w:val="0"/>
    <w:rPr>
      <w:rFonts w:ascii="微软雅黑" w:hAnsi="微软雅黑" w:eastAsia="微软雅黑"/>
      <w:snapToGrid w:val="0"/>
      <w:kern w:val="0"/>
      <w:szCs w:val="21"/>
    </w:rPr>
  </w:style>
  <w:style w:type="character" w:customStyle="1" w:styleId="46">
    <w:name w:val="引文目录 Char"/>
    <w:basedOn w:val="27"/>
    <w:link w:val="5"/>
    <w:semiHidden/>
    <w:qFormat/>
    <w:uiPriority w:val="99"/>
  </w:style>
  <w:style w:type="table" w:customStyle="1" w:styleId="47">
    <w:name w:val="网格型1"/>
    <w:basedOn w:val="2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8">
    <w:name w:val="网格型2"/>
    <w:basedOn w:val="25"/>
    <w:qFormat/>
    <w:uiPriority w:val="3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9">
    <w:name w:val="TableGrid1"/>
    <w:qFormat/>
    <w:uiPriority w:val="0"/>
    <w:rPr>
      <w:kern w:val="0"/>
      <w:sz w:val="20"/>
      <w:szCs w:val="20"/>
    </w:rPr>
    <w:tblPr>
      <w:tblCellMar>
        <w:top w:w="0" w:type="dxa"/>
        <w:left w:w="0" w:type="dxa"/>
        <w:bottom w:w="0" w:type="dxa"/>
        <w:right w:w="0" w:type="dxa"/>
      </w:tblCellMar>
    </w:tblPr>
  </w:style>
  <w:style w:type="character" w:customStyle="1" w:styleId="50">
    <w:name w:val="Unresolved Mention"/>
    <w:basedOn w:val="27"/>
    <w:semiHidden/>
    <w:unhideWhenUsed/>
    <w:qFormat/>
    <w:uiPriority w:val="99"/>
    <w:rPr>
      <w:color w:val="808080"/>
      <w:shd w:val="clear" w:color="auto" w:fill="E6E6E6"/>
    </w:rPr>
  </w:style>
  <w:style w:type="character" w:customStyle="1" w:styleId="51">
    <w:name w:val="批注框文本 Char"/>
    <w:basedOn w:val="27"/>
    <w:link w:val="13"/>
    <w:semiHidden/>
    <w:qFormat/>
    <w:uiPriority w:val="99"/>
    <w:rPr>
      <w:sz w:val="18"/>
      <w:szCs w:val="18"/>
    </w:rPr>
  </w:style>
  <w:style w:type="paragraph" w:customStyle="1" w:styleId="52">
    <w:name w:val="Bibliography"/>
    <w:basedOn w:val="1"/>
    <w:next w:val="1"/>
    <w:unhideWhenUsed/>
    <w:qFormat/>
    <w:uiPriority w:val="37"/>
    <w:pPr>
      <w:tabs>
        <w:tab w:val="left" w:pos="384"/>
      </w:tabs>
      <w:ind w:left="384" w:hanging="384"/>
    </w:pPr>
  </w:style>
  <w:style w:type="character" w:customStyle="1" w:styleId="53">
    <w:name w:val="fontstyle01"/>
    <w:basedOn w:val="27"/>
    <w:qFormat/>
    <w:uiPriority w:val="0"/>
    <w:rPr>
      <w:rFonts w:hint="eastAsia" w:ascii="宋体" w:hAnsi="宋体" w:eastAsia="宋体"/>
      <w:color w:val="242021"/>
      <w:sz w:val="20"/>
      <w:szCs w:val="20"/>
    </w:rPr>
  </w:style>
  <w:style w:type="character" w:customStyle="1" w:styleId="54">
    <w:name w:val="fontstyle11"/>
    <w:basedOn w:val="27"/>
    <w:qFormat/>
    <w:uiPriority w:val="0"/>
    <w:rPr>
      <w:color w:val="242021"/>
      <w:sz w:val="20"/>
      <w:szCs w:val="20"/>
    </w:rPr>
  </w:style>
  <w:style w:type="character" w:customStyle="1" w:styleId="55">
    <w:name w:val="fontstyle21"/>
    <w:basedOn w:val="27"/>
    <w:qFormat/>
    <w:uiPriority w:val="0"/>
    <w:rPr>
      <w:rFonts w:hint="default" w:ascii="DLF-3-0-1061508550+ZLTFEy-360" w:hAnsi="DLF-3-0-1061508550+ZLTFEy-360"/>
      <w:color w:val="242021"/>
      <w:sz w:val="22"/>
      <w:szCs w:val="22"/>
    </w:rPr>
  </w:style>
  <w:style w:type="paragraph" w:customStyle="1" w:styleId="56">
    <w:name w:val="正文缩进1"/>
    <w:basedOn w:val="1"/>
    <w:next w:val="6"/>
    <w:unhideWhenUsed/>
    <w:qFormat/>
    <w:uiPriority w:val="99"/>
    <w:pPr>
      <w:widowControl/>
      <w:ind w:firstLine="420" w:firstLineChars="200"/>
      <w:jc w:val="left"/>
    </w:pPr>
    <w:rPr>
      <w:sz w:val="24"/>
      <w:szCs w:val="24"/>
    </w:rPr>
  </w:style>
  <w:style w:type="paragraph" w:customStyle="1" w:styleId="57">
    <w:name w:val="正文文本缩进1"/>
    <w:basedOn w:val="1"/>
    <w:next w:val="7"/>
    <w:link w:val="58"/>
    <w:autoRedefine/>
    <w:unhideWhenUsed/>
    <w:qFormat/>
    <w:uiPriority w:val="0"/>
    <w:pPr>
      <w:widowControl/>
      <w:ind w:firstLine="640" w:firstLineChars="200"/>
      <w:jc w:val="left"/>
    </w:pPr>
    <w:rPr>
      <w:sz w:val="32"/>
      <w:szCs w:val="24"/>
    </w:rPr>
  </w:style>
  <w:style w:type="character" w:customStyle="1" w:styleId="58">
    <w:name w:val="正文文本缩进 字符"/>
    <w:basedOn w:val="27"/>
    <w:link w:val="57"/>
    <w:qFormat/>
    <w:uiPriority w:val="0"/>
    <w:rPr>
      <w:kern w:val="2"/>
      <w:sz w:val="32"/>
      <w:szCs w:val="24"/>
    </w:rPr>
  </w:style>
  <w:style w:type="paragraph" w:customStyle="1" w:styleId="59">
    <w:name w:val="正文文本首行缩进 21"/>
    <w:basedOn w:val="7"/>
    <w:next w:val="24"/>
    <w:link w:val="60"/>
    <w:autoRedefine/>
    <w:unhideWhenUsed/>
    <w:qFormat/>
    <w:uiPriority w:val="99"/>
    <w:pPr>
      <w:widowControl/>
      <w:spacing w:after="0"/>
      <w:ind w:left="0" w:leftChars="0" w:firstLine="420" w:firstLineChars="200"/>
      <w:jc w:val="left"/>
    </w:pPr>
    <w:rPr>
      <w:sz w:val="32"/>
      <w:szCs w:val="24"/>
    </w:rPr>
  </w:style>
  <w:style w:type="character" w:customStyle="1" w:styleId="60">
    <w:name w:val="正文文本首行缩进 2 字符"/>
    <w:basedOn w:val="58"/>
    <w:link w:val="59"/>
    <w:qFormat/>
    <w:uiPriority w:val="99"/>
    <w:rPr>
      <w:kern w:val="2"/>
      <w:sz w:val="32"/>
      <w:szCs w:val="24"/>
    </w:rPr>
  </w:style>
  <w:style w:type="paragraph" w:customStyle="1" w:styleId="61">
    <w:name w:val="标题1总标题"/>
    <w:basedOn w:val="10"/>
    <w:autoRedefine/>
    <w:qFormat/>
    <w:uiPriority w:val="0"/>
    <w:pPr>
      <w:spacing w:line="360" w:lineRule="auto"/>
      <w:ind w:firstLine="0" w:firstLineChars="0"/>
      <w:jc w:val="center"/>
    </w:pPr>
    <w:rPr>
      <w:sz w:val="36"/>
    </w:rPr>
  </w:style>
  <w:style w:type="paragraph" w:customStyle="1" w:styleId="62">
    <w:name w:val="首行缩进"/>
    <w:basedOn w:val="1"/>
    <w:autoRedefine/>
    <w:qFormat/>
    <w:uiPriority w:val="0"/>
    <w:pPr>
      <w:widowControl/>
      <w:ind w:firstLine="480" w:firstLineChars="200"/>
      <w:jc w:val="left"/>
    </w:pPr>
    <w:rPr>
      <w:sz w:val="24"/>
      <w:szCs w:val="24"/>
      <w:lang w:val="zh-CN"/>
    </w:rPr>
  </w:style>
  <w:style w:type="paragraph" w:styleId="63">
    <w:name w:val="No Spacing"/>
    <w:qFormat/>
    <w:uiPriority w:val="0"/>
    <w:pPr>
      <w:widowControl w:val="0"/>
      <w:jc w:val="both"/>
    </w:pPr>
    <w:rPr>
      <w:rFonts w:ascii="Calibri" w:hAnsi="Calibri" w:eastAsia="宋体" w:cs="Times New Roman"/>
      <w:kern w:val="2"/>
      <w:sz w:val="21"/>
      <w:szCs w:val="22"/>
      <w:lang w:val="en-US" w:eastAsia="zh-CN" w:bidi="ar-SA"/>
    </w:rPr>
  </w:style>
  <w:style w:type="character" w:customStyle="1" w:styleId="64">
    <w:name w:val="正文文本缩进 Char"/>
    <w:basedOn w:val="27"/>
    <w:link w:val="7"/>
    <w:semiHidden/>
    <w:qFormat/>
    <w:uiPriority w:val="99"/>
  </w:style>
  <w:style w:type="character" w:customStyle="1" w:styleId="65">
    <w:name w:val="正文首行缩进 2 Char"/>
    <w:basedOn w:val="64"/>
    <w:link w:val="24"/>
    <w:semiHidden/>
    <w:qFormat/>
    <w:uiPriority w:val="99"/>
  </w:style>
  <w:style w:type="paragraph" w:customStyle="1" w:styleId="66">
    <w:name w:val="总标题"/>
    <w:basedOn w:val="39"/>
    <w:link w:val="67"/>
    <w:qFormat/>
    <w:uiPriority w:val="0"/>
    <w:pPr>
      <w:ind w:firstLine="480"/>
    </w:pPr>
    <w:rPr>
      <w:rFonts w:cs="方正仿宋简体"/>
      <w:bCs/>
    </w:rPr>
  </w:style>
  <w:style w:type="character" w:customStyle="1" w:styleId="67">
    <w:name w:val="总标题 字符"/>
    <w:basedOn w:val="40"/>
    <w:link w:val="66"/>
    <w:qFormat/>
    <w:uiPriority w:val="0"/>
    <w:rPr>
      <w:rFonts w:ascii="Times New Roman" w:hAnsi="Times New Roman" w:eastAsia="宋体" w:cs="方正仿宋简体"/>
      <w:bCs/>
      <w:sz w:val="24"/>
    </w:rPr>
  </w:style>
  <w:style w:type="paragraph" w:customStyle="1" w:styleId="68">
    <w:name w:val="标题1"/>
    <w:basedOn w:val="3"/>
    <w:qFormat/>
    <w:uiPriority w:val="0"/>
    <w:pPr>
      <w:widowControl/>
      <w:spacing w:before="0" w:after="0" w:line="240" w:lineRule="auto"/>
      <w:ind w:firstLine="200" w:firstLineChars="650"/>
      <w:jc w:val="left"/>
    </w:pPr>
    <w:rPr>
      <w:rFonts w:eastAsia="黑体"/>
      <w:b w:val="0"/>
      <w:kern w:val="0"/>
      <w:sz w:val="30"/>
      <w:szCs w:val="30"/>
      <w:shd w:val="clear" w:color="auto" w:fill="FFFFFF"/>
    </w:rPr>
  </w:style>
  <w:style w:type="paragraph" w:customStyle="1" w:styleId="69">
    <w:name w:val="正文1"/>
    <w:basedOn w:val="1"/>
    <w:qFormat/>
    <w:uiPriority w:val="0"/>
    <w:pPr>
      <w:ind w:firstLine="1950" w:firstLineChars="650"/>
    </w:pPr>
    <w:rPr>
      <w:rFonts w:ascii="宋体" w:hAnsi="宋体" w:eastAsia="宋体" w:cs="宋体"/>
      <w:sz w:val="30"/>
      <w:szCs w:val="3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1C55A4-A57D-4D83-A9DD-5CC3A1A54A31}">
  <ds:schemaRefs/>
</ds:datastoreItem>
</file>

<file path=docProps/app.xml><?xml version="1.0" encoding="utf-8"?>
<Properties xmlns="http://schemas.openxmlformats.org/officeDocument/2006/extended-properties" xmlns:vt="http://schemas.openxmlformats.org/officeDocument/2006/docPropsVTypes">
  <Template>Normal</Template>
  <Pages>29</Pages>
  <Words>18234</Words>
  <Characters>19023</Characters>
  <Lines>138</Lines>
  <Paragraphs>38</Paragraphs>
  <TotalTime>184</TotalTime>
  <ScaleCrop>false</ScaleCrop>
  <LinksUpToDate>false</LinksUpToDate>
  <CharactersWithSpaces>19101</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2024-07-25T12:33:00Z</dcterms:created>
  <dc:creator>Administrator</dc:creator>
  <cp:lastModifiedBy>Administrator</cp:lastModifiedBy>
  <cp:lastPrinted>2018-04-17T08:16:00Z</cp:lastPrinted>
  <dcterms:modified xsi:type="dcterms:W3CDTF">2024-09-24T04:34:01Z</dcterms:modified>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id="LcMjNekG"/&gt;&lt;style id="http://www.zotero.org/styles/china-national-standard-gb-t-7714-2015-numeric" hasBibliography="1" bibliographyStyleHasBeenSet="1"/&gt;&lt;prefs&gt;&lt;pref name="fieldType" value="Field"</vt:lpwstr>
  </property>
  <property fmtid="{D5CDD505-2E9C-101B-9397-08002B2CF9AE}" pid="3" name="ZOTERO_PREF_2">
    <vt:lpwstr>/&gt;&lt;/prefs&gt;&lt;/data&gt;</vt:lpwstr>
  </property>
  <property fmtid="{D5CDD505-2E9C-101B-9397-08002B2CF9AE}" pid="4" name="KSOProductBuildVer">
    <vt:lpwstr>2052-12.1.0.18276</vt:lpwstr>
  </property>
  <property fmtid="{D5CDD505-2E9C-101B-9397-08002B2CF9AE}" pid="5" name="ICV">
    <vt:lpwstr>E5A8805EB4344FA7BBDC14589407BB62_12</vt:lpwstr>
  </property>
</Properties>
</file>