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0C21E">
      <w:pPr>
        <w:pStyle w:val="14"/>
        <w:jc w:val="both"/>
        <w:rPr>
          <w:sz w:val="56"/>
        </w:rPr>
      </w:pPr>
      <w:r>
        <w:rPr>
          <w:sz w:val="56"/>
        </w:rPr>
        <mc:AlternateContent>
          <mc:Choice Requires="wps">
            <w:drawing>
              <wp:anchor distT="0" distB="0" distL="114300" distR="114300" simplePos="0" relativeHeight="251660288"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737011">
                            <w:pPr>
                              <w:rPr>
                                <w:rFonts w:ascii="楷体" w:hAnsi="楷体" w:eastAsia="楷体" w:cs="楷体"/>
                                <w:sz w:val="30"/>
                                <w:szCs w:val="3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60288;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3737011">
                      <w:pPr>
                        <w:rPr>
                          <w:rFonts w:ascii="楷体" w:hAnsi="楷体" w:eastAsia="楷体" w:cs="楷体"/>
                          <w:sz w:val="30"/>
                          <w:szCs w:val="30"/>
                        </w:rPr>
                      </w:pPr>
                    </w:p>
                  </w:txbxContent>
                </v:textbox>
              </v:shape>
            </w:pict>
          </mc:Fallback>
        </mc:AlternateContent>
      </w:r>
    </w:p>
    <w:p w14:paraId="575B4808">
      <w:pPr>
        <w:pStyle w:val="14"/>
        <w:ind w:firstLine="1320" w:firstLineChars="300"/>
        <w:jc w:val="both"/>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2023年度</w:t>
      </w:r>
      <w:r>
        <w:rPr>
          <w:rFonts w:hint="eastAsia" w:ascii="方正小标宋_GBK" w:hAnsi="方正小标宋_GBK" w:eastAsia="方正小标宋_GBK" w:cs="方正小标宋_GBK"/>
          <w:spacing w:val="-6"/>
          <w:sz w:val="44"/>
          <w:szCs w:val="44"/>
        </w:rPr>
        <w:t>怀化市档案馆部门决算</w:t>
      </w:r>
    </w:p>
    <w:p w14:paraId="736431E7">
      <w:pPr>
        <w:pStyle w:val="14"/>
        <w:spacing w:line="500" w:lineRule="exact"/>
        <w:jc w:val="center"/>
        <w:rPr>
          <w:b/>
          <w:sz w:val="36"/>
          <w:szCs w:val="28"/>
        </w:rPr>
      </w:pPr>
      <w:r>
        <w:rPr>
          <w:rFonts w:hint="eastAsia"/>
          <w:b/>
          <w:sz w:val="36"/>
          <w:szCs w:val="28"/>
        </w:rPr>
        <w:t>目录</w:t>
      </w:r>
    </w:p>
    <w:p w14:paraId="22D83338">
      <w:pPr>
        <w:pStyle w:val="14"/>
        <w:spacing w:line="500" w:lineRule="exact"/>
        <w:rPr>
          <w:rFonts w:hint="eastAsia" w:hAnsi="黑体"/>
          <w:bCs/>
          <w:sz w:val="28"/>
          <w:szCs w:val="28"/>
        </w:rPr>
      </w:pPr>
    </w:p>
    <w:p w14:paraId="6508899F">
      <w:pPr>
        <w:pStyle w:val="14"/>
        <w:spacing w:line="500" w:lineRule="exact"/>
        <w:rPr>
          <w:rFonts w:hint="eastAsia" w:ascii="黑体" w:hAnsi="黑体" w:eastAsia="黑体" w:cs="黑体"/>
          <w:bCs/>
          <w:sz w:val="30"/>
          <w:szCs w:val="30"/>
        </w:rPr>
      </w:pPr>
      <w:r>
        <w:rPr>
          <w:rFonts w:hint="eastAsia" w:ascii="黑体" w:hAnsi="黑体" w:eastAsia="黑体" w:cs="黑体"/>
          <w:bCs/>
          <w:sz w:val="30"/>
          <w:szCs w:val="30"/>
        </w:rPr>
        <w:t>第一部分怀化市档案馆概况</w:t>
      </w:r>
    </w:p>
    <w:p w14:paraId="780F6A02">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一、部门职责</w:t>
      </w:r>
    </w:p>
    <w:p w14:paraId="3542445C">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二、机构设置</w:t>
      </w:r>
    </w:p>
    <w:p w14:paraId="7B6F11BB">
      <w:pPr>
        <w:pStyle w:val="14"/>
        <w:spacing w:line="500" w:lineRule="exact"/>
        <w:rPr>
          <w:rFonts w:hint="eastAsia" w:ascii="黑体" w:hAnsi="黑体" w:eastAsia="黑体" w:cs="黑体"/>
          <w:bCs/>
          <w:sz w:val="30"/>
          <w:szCs w:val="30"/>
        </w:rPr>
      </w:pPr>
      <w:r>
        <w:rPr>
          <w:rFonts w:hint="eastAsia" w:ascii="黑体" w:hAnsi="黑体" w:eastAsia="黑体" w:cs="黑体"/>
          <w:bCs/>
          <w:sz w:val="30"/>
          <w:szCs w:val="30"/>
        </w:rPr>
        <w:t>第二部分 部门决算表</w:t>
      </w:r>
    </w:p>
    <w:p w14:paraId="3792D829">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一、收入支出决算总表</w:t>
      </w:r>
    </w:p>
    <w:p w14:paraId="136AFD86">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二、收入决算表</w:t>
      </w:r>
    </w:p>
    <w:p w14:paraId="749BA180">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三、支出决算表</w:t>
      </w:r>
    </w:p>
    <w:p w14:paraId="22A819AD">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四、财政拨款收入支出决算总表</w:t>
      </w:r>
    </w:p>
    <w:p w14:paraId="50D2BC88">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五、一般公共预算财政拨款支出决算表</w:t>
      </w:r>
    </w:p>
    <w:p w14:paraId="4AF7F6F0">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六、一般公共预算财政拨款基本支出决算明细表</w:t>
      </w:r>
    </w:p>
    <w:p w14:paraId="252CD400">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七、政府性基金预算财政拨款收入支出决算表</w:t>
      </w:r>
    </w:p>
    <w:p w14:paraId="74023AB6">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八、国有资本经营预算财政拨款支出决算表</w:t>
      </w:r>
    </w:p>
    <w:p w14:paraId="14A10E77">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九、财政拨款“三公”经费支出决算表</w:t>
      </w:r>
    </w:p>
    <w:p w14:paraId="0DCA7EFF">
      <w:pPr>
        <w:pStyle w:val="14"/>
        <w:spacing w:line="500" w:lineRule="exact"/>
        <w:rPr>
          <w:rFonts w:hint="eastAsia" w:ascii="黑体" w:hAnsi="黑体" w:eastAsia="黑体" w:cs="黑体"/>
          <w:bCs/>
          <w:sz w:val="30"/>
          <w:szCs w:val="30"/>
        </w:rPr>
      </w:pPr>
      <w:r>
        <w:rPr>
          <w:rFonts w:hint="eastAsia" w:ascii="黑体" w:hAnsi="黑体" w:eastAsia="黑体" w:cs="黑体"/>
          <w:bCs/>
          <w:sz w:val="30"/>
          <w:szCs w:val="30"/>
        </w:rPr>
        <w:t>第三部分 部门决算情况说明</w:t>
      </w:r>
    </w:p>
    <w:p w14:paraId="4401616B">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一、收入支出决算总体情况说明</w:t>
      </w:r>
    </w:p>
    <w:p w14:paraId="64117DB4">
      <w:pPr>
        <w:spacing w:line="500" w:lineRule="exact"/>
        <w:ind w:firstLine="750" w:firstLineChars="250"/>
        <w:jc w:val="left"/>
        <w:rPr>
          <w:rFonts w:hint="eastAsia" w:ascii="仿宋" w:hAnsi="仿宋" w:eastAsia="仿宋" w:cs="仿宋"/>
          <w:sz w:val="30"/>
          <w:szCs w:val="30"/>
        </w:rPr>
      </w:pPr>
      <w:r>
        <w:rPr>
          <w:rFonts w:hint="eastAsia" w:ascii="仿宋" w:hAnsi="仿宋" w:eastAsia="仿宋" w:cs="仿宋"/>
          <w:sz w:val="30"/>
          <w:szCs w:val="30"/>
        </w:rPr>
        <w:t>二、收入决算情况说明</w:t>
      </w:r>
    </w:p>
    <w:p w14:paraId="7FC0FA79">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三、支出决算情况说明</w:t>
      </w:r>
    </w:p>
    <w:p w14:paraId="2E7A1312">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四、财政拨款收入支出决算总体情况说明</w:t>
      </w:r>
    </w:p>
    <w:p w14:paraId="7CF39AE2">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五、一般公共预算财政拨款支出决算情况说明</w:t>
      </w:r>
    </w:p>
    <w:p w14:paraId="5508A5E5">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六、一般公共预算财政拨款基本支出决算情况说明</w:t>
      </w:r>
    </w:p>
    <w:p w14:paraId="5BD655F1">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七、财政拨款三公经费支出决算情况说明</w:t>
      </w:r>
    </w:p>
    <w:p w14:paraId="7FEF7AD1">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八、政府性基金预算收入支出决算情况</w:t>
      </w:r>
    </w:p>
    <w:p w14:paraId="75451590">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九、国有资本经营预算财政拨款收入支出决算情况</w:t>
      </w:r>
    </w:p>
    <w:p w14:paraId="68515187">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十、关于机关运行经费支出说明</w:t>
      </w:r>
    </w:p>
    <w:p w14:paraId="4564048C">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十一、一般性支出情况说明</w:t>
      </w:r>
    </w:p>
    <w:p w14:paraId="47F3F19C">
      <w:pPr>
        <w:autoSpaceDE w:val="0"/>
        <w:autoSpaceDN w:val="0"/>
        <w:adjustRightInd w:val="0"/>
        <w:spacing w:line="500" w:lineRule="exact"/>
        <w:ind w:firstLine="750" w:firstLineChars="2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十二、关于政府采购支出说明</w:t>
      </w:r>
    </w:p>
    <w:p w14:paraId="7265A17F">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十三、关于国有资产占用情况说明</w:t>
      </w:r>
    </w:p>
    <w:p w14:paraId="7E6E220F">
      <w:pPr>
        <w:pStyle w:val="14"/>
        <w:spacing w:line="500" w:lineRule="exact"/>
        <w:ind w:firstLine="750" w:firstLineChars="250"/>
        <w:rPr>
          <w:rFonts w:hint="eastAsia" w:ascii="仿宋" w:hAnsi="仿宋" w:eastAsia="仿宋" w:cs="仿宋"/>
          <w:sz w:val="30"/>
          <w:szCs w:val="30"/>
        </w:rPr>
      </w:pPr>
      <w:r>
        <w:rPr>
          <w:rFonts w:hint="eastAsia" w:ascii="仿宋" w:hAnsi="仿宋" w:eastAsia="仿宋" w:cs="仿宋"/>
          <w:sz w:val="30"/>
          <w:szCs w:val="30"/>
        </w:rPr>
        <w:t>十四、关于2023年度预算绩效情况的说明</w:t>
      </w:r>
    </w:p>
    <w:p w14:paraId="0AAD05AA">
      <w:pPr>
        <w:pStyle w:val="14"/>
        <w:spacing w:line="500" w:lineRule="exact"/>
        <w:rPr>
          <w:rFonts w:hint="eastAsia" w:ascii="黑体" w:hAnsi="黑体" w:eastAsia="黑体" w:cs="黑体"/>
          <w:bCs/>
          <w:sz w:val="30"/>
          <w:szCs w:val="30"/>
        </w:rPr>
      </w:pPr>
      <w:r>
        <w:rPr>
          <w:rFonts w:hint="eastAsia" w:ascii="黑体" w:hAnsi="黑体" w:eastAsia="黑体" w:cs="黑体"/>
          <w:bCs/>
          <w:sz w:val="30"/>
          <w:szCs w:val="30"/>
        </w:rPr>
        <w:t>第四部分 名词解释</w:t>
      </w:r>
    </w:p>
    <w:p w14:paraId="2280D20C">
      <w:pPr>
        <w:pStyle w:val="14"/>
        <w:spacing w:line="500" w:lineRule="exact"/>
        <w:rPr>
          <w:rFonts w:hint="eastAsia" w:ascii="黑体" w:hAnsi="黑体" w:eastAsia="黑体" w:cs="黑体"/>
          <w:bCs/>
          <w:sz w:val="30"/>
          <w:szCs w:val="30"/>
        </w:rPr>
      </w:pPr>
      <w:r>
        <w:rPr>
          <w:rFonts w:hint="eastAsia" w:ascii="黑体" w:hAnsi="黑体" w:eastAsia="黑体" w:cs="黑体"/>
          <w:bCs/>
          <w:sz w:val="30"/>
          <w:szCs w:val="30"/>
        </w:rPr>
        <w:t>第五部分 附件</w:t>
      </w:r>
    </w:p>
    <w:p w14:paraId="601BDE2F">
      <w:pPr>
        <w:pStyle w:val="14"/>
        <w:spacing w:line="500" w:lineRule="exact"/>
        <w:rPr>
          <w:rFonts w:hint="eastAsia" w:ascii="仿宋" w:hAnsi="仿宋" w:eastAsia="仿宋" w:cs="仿宋"/>
          <w:bCs/>
          <w:sz w:val="30"/>
          <w:szCs w:val="30"/>
        </w:rPr>
      </w:pPr>
    </w:p>
    <w:p w14:paraId="2CB03739">
      <w:pPr>
        <w:pStyle w:val="14"/>
        <w:jc w:val="both"/>
        <w:rPr>
          <w:rFonts w:hint="eastAsia" w:ascii="仿宋" w:hAnsi="仿宋" w:eastAsia="仿宋" w:cs="仿宋"/>
          <w:sz w:val="30"/>
          <w:szCs w:val="30"/>
        </w:rPr>
      </w:pPr>
    </w:p>
    <w:p w14:paraId="3A88FFBC">
      <w:pPr>
        <w:pStyle w:val="14"/>
        <w:jc w:val="center"/>
        <w:rPr>
          <w:rFonts w:ascii="方正小标宋_GBK" w:hAnsi="方正小标宋_GBK" w:eastAsia="方正小标宋_GBK" w:cs="方正小标宋_GBK"/>
          <w:sz w:val="84"/>
          <w:szCs w:val="84"/>
        </w:rPr>
      </w:pPr>
      <w:bookmarkStart w:id="13" w:name="_GoBack"/>
      <w:bookmarkEnd w:id="13"/>
    </w:p>
    <w:p w14:paraId="62968C5B">
      <w:pPr>
        <w:pStyle w:val="14"/>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第一部分 怀化市档案馆概况</w:t>
      </w:r>
    </w:p>
    <w:p w14:paraId="11F21F03">
      <w:pPr>
        <w:pStyle w:val="15"/>
        <w:keepNext w:val="0"/>
        <w:keepLines w:val="0"/>
        <w:pageBreakBefore w:val="0"/>
        <w:numPr>
          <w:ilvl w:val="0"/>
          <w:numId w:val="0"/>
        </w:numPr>
        <w:kinsoku/>
        <w:wordWrap/>
        <w:overflowPunct/>
        <w:topLinePunct w:val="0"/>
        <w:autoSpaceDE/>
        <w:autoSpaceDN/>
        <w:bidi w:val="0"/>
        <w:adjustRightInd/>
        <w:spacing w:line="240" w:lineRule="auto"/>
        <w:ind w:left="840" w:leftChars="40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一、部门职责</w:t>
      </w:r>
    </w:p>
    <w:p w14:paraId="772208C1">
      <w:pPr>
        <w:pStyle w:val="15"/>
        <w:keepNext w:val="0"/>
        <w:keepLines w:val="0"/>
        <w:pageBreakBefore w:val="0"/>
        <w:widowControl/>
        <w:kinsoku/>
        <w:wordWrap/>
        <w:overflowPunct/>
        <w:topLinePunct w:val="0"/>
        <w:autoSpaceDE/>
        <w:autoSpaceDN/>
        <w:bidi w:val="0"/>
        <w:adjustRightInd/>
        <w:spacing w:line="240" w:lineRule="auto"/>
        <w:ind w:left="0" w:leftChars="0" w:firstLine="600" w:firstLineChars="200"/>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一）负责本馆日常运转工作和内外联系、综合协调；负责制定档案馆各项内部管理制度，起草有关文件和综合性文字材料；负责会议组织、文电处理、统计年报、信访、保密、国有资产管理及其他行政事务管理工作；负责财务、人事、劳动工资、计生、绩效考核、综合治理、安全保卫、后勤服务、综合信息上报工作；负责全市档案专业技术资格申报审查工作。</w:t>
      </w:r>
    </w:p>
    <w:p w14:paraId="53B8D39A">
      <w:pPr>
        <w:pStyle w:val="15"/>
        <w:keepNext w:val="0"/>
        <w:keepLines w:val="0"/>
        <w:pageBreakBefore w:val="0"/>
        <w:widowControl/>
        <w:kinsoku/>
        <w:wordWrap/>
        <w:overflowPunct/>
        <w:topLinePunct w:val="0"/>
        <w:autoSpaceDE/>
        <w:autoSpaceDN/>
        <w:bidi w:val="0"/>
        <w:adjustRightInd/>
        <w:spacing w:line="240" w:lineRule="auto"/>
        <w:ind w:left="0" w:leftChars="0" w:firstLine="600" w:firstLineChars="200"/>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二）负责应用先进技术和方法对馆藏档案资料进行科学保管工作，维护档案安全；对馆藏档案资料进行整理、销毁、统计和编制检索工具、全宗介绍等；负责馆藏档案资料、市政府公开信息及现行文件的预约和来馆查阅服务；负责本馆查阅利用情况综合和统计；负责档案利用效果的收集和典型经验总结上报；负责档案馆库房设施设备运行、维护管理和库房保洁工作。</w:t>
      </w:r>
    </w:p>
    <w:p w14:paraId="6D3FBE02">
      <w:pPr>
        <w:pStyle w:val="15"/>
        <w:keepNext w:val="0"/>
        <w:keepLines w:val="0"/>
        <w:pageBreakBefore w:val="0"/>
        <w:widowControl/>
        <w:kinsoku/>
        <w:wordWrap/>
        <w:overflowPunct/>
        <w:topLinePunct w:val="0"/>
        <w:autoSpaceDE/>
        <w:autoSpaceDN/>
        <w:bidi w:val="0"/>
        <w:adjustRightInd/>
        <w:spacing w:line="240" w:lineRule="auto"/>
        <w:ind w:left="0" w:leftChars="0" w:firstLine="600" w:firstLineChars="200"/>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（三）负责公布档案史料，并开展馆藏档案史料的开发、编研和发行工作；负责开展档案学术理论研究和科研工作，组织全市档案编研优秀成果的评审与申报； 负责开展档案宣传和档案文化建设，围绕市委市政府中心工作和社会重点、热点问题举办档案展览；负责爱国主义教育基地的建设、管理和对外开放；负责接收市直单位和其他组织按规定移交进馆的档案资料；负责市政府公开信息和现行文件的征集接收；负责调查、征集散存在社会上的珍贵档案资料；负责馆藏档案开放鉴定，定期向社会公布开放档案目录；负责对馆藏档案资料进行技术抢救和保护修复工作。</w:t>
      </w:r>
    </w:p>
    <w:p w14:paraId="6919CD88">
      <w:pPr>
        <w:pStyle w:val="15"/>
        <w:keepNext w:val="0"/>
        <w:keepLines w:val="0"/>
        <w:pageBreakBefore w:val="0"/>
        <w:widowControl/>
        <w:kinsoku/>
        <w:wordWrap/>
        <w:overflowPunct/>
        <w:topLinePunct w:val="0"/>
        <w:autoSpaceDE/>
        <w:autoSpaceDN/>
        <w:bidi w:val="0"/>
        <w:adjustRightInd/>
        <w:spacing w:line="240" w:lineRule="auto"/>
        <w:ind w:left="0" w:leftChars="0" w:firstLine="600" w:firstLineChars="200"/>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（四） 负责市直单位和其他组织电子、声像档案的接收、存储工作；负责开展馆藏档案资料缩微、数字化、模数转换、复制等工作；负责馆藏档案目录、全文和多媒体数据库建设工作。负责本馆计算机网络、门户网站、办公自动化、数字化设备等信息化基础设施建设及管理与运行维护工作，保障计算机信息系统安全；负责档案数字资源的日常维护及安全保管、统计分析、备份迁移、共享发布等工作。负责承担党和国家领导人、省领导、重要人物来怀化及外事接待活动中形成的照片、录音、录像档案的采集及其接收、整理；承担市领导公务活动及本市重要人物的照片、录音、录像档案的采集及其接收、整理；承担市内重要会议、重大活动、重大事件的照片、录音、录像档案的采集及其接收、整理；定点、定时采集市内记录城乡建设与发展的声像档案 ；负责市内非物质文化遗产和重要名胜档案资料的采集与整理；组织市本级口述档案的采集与整理；提供照片、录音、录像档案资料的开发利用。</w:t>
      </w:r>
    </w:p>
    <w:p w14:paraId="7BF95166">
      <w:pPr>
        <w:pStyle w:val="15"/>
        <w:keepNext w:val="0"/>
        <w:keepLines w:val="0"/>
        <w:pageBreakBefore w:val="0"/>
        <w:widowControl/>
        <w:kinsoku/>
        <w:wordWrap/>
        <w:overflowPunct/>
        <w:topLinePunct w:val="0"/>
        <w:autoSpaceDE/>
        <w:autoSpaceDN/>
        <w:bidi w:val="0"/>
        <w:adjustRightInd/>
        <w:spacing w:line="240" w:lineRule="auto"/>
        <w:ind w:left="0" w:firstLine="600" w:firstLineChars="200"/>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(五)承办市委、市政府交办的其他事项。</w:t>
      </w:r>
    </w:p>
    <w:p w14:paraId="48DBC5EF">
      <w:pPr>
        <w:keepNext w:val="0"/>
        <w:keepLines w:val="0"/>
        <w:pageBreakBefore w:val="0"/>
        <w:widowControl/>
        <w:kinsoku/>
        <w:wordWrap/>
        <w:overflowPunct/>
        <w:topLinePunct w:val="0"/>
        <w:autoSpaceDE/>
        <w:autoSpaceDN/>
        <w:bidi w:val="0"/>
        <w:adjustRightInd/>
        <w:spacing w:line="240" w:lineRule="auto"/>
        <w:ind w:left="0" w:leftChars="0" w:firstLine="600" w:firstLineChars="200"/>
        <w:textAlignment w:val="auto"/>
        <w:rPr>
          <w:rFonts w:hint="eastAsia" w:ascii="仿宋" w:hAnsi="仿宋" w:eastAsia="仿宋" w:cs="仿宋"/>
          <w:bCs/>
          <w:kern w:val="0"/>
          <w:sz w:val="30"/>
          <w:szCs w:val="30"/>
        </w:rPr>
      </w:pPr>
      <w:r>
        <w:rPr>
          <w:rFonts w:hint="eastAsia" w:ascii="仿宋" w:hAnsi="仿宋" w:eastAsia="仿宋" w:cs="仿宋"/>
          <w:bCs/>
          <w:kern w:val="0"/>
          <w:sz w:val="30"/>
          <w:szCs w:val="30"/>
        </w:rPr>
        <w:t>二、机构设置及决算单位构成</w:t>
      </w:r>
    </w:p>
    <w:p w14:paraId="2F1CFFAC">
      <w:pPr>
        <w:pStyle w:val="20"/>
        <w:keepNext w:val="0"/>
        <w:keepLines w:val="0"/>
        <w:pageBreakBefore w:val="0"/>
        <w:kinsoku/>
        <w:wordWrap/>
        <w:overflowPunct/>
        <w:topLinePunct w:val="0"/>
        <w:autoSpaceDE/>
        <w:autoSpaceDN/>
        <w:bidi w:val="0"/>
        <w:adjustRightInd/>
        <w:spacing w:line="240" w:lineRule="auto"/>
        <w:ind w:left="0" w:firstLine="600" w:firstLineChars="200"/>
        <w:textAlignment w:val="auto"/>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（一）内设机构设置。怀化市档案馆作为一级部门预算单位，内设科室为：办公室、管理利用部、编研和征收鉴定部、科技信息部。</w:t>
      </w:r>
    </w:p>
    <w:p w14:paraId="4B0EA073">
      <w:pPr>
        <w:keepNext w:val="0"/>
        <w:keepLines w:val="0"/>
        <w:pageBreakBefore w:val="0"/>
        <w:widowControl/>
        <w:kinsoku/>
        <w:wordWrap/>
        <w:overflowPunct/>
        <w:topLinePunct w:val="0"/>
        <w:autoSpaceDE/>
        <w:autoSpaceDN/>
        <w:bidi w:val="0"/>
        <w:adjustRightInd/>
        <w:spacing w:line="240" w:lineRule="auto"/>
        <w:ind w:left="0" w:firstLine="600" w:firstLineChars="200"/>
        <w:textAlignment w:val="auto"/>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（二）决算单位构成。怀化市档案馆2023年部门决算汇总公开单位构成包括：怀化市档案馆本级。</w:t>
      </w:r>
    </w:p>
    <w:p w14:paraId="0E06A00A">
      <w:pPr>
        <w:jc w:val="left"/>
        <w:rPr>
          <w:rFonts w:hint="eastAsia" w:ascii="仿宋" w:hAnsi="仿宋" w:eastAsia="仿宋" w:cs="仿宋"/>
          <w:sz w:val="30"/>
          <w:szCs w:val="30"/>
          <w:shd w:val="clear" w:color="auto" w:fill="FFFFFF"/>
        </w:rPr>
      </w:pPr>
    </w:p>
    <w:p w14:paraId="53BC11D7">
      <w:pPr>
        <w:pStyle w:val="14"/>
        <w:ind w:firstLine="1760" w:firstLineChars="400"/>
        <w:jc w:val="both"/>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第二部分</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部门决算表</w:t>
      </w:r>
    </w:p>
    <w:p w14:paraId="1EDC4873">
      <w:pPr>
        <w:jc w:val="center"/>
        <w:rPr>
          <w:rFonts w:hint="eastAsia" w:ascii="仿宋" w:hAnsi="仿宋" w:eastAsia="仿宋" w:cs="仿宋"/>
          <w:sz w:val="30"/>
          <w:szCs w:val="30"/>
        </w:rPr>
      </w:pPr>
    </w:p>
    <w:p w14:paraId="214DBC00">
      <w:pPr>
        <w:jc w:val="center"/>
        <w:rPr>
          <w:rFonts w:hint="eastAsia" w:ascii="仿宋" w:hAnsi="仿宋" w:eastAsia="仿宋" w:cs="仿宋"/>
          <w:sz w:val="30"/>
          <w:szCs w:val="30"/>
        </w:rPr>
      </w:pPr>
    </w:p>
    <w:p w14:paraId="1850838B">
      <w:pPr>
        <w:rPr>
          <w:rFonts w:hint="eastAsia" w:ascii="仿宋" w:hAnsi="仿宋" w:eastAsia="仿宋" w:cs="仿宋"/>
          <w:sz w:val="30"/>
          <w:szCs w:val="30"/>
        </w:rPr>
      </w:pPr>
    </w:p>
    <w:p w14:paraId="7A10A16D">
      <w:pPr>
        <w:rPr>
          <w:rFonts w:hint="eastAsia" w:ascii="仿宋" w:hAnsi="仿宋" w:eastAsia="仿宋" w:cs="仿宋"/>
          <w:sz w:val="30"/>
          <w:szCs w:val="30"/>
        </w:rPr>
      </w:pPr>
    </w:p>
    <w:p w14:paraId="567776A0">
      <w:pPr>
        <w:rPr>
          <w:rFonts w:hint="eastAsia" w:ascii="仿宋" w:hAnsi="仿宋" w:eastAsia="仿宋" w:cs="仿宋"/>
          <w:sz w:val="30"/>
          <w:szCs w:val="30"/>
        </w:rPr>
      </w:pPr>
    </w:p>
    <w:p w14:paraId="50C65FBD">
      <w:pPr>
        <w:rPr>
          <w:rFonts w:hint="eastAsia" w:ascii="仿宋" w:hAnsi="仿宋" w:eastAsia="仿宋" w:cs="仿宋"/>
          <w:sz w:val="30"/>
          <w:szCs w:val="30"/>
        </w:rPr>
      </w:pPr>
    </w:p>
    <w:p w14:paraId="21E62D24">
      <w:pPr>
        <w:rPr>
          <w:rFonts w:hint="eastAsia" w:ascii="仿宋" w:hAnsi="仿宋" w:eastAsia="仿宋" w:cs="仿宋"/>
          <w:sz w:val="30"/>
          <w:szCs w:val="30"/>
        </w:rPr>
      </w:pPr>
    </w:p>
    <w:p w14:paraId="2D12C321">
      <w:pPr>
        <w:rPr>
          <w:rFonts w:hint="eastAsia" w:ascii="仿宋" w:hAnsi="仿宋" w:eastAsia="仿宋" w:cs="仿宋"/>
          <w:sz w:val="30"/>
          <w:szCs w:val="30"/>
        </w:rPr>
      </w:pPr>
    </w:p>
    <w:p w14:paraId="7A83CA46">
      <w:pPr>
        <w:rPr>
          <w:rFonts w:hint="eastAsia" w:ascii="仿宋" w:hAnsi="仿宋" w:eastAsia="仿宋" w:cs="仿宋"/>
          <w:sz w:val="30"/>
          <w:szCs w:val="30"/>
        </w:rPr>
        <w:sectPr>
          <w:footerReference r:id="rId3" w:type="default"/>
          <w:pgSz w:w="11906" w:h="16838"/>
          <w:pgMar w:top="1440" w:right="1800" w:bottom="1440" w:left="1800" w:header="851" w:footer="992" w:gutter="0"/>
          <w:cols w:space="425" w:num="1"/>
          <w:docGrid w:type="lines" w:linePitch="312" w:charSpace="0"/>
        </w:sectPr>
      </w:pPr>
    </w:p>
    <w:p w14:paraId="631009B5">
      <w:pPr>
        <w:rPr>
          <w:rFonts w:hint="eastAsia" w:ascii="仿宋" w:hAnsi="仿宋" w:eastAsia="仿宋" w:cs="仿宋"/>
          <w:sz w:val="30"/>
          <w:szCs w:val="30"/>
        </w:rPr>
      </w:pPr>
      <w:r>
        <w:rPr>
          <w:rFonts w:hint="eastAsia" w:ascii="仿宋" w:hAnsi="仿宋" w:eastAsia="仿宋" w:cs="仿宋"/>
          <w:sz w:val="30"/>
          <w:szCs w:val="30"/>
        </w:rPr>
        <w:object>
          <v:shape id="_x0000_i1025" o:spt="75" type="#_x0000_t75" style="height:549pt;width:757.5pt;" o:ole="t" filled="f" o:preferrelative="t" stroked="f" coordsize="21600,21600">
            <v:path/>
            <v:fill on="f" focussize="0,0"/>
            <v:stroke on="f" joinstyle="miter"/>
            <v:imagedata r:id="rId6" o:title=""/>
            <o:lock v:ext="edit" aspectratio="t"/>
            <w10:wrap type="none"/>
            <w10:anchorlock/>
          </v:shape>
          <o:OLEObject Type="Embed" ProgID="Excel.Sheet.12" ShapeID="_x0000_i1025" DrawAspect="Content" ObjectID="_1468075725" r:id="rId5">
            <o:LockedField>false</o:LockedField>
          </o:OLEObject>
        </w:object>
      </w:r>
    </w:p>
    <w:p w14:paraId="10472410">
      <w:pPr>
        <w:pStyle w:val="2"/>
        <w:rPr>
          <w:rFonts w:hint="eastAsia" w:ascii="仿宋" w:hAnsi="仿宋" w:eastAsia="仿宋" w:cs="仿宋"/>
          <w:sz w:val="30"/>
          <w:szCs w:val="30"/>
        </w:rPr>
      </w:pPr>
      <w:r>
        <w:rPr>
          <w:rFonts w:hint="eastAsia" w:ascii="仿宋" w:hAnsi="仿宋" w:eastAsia="仿宋" w:cs="仿宋"/>
          <w:sz w:val="30"/>
          <w:szCs w:val="30"/>
        </w:rPr>
        <w:object>
          <v:shape id="_x0000_i1026" o:spt="75" type="#_x0000_t75" style="height:348.75pt;width:768.75pt;" o:ole="t" filled="f" o:preferrelative="t" stroked="f" coordsize="21600,21600">
            <v:path/>
            <v:fill on="f" focussize="0,0"/>
            <v:stroke on="f" joinstyle="miter"/>
            <v:imagedata r:id="rId8" o:title=""/>
            <o:lock v:ext="edit" aspectratio="t"/>
            <w10:wrap type="none"/>
            <w10:anchorlock/>
          </v:shape>
          <o:OLEObject Type="Embed" ProgID="Excel.Sheet.12" ShapeID="_x0000_i1026" DrawAspect="Content" ObjectID="_1468075726" r:id="rId7">
            <o:LockedField>false</o:LockedField>
          </o:OLEObject>
        </w:object>
      </w:r>
    </w:p>
    <w:p w14:paraId="73DFA095">
      <w:pPr>
        <w:rPr>
          <w:rFonts w:hint="eastAsia" w:ascii="仿宋" w:hAnsi="仿宋" w:eastAsia="仿宋" w:cs="仿宋"/>
          <w:sz w:val="30"/>
          <w:szCs w:val="30"/>
        </w:rPr>
      </w:pPr>
    </w:p>
    <w:p w14:paraId="1C56C105">
      <w:pPr>
        <w:pStyle w:val="2"/>
        <w:rPr>
          <w:rFonts w:hint="eastAsia" w:ascii="仿宋" w:hAnsi="仿宋" w:eastAsia="仿宋" w:cs="仿宋"/>
          <w:sz w:val="30"/>
          <w:szCs w:val="30"/>
        </w:rPr>
      </w:pPr>
      <w:r>
        <w:rPr>
          <w:rFonts w:hint="eastAsia" w:ascii="仿宋" w:hAnsi="仿宋" w:eastAsia="仿宋" w:cs="仿宋"/>
          <w:sz w:val="30"/>
          <w:szCs w:val="30"/>
        </w:rPr>
        <w:br w:type="page"/>
      </w:r>
      <w:r>
        <w:rPr>
          <w:rFonts w:hint="eastAsia" w:ascii="仿宋" w:hAnsi="仿宋" w:eastAsia="仿宋" w:cs="仿宋"/>
          <w:sz w:val="30"/>
          <w:szCs w:val="30"/>
        </w:rPr>
        <w:object>
          <v:shape id="_x0000_i1027" o:spt="75" type="#_x0000_t75" style="height:348.75pt;width:754.5pt;" o:ole="t" filled="f" o:preferrelative="t" stroked="f" coordsize="21600,21600">
            <v:path/>
            <v:fill on="f" focussize="0,0"/>
            <v:stroke on="f" joinstyle="miter"/>
            <v:imagedata r:id="rId10" o:title=""/>
            <o:lock v:ext="edit" aspectratio="t"/>
            <w10:wrap type="none"/>
            <w10:anchorlock/>
          </v:shape>
          <o:OLEObject Type="Embed" ProgID="Excel.Sheet.12" ShapeID="_x0000_i1027" DrawAspect="Content" ObjectID="_1468075727" r:id="rId9">
            <o:LockedField>false</o:LockedField>
          </o:OLEObject>
        </w:object>
      </w:r>
    </w:p>
    <w:p w14:paraId="74DC8E9E">
      <w:pPr>
        <w:rPr>
          <w:rFonts w:hint="eastAsia" w:ascii="仿宋" w:hAnsi="仿宋" w:eastAsia="仿宋" w:cs="仿宋"/>
          <w:sz w:val="30"/>
          <w:szCs w:val="30"/>
        </w:rPr>
      </w:pPr>
    </w:p>
    <w:p w14:paraId="0B999D48">
      <w:pPr>
        <w:pStyle w:val="2"/>
        <w:rPr>
          <w:rFonts w:hint="eastAsia" w:ascii="仿宋" w:hAnsi="仿宋" w:eastAsia="仿宋" w:cs="仿宋"/>
          <w:sz w:val="30"/>
          <w:szCs w:val="30"/>
        </w:rPr>
      </w:pPr>
      <w:r>
        <w:rPr>
          <w:rFonts w:hint="eastAsia" w:ascii="仿宋" w:hAnsi="仿宋" w:eastAsia="仿宋" w:cs="仿宋"/>
          <w:sz w:val="30"/>
          <w:szCs w:val="30"/>
        </w:rPr>
        <w:br w:type="page"/>
      </w:r>
    </w:p>
    <w:p w14:paraId="509D454E">
      <w:pPr>
        <w:rPr>
          <w:rFonts w:hint="eastAsia" w:ascii="仿宋" w:hAnsi="仿宋" w:eastAsia="仿宋" w:cs="仿宋"/>
          <w:sz w:val="30"/>
          <w:szCs w:val="30"/>
        </w:rPr>
      </w:pPr>
      <w:r>
        <w:rPr>
          <w:rFonts w:hint="eastAsia" w:ascii="仿宋" w:hAnsi="仿宋" w:eastAsia="仿宋" w:cs="仿宋"/>
          <w:sz w:val="30"/>
          <w:szCs w:val="30"/>
        </w:rPr>
        <w:object>
          <v:shape id="_x0000_i1028" o:spt="75" type="#_x0000_t75" style="height:522pt;width:766.5pt;" o:ole="t" filled="f" o:preferrelative="t" stroked="f" coordsize="21600,21600">
            <v:path/>
            <v:fill on="f" focussize="0,0"/>
            <v:stroke on="f" joinstyle="miter"/>
            <v:imagedata r:id="rId12" o:title=""/>
            <o:lock v:ext="edit" aspectratio="t"/>
            <w10:wrap type="none"/>
            <w10:anchorlock/>
          </v:shape>
          <o:OLEObject Type="Embed" ProgID="Excel.Sheet.12" ShapeID="_x0000_i1028" DrawAspect="Content" ObjectID="_1468075728" r:id="rId11">
            <o:LockedField>false</o:LockedField>
          </o:OLEObject>
        </w:object>
      </w:r>
    </w:p>
    <w:p w14:paraId="38B10E7F">
      <w:pPr>
        <w:pStyle w:val="2"/>
        <w:rPr>
          <w:rFonts w:hint="eastAsia" w:ascii="仿宋" w:hAnsi="仿宋" w:eastAsia="仿宋" w:cs="仿宋"/>
          <w:sz w:val="30"/>
          <w:szCs w:val="30"/>
        </w:rPr>
      </w:pPr>
      <w:r>
        <w:rPr>
          <w:rFonts w:hint="eastAsia" w:ascii="仿宋" w:hAnsi="仿宋" w:eastAsia="仿宋" w:cs="仿宋"/>
          <w:sz w:val="30"/>
          <w:szCs w:val="30"/>
        </w:rPr>
        <w:object>
          <v:shape id="_x0000_i1029" o:spt="75" type="#_x0000_t75" style="height:347.25pt;width:739.5pt;" o:ole="t" filled="f" o:preferrelative="t" stroked="f" coordsize="21600,21600">
            <v:path/>
            <v:fill on="f" focussize="0,0"/>
            <v:stroke on="f" joinstyle="miter"/>
            <v:imagedata r:id="rId14" o:title=""/>
            <o:lock v:ext="edit" aspectratio="t"/>
            <w10:wrap type="none"/>
            <w10:anchorlock/>
          </v:shape>
          <o:OLEObject Type="Embed" ProgID="Excel.Sheet.12" ShapeID="_x0000_i1029" DrawAspect="Content" ObjectID="_1468075729" r:id="rId13">
            <o:LockedField>false</o:LockedField>
          </o:OLEObject>
        </w:object>
      </w:r>
      <w:r>
        <w:rPr>
          <w:rFonts w:hint="eastAsia" w:ascii="仿宋" w:hAnsi="仿宋" w:eastAsia="仿宋" w:cs="仿宋"/>
          <w:sz w:val="30"/>
          <w:szCs w:val="30"/>
        </w:rPr>
        <w:br w:type="page"/>
      </w:r>
    </w:p>
    <w:p w14:paraId="30D5BBBF">
      <w:pPr>
        <w:rPr>
          <w:rFonts w:hint="eastAsia" w:ascii="仿宋" w:hAnsi="仿宋" w:eastAsia="仿宋" w:cs="仿宋"/>
          <w:sz w:val="30"/>
          <w:szCs w:val="30"/>
        </w:rPr>
      </w:pPr>
      <w:r>
        <w:rPr>
          <w:rFonts w:hint="eastAsia" w:ascii="仿宋" w:hAnsi="仿宋" w:eastAsia="仿宋" w:cs="仿宋"/>
          <w:sz w:val="30"/>
          <w:szCs w:val="30"/>
        </w:rPr>
        <w:object>
          <v:shape id="_x0000_i1030" o:spt="75" type="#_x0000_t75" style="height:520.5pt;width:774pt;" o:ole="t" filled="f" o:preferrelative="t" stroked="f" coordsize="21600,21600">
            <v:path/>
            <v:fill on="f" focussize="0,0"/>
            <v:stroke on="f" joinstyle="miter"/>
            <v:imagedata r:id="rId16" o:title=""/>
            <o:lock v:ext="edit" aspectratio="t"/>
            <w10:wrap type="none"/>
            <w10:anchorlock/>
          </v:shape>
          <o:OLEObject Type="Embed" ProgID="Excel.Sheet.12" ShapeID="_x0000_i1030" DrawAspect="Content" ObjectID="_1468075730" r:id="rId15">
            <o:LockedField>false</o:LockedField>
          </o:OLEObject>
        </w:object>
      </w:r>
      <w:r>
        <w:rPr>
          <w:rFonts w:hint="eastAsia" w:ascii="仿宋" w:hAnsi="仿宋" w:eastAsia="仿宋" w:cs="仿宋"/>
          <w:sz w:val="30"/>
          <w:szCs w:val="30"/>
        </w:rPr>
        <w:object>
          <v:shape id="_x0000_i1031" o:spt="75" type="#_x0000_t75" style="height:180.75pt;width:759.75pt;" o:ole="t" filled="f" o:preferrelative="t" stroked="f" coordsize="21600,21600">
            <v:path/>
            <v:fill on="f" focussize="0,0"/>
            <v:stroke on="f" joinstyle="miter"/>
            <v:imagedata r:id="rId18" o:title=""/>
            <o:lock v:ext="edit" aspectratio="t"/>
            <w10:wrap type="none"/>
            <w10:anchorlock/>
          </v:shape>
          <o:OLEObject Type="Embed" ProgID="Excel.Sheet.12" ShapeID="_x0000_i1031" DrawAspect="Content" ObjectID="_1468075731" r:id="rId17">
            <o:LockedField>false</o:LockedField>
          </o:OLEObject>
        </w:object>
      </w:r>
    </w:p>
    <w:p w14:paraId="3A1A9EB7">
      <w:pPr>
        <w:pStyle w:val="2"/>
        <w:rPr>
          <w:rFonts w:hint="eastAsia" w:ascii="仿宋" w:hAnsi="仿宋" w:eastAsia="仿宋" w:cs="仿宋"/>
          <w:sz w:val="30"/>
          <w:szCs w:val="30"/>
        </w:rPr>
      </w:pPr>
      <w:r>
        <w:rPr>
          <w:rFonts w:hint="eastAsia" w:ascii="仿宋" w:hAnsi="仿宋" w:eastAsia="仿宋" w:cs="仿宋"/>
          <w:sz w:val="30"/>
          <w:szCs w:val="30"/>
        </w:rPr>
        <w:br w:type="page"/>
      </w:r>
    </w:p>
    <w:p w14:paraId="1FDBB27B">
      <w:pPr>
        <w:rPr>
          <w:rFonts w:hint="eastAsia" w:ascii="仿宋" w:hAnsi="仿宋" w:eastAsia="仿宋" w:cs="仿宋"/>
          <w:sz w:val="30"/>
          <w:szCs w:val="30"/>
        </w:rPr>
      </w:pPr>
    </w:p>
    <w:p w14:paraId="76B18F5E">
      <w:pPr>
        <w:pStyle w:val="2"/>
        <w:rPr>
          <w:rFonts w:hint="eastAsia" w:ascii="仿宋" w:hAnsi="仿宋" w:eastAsia="仿宋" w:cs="仿宋"/>
          <w:sz w:val="30"/>
          <w:szCs w:val="30"/>
        </w:rPr>
      </w:pPr>
      <w:r>
        <w:rPr>
          <w:rFonts w:hint="eastAsia" w:ascii="仿宋" w:hAnsi="仿宋" w:eastAsia="仿宋" w:cs="仿宋"/>
          <w:sz w:val="30"/>
          <w:szCs w:val="30"/>
        </w:rPr>
        <w:object>
          <v:shape id="_x0000_i1032" o:spt="75" type="#_x0000_t75" style="height:180pt;width:752.25pt;" o:ole="t" filled="f" o:preferrelative="t" stroked="f" coordsize="21600,21600">
            <v:path/>
            <v:fill on="f" focussize="0,0"/>
            <v:stroke on="f" joinstyle="miter"/>
            <v:imagedata r:id="rId20" o:title=""/>
            <o:lock v:ext="edit" aspectratio="t"/>
            <w10:wrap type="none"/>
            <w10:anchorlock/>
          </v:shape>
          <o:OLEObject Type="Embed" ProgID="Excel.Sheet.12" ShapeID="_x0000_i1032" DrawAspect="Content" ObjectID="_1468075732" r:id="rId19">
            <o:LockedField>false</o:LockedField>
          </o:OLEObject>
        </w:object>
      </w:r>
      <w:r>
        <w:rPr>
          <w:rFonts w:hint="eastAsia" w:ascii="仿宋" w:hAnsi="仿宋" w:eastAsia="仿宋" w:cs="仿宋"/>
          <w:sz w:val="30"/>
          <w:szCs w:val="30"/>
        </w:rPr>
        <w:br w:type="page"/>
      </w:r>
    </w:p>
    <w:p w14:paraId="6755E389">
      <w:pPr>
        <w:rPr>
          <w:rFonts w:hint="eastAsia" w:ascii="仿宋" w:hAnsi="仿宋" w:eastAsia="仿宋" w:cs="仿宋"/>
          <w:sz w:val="30"/>
          <w:szCs w:val="30"/>
        </w:rPr>
      </w:pPr>
    </w:p>
    <w:p w14:paraId="7EE820C9">
      <w:pPr>
        <w:pStyle w:val="2"/>
        <w:rPr>
          <w:rFonts w:hint="eastAsia" w:ascii="仿宋" w:hAnsi="仿宋" w:eastAsia="仿宋" w:cs="仿宋"/>
          <w:sz w:val="30"/>
          <w:szCs w:val="30"/>
        </w:rPr>
      </w:pPr>
      <w:r>
        <w:rPr>
          <w:rFonts w:hint="eastAsia" w:ascii="仿宋" w:hAnsi="仿宋" w:eastAsia="仿宋" w:cs="仿宋"/>
          <w:sz w:val="30"/>
          <w:szCs w:val="30"/>
        </w:rPr>
        <w:object>
          <v:shape id="_x0000_i1033" o:spt="75" type="#_x0000_t75" style="height:175.5pt;width:782.25pt;" o:ole="t" filled="f" o:preferrelative="t" stroked="f" coordsize="21600,21600">
            <v:path/>
            <v:fill on="f" focussize="0,0"/>
            <v:stroke on="f" joinstyle="miter"/>
            <v:imagedata r:id="rId22" o:title=""/>
            <o:lock v:ext="edit" aspectratio="t"/>
            <w10:wrap type="none"/>
            <w10:anchorlock/>
          </v:shape>
          <o:OLEObject Type="Embed" ProgID="Excel.Sheet.12" ShapeID="_x0000_i1033" DrawAspect="Content" ObjectID="_1468075733" r:id="rId21">
            <o:LockedField>false</o:LockedField>
          </o:OLEObject>
        </w:object>
      </w:r>
    </w:p>
    <w:p w14:paraId="0ACDE8EF">
      <w:pPr>
        <w:pStyle w:val="2"/>
        <w:rPr>
          <w:rFonts w:hint="eastAsia" w:ascii="仿宋" w:hAnsi="仿宋" w:eastAsia="仿宋" w:cs="仿宋"/>
          <w:sz w:val="30"/>
          <w:szCs w:val="30"/>
        </w:rPr>
      </w:pPr>
    </w:p>
    <w:p w14:paraId="72C232CB">
      <w:pPr>
        <w:pStyle w:val="2"/>
        <w:rPr>
          <w:rFonts w:hint="eastAsia" w:ascii="仿宋" w:hAnsi="仿宋" w:eastAsia="仿宋" w:cs="仿宋"/>
          <w:sz w:val="30"/>
          <w:szCs w:val="30"/>
        </w:rPr>
      </w:pPr>
    </w:p>
    <w:p w14:paraId="0D7ED505">
      <w:pPr>
        <w:pStyle w:val="2"/>
        <w:rPr>
          <w:rFonts w:hint="eastAsia" w:ascii="仿宋" w:hAnsi="仿宋" w:eastAsia="仿宋" w:cs="仿宋"/>
          <w:sz w:val="30"/>
          <w:szCs w:val="30"/>
        </w:rPr>
      </w:pPr>
    </w:p>
    <w:p w14:paraId="5866889F">
      <w:pPr>
        <w:pStyle w:val="2"/>
        <w:rPr>
          <w:rFonts w:hint="eastAsia" w:ascii="仿宋" w:hAnsi="仿宋" w:eastAsia="仿宋" w:cs="仿宋"/>
          <w:sz w:val="30"/>
          <w:szCs w:val="30"/>
        </w:rPr>
      </w:pPr>
    </w:p>
    <w:p w14:paraId="761D9286">
      <w:pPr>
        <w:pStyle w:val="2"/>
        <w:rPr>
          <w:rFonts w:hint="eastAsia" w:ascii="仿宋" w:hAnsi="仿宋" w:eastAsia="仿宋" w:cs="仿宋"/>
          <w:sz w:val="30"/>
          <w:szCs w:val="30"/>
        </w:rPr>
      </w:pPr>
    </w:p>
    <w:p w14:paraId="1BB9E4CA">
      <w:pPr>
        <w:pStyle w:val="2"/>
        <w:rPr>
          <w:rFonts w:hint="eastAsia" w:ascii="仿宋" w:hAnsi="仿宋" w:eastAsia="仿宋" w:cs="仿宋"/>
          <w:sz w:val="30"/>
          <w:szCs w:val="30"/>
        </w:rPr>
      </w:pPr>
    </w:p>
    <w:p w14:paraId="4D0CABF9">
      <w:pPr>
        <w:pStyle w:val="2"/>
        <w:rPr>
          <w:rFonts w:hint="eastAsia" w:ascii="仿宋" w:hAnsi="仿宋" w:eastAsia="仿宋" w:cs="仿宋"/>
          <w:sz w:val="30"/>
          <w:szCs w:val="30"/>
        </w:rPr>
      </w:pPr>
    </w:p>
    <w:p w14:paraId="0C053F48">
      <w:pPr>
        <w:pStyle w:val="2"/>
        <w:rPr>
          <w:rFonts w:hint="eastAsia" w:ascii="仿宋" w:hAnsi="仿宋" w:eastAsia="仿宋" w:cs="仿宋"/>
          <w:sz w:val="30"/>
          <w:szCs w:val="30"/>
        </w:rPr>
      </w:pPr>
    </w:p>
    <w:p w14:paraId="192D11FD">
      <w:pPr>
        <w:pStyle w:val="2"/>
        <w:rPr>
          <w:rFonts w:hint="eastAsia" w:ascii="仿宋" w:hAnsi="仿宋" w:eastAsia="仿宋" w:cs="仿宋"/>
          <w:sz w:val="30"/>
          <w:szCs w:val="30"/>
        </w:rPr>
      </w:pPr>
    </w:p>
    <w:p w14:paraId="5B8A920F">
      <w:pPr>
        <w:pStyle w:val="2"/>
        <w:rPr>
          <w:rFonts w:hint="eastAsia" w:ascii="仿宋" w:hAnsi="仿宋" w:eastAsia="仿宋" w:cs="仿宋"/>
          <w:sz w:val="30"/>
          <w:szCs w:val="30"/>
        </w:rPr>
      </w:pPr>
    </w:p>
    <w:p w14:paraId="3AE27CE0">
      <w:pPr>
        <w:pStyle w:val="2"/>
        <w:rPr>
          <w:rFonts w:hint="eastAsia" w:ascii="仿宋" w:hAnsi="仿宋" w:eastAsia="仿宋" w:cs="仿宋"/>
          <w:sz w:val="30"/>
          <w:szCs w:val="30"/>
        </w:rPr>
      </w:pPr>
    </w:p>
    <w:p w14:paraId="012D3F50">
      <w:pPr>
        <w:pStyle w:val="2"/>
        <w:rPr>
          <w:rFonts w:hint="eastAsia" w:ascii="仿宋" w:hAnsi="仿宋" w:eastAsia="仿宋" w:cs="仿宋"/>
          <w:sz w:val="30"/>
          <w:szCs w:val="30"/>
        </w:rPr>
      </w:pPr>
    </w:p>
    <w:p w14:paraId="23600452">
      <w:pPr>
        <w:pStyle w:val="2"/>
        <w:rPr>
          <w:rFonts w:hint="eastAsia" w:ascii="仿宋" w:hAnsi="仿宋" w:eastAsia="仿宋" w:cs="仿宋"/>
          <w:sz w:val="30"/>
          <w:szCs w:val="30"/>
        </w:rPr>
      </w:pPr>
    </w:p>
    <w:p w14:paraId="076A2EBE">
      <w:pPr>
        <w:pStyle w:val="2"/>
        <w:rPr>
          <w:rFonts w:hint="eastAsia" w:ascii="仿宋" w:hAnsi="仿宋" w:eastAsia="仿宋" w:cs="仿宋"/>
          <w:sz w:val="30"/>
          <w:szCs w:val="30"/>
        </w:rPr>
        <w:sectPr>
          <w:pgSz w:w="16838" w:h="11906" w:orient="landscape"/>
          <w:pgMar w:top="720" w:right="720" w:bottom="720" w:left="720" w:header="851" w:footer="992" w:gutter="0"/>
          <w:cols w:space="0" w:num="1"/>
          <w:rtlGutter w:val="0"/>
          <w:docGrid w:type="lines" w:linePitch="317" w:charSpace="0"/>
        </w:sectPr>
      </w:pPr>
    </w:p>
    <w:p w14:paraId="1C6999B5">
      <w:pPr>
        <w:pStyle w:val="14"/>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第三部分</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2023年度部门决算情况说明</w:t>
      </w:r>
    </w:p>
    <w:p w14:paraId="7A0C121F">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一、收入支出决算总体情况说明</w:t>
      </w:r>
    </w:p>
    <w:p w14:paraId="23B00EAF">
      <w:pPr>
        <w:pStyle w:val="14"/>
        <w:keepNext w:val="0"/>
        <w:keepLines w:val="0"/>
        <w:pageBreakBefore w:val="0"/>
        <w:widowControl w:val="0"/>
        <w:kinsoku/>
        <w:wordWrap/>
        <w:overflowPunct/>
        <w:topLinePunct w:val="0"/>
        <w:autoSpaceDE w:val="0"/>
        <w:autoSpaceDN w:val="0"/>
        <w:bidi w:val="0"/>
        <w:adjustRightInd w:val="0"/>
        <w:snapToGrid/>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2023年度收、支总计316.04万元。与上年相比，减少85.65万元，减少21.32%，主要是因为：一是年中2人退休，工资福利支出减少，二是项目拨款减少。</w:t>
      </w:r>
    </w:p>
    <w:p w14:paraId="532E08C6">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二、收入决算情况说明</w:t>
      </w:r>
    </w:p>
    <w:p w14:paraId="3E2E1A0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2023年度收入合计316.04万元，其中：财政拨款收入316.04万元，占100%；上级补助收入0万元，占0%；事业收入0万元，占0%；经营收入0万元，占0%；附属单位上缴收入0万元，占0%；其他收入0万元，占0%。</w:t>
      </w:r>
    </w:p>
    <w:p w14:paraId="3F57DD0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三、支出决算情况说明</w:t>
      </w:r>
    </w:p>
    <w:p w14:paraId="5AA08715">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2023年度支出合计316.04万元，其中：基本支出278.32万元，占88.06%；项目支出37.72万元，占11.94%；上缴上级支出0万元，占0%；经营支出0万元，占0%；对附属单位补助支出0万元，占0%。</w:t>
      </w:r>
    </w:p>
    <w:p w14:paraId="5DA9536B">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四、财政拨款收入支出决算总体情况说明</w:t>
      </w:r>
    </w:p>
    <w:p w14:paraId="19A43083">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 xml:space="preserve">    2023年度财政拨款收、支总计316.04万元，与上年相比，减少84.26万元,减少21.05%，主要原因：一是年中2人退休，工资福利支出减少，二是项目拨款减少。</w:t>
      </w:r>
    </w:p>
    <w:p w14:paraId="1024ED91">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五、一般公共预算财政拨款支出决算情况说明</w:t>
      </w:r>
    </w:p>
    <w:p w14:paraId="763D9B42">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bCs/>
          <w:color w:val="auto"/>
          <w:sz w:val="30"/>
          <w:szCs w:val="30"/>
        </w:rPr>
      </w:pPr>
      <w:r>
        <w:rPr>
          <w:rFonts w:hint="eastAsia" w:ascii="仿宋" w:hAnsi="仿宋" w:eastAsia="仿宋" w:cs="仿宋"/>
          <w:bCs/>
          <w:sz w:val="30"/>
          <w:szCs w:val="30"/>
        </w:rPr>
        <w:t>（一）</w:t>
      </w:r>
      <w:r>
        <w:rPr>
          <w:rFonts w:hint="eastAsia" w:ascii="仿宋" w:hAnsi="仿宋" w:eastAsia="仿宋" w:cs="仿宋"/>
          <w:bCs/>
          <w:color w:val="auto"/>
          <w:sz w:val="30"/>
          <w:szCs w:val="30"/>
        </w:rPr>
        <w:t>一般公共预算财政拨款支出决算总体情况</w:t>
      </w:r>
    </w:p>
    <w:p w14:paraId="4F0BC717">
      <w:pPr>
        <w:pStyle w:val="14"/>
        <w:keepNext w:val="0"/>
        <w:keepLines w:val="0"/>
        <w:pageBreakBefore w:val="0"/>
        <w:kinsoku/>
        <w:wordWrap/>
        <w:overflowPunct/>
        <w:topLinePunct w:val="0"/>
        <w:bidi w:val="0"/>
        <w:spacing w:line="240" w:lineRule="auto"/>
        <w:ind w:left="0" w:firstLine="1050" w:firstLineChars="350"/>
        <w:jc w:val="both"/>
        <w:textAlignment w:val="auto"/>
        <w:rPr>
          <w:rFonts w:hint="eastAsia" w:ascii="仿宋" w:hAnsi="仿宋" w:eastAsia="仿宋" w:cs="仿宋"/>
          <w:sz w:val="30"/>
          <w:szCs w:val="30"/>
        </w:rPr>
      </w:pPr>
      <w:r>
        <w:rPr>
          <w:rFonts w:hint="eastAsia" w:ascii="仿宋" w:hAnsi="仿宋" w:eastAsia="仿宋" w:cs="仿宋"/>
          <w:sz w:val="30"/>
          <w:szCs w:val="30"/>
        </w:rPr>
        <w:t>2023年度财政拨款支出316.04万元，占本年支出合计的100%，与上年相比，财政拨款支出减少84.26万元，减少21.05%，主要原因：一是年中2人退休，工资福利支出减少，二是项目拨款减少。</w:t>
      </w:r>
    </w:p>
    <w:p w14:paraId="32E5AA0A">
      <w:pPr>
        <w:pStyle w:val="14"/>
        <w:keepNext w:val="0"/>
        <w:keepLines w:val="0"/>
        <w:pageBreakBefore w:val="0"/>
        <w:kinsoku/>
        <w:wordWrap/>
        <w:overflowPunct/>
        <w:topLinePunct w:val="0"/>
        <w:bidi w:val="0"/>
        <w:spacing w:line="240" w:lineRule="auto"/>
        <w:ind w:firstLine="600" w:firstLineChars="200"/>
        <w:jc w:val="both"/>
        <w:textAlignment w:val="auto"/>
        <w:rPr>
          <w:rFonts w:hint="eastAsia" w:ascii="仿宋" w:hAnsi="仿宋" w:eastAsia="仿宋" w:cs="仿宋"/>
          <w:bCs/>
          <w:sz w:val="30"/>
          <w:szCs w:val="30"/>
        </w:rPr>
      </w:pPr>
      <w:r>
        <w:rPr>
          <w:rFonts w:hint="eastAsia" w:ascii="仿宋" w:hAnsi="仿宋" w:eastAsia="仿宋" w:cs="仿宋"/>
          <w:bCs/>
          <w:sz w:val="30"/>
          <w:szCs w:val="30"/>
        </w:rPr>
        <w:t>（二）</w:t>
      </w:r>
      <w:r>
        <w:rPr>
          <w:rFonts w:hint="eastAsia" w:ascii="仿宋" w:hAnsi="仿宋" w:eastAsia="仿宋" w:cs="仿宋"/>
          <w:bCs/>
          <w:color w:val="auto"/>
          <w:sz w:val="30"/>
          <w:szCs w:val="30"/>
        </w:rPr>
        <w:t>一般公共预算财政拨款支出决算结构情况</w:t>
      </w:r>
    </w:p>
    <w:p w14:paraId="301A1E34">
      <w:pPr>
        <w:pStyle w:val="14"/>
        <w:keepNext w:val="0"/>
        <w:keepLines w:val="0"/>
        <w:pageBreakBefore w:val="0"/>
        <w:kinsoku/>
        <w:wordWrap/>
        <w:overflowPunct/>
        <w:topLinePunct w:val="0"/>
        <w:bidi w:val="0"/>
        <w:spacing w:line="24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2023年度财政拨款支出316.04万元，主要用于以下方面：一般公共服务（类）支出257.23万元，占81.39%；社会保障和就业（类）支出48.03万元，占15.20%；卫生健康（类）支出10.78万元，占3.41%。</w:t>
      </w:r>
    </w:p>
    <w:p w14:paraId="4DE331D7">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bCs/>
          <w:sz w:val="30"/>
          <w:szCs w:val="30"/>
        </w:rPr>
      </w:pPr>
      <w:r>
        <w:rPr>
          <w:rFonts w:hint="eastAsia" w:ascii="仿宋" w:hAnsi="仿宋" w:eastAsia="仿宋" w:cs="仿宋"/>
          <w:bCs/>
          <w:sz w:val="30"/>
          <w:szCs w:val="30"/>
        </w:rPr>
        <w:t>（三</w:t>
      </w:r>
      <w:r>
        <w:rPr>
          <w:rFonts w:hint="eastAsia" w:ascii="仿宋" w:hAnsi="仿宋" w:eastAsia="仿宋" w:cs="仿宋"/>
          <w:bCs/>
          <w:color w:val="auto"/>
          <w:sz w:val="30"/>
          <w:szCs w:val="30"/>
        </w:rPr>
        <w:t>）一般公共预算财政拨款支出决算具体情况</w:t>
      </w:r>
    </w:p>
    <w:p w14:paraId="5AEE78C5">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2023年度财政拨款支出年初预算数为341.42万元，支出决算数为316.04万元，完成年初预算的92.57%，其中：</w:t>
      </w:r>
    </w:p>
    <w:p w14:paraId="68C91488">
      <w:pPr>
        <w:keepNext w:val="0"/>
        <w:keepLines w:val="0"/>
        <w:pageBreakBefore w:val="0"/>
        <w:kinsoku/>
        <w:wordWrap/>
        <w:overflowPunct/>
        <w:topLinePunct w:val="0"/>
        <w:bidi w:val="0"/>
        <w:spacing w:line="240" w:lineRule="auto"/>
        <w:ind w:left="0" w:firstLine="643"/>
        <w:jc w:val="both"/>
        <w:textAlignment w:val="auto"/>
        <w:rPr>
          <w:rFonts w:hint="eastAsia" w:ascii="仿宋" w:hAnsi="仿宋" w:eastAsia="仿宋" w:cs="仿宋"/>
          <w:kern w:val="0"/>
          <w:sz w:val="30"/>
          <w:szCs w:val="30"/>
        </w:rPr>
      </w:pPr>
      <w:r>
        <w:rPr>
          <w:rFonts w:hint="eastAsia" w:ascii="仿宋" w:hAnsi="仿宋" w:eastAsia="仿宋" w:cs="仿宋"/>
          <w:b/>
          <w:bCs/>
          <w:color w:val="000000"/>
          <w:kern w:val="0"/>
          <w:sz w:val="30"/>
          <w:szCs w:val="30"/>
        </w:rPr>
        <w:t>1、一般公共服务支出（类）档案事务（款）行政运行（项）。</w:t>
      </w:r>
    </w:p>
    <w:p w14:paraId="5FF07C1B">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kern w:val="0"/>
          <w:sz w:val="30"/>
          <w:szCs w:val="30"/>
        </w:rPr>
      </w:pPr>
      <w:bookmarkStart w:id="0" w:name="_Hlk112758002"/>
      <w:r>
        <w:rPr>
          <w:rFonts w:hint="eastAsia" w:ascii="仿宋" w:hAnsi="仿宋" w:eastAsia="仿宋" w:cs="仿宋"/>
          <w:color w:val="000000"/>
          <w:kern w:val="0"/>
          <w:sz w:val="30"/>
          <w:szCs w:val="30"/>
        </w:rPr>
        <w:t xml:space="preserve">年初预算为233.51万元，支出决算为205.85万元，完成年初预算的88.15%，决算数小于年初预算数的主要原因是： </w:t>
      </w:r>
      <w:bookmarkEnd w:id="0"/>
      <w:bookmarkStart w:id="1" w:name="_Hlk177409325"/>
      <w:r>
        <w:rPr>
          <w:rFonts w:hint="eastAsia" w:ascii="仿宋" w:hAnsi="仿宋" w:eastAsia="仿宋" w:cs="仿宋"/>
          <w:color w:val="000000"/>
          <w:kern w:val="0"/>
          <w:sz w:val="30"/>
          <w:szCs w:val="30"/>
        </w:rPr>
        <w:t>2023年年中有2人退休</w:t>
      </w:r>
      <w:bookmarkEnd w:id="1"/>
      <w:r>
        <w:rPr>
          <w:rFonts w:hint="eastAsia" w:ascii="仿宋" w:hAnsi="仿宋" w:eastAsia="仿宋" w:cs="仿宋"/>
          <w:color w:val="000000"/>
          <w:kern w:val="0"/>
          <w:sz w:val="30"/>
          <w:szCs w:val="30"/>
        </w:rPr>
        <w:t>，工资福利支出减少。</w:t>
      </w:r>
    </w:p>
    <w:p w14:paraId="24FD518C">
      <w:pPr>
        <w:keepNext w:val="0"/>
        <w:keepLines w:val="0"/>
        <w:pageBreakBefore w:val="0"/>
        <w:kinsoku/>
        <w:wordWrap/>
        <w:overflowPunct/>
        <w:topLinePunct w:val="0"/>
        <w:bidi w:val="0"/>
        <w:spacing w:line="240" w:lineRule="auto"/>
        <w:ind w:left="0" w:firstLine="643"/>
        <w:jc w:val="both"/>
        <w:textAlignment w:val="auto"/>
        <w:rPr>
          <w:rFonts w:hint="eastAsia" w:ascii="仿宋" w:hAnsi="仿宋" w:eastAsia="仿宋" w:cs="仿宋"/>
          <w:kern w:val="0"/>
          <w:sz w:val="30"/>
          <w:szCs w:val="30"/>
        </w:rPr>
      </w:pPr>
      <w:r>
        <w:rPr>
          <w:rFonts w:hint="eastAsia" w:ascii="仿宋" w:hAnsi="仿宋" w:eastAsia="仿宋" w:cs="仿宋"/>
          <w:b/>
          <w:bCs/>
          <w:color w:val="000000"/>
          <w:kern w:val="0"/>
          <w:sz w:val="30"/>
          <w:szCs w:val="30"/>
        </w:rPr>
        <w:t>2、</w:t>
      </w:r>
      <w:bookmarkStart w:id="2" w:name="_Hlk177408224"/>
      <w:r>
        <w:rPr>
          <w:rFonts w:hint="eastAsia" w:ascii="仿宋" w:hAnsi="仿宋" w:eastAsia="仿宋" w:cs="仿宋"/>
          <w:b/>
          <w:bCs/>
          <w:color w:val="000000"/>
          <w:kern w:val="0"/>
          <w:sz w:val="30"/>
          <w:szCs w:val="30"/>
        </w:rPr>
        <w:t>一般公共服务支出（类）档案事务（款）档案馆（项）。</w:t>
      </w:r>
      <w:bookmarkEnd w:id="2"/>
    </w:p>
    <w:p w14:paraId="040977EF">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color w:val="000000"/>
          <w:kern w:val="0"/>
          <w:sz w:val="30"/>
          <w:szCs w:val="30"/>
        </w:rPr>
      </w:pPr>
      <w:bookmarkStart w:id="3" w:name="_Hlk177408279"/>
      <w:r>
        <w:rPr>
          <w:rFonts w:hint="eastAsia" w:ascii="仿宋" w:hAnsi="仿宋" w:eastAsia="仿宋" w:cs="仿宋"/>
          <w:color w:val="000000"/>
          <w:kern w:val="0"/>
          <w:sz w:val="30"/>
          <w:szCs w:val="30"/>
        </w:rPr>
        <w:t>年初预算为30.50万元，支出决算为37.72万元，</w:t>
      </w:r>
      <w:bookmarkStart w:id="4" w:name="_Hlk177409221"/>
      <w:r>
        <w:rPr>
          <w:rFonts w:hint="eastAsia" w:ascii="仿宋" w:hAnsi="仿宋" w:eastAsia="仿宋" w:cs="仿宋"/>
          <w:color w:val="000000"/>
          <w:kern w:val="0"/>
          <w:sz w:val="30"/>
          <w:szCs w:val="30"/>
        </w:rPr>
        <w:t>完成年初预算的123.67%，</w:t>
      </w:r>
      <w:bookmarkEnd w:id="4"/>
      <w:r>
        <w:rPr>
          <w:rFonts w:hint="eastAsia" w:ascii="仿宋" w:hAnsi="仿宋" w:eastAsia="仿宋" w:cs="仿宋"/>
          <w:color w:val="000000"/>
          <w:kern w:val="0"/>
          <w:sz w:val="30"/>
          <w:szCs w:val="30"/>
        </w:rPr>
        <w:t>决算数大于年初预算数的主要原因是：财政年中增加了运转工作经费和结转了上年档案库房设施建设经费质保金，年中调整预算。</w:t>
      </w:r>
    </w:p>
    <w:bookmarkEnd w:id="3"/>
    <w:p w14:paraId="32F7CB44">
      <w:pPr>
        <w:pStyle w:val="2"/>
        <w:keepNext w:val="0"/>
        <w:keepLines w:val="0"/>
        <w:pageBreakBefore w:val="0"/>
        <w:kinsoku/>
        <w:wordWrap/>
        <w:overflowPunct/>
        <w:topLinePunct w:val="0"/>
        <w:bidi w:val="0"/>
        <w:spacing w:line="240" w:lineRule="auto"/>
        <w:ind w:left="0"/>
        <w:jc w:val="both"/>
        <w:textAlignment w:val="auto"/>
        <w:rPr>
          <w:rFonts w:hint="eastAsia" w:ascii="仿宋" w:hAnsi="仿宋" w:eastAsia="仿宋" w:cs="仿宋"/>
          <w:sz w:val="30"/>
          <w:szCs w:val="30"/>
        </w:rPr>
      </w:pPr>
    </w:p>
    <w:p w14:paraId="12934A9C">
      <w:pPr>
        <w:pStyle w:val="3"/>
        <w:keepNext w:val="0"/>
        <w:keepLines w:val="0"/>
        <w:pageBreakBefore w:val="0"/>
        <w:kinsoku/>
        <w:wordWrap/>
        <w:overflowPunct/>
        <w:topLinePunct w:val="0"/>
        <w:bidi w:val="0"/>
        <w:spacing w:after="0" w:line="240" w:lineRule="auto"/>
        <w:ind w:left="0" w:leftChars="0" w:firstLine="452" w:firstLineChars="150"/>
        <w:jc w:val="both"/>
        <w:textAlignment w:val="auto"/>
        <w:rPr>
          <w:rFonts w:hint="eastAsia" w:ascii="仿宋" w:hAnsi="仿宋" w:eastAsia="仿宋" w:cs="仿宋"/>
          <w:b/>
          <w:bCs/>
          <w:color w:val="000000"/>
          <w:sz w:val="30"/>
          <w:szCs w:val="30"/>
        </w:rPr>
      </w:pPr>
      <w:r>
        <w:rPr>
          <w:rFonts w:hint="eastAsia" w:ascii="仿宋" w:hAnsi="仿宋" w:eastAsia="仿宋" w:cs="仿宋"/>
          <w:b/>
          <w:bCs/>
          <w:color w:val="000000"/>
          <w:sz w:val="30"/>
          <w:szCs w:val="30"/>
        </w:rPr>
        <w:t>3、一般公共服务支出（类）档案事务（款）其他档案事务支出（项）。</w:t>
      </w:r>
    </w:p>
    <w:p w14:paraId="1475E53C">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年初预算为17.00万元，支出决算为13.67万元，完成年初预算的80.41%，决算数小于年初预算数的主要原因是：年中退休2人，绩效奖减少。</w:t>
      </w:r>
    </w:p>
    <w:p w14:paraId="6F8D2121">
      <w:pPr>
        <w:pStyle w:val="2"/>
        <w:keepNext w:val="0"/>
        <w:keepLines w:val="0"/>
        <w:pageBreakBefore w:val="0"/>
        <w:kinsoku/>
        <w:wordWrap/>
        <w:overflowPunct/>
        <w:topLinePunct w:val="0"/>
        <w:bidi w:val="0"/>
        <w:spacing w:line="240" w:lineRule="auto"/>
        <w:ind w:left="0"/>
        <w:jc w:val="both"/>
        <w:textAlignment w:val="auto"/>
        <w:rPr>
          <w:rFonts w:hint="eastAsia" w:ascii="仿宋" w:hAnsi="仿宋" w:eastAsia="仿宋" w:cs="仿宋"/>
          <w:sz w:val="30"/>
          <w:szCs w:val="30"/>
        </w:rPr>
      </w:pPr>
    </w:p>
    <w:p w14:paraId="5575992A">
      <w:pPr>
        <w:keepNext w:val="0"/>
        <w:keepLines w:val="0"/>
        <w:pageBreakBefore w:val="0"/>
        <w:kinsoku/>
        <w:wordWrap/>
        <w:overflowPunct/>
        <w:topLinePunct w:val="0"/>
        <w:bidi w:val="0"/>
        <w:spacing w:line="240" w:lineRule="auto"/>
        <w:ind w:left="0" w:firstLine="643"/>
        <w:jc w:val="both"/>
        <w:textAlignment w:val="auto"/>
        <w:rPr>
          <w:rFonts w:hint="eastAsia" w:ascii="仿宋" w:hAnsi="仿宋" w:eastAsia="仿宋" w:cs="仿宋"/>
          <w:kern w:val="0"/>
          <w:sz w:val="30"/>
          <w:szCs w:val="30"/>
        </w:rPr>
      </w:pPr>
      <w:r>
        <w:rPr>
          <w:rFonts w:hint="eastAsia" w:ascii="仿宋" w:hAnsi="仿宋" w:eastAsia="仿宋" w:cs="仿宋"/>
          <w:b/>
          <w:bCs/>
          <w:color w:val="000000"/>
          <w:kern w:val="0"/>
          <w:sz w:val="30"/>
          <w:szCs w:val="30"/>
        </w:rPr>
        <w:t>4、社会保障和就业支出（类）行政事业单位养老支出（款）行政单位离退休（项）。</w:t>
      </w:r>
    </w:p>
    <w:p w14:paraId="628E1F24">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kern w:val="0"/>
          <w:sz w:val="30"/>
          <w:szCs w:val="30"/>
        </w:rPr>
      </w:pPr>
      <w:bookmarkStart w:id="5" w:name="_Hlk112758242"/>
      <w:r>
        <w:rPr>
          <w:rFonts w:hint="eastAsia" w:ascii="仿宋" w:hAnsi="仿宋" w:eastAsia="仿宋" w:cs="仿宋"/>
          <w:color w:val="000000"/>
          <w:kern w:val="0"/>
          <w:sz w:val="30"/>
          <w:szCs w:val="30"/>
        </w:rPr>
        <w:t>年初预算为1.97万元，支出决算为1.97万元，完成年初预算的100%，决算数等于年初预算数的主要原因是：</w:t>
      </w:r>
      <w:bookmarkEnd w:id="5"/>
      <w:r>
        <w:rPr>
          <w:rFonts w:hint="eastAsia" w:ascii="仿宋" w:hAnsi="仿宋" w:eastAsia="仿宋" w:cs="仿宋"/>
          <w:color w:val="000000"/>
          <w:kern w:val="0"/>
          <w:sz w:val="30"/>
          <w:szCs w:val="30"/>
        </w:rPr>
        <w:t>预算精准。</w:t>
      </w:r>
    </w:p>
    <w:p w14:paraId="273F6828">
      <w:pPr>
        <w:keepNext w:val="0"/>
        <w:keepLines w:val="0"/>
        <w:pageBreakBefore w:val="0"/>
        <w:kinsoku/>
        <w:wordWrap/>
        <w:overflowPunct/>
        <w:topLinePunct w:val="0"/>
        <w:bidi w:val="0"/>
        <w:spacing w:line="240" w:lineRule="auto"/>
        <w:ind w:left="0" w:firstLine="643"/>
        <w:jc w:val="both"/>
        <w:textAlignment w:val="auto"/>
        <w:rPr>
          <w:rFonts w:hint="eastAsia" w:ascii="仿宋" w:hAnsi="仿宋" w:eastAsia="仿宋" w:cs="仿宋"/>
          <w:kern w:val="0"/>
          <w:sz w:val="30"/>
          <w:szCs w:val="30"/>
        </w:rPr>
      </w:pPr>
      <w:bookmarkStart w:id="6" w:name="_Hlk112758447"/>
      <w:r>
        <w:rPr>
          <w:rFonts w:hint="eastAsia" w:ascii="仿宋" w:hAnsi="仿宋" w:eastAsia="仿宋" w:cs="仿宋"/>
          <w:b/>
          <w:bCs/>
          <w:color w:val="000000"/>
          <w:kern w:val="0"/>
          <w:sz w:val="30"/>
          <w:szCs w:val="30"/>
        </w:rPr>
        <w:t>5、社会保障和就业支出（类）行政事业单位养老支出（款）机关事业单位基本养老保险缴费支出（项）</w:t>
      </w:r>
      <w:bookmarkEnd w:id="6"/>
      <w:r>
        <w:rPr>
          <w:rFonts w:hint="eastAsia" w:ascii="仿宋" w:hAnsi="仿宋" w:eastAsia="仿宋" w:cs="仿宋"/>
          <w:b/>
          <w:bCs/>
          <w:color w:val="000000"/>
          <w:kern w:val="0"/>
          <w:sz w:val="30"/>
          <w:szCs w:val="30"/>
        </w:rPr>
        <w:t>。</w:t>
      </w:r>
    </w:p>
    <w:p w14:paraId="6B987647">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年初预算为28.38万元，支出决算为25.23万元，完成年初预算的88.90%，决算数小于年初预算数的主要原因是：</w:t>
      </w:r>
      <w:bookmarkStart w:id="7" w:name="_Hlk177409481"/>
      <w:r>
        <w:rPr>
          <w:rFonts w:hint="eastAsia" w:ascii="仿宋" w:hAnsi="仿宋" w:eastAsia="仿宋" w:cs="仿宋"/>
          <w:color w:val="000000"/>
          <w:kern w:val="0"/>
          <w:sz w:val="30"/>
          <w:szCs w:val="30"/>
        </w:rPr>
        <w:t>2023年年中有2人退休，</w:t>
      </w:r>
      <w:bookmarkEnd w:id="7"/>
      <w:r>
        <w:rPr>
          <w:rFonts w:hint="eastAsia" w:ascii="仿宋" w:hAnsi="仿宋" w:eastAsia="仿宋" w:cs="仿宋"/>
          <w:color w:val="000000"/>
          <w:kern w:val="0"/>
          <w:sz w:val="30"/>
          <w:szCs w:val="30"/>
        </w:rPr>
        <w:t>基本养老保险费减少。</w:t>
      </w:r>
    </w:p>
    <w:p w14:paraId="632BAED1">
      <w:pPr>
        <w:keepNext w:val="0"/>
        <w:keepLines w:val="0"/>
        <w:pageBreakBefore w:val="0"/>
        <w:kinsoku/>
        <w:wordWrap/>
        <w:overflowPunct/>
        <w:topLinePunct w:val="0"/>
        <w:bidi w:val="0"/>
        <w:spacing w:line="240" w:lineRule="auto"/>
        <w:ind w:left="0" w:firstLine="643"/>
        <w:jc w:val="both"/>
        <w:textAlignment w:val="auto"/>
        <w:rPr>
          <w:rFonts w:hint="eastAsia" w:ascii="仿宋" w:hAnsi="仿宋" w:eastAsia="仿宋" w:cs="仿宋"/>
          <w:kern w:val="0"/>
          <w:sz w:val="30"/>
          <w:szCs w:val="30"/>
        </w:rPr>
      </w:pPr>
      <w:r>
        <w:rPr>
          <w:rFonts w:hint="eastAsia" w:ascii="仿宋" w:hAnsi="仿宋" w:eastAsia="仿宋" w:cs="仿宋"/>
          <w:b/>
          <w:bCs/>
          <w:color w:val="000000"/>
          <w:kern w:val="0"/>
          <w:sz w:val="30"/>
          <w:szCs w:val="30"/>
        </w:rPr>
        <w:t>6、社会保障和就业支出（类）行政事业单位养老支出（款）</w:t>
      </w:r>
      <w:bookmarkStart w:id="8" w:name="_Hlk112758531"/>
      <w:r>
        <w:rPr>
          <w:rFonts w:hint="eastAsia" w:ascii="仿宋" w:hAnsi="仿宋" w:eastAsia="仿宋" w:cs="仿宋"/>
          <w:b/>
          <w:bCs/>
          <w:color w:val="000000"/>
          <w:kern w:val="0"/>
          <w:sz w:val="30"/>
          <w:szCs w:val="30"/>
        </w:rPr>
        <w:t>基他行政事业单位养老支出</w:t>
      </w:r>
      <w:bookmarkEnd w:id="8"/>
      <w:r>
        <w:rPr>
          <w:rFonts w:hint="eastAsia" w:ascii="仿宋" w:hAnsi="仿宋" w:eastAsia="仿宋" w:cs="仿宋"/>
          <w:b/>
          <w:bCs/>
          <w:color w:val="000000"/>
          <w:kern w:val="0"/>
          <w:sz w:val="30"/>
          <w:szCs w:val="30"/>
        </w:rPr>
        <w:t>（项）。</w:t>
      </w:r>
    </w:p>
    <w:p w14:paraId="14D1C81E">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kern w:val="0"/>
          <w:sz w:val="30"/>
          <w:szCs w:val="30"/>
        </w:rPr>
      </w:pPr>
      <w:r>
        <w:rPr>
          <w:rFonts w:hint="eastAsia" w:ascii="仿宋" w:hAnsi="仿宋" w:eastAsia="仿宋" w:cs="仿宋"/>
          <w:color w:val="000000"/>
          <w:kern w:val="0"/>
          <w:sz w:val="30"/>
          <w:szCs w:val="30"/>
        </w:rPr>
        <w:t>年初预算为18.00万元，支出决算为20.83万元，完成年初预算的115.72%。决算数大于年初预算数的主要原因是：2023年年中有2人退休，春节一次性生活补助增加。</w:t>
      </w:r>
    </w:p>
    <w:p w14:paraId="20480AB5">
      <w:pPr>
        <w:keepNext w:val="0"/>
        <w:keepLines w:val="0"/>
        <w:pageBreakBefore w:val="0"/>
        <w:kinsoku/>
        <w:wordWrap/>
        <w:overflowPunct/>
        <w:topLinePunct w:val="0"/>
        <w:bidi w:val="0"/>
        <w:spacing w:line="240" w:lineRule="auto"/>
        <w:ind w:left="0" w:firstLine="643"/>
        <w:jc w:val="both"/>
        <w:textAlignment w:val="auto"/>
        <w:rPr>
          <w:rFonts w:hint="eastAsia" w:ascii="仿宋" w:hAnsi="仿宋" w:eastAsia="仿宋" w:cs="仿宋"/>
          <w:kern w:val="0"/>
          <w:sz w:val="30"/>
          <w:szCs w:val="30"/>
        </w:rPr>
      </w:pPr>
      <w:r>
        <w:rPr>
          <w:rFonts w:hint="eastAsia" w:ascii="仿宋" w:hAnsi="仿宋" w:eastAsia="仿宋" w:cs="仿宋"/>
          <w:b/>
          <w:bCs/>
          <w:color w:val="000000"/>
          <w:kern w:val="0"/>
          <w:sz w:val="30"/>
          <w:szCs w:val="30"/>
        </w:rPr>
        <w:t>7、卫生健康支出（类）行政事业单位医疗（款）行政单位医疗（项）。</w:t>
      </w:r>
    </w:p>
    <w:p w14:paraId="4B61A105">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kern w:val="0"/>
          <w:sz w:val="30"/>
          <w:szCs w:val="30"/>
        </w:rPr>
      </w:pPr>
      <w:bookmarkStart w:id="9" w:name="_Hlk112758748"/>
      <w:r>
        <w:rPr>
          <w:rFonts w:hint="eastAsia" w:ascii="仿宋" w:hAnsi="仿宋" w:eastAsia="仿宋" w:cs="仿宋"/>
          <w:color w:val="000000"/>
          <w:kern w:val="0"/>
          <w:sz w:val="30"/>
          <w:szCs w:val="30"/>
        </w:rPr>
        <w:t>年初预算为12.06万元，支出决算为10.78万元，完成年初预算的89.39%。决算数小于年初预算数的主要原因是：</w:t>
      </w:r>
      <w:bookmarkEnd w:id="9"/>
      <w:r>
        <w:rPr>
          <w:rFonts w:hint="eastAsia" w:ascii="仿宋" w:hAnsi="仿宋" w:eastAsia="仿宋" w:cs="仿宋"/>
          <w:color w:val="000000"/>
          <w:kern w:val="0"/>
          <w:sz w:val="30"/>
          <w:szCs w:val="30"/>
        </w:rPr>
        <w:t>2023年年中有2人退休，基本医疗支出减少。</w:t>
      </w:r>
    </w:p>
    <w:p w14:paraId="54DF48DF">
      <w:pPr>
        <w:keepNext w:val="0"/>
        <w:keepLines w:val="0"/>
        <w:pageBreakBefore w:val="0"/>
        <w:widowControl/>
        <w:kinsoku/>
        <w:wordWrap/>
        <w:overflowPunct/>
        <w:topLinePunct w:val="0"/>
        <w:bidi w:val="0"/>
        <w:spacing w:line="240" w:lineRule="auto"/>
        <w:ind w:left="0" w:firstLine="450" w:firstLineChars="150"/>
        <w:jc w:val="both"/>
        <w:textAlignment w:val="auto"/>
        <w:rPr>
          <w:rFonts w:hint="eastAsia" w:ascii="黑体" w:hAnsi="黑体" w:eastAsia="黑体" w:cs="黑体"/>
          <w:bCs/>
          <w:sz w:val="30"/>
          <w:szCs w:val="30"/>
        </w:rPr>
      </w:pPr>
      <w:r>
        <w:rPr>
          <w:rFonts w:hint="eastAsia" w:ascii="黑体" w:hAnsi="黑体" w:eastAsia="黑体" w:cs="黑体"/>
          <w:bCs/>
          <w:sz w:val="30"/>
          <w:szCs w:val="30"/>
        </w:rPr>
        <w:t>六、一般公共预算财政拨款基本支出决算情况说明</w:t>
      </w:r>
    </w:p>
    <w:p w14:paraId="533D213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2023年度财政拨款基本支出278.32万元，其中：</w:t>
      </w:r>
    </w:p>
    <w:p w14:paraId="2AFBC783">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sz w:val="30"/>
          <w:szCs w:val="30"/>
        </w:rPr>
      </w:pPr>
      <w:r>
        <w:rPr>
          <w:rFonts w:hint="eastAsia" w:ascii="仿宋" w:hAnsi="仿宋" w:eastAsia="仿宋" w:cs="仿宋"/>
          <w:b/>
          <w:bCs/>
          <w:sz w:val="30"/>
          <w:szCs w:val="30"/>
        </w:rPr>
        <w:t>人员经费</w:t>
      </w:r>
      <w:r>
        <w:rPr>
          <w:rFonts w:hint="eastAsia" w:ascii="仿宋" w:hAnsi="仿宋" w:eastAsia="仿宋" w:cs="仿宋"/>
          <w:sz w:val="30"/>
          <w:szCs w:val="30"/>
        </w:rPr>
        <w:t>245.01万元，占基本支出的88.03%,主要包括基本工资、津贴补贴、奖金、机关事业单位基本养老缴费、职工基本医疗保险缴费、其他社会保障缴费、生活补助、其他对个人和家庭的补助。</w:t>
      </w:r>
    </w:p>
    <w:p w14:paraId="562FBE26">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sz w:val="30"/>
          <w:szCs w:val="30"/>
        </w:rPr>
      </w:pPr>
      <w:r>
        <w:rPr>
          <w:rFonts w:hint="eastAsia" w:ascii="仿宋" w:hAnsi="仿宋" w:eastAsia="仿宋" w:cs="仿宋"/>
          <w:b/>
          <w:bCs/>
          <w:sz w:val="30"/>
          <w:szCs w:val="30"/>
        </w:rPr>
        <w:t>公用经费</w:t>
      </w:r>
      <w:r>
        <w:rPr>
          <w:rFonts w:hint="eastAsia" w:ascii="仿宋" w:hAnsi="仿宋" w:eastAsia="仿宋" w:cs="仿宋"/>
          <w:sz w:val="30"/>
          <w:szCs w:val="30"/>
        </w:rPr>
        <w:t>33.31万元，占基本支出的11.97%，主要包括办公费、邮电费、差旅费、维（修）护费、培训费、公务接待费、委托业务费、工会经费、福利费、公务用车运行维护费费、其他交通费用、其他商品和服务支出。</w:t>
      </w:r>
    </w:p>
    <w:p w14:paraId="129E8F1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
          <w:sz w:val="30"/>
          <w:szCs w:val="30"/>
        </w:rPr>
      </w:pPr>
      <w:r>
        <w:rPr>
          <w:rFonts w:hint="eastAsia" w:ascii="黑体" w:hAnsi="黑体" w:eastAsia="黑体" w:cs="黑体"/>
          <w:bCs/>
          <w:sz w:val="30"/>
          <w:szCs w:val="30"/>
        </w:rPr>
        <w:t>七、财政拨款三公经费支出决算情况说明</w:t>
      </w:r>
    </w:p>
    <w:p w14:paraId="580BB8CD">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sz w:val="30"/>
          <w:szCs w:val="30"/>
        </w:rPr>
      </w:pPr>
      <w:r>
        <w:rPr>
          <w:rFonts w:hint="eastAsia" w:ascii="仿宋" w:hAnsi="仿宋" w:eastAsia="仿宋" w:cs="仿宋"/>
          <w:b/>
          <w:sz w:val="30"/>
          <w:szCs w:val="30"/>
        </w:rPr>
        <w:t>（一）“三公”经费财政拨款支出决算总体情况说明</w:t>
      </w:r>
    </w:p>
    <w:p w14:paraId="570103F7">
      <w:pPr>
        <w:pStyle w:val="14"/>
        <w:keepNext w:val="0"/>
        <w:keepLines w:val="0"/>
        <w:pageBreakBefore w:val="0"/>
        <w:kinsoku/>
        <w:wordWrap/>
        <w:overflowPunct/>
        <w:topLinePunct w:val="0"/>
        <w:autoSpaceDE/>
        <w:autoSpaceDN/>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“三公”经费财政拨款支出预算为4.15万元，支出决算为3.24万元，完成预算的78.07%，决算数小于预算数的主要原因是</w:t>
      </w:r>
      <w:r>
        <w:rPr>
          <w:rFonts w:hint="eastAsia" w:ascii="仿宋" w:hAnsi="仿宋" w:eastAsia="仿宋" w:cs="仿宋"/>
          <w:sz w:val="30"/>
          <w:szCs w:val="30"/>
        </w:rPr>
        <w:t>严格控制“三公经费”支出，厉行节约。</w:t>
      </w:r>
    </w:p>
    <w:p w14:paraId="64E7B030">
      <w:pPr>
        <w:pStyle w:val="14"/>
        <w:keepNext w:val="0"/>
        <w:keepLines w:val="0"/>
        <w:pageBreakBefore w:val="0"/>
        <w:kinsoku/>
        <w:wordWrap/>
        <w:overflowPunct/>
        <w:topLinePunct w:val="0"/>
        <w:bidi w:val="0"/>
        <w:spacing w:line="240" w:lineRule="auto"/>
        <w:ind w:left="0" w:firstLine="750" w:firstLineChars="250"/>
        <w:jc w:val="both"/>
        <w:textAlignment w:val="auto"/>
        <w:rPr>
          <w:rFonts w:hint="eastAsia" w:ascii="仿宋" w:hAnsi="仿宋" w:eastAsia="仿宋" w:cs="仿宋"/>
          <w:sz w:val="30"/>
          <w:szCs w:val="30"/>
        </w:rPr>
      </w:pPr>
      <w:r>
        <w:rPr>
          <w:rFonts w:hint="eastAsia" w:ascii="仿宋" w:hAnsi="仿宋" w:eastAsia="仿宋" w:cs="仿宋"/>
          <w:sz w:val="30"/>
          <w:szCs w:val="30"/>
        </w:rPr>
        <w:t>与上年相比增加0.80万元，增长32.</w:t>
      </w:r>
      <w:r>
        <w:rPr>
          <w:rFonts w:hint="eastAsia" w:ascii="仿宋" w:hAnsi="仿宋" w:eastAsia="仿宋" w:cs="仿宋"/>
          <w:color w:val="auto"/>
          <w:sz w:val="30"/>
          <w:szCs w:val="30"/>
        </w:rPr>
        <w:t>79%,原因</w:t>
      </w:r>
      <w:r>
        <w:rPr>
          <w:rFonts w:hint="eastAsia" w:ascii="仿宋" w:hAnsi="仿宋" w:eastAsia="仿宋" w:cs="仿宋"/>
          <w:sz w:val="30"/>
          <w:szCs w:val="30"/>
        </w:rPr>
        <w:t>是疫情过后各部门业务往来增加。“三公”经费相应有所增加。其中：</w:t>
      </w:r>
    </w:p>
    <w:p w14:paraId="05198B88">
      <w:pPr>
        <w:keepNext w:val="0"/>
        <w:keepLines w:val="0"/>
        <w:pageBreakBefore w:val="0"/>
        <w:widowControl/>
        <w:kinsoku/>
        <w:wordWrap/>
        <w:overflowPunct/>
        <w:topLinePunct w:val="0"/>
        <w:bidi w:val="0"/>
        <w:spacing w:line="240" w:lineRule="auto"/>
        <w:ind w:left="0" w:firstLine="640"/>
        <w:jc w:val="both"/>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因公出国（境）费支出预算为0万元，支出决算为0万元，决算数与预算数相等，与上年相比持平。</w:t>
      </w:r>
    </w:p>
    <w:p w14:paraId="182B334F">
      <w:pPr>
        <w:pStyle w:val="14"/>
        <w:keepNext w:val="0"/>
        <w:keepLines w:val="0"/>
        <w:pageBreakBefore w:val="0"/>
        <w:kinsoku/>
        <w:wordWrap/>
        <w:overflowPunct/>
        <w:topLinePunct w:val="0"/>
        <w:bidi w:val="0"/>
        <w:spacing w:line="240" w:lineRule="auto"/>
        <w:ind w:left="0" w:firstLine="750" w:firstLineChars="250"/>
        <w:jc w:val="both"/>
        <w:textAlignment w:val="auto"/>
        <w:rPr>
          <w:rFonts w:hint="eastAsia" w:ascii="仿宋" w:hAnsi="仿宋" w:eastAsia="仿宋" w:cs="仿宋"/>
          <w:sz w:val="30"/>
          <w:szCs w:val="30"/>
        </w:rPr>
      </w:pPr>
      <w:r>
        <w:rPr>
          <w:rFonts w:hint="eastAsia" w:ascii="仿宋" w:hAnsi="仿宋" w:eastAsia="仿宋" w:cs="仿宋"/>
          <w:sz w:val="30"/>
          <w:szCs w:val="30"/>
        </w:rPr>
        <w:t>公务接待费支出预算为0.85万元，支出决算为0.62万元，完成预算的72.94%，决算数小于预算数的主要原因是严格遵守“八项规定”，厉行节约。与上年相比增加0.55万元，增长785.71%,增长的主要原因是疫情过后各部门业务往来增加，公务接待费增加。</w:t>
      </w:r>
    </w:p>
    <w:p w14:paraId="471538DB">
      <w:pPr>
        <w:keepNext w:val="0"/>
        <w:keepLines w:val="0"/>
        <w:pageBreakBefore w:val="0"/>
        <w:kinsoku/>
        <w:wordWrap/>
        <w:overflowPunct/>
        <w:topLinePunct w:val="0"/>
        <w:bidi w:val="0"/>
        <w:spacing w:line="240" w:lineRule="auto"/>
        <w:ind w:left="0" w:firstLine="640"/>
        <w:jc w:val="both"/>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公务用车购置费支出预算为0万元，支出决算为0万元，预算数与决算数相同。与去年相比预算数与决算数不变。</w:t>
      </w:r>
    </w:p>
    <w:p w14:paraId="2D9112EC">
      <w:pPr>
        <w:pStyle w:val="14"/>
        <w:keepNext w:val="0"/>
        <w:keepLines w:val="0"/>
        <w:pageBreakBefore w:val="0"/>
        <w:kinsoku/>
        <w:wordWrap/>
        <w:overflowPunct/>
        <w:topLinePunct w:val="0"/>
        <w:bidi w:val="0"/>
        <w:spacing w:line="240" w:lineRule="auto"/>
        <w:ind w:left="0" w:firstLine="750" w:firstLineChars="250"/>
        <w:jc w:val="both"/>
        <w:textAlignment w:val="auto"/>
        <w:rPr>
          <w:rFonts w:hint="eastAsia" w:ascii="仿宋" w:hAnsi="仿宋" w:eastAsia="仿宋" w:cs="仿宋"/>
          <w:sz w:val="30"/>
          <w:szCs w:val="30"/>
        </w:rPr>
      </w:pPr>
      <w:r>
        <w:rPr>
          <w:rFonts w:hint="eastAsia" w:ascii="仿宋" w:hAnsi="仿宋" w:eastAsia="仿宋" w:cs="仿宋"/>
          <w:sz w:val="30"/>
          <w:szCs w:val="30"/>
        </w:rPr>
        <w:t>公务用车运行维护费支出预算为3.30万元，支出决算为2.62万元，完成预算的79.39%，决算数小于预算数的主要原因是：秉承例行节约原则，严格遵守公车管理办法。与上年相比增加0.25万元，增长10.55%，增长的主要原因是疫情过后各部门业务往来增加，车辆运行费增加。</w:t>
      </w:r>
    </w:p>
    <w:p w14:paraId="50533BC5">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sz w:val="30"/>
          <w:szCs w:val="30"/>
        </w:rPr>
      </w:pPr>
      <w:r>
        <w:rPr>
          <w:rFonts w:hint="eastAsia" w:ascii="仿宋" w:hAnsi="仿宋" w:eastAsia="仿宋" w:cs="仿宋"/>
          <w:b/>
          <w:sz w:val="30"/>
          <w:szCs w:val="30"/>
        </w:rPr>
        <w:t>（二）“三公”经费财政拨款支出决算具体情况说明</w:t>
      </w:r>
    </w:p>
    <w:p w14:paraId="4FBBC4A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2023年度“三公”经费财政拨款支出决算中，公务接待费支出决算0.62万元，占19.14%,因公出国（境）费支出决算0万元，占0%,公务用车购置费及运行维护费支出决算2.62万元，占80.86%。其中：</w:t>
      </w:r>
    </w:p>
    <w:p w14:paraId="00237D7A">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1、因公出国（境）费支出决算为0万元，全年安排因公出国（境）团组0个，累计0人次。</w:t>
      </w:r>
    </w:p>
    <w:p w14:paraId="034FDD1B">
      <w:pPr>
        <w:pStyle w:val="14"/>
        <w:keepNext w:val="0"/>
        <w:keepLines w:val="0"/>
        <w:pageBreakBefore w:val="0"/>
        <w:kinsoku/>
        <w:wordWrap/>
        <w:overflowPunct/>
        <w:topLinePunct w:val="0"/>
        <w:bidi w:val="0"/>
        <w:spacing w:line="240" w:lineRule="auto"/>
        <w:ind w:firstLine="600" w:firstLineChars="200"/>
        <w:jc w:val="both"/>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sz w:val="30"/>
          <w:szCs w:val="30"/>
        </w:rPr>
        <w:t>2、</w:t>
      </w:r>
      <w:r>
        <w:rPr>
          <w:rFonts w:hint="eastAsia" w:ascii="仿宋" w:hAnsi="仿宋" w:eastAsia="仿宋" w:cs="仿宋"/>
          <w:color w:val="000000" w:themeColor="text1"/>
          <w:sz w:val="30"/>
          <w:szCs w:val="30"/>
          <w14:textFill>
            <w14:solidFill>
              <w14:schemeClr w14:val="tx1"/>
            </w14:solidFill>
          </w14:textFill>
        </w:rPr>
        <w:t>公务接待费支出决算为0.62万元，全年共接待来访团组12个、来宾53人次，主要是</w:t>
      </w:r>
      <w:r>
        <w:rPr>
          <w:rFonts w:hint="eastAsia" w:ascii="仿宋" w:hAnsi="仿宋" w:eastAsia="仿宋" w:cs="仿宋"/>
          <w:color w:val="000000" w:themeColor="text1"/>
          <w:sz w:val="30"/>
          <w:szCs w:val="30"/>
          <w:lang w:eastAsia="zh-CN"/>
          <w14:textFill>
            <w14:solidFill>
              <w14:schemeClr w14:val="tx1"/>
            </w14:solidFill>
          </w14:textFill>
        </w:rPr>
        <w:t>接待省档案局业务评价工作组和县级档案馆业务交流和汇报工作等</w:t>
      </w:r>
      <w:r>
        <w:rPr>
          <w:rFonts w:hint="eastAsia" w:ascii="仿宋" w:hAnsi="仿宋" w:eastAsia="仿宋" w:cs="仿宋"/>
          <w:color w:val="000000" w:themeColor="text1"/>
          <w:sz w:val="30"/>
          <w:szCs w:val="30"/>
          <w14:textFill>
            <w14:solidFill>
              <w14:schemeClr w14:val="tx1"/>
            </w14:solidFill>
          </w14:textFill>
        </w:rPr>
        <w:t>发生的接待支出。</w:t>
      </w:r>
    </w:p>
    <w:p w14:paraId="01B3F92D">
      <w:pPr>
        <w:keepNext w:val="0"/>
        <w:keepLines w:val="0"/>
        <w:pageBreakBefore w:val="0"/>
        <w:kinsoku/>
        <w:wordWrap/>
        <w:overflowPunct/>
        <w:topLinePunct w:val="0"/>
        <w:bidi w:val="0"/>
        <w:spacing w:line="240" w:lineRule="auto"/>
        <w:ind w:firstLine="600" w:firstLineChars="200"/>
        <w:jc w:val="both"/>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3、公务用车购置费及运行维护费支出决算为2.62万元，其中：公务用车购置费0万元，单位本级更新公务用车0辆。公务用车运行维护费2.62万元，主要是汽油费、车辆维修费、安全奖励支出、过路过桥费等支出，截止2023年12月31日，我单位开支财政拨款的公务用车保有量为1辆。</w:t>
      </w:r>
    </w:p>
    <w:p w14:paraId="6772A482">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八、政府性基金预算收入支出决算情况</w:t>
      </w:r>
    </w:p>
    <w:p w14:paraId="6E533446">
      <w:pPr>
        <w:pStyle w:val="14"/>
        <w:keepNext w:val="0"/>
        <w:keepLines w:val="0"/>
        <w:pageBreakBefore w:val="0"/>
        <w:kinsoku/>
        <w:wordWrap/>
        <w:overflowPunct/>
        <w:topLinePunct w:val="0"/>
        <w:bidi w:val="0"/>
        <w:spacing w:line="240" w:lineRule="auto"/>
        <w:ind w:left="0"/>
        <w:jc w:val="both"/>
        <w:textAlignment w:val="auto"/>
        <w:rPr>
          <w:rFonts w:hint="eastAsia" w:ascii="仿宋" w:hAnsi="仿宋" w:eastAsia="仿宋" w:cs="仿宋"/>
          <w:sz w:val="30"/>
          <w:szCs w:val="30"/>
        </w:rPr>
      </w:pPr>
      <w:r>
        <w:rPr>
          <w:rFonts w:hint="eastAsia" w:ascii="仿宋" w:hAnsi="仿宋" w:eastAsia="仿宋" w:cs="仿宋"/>
          <w:sz w:val="30"/>
          <w:szCs w:val="30"/>
        </w:rPr>
        <w:t xml:space="preserve">    </w:t>
      </w:r>
      <w:bookmarkStart w:id="10" w:name="_Hlk177980360"/>
      <w:r>
        <w:rPr>
          <w:rFonts w:hint="eastAsia" w:ascii="仿宋" w:hAnsi="仿宋" w:eastAsia="仿宋" w:cs="仿宋"/>
          <w:sz w:val="30"/>
          <w:szCs w:val="30"/>
        </w:rPr>
        <w:t xml:space="preserve"> 2023年度政府性基金预算财政拨款收入0万元；年初结转和结余0万元；支出0万元，其中基本支出0万元，项目支出0万元；年末结转和结余0万元。</w:t>
      </w:r>
      <w:bookmarkEnd w:id="10"/>
    </w:p>
    <w:p w14:paraId="68521CF1">
      <w:pPr>
        <w:pStyle w:val="14"/>
        <w:keepNext w:val="0"/>
        <w:keepLines w:val="0"/>
        <w:pageBreakBefore w:val="0"/>
        <w:kinsoku/>
        <w:wordWrap/>
        <w:overflowPunct/>
        <w:topLinePunct w:val="0"/>
        <w:bidi w:val="0"/>
        <w:spacing w:line="240" w:lineRule="auto"/>
        <w:ind w:left="0" w:firstLine="645"/>
        <w:jc w:val="both"/>
        <w:textAlignment w:val="auto"/>
        <w:rPr>
          <w:rFonts w:hint="eastAsia" w:ascii="黑体" w:hAnsi="黑体" w:eastAsia="黑体" w:cs="黑体"/>
          <w:bCs/>
          <w:sz w:val="30"/>
          <w:szCs w:val="30"/>
        </w:rPr>
      </w:pPr>
      <w:r>
        <w:rPr>
          <w:rFonts w:hint="eastAsia" w:ascii="黑体" w:hAnsi="黑体" w:eastAsia="黑体" w:cs="黑体"/>
          <w:bCs/>
          <w:sz w:val="30"/>
          <w:szCs w:val="30"/>
        </w:rPr>
        <w:t>九、国有资本经营预算收入支出决算情况</w:t>
      </w:r>
    </w:p>
    <w:p w14:paraId="00A632D9">
      <w:pPr>
        <w:pStyle w:val="14"/>
        <w:keepNext w:val="0"/>
        <w:keepLines w:val="0"/>
        <w:pageBreakBefore w:val="0"/>
        <w:kinsoku/>
        <w:wordWrap/>
        <w:overflowPunct/>
        <w:topLinePunct w:val="0"/>
        <w:bidi w:val="0"/>
        <w:spacing w:line="240" w:lineRule="auto"/>
        <w:ind w:firstLine="600" w:firstLineChars="200"/>
        <w:jc w:val="both"/>
        <w:textAlignment w:val="auto"/>
        <w:rPr>
          <w:rFonts w:hint="eastAsia" w:ascii="仿宋" w:hAnsi="仿宋" w:eastAsia="仿宋" w:cs="仿宋"/>
          <w:bCs/>
          <w:sz w:val="30"/>
          <w:szCs w:val="30"/>
        </w:rPr>
      </w:pPr>
      <w:r>
        <w:rPr>
          <w:rFonts w:hint="eastAsia" w:ascii="仿宋" w:hAnsi="仿宋" w:eastAsia="仿宋" w:cs="仿宋"/>
          <w:sz w:val="30"/>
          <w:szCs w:val="30"/>
        </w:rPr>
        <w:t>2023年度国有资本预算财政拨款收入0万元；年初结转和结余0万元；支出0万元，其中基本支出0万元，项目支出0万元；年末结转和结余0万元。</w:t>
      </w:r>
    </w:p>
    <w:p w14:paraId="356FA5C4">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十、关于机关运行经费支出说明</w:t>
      </w:r>
    </w:p>
    <w:p w14:paraId="6985D0C4">
      <w:pPr>
        <w:pStyle w:val="14"/>
        <w:keepNext w:val="0"/>
        <w:keepLines w:val="0"/>
        <w:pageBreakBefore w:val="0"/>
        <w:kinsoku/>
        <w:wordWrap/>
        <w:overflowPunct/>
        <w:topLinePunct w:val="0"/>
        <w:bidi w:val="0"/>
        <w:spacing w:line="24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本部门2023年度机关运行经费支出33.31万元，比上年决算数增加2.18 万元，增长7.00%。主要原因是：2023年增加了工会拨款。</w:t>
      </w:r>
    </w:p>
    <w:p w14:paraId="51562543">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十一、一般性支出情况说明</w:t>
      </w:r>
    </w:p>
    <w:p w14:paraId="5FE4B52F">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2023年本部门培训费开支3180万元，内容为参加垃圾分类培训、省档案馆档案业务培训。2023年本部门无节庆、晚会、论坛、赛事活动开支。</w:t>
      </w:r>
    </w:p>
    <w:p w14:paraId="6345281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sz w:val="30"/>
          <w:szCs w:val="30"/>
        </w:rPr>
      </w:pPr>
      <w:r>
        <w:rPr>
          <w:rFonts w:hint="eastAsia" w:ascii="黑体" w:hAnsi="黑体" w:eastAsia="黑体" w:cs="黑体"/>
          <w:bCs/>
          <w:sz w:val="30"/>
          <w:szCs w:val="30"/>
        </w:rPr>
        <w:t>十二、关于政府采购支出说明</w:t>
      </w:r>
    </w:p>
    <w:p w14:paraId="260BAE2B">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本部门2023年度政府采购支出总额51.30万元，其中：政府采购货物支出51.30 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100%，工程采购授予中小企业合同金额占工程支出金额的0%，服务采购授予中小企业合同金额占服务支出金额的0%。</w:t>
      </w:r>
    </w:p>
    <w:p w14:paraId="78230CC9">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color w:val="auto"/>
          <w:sz w:val="30"/>
          <w:szCs w:val="30"/>
        </w:rPr>
      </w:pPr>
      <w:r>
        <w:rPr>
          <w:rFonts w:hint="eastAsia" w:ascii="黑体" w:hAnsi="黑体" w:eastAsia="黑体" w:cs="黑体"/>
          <w:bCs/>
          <w:color w:val="auto"/>
          <w:sz w:val="30"/>
          <w:szCs w:val="30"/>
        </w:rPr>
        <w:t>十三、关于国有资产占用情况说明</w:t>
      </w:r>
    </w:p>
    <w:p w14:paraId="0A9F5273">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截至2023年12月31日，我单位共有车辆1辆，其中，副部（省）级及以上领导用车0辆、主要负责人用车0辆、机要通信用车0辆、应急保障用车0辆、执法执勤用车0辆、特种专业技术用车0辆、离退休干部服务用车0辆、其他用车1辆，其他用车主要是用于单位公务；单位价值100万元以上设备（不含车辆）0台（套）。</w:t>
      </w:r>
    </w:p>
    <w:p w14:paraId="33E706FA">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黑体" w:hAnsi="黑体" w:eastAsia="黑体" w:cs="黑体"/>
          <w:bCs/>
          <w:color w:val="auto"/>
          <w:sz w:val="30"/>
          <w:szCs w:val="30"/>
        </w:rPr>
      </w:pPr>
      <w:r>
        <w:rPr>
          <w:rFonts w:hint="eastAsia" w:ascii="黑体" w:hAnsi="黑体" w:eastAsia="黑体" w:cs="黑体"/>
          <w:bCs/>
          <w:color w:val="auto"/>
          <w:sz w:val="30"/>
          <w:szCs w:val="30"/>
        </w:rPr>
        <w:t>十四、关于</w:t>
      </w:r>
      <w:r>
        <w:rPr>
          <w:rFonts w:hint="eastAsia" w:ascii="黑体" w:hAnsi="黑体" w:eastAsia="黑体" w:cs="黑体"/>
          <w:color w:val="auto"/>
          <w:sz w:val="30"/>
          <w:szCs w:val="30"/>
        </w:rPr>
        <w:t>2023</w:t>
      </w:r>
      <w:r>
        <w:rPr>
          <w:rFonts w:hint="eastAsia" w:ascii="黑体" w:hAnsi="黑体" w:eastAsia="黑体" w:cs="黑体"/>
          <w:bCs/>
          <w:color w:val="auto"/>
          <w:sz w:val="30"/>
          <w:szCs w:val="30"/>
        </w:rPr>
        <w:t>年度预算绩效情况的说明</w:t>
      </w:r>
    </w:p>
    <w:p w14:paraId="3C69588B">
      <w:pPr>
        <w:pStyle w:val="14"/>
        <w:keepNext w:val="0"/>
        <w:keepLines w:val="0"/>
        <w:pageBreakBefore w:val="0"/>
        <w:numPr>
          <w:ilvl w:val="0"/>
          <w:numId w:val="0"/>
        </w:numPr>
        <w:kinsoku/>
        <w:wordWrap/>
        <w:overflowPunct/>
        <w:topLinePunct w:val="0"/>
        <w:bidi w:val="0"/>
        <w:spacing w:line="240" w:lineRule="auto"/>
        <w:ind w:left="-2" w:leftChars="0"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（一）绩效管理工作开展情况</w:t>
      </w:r>
    </w:p>
    <w:p w14:paraId="0F90F90A">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的真实、准确、全面。内部控制制度健全完整并执行良好，在本年度内未出现廉政风险。我单位被评为2023年度全市平安建设工作先进单位、2023年度全市安全生产和消防工作优秀单位，在全市群众安全感和满意度民意调查中排名第11名。2023年整体绩效评价为优。</w:t>
      </w:r>
    </w:p>
    <w:p w14:paraId="29967E58">
      <w:pPr>
        <w:pStyle w:val="14"/>
        <w:keepNext w:val="0"/>
        <w:keepLines w:val="0"/>
        <w:pageBreakBefore w:val="0"/>
        <w:numPr>
          <w:ilvl w:val="0"/>
          <w:numId w:val="0"/>
        </w:numPr>
        <w:kinsoku/>
        <w:wordWrap/>
        <w:overflowPunct/>
        <w:topLinePunct w:val="0"/>
        <w:bidi w:val="0"/>
        <w:spacing w:line="240" w:lineRule="auto"/>
        <w:ind w:left="-1080" w:leftChars="0" w:firstLine="1506" w:firstLineChars="5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（二）部门（单位）整体支出绩效情况</w:t>
      </w:r>
    </w:p>
    <w:p w14:paraId="7D29D164">
      <w:pPr>
        <w:pStyle w:val="14"/>
        <w:keepNext w:val="0"/>
        <w:keepLines w:val="0"/>
        <w:pageBreakBefore w:val="0"/>
        <w:kinsoku/>
        <w:wordWrap/>
        <w:overflowPunct/>
        <w:topLinePunct w:val="0"/>
        <w:bidi w:val="0"/>
        <w:spacing w:line="240" w:lineRule="auto"/>
        <w:ind w:left="0"/>
        <w:jc w:val="both"/>
        <w:textAlignment w:val="auto"/>
        <w:rPr>
          <w:rFonts w:hint="eastAsia" w:ascii="仿宋" w:hAnsi="仿宋" w:eastAsia="仿宋" w:cs="仿宋"/>
          <w:sz w:val="30"/>
          <w:szCs w:val="30"/>
        </w:rPr>
      </w:pPr>
      <w:r>
        <w:rPr>
          <w:rFonts w:hint="eastAsia" w:ascii="仿宋" w:hAnsi="仿宋" w:eastAsia="仿宋" w:cs="仿宋"/>
          <w:b/>
          <w:bCs/>
          <w:sz w:val="30"/>
          <w:szCs w:val="30"/>
        </w:rPr>
        <w:t xml:space="preserve">    </w:t>
      </w:r>
      <w:r>
        <w:rPr>
          <w:rFonts w:hint="eastAsia" w:ascii="仿宋" w:hAnsi="仿宋" w:eastAsia="仿宋" w:cs="仿宋"/>
          <w:sz w:val="30"/>
          <w:szCs w:val="30"/>
        </w:rPr>
        <w:t>2023年我单位整体支出绩效情况如下：</w:t>
      </w:r>
    </w:p>
    <w:p w14:paraId="15E2BFDA">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1.坚持以党的政治建设为统领，深入贯彻落实习近平新时代中国特色社会主义思想和党的二十大精神</w:t>
      </w:r>
    </w:p>
    <w:p w14:paraId="1F0ECF71">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1）深化理论武装，不断夯实思想根基，始终坚持把党的政治建设摆在首位，深刻领悟“两个确立”的决定性意义，做到“两个维护”。①严格落实“第一议题”制度。我单位坚持把学习贯彻习近平总书记重要讲话指示批示精神作为党组会、理论中心组（扩大）学习、支委会及其它党内重要会议的“第一议题”，第一时间组织传达学习，并紧密联系工作实际谈感想抓落实。②推进构建全方位多层次学习体系。坚持把学习贯彻习近平新时代中国特色社会主义思想、党的二十大精神与习近平总书记对档案工作重要指示批示精神紧密结合起来，依托党组理论学习中心组集体（扩大）学习、“三会一课”、“一月一课一片一实践”主题党日活动、“学习强国”APP等多种形式，组织全员开展集中学习和自主学习，进一步提升干部职工理论素养水平。</w:t>
      </w:r>
    </w:p>
    <w:p w14:paraId="35AF1368">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（2）强化组织领导，不断推进主题教育取得实效</w:t>
      </w:r>
    </w:p>
    <w:p w14:paraId="30B6BC3D">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坚持把开展好主题教育作为当前首要政治任务，精心组织，统筹谋划，切实提高主题教育质量。</w:t>
      </w:r>
    </w:p>
    <w:p w14:paraId="0714CF56">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（3）坚持民主集中制，自觉维护领导班子团结</w:t>
      </w:r>
    </w:p>
    <w:p w14:paraId="22124CB9">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严格落实民主集中制、“三重一大”等决策制度，对重大问题决策、重要干部任免、重大项目投资决策、大额资金使用等，凡属方针政策性的大事，凡属全馆性的问题，馆党组都坚持按照“集体领导、民主集中、个别酝酿、会议决定”的要求，按照党组议事规则由党组集体讨论决定，党务、政务实行规范化、公开化操作，及时向干部职工进行公示，让干部职工有最大限度的知情权、参与权。同时，严格落实“三重一大”报告制度，主动邀请派驻纪检监察组列席会议，自觉接受民主决策监督。今年，在档案业务建设评价工作中，邀请派驻纪检监察组负责同志列席党组会议，研究业务建设评价经费使用情况，确保民主集中制落到实处。</w:t>
      </w:r>
    </w:p>
    <w:p w14:paraId="3F2E768B">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（4）坚持正确导向，抓牢意识形态主动权</w:t>
      </w:r>
    </w:p>
    <w:p w14:paraId="5F422156">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2.完整、准确、全面贯彻新发展理念，不断推动高质量发展</w:t>
      </w:r>
    </w:p>
    <w:p w14:paraId="17A5212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（1）深入贯彻落实习近平总书记对档案工作的重要指示批示精神，助力档案工作取得新成效</w:t>
      </w:r>
    </w:p>
    <w:p w14:paraId="026FD9B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①坚持扩容提质，不断强化档案资源建设。切实加强档案接收和征集工作，全面记录和留存新时代党领导人民推进实现中华民族伟大复兴的奋斗历史的新变化、新发展、新成就，做到应归尽归，不断优化馆藏结构，丰富馆藏资源。一是大力推进档案接收工作。今年共接收到市委组织部、市林业馆等8个单位的档案1012卷17735件。</w:t>
      </w:r>
    </w:p>
    <w:p w14:paraId="0E9A7B65">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②坚持“两个服务”宗旨，不断深化档案开发利用。贯彻新理念，不断强化服务，推进转型升级，稳步推进档案利用服务体系建设。一是大力提升服务质量，及时帮助群众解难消困。与省档案馆、各县市区档案馆签订了《民生档案跨馆利用协议》，进一步提升档案工作服务民生的质量和水平。全年共接待查阅利用档案2683人次，利用档案8104卷9237件，复制档案17850页。接待查阅利用档案资料352人次，利用档案资料547册，复制资料683页。二是深入挖掘资源，编研档案文化产品展示怀化风貌。收录全市各县市区、高校、部分市直单位档案利用典型实例共174篇，编著《怀化市档案利用效果实例汇编》，推动了各档案馆、档案员磨炼编写利用实例的基本功，记录服务群众服务中心的工作，展示了怀化档案人扎根岗位做奉献的精神风貌。三是用好用活档案资源，弘扬传统文化。组织筹划了“6·9”国际档案日系列活动，邀请潕水剪纸非遗传承人到馆开展剪纸非遗体验活动，精选119幅我市非物质文化遗产图片，进行了《拾掇档案珍珠弘扬传统文化图片展》“6·9”国际档案日图片展。四是用心开展档案鉴定，提供更多可利用档案资源服务。组织全馆干部职工克服困难，完成了对馆藏1975-1997年206个全宗共计59803卷、836件到期文书档案的开放鉴定工作，扩大了对外开放档案数量，方便了公众查阅利用。五是拓展服务渠道，全面提升档案利用服务能级。在一楼设置有专门的政府公开信息查阅场所，配备1台大触摸屏，与软件公司合作开发了专门的政府信息公开网页,涵盖自2013年以来的政府公开文件；编制了各部门送交的政府公开信息目录，有专门档案柜摆放近几年的《国务院公报》、《湖南省人民政府公报》、《怀化市人民政府公报》，供利用者查阅。③坚持稳步推进，不断提升档案信息化水平。加快推进档案信息化，不断加强基础设施建设、档案数据库建设等，提高档案标准化、规范化水平。进一步完善馆藏档案数据库。完善了“重大活动”和“突发事件”两个专题目录数据库；接收了25个市直单位的精准扶贫档案和疫情防控档案原文电子版，建立了两类档案的文件级数据库；新建了照片档案、视频档案、实物档案数据库，共录入照片档案394张，视频档案39条，实物档案17条；接收到市林业馆、市水利馆、市疫情防疫指挥部、团市委、市科技馆、市卫健委等单位电子档案11896件、23.4GB。</w:t>
      </w:r>
    </w:p>
    <w:p w14:paraId="2BD464A6">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乡村振兴工作成效明显。认真贯彻落实巩固拓展脱贫攻坚成果同乡村振兴有效衔接相关要求。①进一步明确帮扶责任。②积极出谋划策。③驻村帮扶扎实有力。工作队坚持党建引领，不断强化队伍建设，开展全员大走访，收集民情民意，用心用情用力为民办实事，协调筹集150余万元资金，用于道路硬化、院落平整、水库（山塘）维修，解决村民用水困难的问题，切实增强了群众的获得感、幸福感。</w:t>
      </w:r>
    </w:p>
    <w:p w14:paraId="69B7F566">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3）以安全为重点，坚决防范化解重大风险。我单位始终坚持把平安创建和综合治理维稳、消防、安全生产的各项措施真正落到实处，切实开展各项工作。一年来，我单位无失泄密事件、无刑事案件、重大治安案件和火灾事故发生，无因单位职工责任引发的群体性事件，没有发生一起群体性上访事件，全馆治安环境稳定、公共秩序良好。</w:t>
      </w:r>
    </w:p>
    <w:p w14:paraId="40404BA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①不断筑牢档案安全底线。库房安装了门禁、风管送风式中央空调4台、除湿机6台，业务技术用房和对外服务用房安装了监控、防盗窗及防盗门；对机房和电子档案数字化室进行了改造，铺设了静电地板，配置了温湿度自控仪，新增了3扇防盗门、2套门禁系统、3台除湿机、2组档案架以及1组存包柜。二是加强安全培训及检查。馆党组高度重视档案安全，每季度专题研究部署安全工作，每年组织全馆干部职工开展线上线下消防培训并组织应急演练。坚持库房巡查制度，极端天气和节假日前领导带头对库房进行重点巡检，针对漏雨、渗水、消防等问题及时发现和解决，确保档案的保管安全。②积极推进平安建设工作。一是健全组织机构。二是增强责任意识。一年来，我单位无失泄密事件、无刑事案件、重大治安案件和火灾事故发生，无因单位职工责任引发的群体性闹事，没有发生一起群体性上访事件。</w:t>
      </w:r>
    </w:p>
    <w:p w14:paraId="4BAB49F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③不断强化风险防控。一是严格落实防范化解涉众非法经营风险工作。二是有效利用民生档案，为群众解除难题，使社会矛盾化解在萌芽状态，发挥了档案在维护社会稳定、构建和谐社会中的重要作用。</w:t>
      </w:r>
    </w:p>
    <w:p w14:paraId="5EB48F8D">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④强化保密意识，筑牢保密工作防线。今年以来，没有发生失泄密事件。</w:t>
      </w:r>
    </w:p>
    <w:p w14:paraId="1CFF6F7D">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（4）铸牢中华民族共同体意识，做好统战民族宗教工作。</w:t>
      </w:r>
    </w:p>
    <w:p w14:paraId="7324A16F">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3.提高制度执行力和治理能力，不断把制度优势转化为治理优势</w:t>
      </w:r>
    </w:p>
    <w:p w14:paraId="719FB1AD">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（1）以制度建设为抓手，实现内部管理精细化</w:t>
      </w:r>
    </w:p>
    <w:p w14:paraId="2A3F78D1">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（2）强化对党员领导干部和行使公权力人员监督。</w:t>
      </w:r>
    </w:p>
    <w:p w14:paraId="15E2FFE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（3）加强法治宣传，提高法治素养。始终在学习培训、强基固本上下功夫。</w:t>
      </w:r>
    </w:p>
    <w:p w14:paraId="2CAC33DD">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①不断强化干部职工法治观念。②普及和宣传法治知识。《中华人民共和国档案法》《档案法律法规知识》等宣传资料600多份，接受市民群众咨询90人（次），受到广大市民一致好评，提高了社会、公民的档案法律意识。③组织全馆干部职工开展普法学习，全员普法学习均达到规定学时，普法考试合格率达 100%。</w:t>
      </w:r>
    </w:p>
    <w:p w14:paraId="672E5371">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sz w:val="30"/>
          <w:szCs w:val="30"/>
        </w:rPr>
      </w:pPr>
      <w:r>
        <w:rPr>
          <w:rFonts w:hint="eastAsia" w:ascii="仿宋" w:hAnsi="仿宋" w:eastAsia="仿宋" w:cs="仿宋"/>
          <w:b/>
          <w:bCs/>
          <w:sz w:val="30"/>
          <w:szCs w:val="30"/>
        </w:rPr>
        <w:t>4.严格履行全面从严治党主体责任和“一岗双责”，扎实推进党风廉政建设</w:t>
      </w:r>
    </w:p>
    <w:p w14:paraId="18BFE0D9">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（1）认真履行全面从严治党主体责任。</w:t>
      </w:r>
    </w:p>
    <w:p w14:paraId="5F0696F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（2）持续抓好干部廉政教育。</w:t>
      </w:r>
    </w:p>
    <w:p w14:paraId="58243396">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（3）持续优化机关作风。</w:t>
      </w:r>
    </w:p>
    <w:p w14:paraId="47D26471">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（4）扎实抓好清廉机关创建工作。</w:t>
      </w:r>
    </w:p>
    <w:p w14:paraId="75A256D9">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sz w:val="30"/>
          <w:szCs w:val="30"/>
        </w:rPr>
      </w:pPr>
      <w:r>
        <w:rPr>
          <w:rFonts w:hint="eastAsia" w:ascii="仿宋" w:hAnsi="仿宋" w:eastAsia="仿宋" w:cs="仿宋"/>
          <w:b/>
          <w:bCs/>
          <w:sz w:val="30"/>
          <w:szCs w:val="30"/>
        </w:rPr>
        <w:t>5.贯彻新时代党的建设总要求和新时代党的组织路线，不断推进党的组织工作科学化制度化规范化</w:t>
      </w:r>
    </w:p>
    <w:p w14:paraId="58BF38CB">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（1）不断强化组织建设，切实落实党建工作责任制 。</w:t>
      </w:r>
    </w:p>
    <w:p w14:paraId="489CE380">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2）充分发挥模范作用，深入推进党员志愿服务活动。①用好“五溪先锋”平台。②积极组织慈善募捐活动。其中点亮微心愿·党群圆梦行—怀化市档案馆关爱困境妇女公益募捐志愿活动累计捐款1855元，99公益“情系老小，善行五溪”慈善募捐活动累计捐款2614元，爱心助残捐款活动累计捐款2850元。③助力我市争创全国文明城市。④积极开展助农消费帮扶活动。</w:t>
      </w:r>
    </w:p>
    <w:p w14:paraId="4F18D92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3）坚持人才强档，不断加强干部队伍建设。①扎实开展党的二十大精神集中轮训。②积极组织参加培训学习。③积极组织参加档案学术研究和学术交流。我单位3名干部职工的论文获得优秀奖，进一步提升了我单位干部的综合素养。④专业人才队伍建设颇有成效。馆党组成员、副馆长杨顺利同志入选全国档案工匠型人才、全省档案专家型人才、怀化市新型智库第一批入库专家。</w:t>
      </w:r>
    </w:p>
    <w:p w14:paraId="4008EF6B">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（三）存在的问题及原因分析</w:t>
      </w:r>
    </w:p>
    <w:p w14:paraId="2C671887">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sz w:val="30"/>
          <w:szCs w:val="30"/>
        </w:rPr>
      </w:pPr>
      <w:bookmarkStart w:id="11" w:name="_Hlk169380000"/>
      <w:r>
        <w:rPr>
          <w:rFonts w:hint="eastAsia" w:ascii="仿宋" w:hAnsi="仿宋" w:eastAsia="仿宋" w:cs="仿宋"/>
          <w:b/>
          <w:bCs/>
          <w:sz w:val="30"/>
          <w:szCs w:val="30"/>
        </w:rPr>
        <w:t>1.评价体系有待完善</w:t>
      </w:r>
    </w:p>
    <w:p w14:paraId="2390B8CE">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尽管我单位在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p>
    <w:p w14:paraId="5AF8819B">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sz w:val="30"/>
          <w:szCs w:val="30"/>
        </w:rPr>
      </w:pPr>
      <w:r>
        <w:rPr>
          <w:rFonts w:hint="eastAsia" w:ascii="仿宋" w:hAnsi="仿宋" w:eastAsia="仿宋" w:cs="仿宋"/>
          <w:b/>
          <w:bCs/>
          <w:sz w:val="30"/>
          <w:szCs w:val="30"/>
        </w:rPr>
        <w:t>2.数据收集与分析存在局限性</w:t>
      </w:r>
    </w:p>
    <w:p w14:paraId="285C7391">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p>
    <w:bookmarkEnd w:id="11"/>
    <w:p w14:paraId="6F1B940F">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bCs/>
          <w:sz w:val="30"/>
          <w:szCs w:val="30"/>
        </w:rPr>
      </w:pPr>
      <w:bookmarkStart w:id="12" w:name="_Hlk169380044"/>
      <w:r>
        <w:rPr>
          <w:rFonts w:hint="eastAsia" w:ascii="仿宋" w:hAnsi="仿宋" w:eastAsia="仿宋" w:cs="仿宋"/>
          <w:b/>
          <w:bCs/>
          <w:sz w:val="30"/>
          <w:szCs w:val="30"/>
        </w:rPr>
        <w:t>3.部门间协作与沟通不够顺畅</w:t>
      </w:r>
    </w:p>
    <w:p w14:paraId="6E4522EC">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尽管我单位加强了部门间的沟通与协作，但在实际操作中仍存在一些问题。例如，部分部门对项目绩效评价工作的重要性认识不足，参与度和配合度有待提高；同时，部门间信息共享和沟通渠道不畅通，也影响了评价工作的效率和准确性。</w:t>
      </w:r>
    </w:p>
    <w:p w14:paraId="0CE0BFD5">
      <w:pPr>
        <w:pStyle w:val="14"/>
        <w:keepNext w:val="0"/>
        <w:keepLines w:val="0"/>
        <w:pageBreakBefore w:val="0"/>
        <w:kinsoku/>
        <w:wordWrap/>
        <w:overflowPunct/>
        <w:topLinePunct w:val="0"/>
        <w:bidi w:val="0"/>
        <w:spacing w:line="240" w:lineRule="auto"/>
        <w:ind w:left="0"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4.反馈与改进机制尚需加强</w:t>
      </w:r>
    </w:p>
    <w:p w14:paraId="77E4FAD4">
      <w:pPr>
        <w:pStyle w:val="14"/>
        <w:keepNext w:val="0"/>
        <w:keepLines w:val="0"/>
        <w:pageBreakBefore w:val="0"/>
        <w:kinsoku/>
        <w:wordWrap/>
        <w:overflowPunct/>
        <w:topLinePunct w:val="0"/>
        <w:bidi w:val="0"/>
        <w:spacing w:line="240" w:lineRule="auto"/>
        <w:ind w:left="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虽然我单位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bookmarkEnd w:id="12"/>
    </w:p>
    <w:p w14:paraId="1EE51AC1">
      <w:pPr>
        <w:pStyle w:val="14"/>
        <w:spacing w:line="580" w:lineRule="exact"/>
        <w:ind w:firstLine="600" w:firstLineChars="200"/>
        <w:rPr>
          <w:rFonts w:hint="eastAsia" w:ascii="仿宋" w:hAnsi="仿宋" w:eastAsia="仿宋" w:cs="仿宋"/>
          <w:sz w:val="30"/>
          <w:szCs w:val="30"/>
        </w:rPr>
      </w:pPr>
    </w:p>
    <w:p w14:paraId="4C4E13BE">
      <w:pPr>
        <w:pStyle w:val="14"/>
        <w:jc w:val="center"/>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sz w:val="44"/>
          <w:szCs w:val="44"/>
        </w:rPr>
        <w:t>第四部分</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color w:val="000000"/>
          <w:kern w:val="0"/>
          <w:sz w:val="44"/>
          <w:szCs w:val="44"/>
        </w:rPr>
        <w:t>名词解释</w:t>
      </w:r>
    </w:p>
    <w:p w14:paraId="466024C4">
      <w:pPr>
        <w:widowControl/>
        <w:ind w:firstLine="600" w:firstLineChars="200"/>
        <w:jc w:val="left"/>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一、财政拨款收入：</w:t>
      </w:r>
      <w:r>
        <w:rPr>
          <w:rFonts w:hint="eastAsia" w:ascii="仿宋" w:hAnsi="仿宋" w:eastAsia="仿宋" w:cs="仿宋"/>
          <w:bCs/>
          <w:color w:val="000000" w:themeColor="text1"/>
          <w:sz w:val="30"/>
          <w:szCs w:val="30"/>
          <w14:textFill>
            <w14:solidFill>
              <w14:schemeClr w14:val="tx1"/>
            </w14:solidFill>
          </w14:textFill>
        </w:rPr>
        <w:t>指财政当年拨付的资金。包括一般公共预算财政拨款和政府性基金财政拨款。</w:t>
      </w:r>
    </w:p>
    <w:p w14:paraId="4E003325">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二、上级补助收入：</w:t>
      </w:r>
      <w:r>
        <w:rPr>
          <w:rFonts w:hint="eastAsia" w:ascii="仿宋" w:hAnsi="仿宋" w:eastAsia="仿宋" w:cs="仿宋"/>
          <w:bCs/>
          <w:color w:val="000000" w:themeColor="text1"/>
          <w:sz w:val="30"/>
          <w:szCs w:val="30"/>
          <w14:textFill>
            <w14:solidFill>
              <w14:schemeClr w14:val="tx1"/>
            </w14:solidFill>
          </w14:textFill>
        </w:rPr>
        <w:t>指事业单位从主管部门和上级单位取得的非财政补助收入。</w:t>
      </w:r>
    </w:p>
    <w:p w14:paraId="7F40D76C">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三、事业收入：</w:t>
      </w:r>
      <w:r>
        <w:rPr>
          <w:rFonts w:hint="eastAsia" w:ascii="仿宋" w:hAnsi="仿宋" w:eastAsia="仿宋" w:cs="仿宋"/>
          <w:bCs/>
          <w:color w:val="000000" w:themeColor="text1"/>
          <w:sz w:val="30"/>
          <w:szCs w:val="30"/>
          <w14:textFill>
            <w14:solidFill>
              <w14:schemeClr w14:val="tx1"/>
            </w14:solidFill>
          </w14:textFill>
        </w:rPr>
        <w:t>指事业单位开展专业业务活动及辅助活动所取得的收入。</w:t>
      </w:r>
    </w:p>
    <w:p w14:paraId="1E4729EB">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四、经营收入：</w:t>
      </w:r>
      <w:r>
        <w:rPr>
          <w:rFonts w:hint="eastAsia" w:ascii="仿宋" w:hAnsi="仿宋" w:eastAsia="仿宋" w:cs="仿宋"/>
          <w:bCs/>
          <w:color w:val="000000" w:themeColor="text1"/>
          <w:sz w:val="30"/>
          <w:szCs w:val="30"/>
          <w14:textFill>
            <w14:solidFill>
              <w14:schemeClr w14:val="tx1"/>
            </w14:solidFill>
          </w14:textFill>
        </w:rPr>
        <w:t>指事业单位在专业业务活动及其辅助活动之外开展非独立核算经营活动取得的收入。</w:t>
      </w:r>
    </w:p>
    <w:p w14:paraId="2651E9EB">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五、附属单位上缴收入：</w:t>
      </w:r>
      <w:r>
        <w:rPr>
          <w:rFonts w:hint="eastAsia" w:ascii="仿宋" w:hAnsi="仿宋" w:eastAsia="仿宋" w:cs="仿宋"/>
          <w:bCs/>
          <w:color w:val="000000" w:themeColor="text1"/>
          <w:sz w:val="30"/>
          <w:szCs w:val="30"/>
          <w14:textFill>
            <w14:solidFill>
              <w14:schemeClr w14:val="tx1"/>
            </w14:solidFill>
          </w14:textFill>
        </w:rPr>
        <w:t>指事业单位附属独立核算单位按照有关规定上缴的收入。</w:t>
      </w:r>
    </w:p>
    <w:p w14:paraId="56501FE9">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六、其他收入：</w:t>
      </w:r>
      <w:r>
        <w:rPr>
          <w:rFonts w:hint="eastAsia" w:ascii="仿宋" w:hAnsi="仿宋" w:eastAsia="仿宋" w:cs="仿宋"/>
          <w:bCs/>
          <w:color w:val="000000" w:themeColor="text1"/>
          <w:sz w:val="30"/>
          <w:szCs w:val="30"/>
          <w14:textFill>
            <w14:solidFill>
              <w14:schemeClr w14:val="tx1"/>
            </w14:solidFill>
          </w14:textFill>
        </w:rPr>
        <w:t>指除上述“财政拨款收入”、“事业收入”、“经营收入”等以外的收入。</w:t>
      </w:r>
    </w:p>
    <w:p w14:paraId="1295CCD1">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七、用事业基金弥补收支差额：</w:t>
      </w:r>
      <w:r>
        <w:rPr>
          <w:rFonts w:hint="eastAsia" w:ascii="仿宋" w:hAnsi="仿宋" w:eastAsia="仿宋" w:cs="仿宋"/>
          <w:bCs/>
          <w:color w:val="000000" w:themeColor="text1"/>
          <w:sz w:val="30"/>
          <w:szCs w:val="30"/>
          <w14:textFill>
            <w14:solidFill>
              <w14:schemeClr w14:val="tx1"/>
            </w14:solidFill>
          </w14:textFill>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3029F0D9">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八、年初结转和结余：</w:t>
      </w:r>
      <w:r>
        <w:rPr>
          <w:rFonts w:hint="eastAsia" w:ascii="仿宋" w:hAnsi="仿宋" w:eastAsia="仿宋" w:cs="仿宋"/>
          <w:bCs/>
          <w:color w:val="000000" w:themeColor="text1"/>
          <w:sz w:val="30"/>
          <w:szCs w:val="30"/>
          <w14:textFill>
            <w14:solidFill>
              <w14:schemeClr w14:val="tx1"/>
            </w14:solidFill>
          </w14:textFill>
        </w:rPr>
        <w:t>指以前年度尚未完成、结转到本年按有关规定继续使用的资金。</w:t>
      </w:r>
    </w:p>
    <w:p w14:paraId="4E6A7DC0">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九、结余分配：</w:t>
      </w:r>
      <w:r>
        <w:rPr>
          <w:rFonts w:hint="eastAsia" w:ascii="仿宋" w:hAnsi="仿宋" w:eastAsia="仿宋" w:cs="仿宋"/>
          <w:bCs/>
          <w:color w:val="000000" w:themeColor="text1"/>
          <w:sz w:val="30"/>
          <w:szCs w:val="30"/>
          <w14:textFill>
            <w14:solidFill>
              <w14:schemeClr w14:val="tx1"/>
            </w14:solidFill>
          </w14:textFill>
        </w:rPr>
        <w:t>指事业单位按规定从非财政补助结余中分配的事业基金和职工福利基金等。</w:t>
      </w:r>
    </w:p>
    <w:p w14:paraId="0D74A019">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十、年末结转和结余：</w:t>
      </w:r>
      <w:r>
        <w:rPr>
          <w:rFonts w:hint="eastAsia" w:ascii="仿宋" w:hAnsi="仿宋" w:eastAsia="仿宋" w:cs="仿宋"/>
          <w:bCs/>
          <w:color w:val="000000" w:themeColor="text1"/>
          <w:sz w:val="30"/>
          <w:szCs w:val="30"/>
          <w14:textFill>
            <w14:solidFill>
              <w14:schemeClr w14:val="tx1"/>
            </w14:solidFill>
          </w14:textFill>
        </w:rPr>
        <w:t>指本年度或以前年度预算安排、因客观条件发生变化无法按原计划实施，需要延迟到以后年度按有关规定继续使用的资金。</w:t>
      </w:r>
    </w:p>
    <w:p w14:paraId="7F5D90A9">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十一、基本支出：</w:t>
      </w:r>
      <w:r>
        <w:rPr>
          <w:rFonts w:hint="eastAsia" w:ascii="仿宋" w:hAnsi="仿宋" w:eastAsia="仿宋" w:cs="仿宋"/>
          <w:bCs/>
          <w:color w:val="000000" w:themeColor="text1"/>
          <w:sz w:val="30"/>
          <w:szCs w:val="30"/>
          <w14:textFill>
            <w14:solidFill>
              <w14:schemeClr w14:val="tx1"/>
            </w14:solidFill>
          </w14:textFill>
        </w:rPr>
        <w:t>指为保障机构正常运转、完成日常工作任务而发生的人员支出和公用支出。</w:t>
      </w:r>
    </w:p>
    <w:p w14:paraId="1B147017">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十二、项目支出：</w:t>
      </w:r>
      <w:r>
        <w:rPr>
          <w:rFonts w:hint="eastAsia" w:ascii="仿宋" w:hAnsi="仿宋" w:eastAsia="仿宋" w:cs="仿宋"/>
          <w:bCs/>
          <w:color w:val="000000" w:themeColor="text1"/>
          <w:sz w:val="30"/>
          <w:szCs w:val="30"/>
          <w14:textFill>
            <w14:solidFill>
              <w14:schemeClr w14:val="tx1"/>
            </w14:solidFill>
          </w14:textFill>
        </w:rPr>
        <w:t>指在基本支出之外为完成特定行政任务和事业发展目标所发生的支出。</w:t>
      </w:r>
    </w:p>
    <w:p w14:paraId="369D1898">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十三、经营支出：</w:t>
      </w:r>
      <w:r>
        <w:rPr>
          <w:rFonts w:hint="eastAsia" w:ascii="仿宋" w:hAnsi="仿宋" w:eastAsia="仿宋" w:cs="仿宋"/>
          <w:bCs/>
          <w:color w:val="000000" w:themeColor="text1"/>
          <w:sz w:val="30"/>
          <w:szCs w:val="30"/>
          <w14:textFill>
            <w14:solidFill>
              <w14:schemeClr w14:val="tx1"/>
            </w14:solidFill>
          </w14:textFill>
        </w:rPr>
        <w:t>指事业单位在专业业务活动及其辅助活动之外开展非独立核算经营活动所发生的支出。</w:t>
      </w:r>
    </w:p>
    <w:p w14:paraId="3080A4C8">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十四、“三公”经费：</w:t>
      </w:r>
      <w:r>
        <w:rPr>
          <w:rFonts w:hint="eastAsia" w:ascii="仿宋" w:hAnsi="仿宋" w:eastAsia="仿宋" w:cs="仿宋"/>
          <w:bCs/>
          <w:color w:val="000000" w:themeColor="text1"/>
          <w:sz w:val="30"/>
          <w:szCs w:val="30"/>
          <w14:textFill>
            <w14:solidFill>
              <w14:schemeClr w14:val="tx1"/>
            </w14:solidFill>
          </w14:textFill>
        </w:rPr>
        <w:t xml:space="preserve">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    </w:t>
      </w:r>
      <w:r>
        <w:rPr>
          <w:rFonts w:hint="eastAsia" w:ascii="仿宋" w:hAnsi="仿宋" w:eastAsia="仿宋" w:cs="仿宋"/>
          <w:bCs/>
          <w:color w:val="000000" w:themeColor="text1"/>
          <w:sz w:val="30"/>
          <w:szCs w:val="30"/>
          <w14:textFill>
            <w14:solidFill>
              <w14:schemeClr w14:val="tx1"/>
            </w14:solidFill>
          </w14:textFill>
        </w:rPr>
        <w:t>接待（含外宾接待）支出。</w:t>
      </w:r>
    </w:p>
    <w:p w14:paraId="5A7C9EC9">
      <w:pPr>
        <w:pStyle w:val="14"/>
        <w:keepNext w:val="0"/>
        <w:keepLines w:val="0"/>
        <w:pageBreakBefore w:val="0"/>
        <w:widowControl w:val="0"/>
        <w:kinsoku/>
        <w:wordWrap/>
        <w:overflowPunct/>
        <w:topLinePunct w:val="0"/>
        <w:autoSpaceDE w:val="0"/>
        <w:autoSpaceDN w:val="0"/>
        <w:bidi w:val="0"/>
        <w:adjustRightInd w:val="0"/>
        <w:snapToGrid/>
        <w:ind w:firstLine="600" w:firstLineChars="200"/>
        <w:jc w:val="both"/>
        <w:textAlignment w:val="auto"/>
        <w:rPr>
          <w:rFonts w:hint="eastAsia"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十五、机关运行经费：</w:t>
      </w:r>
      <w:r>
        <w:rPr>
          <w:rFonts w:hint="eastAsia" w:ascii="仿宋" w:hAnsi="仿宋" w:eastAsia="仿宋" w:cs="仿宋"/>
          <w:bCs/>
          <w:color w:val="000000" w:themeColor="text1"/>
          <w:sz w:val="30"/>
          <w:szCs w:val="30"/>
          <w14:textFill>
            <w14:solidFill>
              <w14:schemeClr w14:val="tx1"/>
            </w14:solidFill>
          </w14:textFill>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34DB0EF7">
      <w:pPr>
        <w:pStyle w:val="14"/>
        <w:ind w:firstLine="300" w:firstLineChars="100"/>
        <w:jc w:val="both"/>
        <w:rPr>
          <w:rFonts w:hint="eastAsia" w:ascii="仿宋" w:hAnsi="仿宋" w:eastAsia="仿宋" w:cs="仿宋"/>
          <w:bCs/>
          <w:color w:val="000000" w:themeColor="text1"/>
          <w:sz w:val="30"/>
          <w:szCs w:val="30"/>
          <w14:textFill>
            <w14:solidFill>
              <w14:schemeClr w14:val="tx1"/>
            </w14:solidFill>
          </w14:textFill>
        </w:rPr>
      </w:pPr>
    </w:p>
    <w:p w14:paraId="407868D7">
      <w:pPr>
        <w:ind w:firstLine="1760" w:firstLineChars="400"/>
        <w:jc w:val="both"/>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第五部分</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附 件</w:t>
      </w:r>
    </w:p>
    <w:p w14:paraId="5D7024D1">
      <w:pPr>
        <w:ind w:firstLine="900" w:firstLineChars="300"/>
        <w:rPr>
          <w:rFonts w:hint="eastAsia" w:ascii="仿宋" w:hAnsi="仿宋" w:eastAsia="仿宋" w:cs="仿宋"/>
          <w:sz w:val="30"/>
          <w:szCs w:val="30"/>
        </w:rPr>
      </w:pPr>
      <w:r>
        <w:rPr>
          <w:rFonts w:hint="eastAsia" w:ascii="仿宋" w:hAnsi="仿宋" w:eastAsia="仿宋" w:cs="仿宋"/>
          <w:sz w:val="30"/>
          <w:szCs w:val="30"/>
          <w:lang w:eastAsia="zh-CN"/>
        </w:rPr>
        <w:t>怀化市档案馆</w:t>
      </w:r>
      <w:r>
        <w:rPr>
          <w:rFonts w:hint="eastAsia" w:ascii="仿宋" w:hAnsi="仿宋" w:eastAsia="仿宋" w:cs="仿宋"/>
          <w:sz w:val="30"/>
          <w:szCs w:val="30"/>
          <w:lang w:val="en-US" w:eastAsia="zh-CN"/>
        </w:rPr>
        <w:t>2023年</w:t>
      </w:r>
      <w:r>
        <w:rPr>
          <w:rFonts w:hint="eastAsia" w:ascii="仿宋" w:hAnsi="仿宋" w:eastAsia="仿宋" w:cs="仿宋"/>
          <w:sz w:val="30"/>
          <w:szCs w:val="30"/>
          <w:lang w:eastAsia="zh-CN"/>
        </w:rPr>
        <w:t>部门</w:t>
      </w:r>
      <w:r>
        <w:rPr>
          <w:rFonts w:hint="eastAsia" w:ascii="仿宋" w:hAnsi="仿宋" w:eastAsia="仿宋" w:cs="仿宋"/>
          <w:sz w:val="30"/>
          <w:szCs w:val="30"/>
        </w:rPr>
        <w:t>整体支出绩效自评报告</w:t>
      </w:r>
    </w:p>
    <w:p w14:paraId="76015B3A">
      <w:pPr>
        <w:jc w:val="left"/>
        <w:rPr>
          <w:rFonts w:hint="eastAsia" w:ascii="仿宋" w:hAnsi="仿宋" w:eastAsia="仿宋" w:cs="仿宋"/>
          <w:color w:val="000000"/>
          <w:kern w:val="0"/>
          <w:sz w:val="30"/>
          <w:szCs w:val="30"/>
        </w:rPr>
      </w:pPr>
    </w:p>
    <w:sectPr>
      <w:pgSz w:w="11906" w:h="16838"/>
      <w:pgMar w:top="1440" w:right="1800" w:bottom="1440" w:left="1800"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BAD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81A7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381A7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MjRiY2VmNjVhYWZiZDVhMWNlZWZlNTJiMTM5YjcifQ=="/>
  </w:docVars>
  <w:rsids>
    <w:rsidRoot w:val="004506F9"/>
    <w:rsid w:val="00006FF7"/>
    <w:rsid w:val="0002229B"/>
    <w:rsid w:val="000226D7"/>
    <w:rsid w:val="000273BD"/>
    <w:rsid w:val="00040CBC"/>
    <w:rsid w:val="000415B7"/>
    <w:rsid w:val="00041E3F"/>
    <w:rsid w:val="000443E1"/>
    <w:rsid w:val="00053437"/>
    <w:rsid w:val="00055DAA"/>
    <w:rsid w:val="000603E4"/>
    <w:rsid w:val="00061F7B"/>
    <w:rsid w:val="000658A3"/>
    <w:rsid w:val="00074155"/>
    <w:rsid w:val="000A3F69"/>
    <w:rsid w:val="000A6DB9"/>
    <w:rsid w:val="000B531F"/>
    <w:rsid w:val="00103957"/>
    <w:rsid w:val="001137A5"/>
    <w:rsid w:val="00115DC1"/>
    <w:rsid w:val="00152C6D"/>
    <w:rsid w:val="0015714C"/>
    <w:rsid w:val="00162D39"/>
    <w:rsid w:val="001678BD"/>
    <w:rsid w:val="00182373"/>
    <w:rsid w:val="001868AE"/>
    <w:rsid w:val="00186D49"/>
    <w:rsid w:val="001A67DB"/>
    <w:rsid w:val="001B78E9"/>
    <w:rsid w:val="001C3C29"/>
    <w:rsid w:val="001D51E5"/>
    <w:rsid w:val="001E080D"/>
    <w:rsid w:val="001E53D0"/>
    <w:rsid w:val="001F0C3B"/>
    <w:rsid w:val="002012D7"/>
    <w:rsid w:val="00202C82"/>
    <w:rsid w:val="0021057F"/>
    <w:rsid w:val="00211261"/>
    <w:rsid w:val="00214427"/>
    <w:rsid w:val="00226CB7"/>
    <w:rsid w:val="00245AFD"/>
    <w:rsid w:val="002574D1"/>
    <w:rsid w:val="00264552"/>
    <w:rsid w:val="00264EF9"/>
    <w:rsid w:val="00265724"/>
    <w:rsid w:val="0027426B"/>
    <w:rsid w:val="002C689B"/>
    <w:rsid w:val="002D2F88"/>
    <w:rsid w:val="002D58E7"/>
    <w:rsid w:val="002E0A30"/>
    <w:rsid w:val="002F7AE7"/>
    <w:rsid w:val="003130C4"/>
    <w:rsid w:val="00315B8D"/>
    <w:rsid w:val="00316C4B"/>
    <w:rsid w:val="0032192B"/>
    <w:rsid w:val="003479BD"/>
    <w:rsid w:val="0036370E"/>
    <w:rsid w:val="003641B6"/>
    <w:rsid w:val="00366E29"/>
    <w:rsid w:val="0037197D"/>
    <w:rsid w:val="003768D5"/>
    <w:rsid w:val="00380E43"/>
    <w:rsid w:val="00382D2C"/>
    <w:rsid w:val="003926B9"/>
    <w:rsid w:val="003A224E"/>
    <w:rsid w:val="003A498B"/>
    <w:rsid w:val="003B3AD2"/>
    <w:rsid w:val="003C47E6"/>
    <w:rsid w:val="003C4FC2"/>
    <w:rsid w:val="003E64A5"/>
    <w:rsid w:val="00416E61"/>
    <w:rsid w:val="00421F38"/>
    <w:rsid w:val="00426652"/>
    <w:rsid w:val="0042790C"/>
    <w:rsid w:val="00427BA4"/>
    <w:rsid w:val="00433F15"/>
    <w:rsid w:val="004346C3"/>
    <w:rsid w:val="004347AD"/>
    <w:rsid w:val="004506F9"/>
    <w:rsid w:val="00465D5E"/>
    <w:rsid w:val="004717A2"/>
    <w:rsid w:val="00473DF3"/>
    <w:rsid w:val="00487911"/>
    <w:rsid w:val="00491741"/>
    <w:rsid w:val="004938AD"/>
    <w:rsid w:val="004949DF"/>
    <w:rsid w:val="004B0CEE"/>
    <w:rsid w:val="004B57FE"/>
    <w:rsid w:val="004E6026"/>
    <w:rsid w:val="004F3807"/>
    <w:rsid w:val="004F45FD"/>
    <w:rsid w:val="004F5A05"/>
    <w:rsid w:val="00500E5F"/>
    <w:rsid w:val="00503CED"/>
    <w:rsid w:val="00506DFC"/>
    <w:rsid w:val="005122EF"/>
    <w:rsid w:val="0051441A"/>
    <w:rsid w:val="00517C33"/>
    <w:rsid w:val="00517D5F"/>
    <w:rsid w:val="00523644"/>
    <w:rsid w:val="005250C5"/>
    <w:rsid w:val="0052565A"/>
    <w:rsid w:val="0054069E"/>
    <w:rsid w:val="00544866"/>
    <w:rsid w:val="00555F96"/>
    <w:rsid w:val="0056410F"/>
    <w:rsid w:val="005719A5"/>
    <w:rsid w:val="0057296C"/>
    <w:rsid w:val="00573A4D"/>
    <w:rsid w:val="005754E9"/>
    <w:rsid w:val="005767CC"/>
    <w:rsid w:val="00590D9F"/>
    <w:rsid w:val="00595D26"/>
    <w:rsid w:val="005A1344"/>
    <w:rsid w:val="005A1EE4"/>
    <w:rsid w:val="005A74E6"/>
    <w:rsid w:val="005B3BB0"/>
    <w:rsid w:val="005B404E"/>
    <w:rsid w:val="005B5145"/>
    <w:rsid w:val="005C34C4"/>
    <w:rsid w:val="005D4D55"/>
    <w:rsid w:val="005D6E63"/>
    <w:rsid w:val="005E2CFB"/>
    <w:rsid w:val="005E4F5D"/>
    <w:rsid w:val="005E78C1"/>
    <w:rsid w:val="005F2103"/>
    <w:rsid w:val="005F3D1C"/>
    <w:rsid w:val="0060463E"/>
    <w:rsid w:val="0062378F"/>
    <w:rsid w:val="00636C40"/>
    <w:rsid w:val="00641842"/>
    <w:rsid w:val="00651EEC"/>
    <w:rsid w:val="006715BE"/>
    <w:rsid w:val="006724A3"/>
    <w:rsid w:val="00684AA7"/>
    <w:rsid w:val="00686673"/>
    <w:rsid w:val="00691E8C"/>
    <w:rsid w:val="006A22C4"/>
    <w:rsid w:val="006A22D9"/>
    <w:rsid w:val="006A351B"/>
    <w:rsid w:val="006B021B"/>
    <w:rsid w:val="006B0422"/>
    <w:rsid w:val="006C0F59"/>
    <w:rsid w:val="006C1B53"/>
    <w:rsid w:val="006D7730"/>
    <w:rsid w:val="006E34F3"/>
    <w:rsid w:val="006E4CF9"/>
    <w:rsid w:val="006E5284"/>
    <w:rsid w:val="006F0449"/>
    <w:rsid w:val="006F3EB5"/>
    <w:rsid w:val="006F7DBF"/>
    <w:rsid w:val="00702E34"/>
    <w:rsid w:val="00704395"/>
    <w:rsid w:val="007046C9"/>
    <w:rsid w:val="00710FE7"/>
    <w:rsid w:val="00716135"/>
    <w:rsid w:val="00717621"/>
    <w:rsid w:val="00720FF1"/>
    <w:rsid w:val="00727A53"/>
    <w:rsid w:val="007548E4"/>
    <w:rsid w:val="00776A0F"/>
    <w:rsid w:val="0078097F"/>
    <w:rsid w:val="00787B42"/>
    <w:rsid w:val="00791717"/>
    <w:rsid w:val="007917D4"/>
    <w:rsid w:val="00791A0B"/>
    <w:rsid w:val="00797798"/>
    <w:rsid w:val="007C3989"/>
    <w:rsid w:val="007C4539"/>
    <w:rsid w:val="007E08D9"/>
    <w:rsid w:val="007E4834"/>
    <w:rsid w:val="007F3657"/>
    <w:rsid w:val="007F5557"/>
    <w:rsid w:val="00812ED5"/>
    <w:rsid w:val="008277D9"/>
    <w:rsid w:val="0084478C"/>
    <w:rsid w:val="00856F27"/>
    <w:rsid w:val="008654FE"/>
    <w:rsid w:val="0086638C"/>
    <w:rsid w:val="00866763"/>
    <w:rsid w:val="00867AA0"/>
    <w:rsid w:val="00876A6F"/>
    <w:rsid w:val="00890CAF"/>
    <w:rsid w:val="008A3E8D"/>
    <w:rsid w:val="008B009B"/>
    <w:rsid w:val="008E5686"/>
    <w:rsid w:val="009237C4"/>
    <w:rsid w:val="00924D75"/>
    <w:rsid w:val="00944C48"/>
    <w:rsid w:val="00950252"/>
    <w:rsid w:val="00967099"/>
    <w:rsid w:val="00967F5D"/>
    <w:rsid w:val="00983D46"/>
    <w:rsid w:val="00987EB0"/>
    <w:rsid w:val="009958D2"/>
    <w:rsid w:val="009A0F95"/>
    <w:rsid w:val="009B3ADF"/>
    <w:rsid w:val="009C3B52"/>
    <w:rsid w:val="009E6817"/>
    <w:rsid w:val="009E6E9A"/>
    <w:rsid w:val="009F77C6"/>
    <w:rsid w:val="00A01D2B"/>
    <w:rsid w:val="00A0208E"/>
    <w:rsid w:val="00A22D32"/>
    <w:rsid w:val="00A407FA"/>
    <w:rsid w:val="00A42218"/>
    <w:rsid w:val="00A55C7A"/>
    <w:rsid w:val="00A70249"/>
    <w:rsid w:val="00A70B02"/>
    <w:rsid w:val="00A71D9F"/>
    <w:rsid w:val="00A92E9F"/>
    <w:rsid w:val="00AA366C"/>
    <w:rsid w:val="00AB18FF"/>
    <w:rsid w:val="00AD0D3D"/>
    <w:rsid w:val="00AD3FCC"/>
    <w:rsid w:val="00AE0EBF"/>
    <w:rsid w:val="00AE49D0"/>
    <w:rsid w:val="00B03B35"/>
    <w:rsid w:val="00B0551E"/>
    <w:rsid w:val="00B11DCC"/>
    <w:rsid w:val="00B33BEA"/>
    <w:rsid w:val="00B538D7"/>
    <w:rsid w:val="00B568DD"/>
    <w:rsid w:val="00B57C9F"/>
    <w:rsid w:val="00B63572"/>
    <w:rsid w:val="00B67F3F"/>
    <w:rsid w:val="00B730CA"/>
    <w:rsid w:val="00B75CEB"/>
    <w:rsid w:val="00B80F25"/>
    <w:rsid w:val="00B845B3"/>
    <w:rsid w:val="00B85D8B"/>
    <w:rsid w:val="00BB26B2"/>
    <w:rsid w:val="00BB4A40"/>
    <w:rsid w:val="00BD6C3E"/>
    <w:rsid w:val="00BE3674"/>
    <w:rsid w:val="00C10681"/>
    <w:rsid w:val="00C12117"/>
    <w:rsid w:val="00C25BD4"/>
    <w:rsid w:val="00C25FB2"/>
    <w:rsid w:val="00C3049A"/>
    <w:rsid w:val="00C31B1E"/>
    <w:rsid w:val="00C411DE"/>
    <w:rsid w:val="00C42581"/>
    <w:rsid w:val="00C451C9"/>
    <w:rsid w:val="00C57D5A"/>
    <w:rsid w:val="00C716A7"/>
    <w:rsid w:val="00C77645"/>
    <w:rsid w:val="00CA1280"/>
    <w:rsid w:val="00CA6BAC"/>
    <w:rsid w:val="00CB3393"/>
    <w:rsid w:val="00CB53DC"/>
    <w:rsid w:val="00CD4892"/>
    <w:rsid w:val="00CE04C3"/>
    <w:rsid w:val="00CE755E"/>
    <w:rsid w:val="00CE76A0"/>
    <w:rsid w:val="00D00A78"/>
    <w:rsid w:val="00D07CBE"/>
    <w:rsid w:val="00D13E6C"/>
    <w:rsid w:val="00D148C6"/>
    <w:rsid w:val="00D17A8A"/>
    <w:rsid w:val="00D25333"/>
    <w:rsid w:val="00D415BA"/>
    <w:rsid w:val="00D45382"/>
    <w:rsid w:val="00D6065B"/>
    <w:rsid w:val="00D63780"/>
    <w:rsid w:val="00D64091"/>
    <w:rsid w:val="00D644EE"/>
    <w:rsid w:val="00D6695A"/>
    <w:rsid w:val="00D92F8D"/>
    <w:rsid w:val="00D933CC"/>
    <w:rsid w:val="00DA20F2"/>
    <w:rsid w:val="00DB08C4"/>
    <w:rsid w:val="00DB540A"/>
    <w:rsid w:val="00DD06FF"/>
    <w:rsid w:val="00DD5FE9"/>
    <w:rsid w:val="00DF032B"/>
    <w:rsid w:val="00DF4BC9"/>
    <w:rsid w:val="00E00497"/>
    <w:rsid w:val="00E00C7A"/>
    <w:rsid w:val="00E22057"/>
    <w:rsid w:val="00E2571E"/>
    <w:rsid w:val="00E370DB"/>
    <w:rsid w:val="00E37D6C"/>
    <w:rsid w:val="00E55B68"/>
    <w:rsid w:val="00E561AE"/>
    <w:rsid w:val="00E67BE6"/>
    <w:rsid w:val="00E830B9"/>
    <w:rsid w:val="00E83D41"/>
    <w:rsid w:val="00E8683C"/>
    <w:rsid w:val="00E92354"/>
    <w:rsid w:val="00E936EE"/>
    <w:rsid w:val="00E96E21"/>
    <w:rsid w:val="00EA2B72"/>
    <w:rsid w:val="00EA2D33"/>
    <w:rsid w:val="00ED0025"/>
    <w:rsid w:val="00F028F3"/>
    <w:rsid w:val="00F2536D"/>
    <w:rsid w:val="00F63886"/>
    <w:rsid w:val="00F74360"/>
    <w:rsid w:val="00F9434A"/>
    <w:rsid w:val="00F956A9"/>
    <w:rsid w:val="00FB462F"/>
    <w:rsid w:val="00FC33D8"/>
    <w:rsid w:val="00FC40C2"/>
    <w:rsid w:val="00FE16FA"/>
    <w:rsid w:val="00FE328A"/>
    <w:rsid w:val="00FE6269"/>
    <w:rsid w:val="00FF5CD6"/>
    <w:rsid w:val="0A033C33"/>
    <w:rsid w:val="1D97DEFF"/>
    <w:rsid w:val="1DFF72E5"/>
    <w:rsid w:val="1EFC6F07"/>
    <w:rsid w:val="2FA72A24"/>
    <w:rsid w:val="2FDF85B8"/>
    <w:rsid w:val="2FFFEE04"/>
    <w:rsid w:val="34904113"/>
    <w:rsid w:val="34DF85B0"/>
    <w:rsid w:val="3B8F36BC"/>
    <w:rsid w:val="491FF225"/>
    <w:rsid w:val="4C3026C4"/>
    <w:rsid w:val="4E336E70"/>
    <w:rsid w:val="4FFD214C"/>
    <w:rsid w:val="5777D4F5"/>
    <w:rsid w:val="59DD8326"/>
    <w:rsid w:val="5DEF592A"/>
    <w:rsid w:val="5FB567E4"/>
    <w:rsid w:val="5FC6BB1E"/>
    <w:rsid w:val="5FF720F1"/>
    <w:rsid w:val="67FF5C0B"/>
    <w:rsid w:val="691E2357"/>
    <w:rsid w:val="6EFC0924"/>
    <w:rsid w:val="6FB74722"/>
    <w:rsid w:val="6FEF8B7E"/>
    <w:rsid w:val="71A6591B"/>
    <w:rsid w:val="729C5063"/>
    <w:rsid w:val="737D59BA"/>
    <w:rsid w:val="77395FE9"/>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CFBFB45"/>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24"/>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字符"/>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4正文"/>
    <w:basedOn w:val="1"/>
    <w:link w:val="21"/>
    <w:qFormat/>
    <w:uiPriority w:val="0"/>
    <w:pPr>
      <w:snapToGrid w:val="0"/>
      <w:spacing w:line="440" w:lineRule="exact"/>
      <w:ind w:firstLine="200" w:firstLineChars="200"/>
    </w:pPr>
    <w:rPr>
      <w:rFonts w:ascii="Times New Roman" w:hAnsi="Times New Roman" w:eastAsia="宋体"/>
      <w:sz w:val="24"/>
    </w:rPr>
  </w:style>
  <w:style w:type="character" w:customStyle="1" w:styleId="21">
    <w:name w:val="4正文 字符"/>
    <w:basedOn w:val="11"/>
    <w:link w:val="20"/>
    <w:qFormat/>
    <w:uiPriority w:val="0"/>
    <w:rPr>
      <w:rFonts w:cstheme="minorBidi"/>
      <w:kern w:val="2"/>
      <w:sz w:val="24"/>
      <w:szCs w:val="22"/>
    </w:rPr>
  </w:style>
  <w:style w:type="paragraph" w:customStyle="1" w:styleId="22">
    <w:name w:val="3标题"/>
    <w:basedOn w:val="9"/>
    <w:link w:val="23"/>
    <w:qFormat/>
    <w:uiPriority w:val="0"/>
    <w:pPr>
      <w:snapToGrid w:val="0"/>
      <w:spacing w:before="0" w:after="0" w:line="440" w:lineRule="exact"/>
      <w:ind w:firstLine="200" w:firstLineChars="200"/>
      <w:jc w:val="left"/>
      <w:outlineLvl w:val="2"/>
    </w:pPr>
    <w:rPr>
      <w:rFonts w:ascii="Times New Roman" w:hAnsi="Times New Roman" w:eastAsia="宋体"/>
      <w:sz w:val="24"/>
      <w:szCs w:val="21"/>
    </w:rPr>
  </w:style>
  <w:style w:type="character" w:customStyle="1" w:styleId="23">
    <w:name w:val="3标题 字符"/>
    <w:basedOn w:val="11"/>
    <w:link w:val="22"/>
    <w:qFormat/>
    <w:uiPriority w:val="0"/>
    <w:rPr>
      <w:rFonts w:cstheme="majorBidi"/>
      <w:b/>
      <w:bCs/>
      <w:kern w:val="2"/>
      <w:sz w:val="24"/>
      <w:szCs w:val="21"/>
    </w:rPr>
  </w:style>
  <w:style w:type="character" w:customStyle="1" w:styleId="24">
    <w:name w:val="标题 字符"/>
    <w:basedOn w:val="11"/>
    <w:link w:val="9"/>
    <w:qFormat/>
    <w:uiPriority w:val="10"/>
    <w:rPr>
      <w:rFonts w:asciiTheme="majorHAnsi" w:hAnsiTheme="majorHAnsi" w:eastAsiaTheme="majorEastAsia" w:cstheme="majorBidi"/>
      <w:b/>
      <w:bCs/>
      <w:kern w:val="2"/>
      <w:sz w:val="32"/>
      <w:szCs w:val="32"/>
    </w:rPr>
  </w:style>
  <w:style w:type="paragraph" w:customStyle="1" w:styleId="25">
    <w:name w:val="样式1"/>
    <w:basedOn w:val="15"/>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9904</Words>
  <Characters>10471</Characters>
  <Lines>78</Lines>
  <Paragraphs>21</Paragraphs>
  <TotalTime>44</TotalTime>
  <ScaleCrop>false</ScaleCrop>
  <LinksUpToDate>false</LinksUpToDate>
  <CharactersWithSpaces>10507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Administrator</cp:lastModifiedBy>
  <cp:lastPrinted>2024-09-24T04:11:00Z</cp:lastPrinted>
  <dcterms:modified xsi:type="dcterms:W3CDTF">2024-09-24T05:04:19Z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D91ED1E0A01A45D7812505164DFA9E00_12</vt:lpwstr>
  </property>
</Properties>
</file>