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sz w:val="56"/>
          <w:szCs w:val="56"/>
        </w:rPr>
      </w:pPr>
    </w:p>
    <w:p>
      <w:pPr>
        <w:pStyle w:val="12"/>
        <w:jc w:val="center"/>
        <w:rPr>
          <w:sz w:val="56"/>
          <w:szCs w:val="56"/>
        </w:rPr>
      </w:pPr>
    </w:p>
    <w:p>
      <w:pPr>
        <w:pStyle w:val="12"/>
        <w:jc w:val="center"/>
        <w:rPr>
          <w:sz w:val="84"/>
          <w:szCs w:val="84"/>
        </w:rPr>
      </w:pPr>
    </w:p>
    <w:p>
      <w:pPr>
        <w:pStyle w:val="12"/>
        <w:jc w:val="center"/>
        <w:rPr>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2"/>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怀化市大中坡电视转播台</w:t>
      </w: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2"/>
        <w:jc w:val="center"/>
        <w:rPr>
          <w:rFonts w:hint="eastAsia" w:ascii="方正小标宋_GBK" w:hAnsi="方正小标宋_GBK" w:eastAsia="方正小标宋_GBK" w:cs="方正小标宋_GBK"/>
          <w:sz w:val="56"/>
          <w:szCs w:val="56"/>
        </w:rPr>
      </w:pP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spacing w:line="540" w:lineRule="exact"/>
        <w:jc w:val="center"/>
        <w:rPr>
          <w:sz w:val="56"/>
          <w:szCs w:val="56"/>
        </w:rPr>
      </w:pPr>
    </w:p>
    <w:p>
      <w:pPr>
        <w:pStyle w:val="12"/>
        <w:spacing w:line="500" w:lineRule="exact"/>
        <w:jc w:val="both"/>
        <w:rPr>
          <w:b/>
          <w:sz w:val="36"/>
          <w:szCs w:val="28"/>
        </w:rPr>
      </w:pPr>
    </w:p>
    <w:p>
      <w:pPr>
        <w:pStyle w:val="12"/>
        <w:spacing w:line="500" w:lineRule="exact"/>
        <w:jc w:val="center"/>
        <w:rPr>
          <w:b/>
          <w:sz w:val="36"/>
          <w:szCs w:val="28"/>
        </w:rPr>
      </w:pPr>
      <w:r>
        <w:rPr>
          <w:rFonts w:hint="eastAsia"/>
          <w:b/>
          <w:sz w:val="36"/>
          <w:szCs w:val="28"/>
        </w:rPr>
        <w:t>目录</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b/>
          <w:sz w:val="28"/>
          <w:szCs w:val="28"/>
          <w:lang w:val="en-US" w:eastAsia="zh-CN"/>
        </w:rPr>
        <w:t>怀化市大中坡电视转播台</w:t>
      </w:r>
      <w:r>
        <w:rPr>
          <w:rFonts w:hint="eastAsia"/>
          <w:b/>
          <w:sz w:val="28"/>
          <w:szCs w:val="28"/>
        </w:rPr>
        <w:t>单位概况</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黑体" w:hAnsi="黑体" w:eastAsia="黑体" w:cs="黑体"/>
          <w:b w:val="0"/>
          <w:bCs w:val="0"/>
          <w:sz w:val="30"/>
          <w:szCs w:val="30"/>
          <w:highlight w:val="none"/>
          <w:lang w:val="en-US"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b w:val="0"/>
          <w:bCs w:val="0"/>
          <w:sz w:val="30"/>
          <w:szCs w:val="30"/>
          <w:highlight w:val="none"/>
          <w:lang w:val="en-US" w:eastAsia="zh-CN"/>
        </w:rPr>
        <w:t>国有资本经营预算财政拨款收入支出</w:t>
      </w:r>
      <w:r>
        <w:rPr>
          <w:rFonts w:hint="eastAsia" w:ascii="仿宋_GB2312" w:hAnsi="仿宋_GB2312" w:eastAsia="仿宋_GB2312" w:cs="仿宋_GB2312"/>
          <w:b w:val="0"/>
          <w:bCs w:val="0"/>
          <w:sz w:val="30"/>
          <w:szCs w:val="30"/>
          <w:highlight w:val="none"/>
        </w:rPr>
        <w:t>决算情况</w:t>
      </w:r>
      <w:r>
        <w:rPr>
          <w:rFonts w:hint="eastAsia" w:ascii="仿宋_GB2312" w:hAnsi="仿宋_GB2312" w:eastAsia="仿宋_GB2312" w:cs="仿宋_GB2312"/>
          <w:b w:val="0"/>
          <w:bCs w:val="0"/>
          <w:sz w:val="30"/>
          <w:szCs w:val="30"/>
          <w:highlight w:val="none"/>
          <w:lang w:val="en-US" w:eastAsia="zh-CN"/>
        </w:rPr>
        <w:t>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sz w:val="28"/>
          <w:szCs w:val="28"/>
        </w:rPr>
        <w:t>二</w:t>
      </w:r>
      <w:r>
        <w:rPr>
          <w:rFonts w:hint="eastAsia" w:ascii="仿宋_GB2312" w:hAnsi="仿宋_GB2312" w:eastAsia="仿宋_GB2312" w:cs="仿宋_GB2312"/>
          <w:color w:val="000000"/>
          <w:kern w:val="0"/>
          <w:sz w:val="28"/>
          <w:szCs w:val="28"/>
        </w:rPr>
        <w:t>、关于政府采购支出说明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、关于预算绩效情况的说明</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72"/>
          <w:szCs w:val="72"/>
          <w:lang w:val="en-US" w:eastAsia="zh-CN"/>
        </w:rPr>
        <w:t>怀化市大中坡电视转播台</w:t>
      </w:r>
      <w:r>
        <w:rPr>
          <w:rFonts w:hint="eastAsia" w:ascii="方正小标宋_GBK" w:hAnsi="方正小标宋_GBK" w:eastAsia="方正小标宋_GBK" w:cs="方正小标宋_GBK"/>
          <w:sz w:val="72"/>
          <w:szCs w:val="72"/>
        </w:rPr>
        <w:t>概况</w:t>
      </w:r>
    </w:p>
    <w:p>
      <w:pPr>
        <w:jc w:val="center"/>
        <w:rPr>
          <w:rFonts w:hint="eastAsia" w:ascii="方正小标宋_GBK" w:hAnsi="方正小标宋_GBK" w:eastAsia="方正小标宋_GBK" w:cs="方正小标宋_GBK"/>
          <w:sz w:val="72"/>
          <w:szCs w:val="72"/>
        </w:rPr>
      </w:pPr>
    </w:p>
    <w:p>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ind w:firstLine="700" w:firstLineChars="250"/>
        <w:jc w:val="left"/>
        <w:rPr>
          <w:rFonts w:hint="eastAsia" w:ascii="Times New Roman" w:hAnsi="Times New Roman" w:eastAsia="仿宋_GB2312" w:cs="仿宋_GB2312"/>
          <w:sz w:val="32"/>
          <w:szCs w:val="32"/>
        </w:rPr>
      </w:pPr>
      <w:r>
        <w:rPr>
          <w:rFonts w:hint="eastAsia" w:ascii="仿宋_GB2312" w:eastAsia="仿宋_GB2312" w:hAnsiTheme="minorEastAsia"/>
          <w:sz w:val="28"/>
          <w:szCs w:val="32"/>
          <w:lang w:val="en-US" w:eastAsia="zh-CN"/>
        </w:rPr>
        <w:t xml:space="preserve"> </w:t>
      </w:r>
      <w:r>
        <w:rPr>
          <w:rFonts w:hint="eastAsia" w:asciiTheme="minorEastAsia" w:hAnsiTheme="minorEastAsia"/>
          <w:bCs/>
          <w:kern w:val="0"/>
          <w:sz w:val="32"/>
          <w:szCs w:val="32"/>
          <w:lang w:val="en-US" w:eastAsia="zh-CN"/>
        </w:rPr>
        <w:t>怀化市大中坡电视转播台属于怀化市广播电视台下属二级机构,副处级全额拨款事业单位,负责广播电视转播等职责。</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heme="minorEastAsia" w:hAnsiTheme="minorEastAsia"/>
          <w:bCs/>
          <w:kern w:val="0"/>
          <w:sz w:val="32"/>
          <w:szCs w:val="32"/>
        </w:rPr>
      </w:pPr>
      <w:r>
        <w:rPr>
          <w:rFonts w:hint="eastAsia" w:ascii="Times New Roman" w:hAnsi="Times New Roman" w:eastAsia="仿宋_GB2312" w:cs="仿宋_GB2312"/>
          <w:bCs/>
          <w:kern w:val="0"/>
          <w:sz w:val="32"/>
          <w:szCs w:val="32"/>
        </w:rPr>
        <w:t>（一）内设机构设置。</w:t>
      </w:r>
    </w:p>
    <w:p>
      <w:pPr>
        <w:widowControl/>
        <w:spacing w:line="600" w:lineRule="exact"/>
        <w:ind w:firstLine="960" w:firstLineChars="300"/>
        <w:rPr>
          <w:rFonts w:hint="eastAsia" w:asciiTheme="minorEastAsia" w:hAnsiTheme="minorEastAsia"/>
          <w:bCs/>
          <w:kern w:val="0"/>
          <w:sz w:val="32"/>
          <w:szCs w:val="32"/>
        </w:rPr>
      </w:pPr>
      <w:r>
        <w:rPr>
          <w:rFonts w:hint="eastAsia" w:asciiTheme="minorEastAsia" w:hAnsiTheme="minorEastAsia"/>
          <w:sz w:val="32"/>
          <w:szCs w:val="32"/>
        </w:rPr>
        <w:t>怀化市大中坡电视转播台作为二级部门预算单位，内设</w:t>
      </w:r>
      <w:r>
        <w:rPr>
          <w:rFonts w:hint="eastAsia" w:asciiTheme="minorEastAsia" w:hAnsiTheme="minorEastAsia"/>
          <w:bCs/>
          <w:kern w:val="0"/>
          <w:sz w:val="32"/>
          <w:szCs w:val="32"/>
          <w:lang w:val="en-US" w:eastAsia="zh-CN"/>
        </w:rPr>
        <w:t>机构</w:t>
      </w:r>
      <w:r>
        <w:rPr>
          <w:rFonts w:hint="eastAsia" w:asciiTheme="minorEastAsia" w:hAnsiTheme="minorEastAsia"/>
          <w:sz w:val="32"/>
          <w:szCs w:val="32"/>
        </w:rPr>
        <w:t>为:办公室</w:t>
      </w:r>
      <w:r>
        <w:rPr>
          <w:rFonts w:hint="eastAsia" w:asciiTheme="minorEastAsia" w:hAnsiTheme="minorEastAsia"/>
          <w:sz w:val="32"/>
          <w:szCs w:val="32"/>
          <w:lang w:eastAsia="zh-CN"/>
        </w:rPr>
        <w:t>（</w:t>
      </w:r>
      <w:r>
        <w:rPr>
          <w:rFonts w:hint="eastAsia" w:asciiTheme="minorEastAsia" w:hAnsiTheme="minorEastAsia"/>
          <w:sz w:val="32"/>
          <w:szCs w:val="32"/>
          <w:lang w:val="en-US" w:eastAsia="zh-CN"/>
        </w:rPr>
        <w:t>含</w:t>
      </w:r>
      <w:r>
        <w:rPr>
          <w:rFonts w:hint="eastAsia" w:asciiTheme="minorEastAsia" w:hAnsiTheme="minorEastAsia"/>
          <w:sz w:val="32"/>
          <w:szCs w:val="32"/>
        </w:rPr>
        <w:t>财务</w:t>
      </w:r>
      <w:r>
        <w:rPr>
          <w:rFonts w:hint="eastAsia" w:asciiTheme="minorEastAsia" w:hAnsiTheme="minorEastAsia"/>
          <w:sz w:val="32"/>
          <w:szCs w:val="32"/>
          <w:lang w:eastAsia="zh-CN"/>
        </w:rPr>
        <w:t>）、</w:t>
      </w:r>
      <w:r>
        <w:rPr>
          <w:rFonts w:hint="eastAsia" w:asciiTheme="minorEastAsia" w:hAnsiTheme="minorEastAsia"/>
          <w:sz w:val="32"/>
          <w:szCs w:val="32"/>
        </w:rPr>
        <w:t>技术部</w:t>
      </w:r>
      <w:r>
        <w:rPr>
          <w:rFonts w:hint="eastAsia" w:asciiTheme="minorEastAsia" w:hAnsiTheme="minorEastAsia"/>
          <w:sz w:val="32"/>
          <w:szCs w:val="32"/>
          <w:lang w:eastAsia="zh-CN"/>
        </w:rPr>
        <w:t>、</w:t>
      </w:r>
      <w:r>
        <w:rPr>
          <w:rFonts w:hint="eastAsia" w:asciiTheme="minorEastAsia" w:hAnsiTheme="minorEastAsia"/>
          <w:sz w:val="32"/>
          <w:szCs w:val="32"/>
          <w:lang w:val="en-US" w:eastAsia="zh-CN"/>
        </w:rPr>
        <w:t>播出部</w:t>
      </w:r>
      <w:r>
        <w:rPr>
          <w:rFonts w:hint="eastAsia" w:ascii="宋体" w:hAnsi="宋体"/>
          <w:sz w:val="32"/>
          <w:szCs w:val="32"/>
          <w:lang w:val="en-US" w:eastAsia="zh-CN"/>
        </w:rPr>
        <w:t>（本年新增部门）</w:t>
      </w:r>
      <w:r>
        <w:rPr>
          <w:rFonts w:hint="eastAsia" w:asciiTheme="minorEastAsia" w:hAnsiTheme="minorEastAsia"/>
          <w:sz w:val="32"/>
          <w:szCs w:val="32"/>
        </w:rPr>
        <w:t>。</w:t>
      </w:r>
      <w:bookmarkStart w:id="3" w:name="_GoBack"/>
      <w:bookmarkEnd w:id="3"/>
    </w:p>
    <w:p>
      <w:pPr>
        <w:widowControl/>
        <w:numPr>
          <w:ilvl w:val="0"/>
          <w:numId w:val="2"/>
        </w:numPr>
        <w:spacing w:line="600" w:lineRule="exact"/>
        <w:ind w:left="0" w:leftChars="0"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决算单位构成。</w:t>
      </w:r>
    </w:p>
    <w:p>
      <w:pPr>
        <w:widowControl/>
        <w:numPr>
          <w:ilvl w:val="0"/>
          <w:numId w:val="0"/>
        </w:numPr>
        <w:spacing w:line="600" w:lineRule="exact"/>
        <w:ind w:leftChars="200" w:firstLine="640" w:firstLineChars="200"/>
        <w:rPr>
          <w:rFonts w:asciiTheme="minorEastAsia" w:hAnsiTheme="minorEastAsia"/>
          <w:bCs/>
          <w:kern w:val="0"/>
          <w:sz w:val="32"/>
          <w:szCs w:val="32"/>
        </w:rPr>
      </w:pPr>
      <w:r>
        <w:rPr>
          <w:rFonts w:hint="eastAsia" w:asciiTheme="minorEastAsia" w:hAnsiTheme="minorEastAsia"/>
          <w:sz w:val="32"/>
          <w:szCs w:val="32"/>
        </w:rPr>
        <w:t>怀化市大中坡电视转播台20</w:t>
      </w:r>
      <w:r>
        <w:rPr>
          <w:rFonts w:hint="eastAsia" w:asciiTheme="minorEastAsia" w:hAnsiTheme="minorEastAsia"/>
          <w:sz w:val="32"/>
          <w:szCs w:val="32"/>
          <w:lang w:val="en-US" w:eastAsia="zh-CN"/>
        </w:rPr>
        <w:t>23</w:t>
      </w:r>
      <w:r>
        <w:rPr>
          <w:rFonts w:hint="eastAsia" w:asciiTheme="minorEastAsia" w:hAnsiTheme="minorEastAsia"/>
          <w:sz w:val="32"/>
          <w:szCs w:val="32"/>
        </w:rPr>
        <w:t>年部门</w:t>
      </w:r>
      <w:r>
        <w:rPr>
          <w:rFonts w:hint="eastAsia" w:asciiTheme="minorEastAsia" w:hAnsiTheme="minorEastAsia"/>
          <w:sz w:val="32"/>
          <w:szCs w:val="32"/>
          <w:lang w:val="en-US" w:eastAsia="zh-CN"/>
        </w:rPr>
        <w:t>决算</w:t>
      </w:r>
      <w:r>
        <w:rPr>
          <w:rFonts w:hint="eastAsia" w:asciiTheme="minorEastAsia" w:hAnsiTheme="minorEastAsia"/>
          <w:sz w:val="32"/>
          <w:szCs w:val="32"/>
        </w:rPr>
        <w:t>公开单位构成包括:怀化市大中坡电视转播台</w:t>
      </w:r>
      <w:r>
        <w:rPr>
          <w:rFonts w:hint="eastAsia" w:asciiTheme="minorEastAsia" w:hAnsiTheme="minorEastAsia"/>
          <w:sz w:val="32"/>
          <w:szCs w:val="32"/>
          <w:lang w:eastAsia="zh-CN"/>
        </w:rPr>
        <w:t>（</w:t>
      </w:r>
      <w:r>
        <w:rPr>
          <w:rFonts w:hint="eastAsia" w:asciiTheme="minorEastAsia" w:hAnsiTheme="minorEastAsia"/>
          <w:sz w:val="32"/>
          <w:szCs w:val="32"/>
          <w:lang w:val="en-US" w:eastAsia="zh-CN"/>
        </w:rPr>
        <w:t>本级</w:t>
      </w:r>
      <w:r>
        <w:rPr>
          <w:rFonts w:hint="eastAsia" w:asciiTheme="minorEastAsia" w:hAnsiTheme="minorEastAsia"/>
          <w:sz w:val="32"/>
          <w:szCs w:val="32"/>
          <w:lang w:eastAsia="zh-CN"/>
        </w:rPr>
        <w:t>）</w:t>
      </w:r>
      <w:r>
        <w:rPr>
          <w:rFonts w:hint="eastAsia" w:asciiTheme="minorEastAsia" w:hAnsiTheme="minorEastAsia"/>
          <w:sz w:val="32"/>
          <w:szCs w:val="32"/>
        </w:rPr>
        <w:t>。</w:t>
      </w:r>
    </w:p>
    <w:p>
      <w:pPr>
        <w:widowControl/>
        <w:spacing w:line="600" w:lineRule="exact"/>
        <w:rPr>
          <w:rFonts w:hint="eastAsia" w:ascii="Times New Roman" w:hAnsi="Times New Roman" w:eastAsia="仿宋_GB2312" w:cs="仿宋_GB2312"/>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3520" w:type="dxa"/>
        <w:tblInd w:w="0" w:type="dxa"/>
        <w:tblLayout w:type="fixed"/>
        <w:tblCellMar>
          <w:top w:w="0" w:type="dxa"/>
          <w:left w:w="0" w:type="dxa"/>
          <w:bottom w:w="0" w:type="dxa"/>
          <w:right w:w="0" w:type="dxa"/>
        </w:tblCellMar>
      </w:tblPr>
      <w:tblGrid>
        <w:gridCol w:w="60"/>
        <w:gridCol w:w="1028"/>
        <w:gridCol w:w="2928"/>
        <w:gridCol w:w="1140"/>
        <w:gridCol w:w="1404"/>
        <w:gridCol w:w="1320"/>
        <w:gridCol w:w="1236"/>
        <w:gridCol w:w="1524"/>
        <w:gridCol w:w="1140"/>
        <w:gridCol w:w="1740"/>
      </w:tblGrid>
      <w:tr>
        <w:tblPrEx>
          <w:tblCellMar>
            <w:top w:w="0" w:type="dxa"/>
            <w:left w:w="0" w:type="dxa"/>
            <w:bottom w:w="0" w:type="dxa"/>
            <w:right w:w="0" w:type="dxa"/>
          </w:tblCellMar>
        </w:tblPrEx>
        <w:trPr>
          <w:trHeight w:val="435" w:hRule="atLeast"/>
        </w:trPr>
        <w:tc>
          <w:tcPr>
            <w:tcW w:w="1352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4526"/>
              <w:gridCol w:w="1128"/>
              <w:gridCol w:w="1010"/>
              <w:gridCol w:w="448"/>
              <w:gridCol w:w="18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526"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138"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253"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47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52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138" w:type="dxa"/>
                  <w:gridSpan w:val="2"/>
                  <w:tcBorders>
                    <w:top w:val="nil"/>
                    <w:left w:val="nil"/>
                    <w:bottom w:val="nil"/>
                    <w:right w:val="nil"/>
                  </w:tcBorders>
                  <w:shd w:val="clear" w:color="auto" w:fill="FFFFFF"/>
                  <w:noWrap/>
                  <w:vAlign w:val="center"/>
                </w:tcPr>
                <w:p>
                  <w:pPr>
                    <w:jc w:val="right"/>
                    <w:rPr>
                      <w:rFonts w:hint="eastAsia" w:ascii="宋体" w:hAnsi="宋体" w:eastAsia="宋体" w:cs="宋体"/>
                      <w:color w:val="000000"/>
                      <w:kern w:val="2"/>
                      <w:sz w:val="20"/>
                      <w:szCs w:val="20"/>
                      <w:lang w:val="en-US" w:eastAsia="zh-CN" w:bidi="ar-SA"/>
                    </w:rPr>
                  </w:pPr>
                  <w:r>
                    <w:rPr>
                      <w:rFonts w:hint="eastAsia"/>
                      <w:color w:val="000000"/>
                      <w:sz w:val="20"/>
                      <w:szCs w:val="20"/>
                    </w:rPr>
                    <w:t>公开0</w:t>
                  </w:r>
                  <w:r>
                    <w:rPr>
                      <w:rFonts w:hint="eastAsia"/>
                      <w:color w:val="000000"/>
                      <w:sz w:val="20"/>
                      <w:szCs w:val="20"/>
                      <w:lang w:val="en-US" w:eastAsia="zh-CN"/>
                    </w:rPr>
                    <w:t>1</w:t>
                  </w:r>
                  <w:r>
                    <w:rPr>
                      <w:rFonts w:hint="eastAsia"/>
                      <w:color w:val="000000"/>
                      <w:sz w:val="20"/>
                      <w:szCs w:val="20"/>
                    </w:rPr>
                    <w:t>表</w:t>
                  </w:r>
                </w:p>
              </w:tc>
              <w:tc>
                <w:tcPr>
                  <w:tcW w:w="225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部门：怀化市大中坡电视转播台</w:t>
                  </w:r>
                </w:p>
              </w:tc>
              <w:tc>
                <w:tcPr>
                  <w:tcW w:w="5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52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138" w:type="dxa"/>
                  <w:gridSpan w:val="2"/>
                  <w:tcBorders>
                    <w:top w:val="nil"/>
                    <w:left w:val="nil"/>
                    <w:bottom w:val="nil"/>
                    <w:right w:val="nil"/>
                  </w:tcBorders>
                  <w:shd w:val="clear" w:color="auto" w:fill="FFFFFF"/>
                  <w:noWrap/>
                  <w:vAlign w:val="center"/>
                </w:tcPr>
                <w:p>
                  <w:pPr>
                    <w:jc w:val="right"/>
                    <w:rPr>
                      <w:rFonts w:hint="eastAsia" w:ascii="宋体" w:hAnsi="宋体" w:eastAsia="宋体" w:cs="宋体"/>
                      <w:color w:val="000000"/>
                      <w:kern w:val="2"/>
                      <w:sz w:val="20"/>
                      <w:szCs w:val="20"/>
                      <w:lang w:val="en-US" w:eastAsia="zh-CN" w:bidi="ar-SA"/>
                    </w:rPr>
                  </w:pPr>
                  <w:r>
                    <w:rPr>
                      <w:rFonts w:hint="eastAsia"/>
                      <w:color w:val="000000"/>
                      <w:sz w:val="20"/>
                      <w:szCs w:val="20"/>
                    </w:rPr>
                    <w:t>单位：万元</w:t>
                  </w:r>
                </w:p>
              </w:tc>
              <w:tc>
                <w:tcPr>
                  <w:tcW w:w="2253"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2"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541.78</w:t>
                  </w: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78.34</w:t>
                  </w: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196.81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366.96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620.12</w:t>
                  </w:r>
                </w:p>
              </w:tc>
              <w:tc>
                <w:tcPr>
                  <w:tcW w:w="4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620.12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05" w:type="dxa"/>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620.12</w:t>
                  </w:r>
                </w:p>
              </w:tc>
              <w:tc>
                <w:tcPr>
                  <w:tcW w:w="45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4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620.12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02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92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3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4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399" w:hRule="atLeast"/>
        </w:trPr>
        <w:tc>
          <w:tcPr>
            <w:tcW w:w="108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406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left"/>
              <w:rPr>
                <w:rFonts w:ascii="宋体" w:hAnsi="宋体" w:eastAsia="宋体" w:cs="宋体"/>
                <w:sz w:val="24"/>
                <w:szCs w:val="24"/>
              </w:rPr>
            </w:pPr>
            <w:r>
              <w:rPr>
                <w:rFonts w:hint="eastAsia"/>
              </w:rPr>
              <w:t>怀化市大中坡电视转播台　</w:t>
            </w:r>
          </w:p>
        </w:tc>
        <w:tc>
          <w:tcPr>
            <w:tcW w:w="140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20"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23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4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251" w:hRule="atLeast"/>
        </w:trPr>
        <w:tc>
          <w:tcPr>
            <w:tcW w:w="401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1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4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23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52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1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7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08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92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0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12" w:hRule="atLeast"/>
        </w:trPr>
        <w:tc>
          <w:tcPr>
            <w:tcW w:w="1088"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92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0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4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401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1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4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3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2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5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1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7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273" w:hRule="atLeast"/>
        </w:trPr>
        <w:tc>
          <w:tcPr>
            <w:tcW w:w="401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620.12</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541.78</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78.34</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255" w:hRule="atLeast"/>
        </w:trPr>
        <w:tc>
          <w:tcPr>
            <w:tcW w:w="10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2070899</w:t>
            </w:r>
          </w:p>
        </w:tc>
        <w:tc>
          <w:tcPr>
            <w:tcW w:w="29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其他广播电视支出</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277.85</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199.51</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78.34</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255" w:hRule="atLeast"/>
        </w:trPr>
        <w:tc>
          <w:tcPr>
            <w:tcW w:w="10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9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12.38</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12.38</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255" w:hRule="atLeast"/>
        </w:trPr>
        <w:tc>
          <w:tcPr>
            <w:tcW w:w="10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2070601</w:t>
            </w:r>
          </w:p>
        </w:tc>
        <w:tc>
          <w:tcPr>
            <w:tcW w:w="29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57.92</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57.92</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55" w:hRule="atLeast"/>
        </w:trPr>
        <w:tc>
          <w:tcPr>
            <w:tcW w:w="10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29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24.71</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24.71</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55" w:hRule="atLeast"/>
        </w:trPr>
        <w:tc>
          <w:tcPr>
            <w:tcW w:w="10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29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19.25</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19.25</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255" w:hRule="atLeast"/>
        </w:trPr>
        <w:tc>
          <w:tcPr>
            <w:tcW w:w="108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29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31.20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31.20</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2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1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7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15" w:hRule="atLeast"/>
        </w:trPr>
        <w:tc>
          <w:tcPr>
            <w:tcW w:w="1352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8"/>
        <w:tblW w:w="13210" w:type="dxa"/>
        <w:tblInd w:w="91" w:type="dxa"/>
        <w:tblLayout w:type="fixed"/>
        <w:tblCellMar>
          <w:top w:w="0" w:type="dxa"/>
          <w:left w:w="108" w:type="dxa"/>
          <w:bottom w:w="0" w:type="dxa"/>
          <w:right w:w="108" w:type="dxa"/>
        </w:tblCellMar>
      </w:tblPr>
      <w:tblGrid>
        <w:gridCol w:w="1236"/>
        <w:gridCol w:w="240"/>
        <w:gridCol w:w="3166"/>
        <w:gridCol w:w="1308"/>
        <w:gridCol w:w="1428"/>
        <w:gridCol w:w="1308"/>
        <w:gridCol w:w="1260"/>
        <w:gridCol w:w="1332"/>
        <w:gridCol w:w="1932"/>
      </w:tblGrid>
      <w:tr>
        <w:tblPrEx>
          <w:tblCellMar>
            <w:top w:w="0" w:type="dxa"/>
            <w:left w:w="108" w:type="dxa"/>
            <w:bottom w:w="0" w:type="dxa"/>
            <w:right w:w="108" w:type="dxa"/>
          </w:tblCellMar>
        </w:tblPrEx>
        <w:trPr>
          <w:trHeight w:val="807" w:hRule="atLeast"/>
        </w:trPr>
        <w:tc>
          <w:tcPr>
            <w:tcW w:w="1321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2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6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rPr>
          <w:trHeight w:val="261" w:hRule="atLeast"/>
        </w:trPr>
        <w:tc>
          <w:tcPr>
            <w:tcW w:w="5950" w:type="dxa"/>
            <w:gridSpan w:val="4"/>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kern w:val="0"/>
                <w:sz w:val="24"/>
                <w:szCs w:val="24"/>
              </w:rPr>
              <w:t>　</w:t>
            </w:r>
            <w:r>
              <w:rPr>
                <w:rFonts w:hint="eastAsia"/>
              </w:rPr>
              <w:t>怀化市大中坡电视转播台</w:t>
            </w:r>
          </w:p>
        </w:tc>
        <w:tc>
          <w:tcPr>
            <w:tcW w:w="142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8"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26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299" w:hRule="atLeast"/>
        </w:trPr>
        <w:tc>
          <w:tcPr>
            <w:tcW w:w="4642"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2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3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93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16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3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316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261" w:hRule="atLeast"/>
        </w:trPr>
        <w:tc>
          <w:tcPr>
            <w:tcW w:w="46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30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2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0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26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3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93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261" w:hRule="atLeast"/>
        </w:trPr>
        <w:tc>
          <w:tcPr>
            <w:tcW w:w="464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620.12</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566.07</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54.05</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6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2070899</w:t>
            </w:r>
          </w:p>
        </w:tc>
        <w:tc>
          <w:tcPr>
            <w:tcW w:w="316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其他广播电视支出</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277.85</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262.48</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15.37</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6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16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12.38</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12.38</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6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2070601</w:t>
            </w:r>
          </w:p>
        </w:tc>
        <w:tc>
          <w:tcPr>
            <w:tcW w:w="316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57.92</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47.28</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10.64</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6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16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24.71</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24.71</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6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2050599</w:t>
            </w:r>
          </w:p>
        </w:tc>
        <w:tc>
          <w:tcPr>
            <w:tcW w:w="316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196.81</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196.81</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6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16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19.25</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19.25</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6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3166"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31.20</w:t>
            </w:r>
          </w:p>
        </w:tc>
        <w:tc>
          <w:tcPr>
            <w:tcW w:w="142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3.16</w:t>
            </w:r>
          </w:p>
        </w:tc>
        <w:tc>
          <w:tcPr>
            <w:tcW w:w="130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28.04</w:t>
            </w:r>
          </w:p>
        </w:tc>
        <w:tc>
          <w:tcPr>
            <w:tcW w:w="126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332"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32"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828" w:hRule="atLeast"/>
        </w:trPr>
        <w:tc>
          <w:tcPr>
            <w:tcW w:w="1321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tbl>
      <w:tblPr>
        <w:tblStyle w:val="8"/>
        <w:tblW w:w="15521" w:type="dxa"/>
        <w:tblInd w:w="91"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tblPrEx>
          <w:tblCellMar>
            <w:top w:w="0" w:type="dxa"/>
            <w:left w:w="108" w:type="dxa"/>
            <w:bottom w:w="0" w:type="dxa"/>
            <w:right w:w="108" w:type="dxa"/>
          </w:tblCellMar>
        </w:tblPrEx>
        <w:trPr>
          <w:trHeight w:val="90" w:hRule="atLeast"/>
        </w:trPr>
        <w:tc>
          <w:tcPr>
            <w:tcW w:w="15521" w:type="dxa"/>
            <w:gridSpan w:val="10"/>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部门：怀化市大中坡电视转播台</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308"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78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541.78</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196.81</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196.81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288.63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288.63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43.97</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43.97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rPr>
            </w:pP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12.38</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12.38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541.78</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541.78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541.78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340"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541.78</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541.78</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541.78</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宋体" w:cs="Times New Roman"/>
          <w:color w:val="000000"/>
          <w:kern w:val="0"/>
          <w:sz w:val="20"/>
          <w:szCs w:val="20"/>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部门：</w:t>
      </w:r>
      <w:r>
        <w:rPr>
          <w:rFonts w:hint="default" w:ascii="Times New Roman" w:hAnsi="Times New Roman" w:eastAsia="仿宋_GB2312" w:cs="Times New Roman"/>
          <w:color w:val="000000"/>
          <w:kern w:val="0"/>
          <w:szCs w:val="21"/>
        </w:rPr>
        <w:t>怀化市大中坡电视转播台</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lang w:val="en-US" w:eastAsia="zh-CN"/>
        </w:rPr>
        <w:t>5</w:t>
      </w:r>
      <w:r>
        <w:rPr>
          <w:rFonts w:ascii="Times New Roman" w:hAnsi="Times New Roman" w:eastAsia="仿宋_GB2312" w:cs="Times New Roman"/>
          <w:color w:val="000000"/>
          <w:kern w:val="0"/>
          <w:szCs w:val="21"/>
        </w:rPr>
        <w:t>表</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w:t>
      </w:r>
      <w:r>
        <w:rPr>
          <w:rFonts w:hint="eastAsia" w:ascii="Times New Roman" w:hAnsi="Times New Roman" w:eastAsia="仿宋_GB2312" w:cs="Times New Roman"/>
          <w:color w:val="000000"/>
          <w:kern w:val="0"/>
          <w:szCs w:val="21"/>
          <w:lang w:val="en-US" w:eastAsia="zh-CN"/>
        </w:rPr>
        <w:t>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p>
    <w:tbl>
      <w:tblPr>
        <w:tblStyle w:val="8"/>
        <w:tblW w:w="12436" w:type="dxa"/>
        <w:jc w:val="center"/>
        <w:tblLayout w:type="autofit"/>
        <w:tblCellMar>
          <w:top w:w="0" w:type="dxa"/>
          <w:left w:w="108" w:type="dxa"/>
          <w:bottom w:w="0" w:type="dxa"/>
          <w:right w:w="108" w:type="dxa"/>
        </w:tblCellMar>
      </w:tblPr>
      <w:tblGrid>
        <w:gridCol w:w="1200"/>
        <w:gridCol w:w="3527"/>
        <w:gridCol w:w="2353"/>
        <w:gridCol w:w="2800"/>
        <w:gridCol w:w="2556"/>
      </w:tblGrid>
      <w:tr>
        <w:trPr>
          <w:trHeight w:val="434"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7709"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科目名称</w:t>
            </w:r>
          </w:p>
        </w:tc>
        <w:tc>
          <w:tcPr>
            <w:tcW w:w="235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小计</w:t>
            </w:r>
          </w:p>
        </w:tc>
        <w:tc>
          <w:tcPr>
            <w:tcW w:w="28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基本支出</w:t>
            </w:r>
          </w:p>
        </w:tc>
        <w:tc>
          <w:tcPr>
            <w:tcW w:w="2556"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 w:val="18"/>
                <w:szCs w:val="18"/>
              </w:rPr>
            </w:pPr>
            <w:r>
              <w:rPr>
                <w:rFonts w:ascii="Times New Roman" w:hAnsi="Times New Roman" w:eastAsia="仿宋_GB2312" w:cs="Times New Roman"/>
                <w:b/>
                <w:kern w:val="0"/>
                <w:sz w:val="18"/>
                <w:szCs w:val="18"/>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353"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556"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353"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556"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252"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栏次</w:t>
            </w:r>
          </w:p>
        </w:tc>
        <w:tc>
          <w:tcPr>
            <w:tcW w:w="235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8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556"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18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合计</w:t>
            </w:r>
          </w:p>
        </w:tc>
        <w:tc>
          <w:tcPr>
            <w:tcW w:w="23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541.78</w:t>
            </w:r>
          </w:p>
        </w:tc>
        <w:tc>
          <w:tcPr>
            <w:tcW w:w="2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487.73</w:t>
            </w:r>
          </w:p>
        </w:tc>
        <w:tc>
          <w:tcPr>
            <w:tcW w:w="2556"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54.05</w:t>
            </w:r>
          </w:p>
        </w:tc>
      </w:tr>
      <w:tr>
        <w:tblPrEx>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2070899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其他广播电视支出</w:t>
            </w:r>
          </w:p>
        </w:tc>
        <w:tc>
          <w:tcPr>
            <w:tcW w:w="23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199.51</w:t>
            </w:r>
          </w:p>
        </w:tc>
        <w:tc>
          <w:tcPr>
            <w:tcW w:w="2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184.14</w:t>
            </w:r>
          </w:p>
        </w:tc>
        <w:tc>
          <w:tcPr>
            <w:tcW w:w="2556"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15.37</w:t>
            </w:r>
          </w:p>
        </w:tc>
      </w:tr>
      <w:tr>
        <w:tblPrEx>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23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12.38</w:t>
            </w:r>
          </w:p>
        </w:tc>
        <w:tc>
          <w:tcPr>
            <w:tcW w:w="2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12.38</w:t>
            </w:r>
          </w:p>
        </w:tc>
        <w:tc>
          <w:tcPr>
            <w:tcW w:w="2556"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2070601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23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57.92</w:t>
            </w:r>
          </w:p>
        </w:tc>
        <w:tc>
          <w:tcPr>
            <w:tcW w:w="2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47.28</w:t>
            </w:r>
          </w:p>
        </w:tc>
        <w:tc>
          <w:tcPr>
            <w:tcW w:w="2556"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10.64</w:t>
            </w:r>
          </w:p>
        </w:tc>
      </w:tr>
      <w:tr>
        <w:tblPrEx>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3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24.71</w:t>
            </w:r>
          </w:p>
        </w:tc>
        <w:tc>
          <w:tcPr>
            <w:tcW w:w="2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24.71</w:t>
            </w:r>
          </w:p>
        </w:tc>
        <w:tc>
          <w:tcPr>
            <w:tcW w:w="2556"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2050599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其他广播电视教育支出</w:t>
            </w:r>
          </w:p>
        </w:tc>
        <w:tc>
          <w:tcPr>
            <w:tcW w:w="235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196.81</w:t>
            </w:r>
          </w:p>
        </w:tc>
        <w:tc>
          <w:tcPr>
            <w:tcW w:w="28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196.81</w:t>
            </w:r>
          </w:p>
        </w:tc>
        <w:tc>
          <w:tcPr>
            <w:tcW w:w="2556"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353"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19.25</w:t>
            </w:r>
          </w:p>
        </w:tc>
        <w:tc>
          <w:tcPr>
            <w:tcW w:w="28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19.25</w:t>
            </w:r>
          </w:p>
        </w:tc>
        <w:tc>
          <w:tcPr>
            <w:tcW w:w="2556"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2353"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31.20</w:t>
            </w:r>
          </w:p>
        </w:tc>
        <w:tc>
          <w:tcPr>
            <w:tcW w:w="28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3.16</w:t>
            </w:r>
          </w:p>
        </w:tc>
        <w:tc>
          <w:tcPr>
            <w:tcW w:w="2556"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28.04</w:t>
            </w:r>
          </w:p>
        </w:tc>
      </w:tr>
      <w:tr>
        <w:tblPrEx>
          <w:tblCellMar>
            <w:top w:w="0" w:type="dxa"/>
            <w:left w:w="108" w:type="dxa"/>
            <w:bottom w:w="0" w:type="dxa"/>
            <w:right w:w="108" w:type="dxa"/>
          </w:tblCellMar>
        </w:tblPrEx>
        <w:trPr>
          <w:trHeight w:val="645" w:hRule="atLeast"/>
          <w:jc w:val="center"/>
        </w:trPr>
        <w:tc>
          <w:tcPr>
            <w:tcW w:w="12436"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p>
    <w:tbl>
      <w:tblPr>
        <w:tblStyle w:val="8"/>
        <w:tblW w:w="0" w:type="auto"/>
        <w:tblInd w:w="0" w:type="dxa"/>
        <w:tblLayout w:type="fixed"/>
        <w:tblCellMar>
          <w:top w:w="0" w:type="dxa"/>
          <w:left w:w="108" w:type="dxa"/>
          <w:bottom w:w="0" w:type="dxa"/>
          <w:right w:w="108" w:type="dxa"/>
        </w:tblCellMar>
      </w:tblPr>
      <w:tblGrid>
        <w:gridCol w:w="982"/>
        <w:gridCol w:w="239"/>
        <w:gridCol w:w="93"/>
        <w:gridCol w:w="1278"/>
        <w:gridCol w:w="2010"/>
        <w:gridCol w:w="79"/>
        <w:gridCol w:w="880"/>
        <w:gridCol w:w="1085"/>
        <w:gridCol w:w="313"/>
        <w:gridCol w:w="1948"/>
        <w:gridCol w:w="141"/>
        <w:gridCol w:w="847"/>
        <w:gridCol w:w="960"/>
        <w:gridCol w:w="362"/>
        <w:gridCol w:w="2069"/>
        <w:gridCol w:w="1289"/>
        <w:gridCol w:w="786"/>
        <w:gridCol w:w="142"/>
        <w:gridCol w:w="101"/>
      </w:tblGrid>
      <w:tr>
        <w:tblPrEx>
          <w:tblCellMar>
            <w:top w:w="0" w:type="dxa"/>
            <w:left w:w="108" w:type="dxa"/>
            <w:bottom w:w="0" w:type="dxa"/>
            <w:right w:w="108" w:type="dxa"/>
          </w:tblCellMar>
        </w:tblPrEx>
        <w:trPr>
          <w:gridAfter w:val="1"/>
          <w:wAfter w:w="101" w:type="dxa"/>
          <w:trHeight w:val="113" w:hRule="atLeast"/>
        </w:trPr>
        <w:tc>
          <w:tcPr>
            <w:tcW w:w="15503"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b/>
                <w:bCs/>
                <w:color w:val="000000"/>
                <w:kern w:val="0"/>
                <w:sz w:val="28"/>
                <w:szCs w:val="28"/>
              </w:rPr>
            </w:pPr>
            <w:r>
              <w:rPr>
                <w:rFonts w:ascii="Times New Roman" w:hAnsi="Times New Roman" w:eastAsia="仿宋_GB2312" w:cs="Times New Roman"/>
                <w:b/>
                <w:bCs/>
                <w:kern w:val="0"/>
                <w:sz w:val="28"/>
                <w:szCs w:val="28"/>
              </w:rPr>
              <w:br w:type="page"/>
            </w:r>
            <w:bookmarkStart w:id="2" w:name="RANGE!A1:I34"/>
            <w:r>
              <w:rPr>
                <w:rFonts w:hint="eastAsia" w:ascii="华文中宋" w:hAnsi="华文中宋" w:eastAsia="华文中宋" w:cs="宋体"/>
                <w:b/>
                <w:bCs/>
                <w:color w:val="000000"/>
                <w:kern w:val="0"/>
                <w:sz w:val="28"/>
                <w:szCs w:val="28"/>
              </w:rPr>
              <w:t>一般公共预算财政拨款基本支出决算明细表</w:t>
            </w:r>
            <w:bookmarkEnd w:id="2"/>
          </w:p>
          <w:p>
            <w:pPr>
              <w:widowControl/>
              <w:wordWrap w:val="0"/>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default" w:ascii="Times New Roman" w:hAnsi="Times New Roman" w:eastAsia="仿宋_GB2312" w:cs="Times New Roman"/>
                <w:color w:val="000000"/>
                <w:kern w:val="0"/>
                <w:szCs w:val="21"/>
              </w:rPr>
              <w:t>怀化市大中坡电视转播台</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w:t>
            </w:r>
            <w:r>
              <w:rPr>
                <w:rFonts w:hint="eastAsia" w:ascii="Times New Roman" w:hAnsi="Times New Roman" w:eastAsia="仿宋_GB2312" w:cs="Times New Roman"/>
                <w:color w:val="000000"/>
                <w:kern w:val="0"/>
                <w:szCs w:val="21"/>
                <w:lang w:val="en-US" w:eastAsia="zh-CN"/>
              </w:rPr>
              <w:t>6</w:t>
            </w:r>
            <w:r>
              <w:rPr>
                <w:rFonts w:hint="eastAsia" w:ascii="Times New Roman" w:hAnsi="Times New Roman" w:eastAsia="仿宋_GB2312" w:cs="Times New Roman"/>
                <w:color w:val="000000"/>
                <w:kern w:val="0"/>
                <w:szCs w:val="21"/>
              </w:rPr>
              <w:t>表        单位：万元</w:t>
            </w:r>
          </w:p>
        </w:tc>
      </w:tr>
      <w:tr>
        <w:tblPrEx>
          <w:tblCellMar>
            <w:top w:w="0" w:type="dxa"/>
            <w:left w:w="108" w:type="dxa"/>
            <w:bottom w:w="0" w:type="dxa"/>
            <w:right w:w="108" w:type="dxa"/>
          </w:tblCellMar>
        </w:tblPrEx>
        <w:trPr>
          <w:trHeight w:val="113" w:hRule="atLeast"/>
        </w:trPr>
        <w:tc>
          <w:tcPr>
            <w:tcW w:w="13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328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9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10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226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98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9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372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102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429.01</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37.27</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142.30</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2.86</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159.11</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35.10</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0.30</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29"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7.24</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0.16</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29"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0.41</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29"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32.57</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6.18</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29"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5.80</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1.13</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22.60</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3.82</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3.33</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11.59</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8.88</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21.45</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0.59</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1.43</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0.59</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19.25</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0.32</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12.00</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0.77</w:t>
            </w: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对民间非营利组织和群众性自治组织补贴</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1.96</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2.81</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14"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8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59"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08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8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1.77</w:t>
            </w:r>
          </w:p>
        </w:tc>
        <w:tc>
          <w:tcPr>
            <w:tcW w:w="9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20"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2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346" w:hRule="exact"/>
        </w:trPr>
        <w:tc>
          <w:tcPr>
            <w:tcW w:w="460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59"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450.47</w:t>
            </w:r>
          </w:p>
        </w:tc>
        <w:tc>
          <w:tcPr>
            <w:tcW w:w="9014"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29" w:type="dxa"/>
            <w:gridSpan w:val="3"/>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37.27</w:t>
            </w:r>
          </w:p>
        </w:tc>
      </w:tr>
      <w:tr>
        <w:tblPrEx>
          <w:tblCellMar>
            <w:top w:w="0" w:type="dxa"/>
            <w:left w:w="108" w:type="dxa"/>
            <w:bottom w:w="0" w:type="dxa"/>
            <w:right w:w="108" w:type="dxa"/>
          </w:tblCellMar>
        </w:tblPrEx>
        <w:trPr>
          <w:gridAfter w:val="1"/>
          <w:wAfter w:w="101" w:type="dxa"/>
          <w:trHeight w:val="284" w:hRule="exact"/>
        </w:trPr>
        <w:tc>
          <w:tcPr>
            <w:tcW w:w="15503"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690" w:hRule="atLeast"/>
        </w:trPr>
        <w:tc>
          <w:tcPr>
            <w:tcW w:w="15361"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345" w:hRule="atLeast"/>
        </w:trPr>
        <w:tc>
          <w:tcPr>
            <w:tcW w:w="98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71"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8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78"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6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6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690" w:hRule="atLeast"/>
        </w:trPr>
        <w:tc>
          <w:tcPr>
            <w:tcW w:w="6959" w:type="dxa"/>
            <w:gridSpan w:val="9"/>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ascii="Times New Roman" w:hAnsi="Times New Roman" w:eastAsia="仿宋_GB2312" w:cs="Times New Roman"/>
                <w:color w:val="000000"/>
                <w:kern w:val="0"/>
                <w:szCs w:val="21"/>
              </w:rPr>
              <w:t xml:space="preserve"> </w:t>
            </w:r>
            <w:r>
              <w:rPr>
                <w:rFonts w:hint="default" w:ascii="Times New Roman" w:hAnsi="Times New Roman" w:eastAsia="仿宋_GB2312" w:cs="Times New Roman"/>
                <w:color w:val="000000"/>
                <w:kern w:val="0"/>
                <w:szCs w:val="21"/>
              </w:rPr>
              <w:t>怀化市大中坡电视转播台</w:t>
            </w:r>
          </w:p>
        </w:tc>
        <w:tc>
          <w:tcPr>
            <w:tcW w:w="208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6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6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459" w:hRule="atLeast"/>
        </w:trPr>
        <w:tc>
          <w:tcPr>
            <w:tcW w:w="25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0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609" w:hRule="atLeast"/>
        </w:trPr>
        <w:tc>
          <w:tcPr>
            <w:tcW w:w="12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409" w:hRule="atLeast"/>
        </w:trPr>
        <w:tc>
          <w:tcPr>
            <w:tcW w:w="12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12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25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25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509" w:hRule="atLeast"/>
        </w:trPr>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243" w:type="dxa"/>
          <w:trHeight w:val="725" w:hRule="atLeast"/>
        </w:trPr>
        <w:tc>
          <w:tcPr>
            <w:tcW w:w="15361"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627"/>
        <w:gridCol w:w="2010"/>
        <w:gridCol w:w="2875"/>
        <w:gridCol w:w="2875"/>
        <w:gridCol w:w="3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301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627"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01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87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87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5653" w:type="dxa"/>
            <w:gridSpan w:val="3"/>
            <w:tcBorders>
              <w:top w:val="nil"/>
              <w:left w:val="nil"/>
              <w:bottom w:val="nil"/>
              <w:right w:val="nil"/>
            </w:tcBorders>
            <w:shd w:val="clear" w:color="auto" w:fill="FFFFFF"/>
            <w:noWrap/>
            <w:vAlign w:val="center"/>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部门：怀化市大中坡电视转播台</w:t>
            </w:r>
          </w:p>
        </w:tc>
        <w:tc>
          <w:tcPr>
            <w:tcW w:w="287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87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6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9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6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6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6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8" w:hRule="atLeast"/>
        </w:trPr>
        <w:tc>
          <w:tcPr>
            <w:tcW w:w="3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36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8"/>
        <w:tblW w:w="148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40"/>
        <w:gridCol w:w="1272"/>
        <w:gridCol w:w="1128"/>
        <w:gridCol w:w="1092"/>
        <w:gridCol w:w="1351"/>
        <w:gridCol w:w="1066"/>
        <w:gridCol w:w="1066"/>
        <w:gridCol w:w="1170"/>
        <w:gridCol w:w="927"/>
        <w:gridCol w:w="1205"/>
        <w:gridCol w:w="1066"/>
        <w:gridCol w:w="10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888"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4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128"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9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5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6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6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17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92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0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1" w:type="dxa"/>
            <w:gridSpan w:val="2"/>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940" w:type="dxa"/>
            <w:gridSpan w:val="3"/>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部门：怀化市大中坡电视转播台</w:t>
            </w:r>
          </w:p>
        </w:tc>
        <w:tc>
          <w:tcPr>
            <w:tcW w:w="1092"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35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6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06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17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927"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0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71" w:type="dxa"/>
            <w:gridSpan w:val="2"/>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84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64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25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1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25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2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4888"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2"/>
        <w:rPr>
          <w:sz w:val="72"/>
          <w:szCs w:val="72"/>
        </w:rPr>
      </w:pPr>
    </w:p>
    <w:p>
      <w:pPr>
        <w:pStyle w:val="12"/>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2"/>
        <w:jc w:val="center"/>
        <w:rPr>
          <w:rFonts w:hint="eastAsia" w:ascii="方正小标宋_GBK" w:hAnsi="方正小标宋_GBK" w:eastAsia="方正小标宋_GBK" w:cs="方正小标宋_GBK"/>
          <w:sz w:val="70"/>
          <w:szCs w:val="70"/>
        </w:rPr>
      </w:pPr>
    </w:p>
    <w:p>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numPr>
          <w:ilvl w:val="0"/>
          <w:numId w:val="0"/>
        </w:numPr>
        <w:snapToGrid w:val="0"/>
        <w:spacing w:line="52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620.12</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减少36.56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减少5.57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w:t>
      </w:r>
      <w:r>
        <w:rPr>
          <w:rFonts w:hint="eastAsia" w:ascii="仿宋_GB2312" w:hAnsi="仿宋_GB2312" w:eastAsia="仿宋_GB2312" w:cs="仿宋_GB2312"/>
          <w:sz w:val="32"/>
          <w:szCs w:val="32"/>
          <w:lang w:val="en-US" w:eastAsia="zh-CN"/>
        </w:rPr>
        <w:t>广播电视节目无线覆盖设备运维费事业收入减少</w:t>
      </w:r>
      <w:r>
        <w:rPr>
          <w:rFonts w:hint="eastAsia" w:ascii="仿宋_GB2312" w:hAnsi="仿宋_GB2312" w:eastAsia="仿宋_GB2312" w:cs="仿宋_GB2312"/>
          <w:sz w:val="32"/>
          <w:szCs w:val="32"/>
        </w:rPr>
        <w:t>。</w:t>
      </w:r>
    </w:p>
    <w:p>
      <w:pPr>
        <w:numPr>
          <w:ilvl w:val="0"/>
          <w:numId w:val="0"/>
        </w:numPr>
        <w:snapToGrid w:val="0"/>
        <w:spacing w:line="5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1、厉行节约，公用经费开支减少；</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2、2022年发放金额中包含上一年度绩效，2023年基础绩效工资发放时间平均到各月。</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snapToGrid w:val="0"/>
        <w:spacing w:line="520" w:lineRule="exact"/>
        <w:ind w:firstLine="640" w:firstLineChars="200"/>
        <w:rPr>
          <w:rFonts w:hint="eastAsia" w:ascii="宋体" w:hAnsi="宋体" w:eastAsia="宋体" w:cs="宋体"/>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620.12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541.78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87.37</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78.34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12.63</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度支出合计</w:t>
      </w:r>
      <w:r>
        <w:rPr>
          <w:rFonts w:hint="eastAsia" w:ascii="Times New Roman" w:hAnsi="Times New Roman" w:eastAsia="仿宋_GB2312"/>
          <w:sz w:val="32"/>
          <w:szCs w:val="32"/>
          <w:lang w:val="en-US" w:eastAsia="zh-CN"/>
        </w:rPr>
        <w:t>621.12</w:t>
      </w:r>
      <w:r>
        <w:rPr>
          <w:rFonts w:hint="eastAsia" w:ascii="Times New Roman" w:hAnsi="Times New Roman" w:eastAsia="仿宋_GB2312"/>
          <w:sz w:val="32"/>
          <w:szCs w:val="32"/>
        </w:rPr>
        <w:t>元，其中：基本支出</w:t>
      </w:r>
      <w:r>
        <w:rPr>
          <w:rFonts w:hint="eastAsia" w:ascii="Times New Roman" w:hAnsi="Times New Roman" w:eastAsia="仿宋_GB2312"/>
          <w:sz w:val="32"/>
          <w:szCs w:val="32"/>
          <w:lang w:val="en-US" w:eastAsia="zh-CN"/>
        </w:rPr>
        <w:t>566.07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91.28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54.05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8.72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度财政拨款收、支总计</w:t>
      </w:r>
      <w:r>
        <w:rPr>
          <w:rFonts w:hint="eastAsia" w:ascii="Times New Roman" w:hAnsi="Times New Roman" w:eastAsia="仿宋_GB2312"/>
          <w:sz w:val="32"/>
          <w:szCs w:val="32"/>
          <w:lang w:val="en-US" w:eastAsia="zh-CN"/>
        </w:rPr>
        <w:t>541.78</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val="en-US" w:eastAsia="zh-CN"/>
        </w:rPr>
        <w:t>减少51.93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减少8.75</w:t>
      </w:r>
      <w:r>
        <w:rPr>
          <w:rFonts w:hint="eastAsia" w:ascii="Times New Roman" w:hAnsi="Times New Roman" w:eastAsia="仿宋_GB2312"/>
          <w:sz w:val="32"/>
          <w:szCs w:val="32"/>
        </w:rPr>
        <w:t>%，主要是因为</w:t>
      </w:r>
      <w:r>
        <w:rPr>
          <w:rFonts w:hint="eastAsia" w:ascii="仿宋_GB2312" w:hAnsi="仿宋_GB2312" w:eastAsia="仿宋_GB2312" w:cs="仿宋_GB2312"/>
          <w:sz w:val="32"/>
          <w:szCs w:val="32"/>
          <w:lang w:val="en-US" w:eastAsia="zh-CN"/>
        </w:rPr>
        <w:t>2022年绩效发放金额中包含了上一年度绩效，2023年基础绩效工资发放时间平均到各月。</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w:t>
      </w:r>
      <w:r>
        <w:rPr>
          <w:rFonts w:hint="eastAsia" w:ascii="Times New Roman" w:hAnsi="Times New Roman" w:eastAsia="仿宋_GB2312"/>
          <w:sz w:val="32"/>
          <w:szCs w:val="32"/>
          <w:lang w:val="en-US" w:eastAsia="zh-CN"/>
        </w:rPr>
        <w:t>541.78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87.37</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减少51.93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减少8.75</w:t>
      </w:r>
      <w:r>
        <w:rPr>
          <w:rFonts w:hint="eastAsia" w:ascii="Times New Roman" w:hAnsi="Times New Roman" w:eastAsia="仿宋_GB2312"/>
          <w:sz w:val="32"/>
          <w:szCs w:val="32"/>
        </w:rPr>
        <w:t>%，主要是因为</w:t>
      </w:r>
      <w:r>
        <w:rPr>
          <w:rFonts w:hint="eastAsia" w:ascii="仿宋_GB2312" w:hAnsi="仿宋_GB2312" w:eastAsia="仿宋_GB2312" w:cs="仿宋_GB2312"/>
          <w:sz w:val="32"/>
          <w:szCs w:val="32"/>
          <w:lang w:val="en-US" w:eastAsia="zh-CN"/>
        </w:rPr>
        <w:t>2022年绩效发放金额中包含了上一年度绩效，2023年基础绩效工资发放时间平均到各月。</w:t>
      </w:r>
    </w:p>
    <w:p>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w:t>
      </w:r>
      <w:r>
        <w:rPr>
          <w:rFonts w:hint="eastAsia" w:ascii="Times New Roman" w:hAnsi="Times New Roman" w:eastAsia="仿宋_GB2312"/>
          <w:sz w:val="32"/>
          <w:szCs w:val="32"/>
          <w:lang w:val="en-US" w:eastAsia="zh-CN"/>
        </w:rPr>
        <w:t>541.78</w:t>
      </w:r>
      <w:r>
        <w:rPr>
          <w:rFonts w:hint="eastAsia" w:ascii="Times New Roman" w:hAnsi="Times New Roman" w:eastAsia="仿宋_GB2312"/>
          <w:sz w:val="32"/>
          <w:szCs w:val="32"/>
        </w:rPr>
        <w:t>万元，主要用于以下方面</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教育（类）支出</w:t>
      </w:r>
      <w:r>
        <w:rPr>
          <w:rFonts w:hint="eastAsia" w:ascii="仿宋_GB2312" w:hAnsi="仿宋_GB2312" w:eastAsia="仿宋_GB2312" w:cs="仿宋_GB2312"/>
          <w:color w:val="auto"/>
          <w:sz w:val="32"/>
          <w:szCs w:val="32"/>
          <w:lang w:val="en-US" w:eastAsia="zh-CN"/>
        </w:rPr>
        <w:t>196.81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31.74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文化旅游体育与传媒（类）支出366.96万元，占59.18%；社会保障和就业（类）支出43.97万元，占7.09%；卫生健康（类）支出12.38万元，占2%。</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度财政拨款支出年初预算数为</w:t>
      </w:r>
      <w:r>
        <w:rPr>
          <w:rFonts w:hint="eastAsia" w:ascii="Times New Roman" w:hAnsi="Times New Roman" w:eastAsia="仿宋_GB2312"/>
          <w:color w:val="0000FF"/>
          <w:sz w:val="32"/>
          <w:szCs w:val="32"/>
          <w:lang w:val="en-US" w:eastAsia="zh-CN"/>
        </w:rPr>
        <w:t>427.67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541.78</w:t>
      </w:r>
      <w:r>
        <w:rPr>
          <w:rFonts w:hint="eastAsia" w:ascii="Times New Roman" w:hAnsi="Times New Roman" w:eastAsia="仿宋_GB2312"/>
          <w:sz w:val="32"/>
          <w:szCs w:val="32"/>
        </w:rPr>
        <w:t>万元，完成年初预算的</w:t>
      </w:r>
      <w:r>
        <w:rPr>
          <w:rFonts w:hint="eastAsia" w:ascii="Times New Roman" w:hAnsi="Times New Roman" w:eastAsia="仿宋_GB2312"/>
          <w:color w:val="0000FF"/>
          <w:sz w:val="32"/>
          <w:szCs w:val="32"/>
          <w:lang w:val="en-US" w:eastAsia="zh-CN"/>
        </w:rPr>
        <w:t>126.68</w:t>
      </w:r>
      <w:r>
        <w:rPr>
          <w:rFonts w:hint="eastAsia" w:ascii="Times New Roman" w:hAnsi="Times New Roman" w:eastAsia="仿宋_GB2312"/>
          <w:sz w:val="32"/>
          <w:szCs w:val="32"/>
        </w:rPr>
        <w:t>%，其中：</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1、教育支出（类）广播电视教育（款）其他广播电视教育支出（项）</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年初预算为0万元，支出决算为</w:t>
      </w:r>
      <w:r>
        <w:rPr>
          <w:rFonts w:hint="eastAsia" w:ascii="仿宋_GB2312" w:hAnsi="仿宋_GB2312" w:eastAsia="仿宋_GB2312" w:cs="仿宋_GB2312"/>
          <w:color w:val="auto"/>
          <w:sz w:val="32"/>
          <w:szCs w:val="32"/>
          <w:lang w:val="en-US" w:eastAsia="zh-CN"/>
        </w:rPr>
        <w:t>196.81</w:t>
      </w:r>
      <w:r>
        <w:rPr>
          <w:rFonts w:hint="eastAsia" w:ascii="仿宋_GB2312" w:hAnsi="仿宋_GB2312" w:eastAsia="仿宋_GB2312" w:cs="仿宋_GB2312"/>
          <w:color w:val="auto"/>
          <w:sz w:val="32"/>
          <w:szCs w:val="32"/>
        </w:rPr>
        <w:t>万元，无法计算</w:t>
      </w:r>
      <w:r>
        <w:rPr>
          <w:rFonts w:hint="eastAsia" w:ascii="Times New Roman" w:hAnsi="Times New Roman" w:eastAsia="仿宋_GB2312"/>
          <w:color w:val="auto"/>
          <w:sz w:val="32"/>
          <w:szCs w:val="32"/>
        </w:rPr>
        <w:t>完成年初预算</w:t>
      </w:r>
      <w:r>
        <w:rPr>
          <w:rFonts w:hint="eastAsia" w:ascii="仿宋_GB2312" w:hAnsi="仿宋_GB2312" w:eastAsia="仿宋_GB2312" w:cs="仿宋_GB2312"/>
          <w:color w:val="auto"/>
          <w:sz w:val="32"/>
          <w:szCs w:val="32"/>
        </w:rPr>
        <w:t>比例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决算数大于年初预算数的主要原因是：该项支出为人员经费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在职人员绩效奖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但财政实际下拨的款、项有些会不一样。</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、文化旅游体育与传媒支出（类）新闻出版电影（款）行政运行（项）</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380.87</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57.92</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15.21</w:t>
      </w:r>
      <w:r>
        <w:rPr>
          <w:rFonts w:hint="eastAsia" w:ascii="仿宋_GB2312" w:hAnsi="仿宋_GB2312" w:eastAsia="仿宋_GB2312" w:cs="仿宋_GB2312"/>
          <w:color w:val="auto"/>
          <w:sz w:val="32"/>
          <w:szCs w:val="32"/>
        </w:rPr>
        <w:t>%，决算数小于年初预算数的主要原因是：该项支出为人员经费和公用经费，年初预算统一做在该项，但财政实际下拨的项有些会不一样，本年公用经费也有所压减。</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、文化旅游体育与传媒支出（类）广播电视（款）其他广播电视支出（项）</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46.8</w:t>
      </w:r>
      <w:r>
        <w:rPr>
          <w:rFonts w:hint="eastAsia" w:ascii="仿宋_GB2312" w:hAnsi="仿宋_GB2312" w:eastAsia="仿宋_GB2312" w:cs="仿宋_GB2312"/>
          <w:color w:val="auto"/>
          <w:sz w:val="32"/>
          <w:szCs w:val="32"/>
        </w:rPr>
        <w:t>万元，支出决算</w:t>
      </w:r>
      <w:r>
        <w:rPr>
          <w:rFonts w:hint="eastAsia" w:ascii="仿宋_GB2312" w:hAnsi="仿宋_GB2312" w:eastAsia="仿宋_GB2312" w:cs="仿宋_GB2312"/>
          <w:color w:val="auto"/>
          <w:sz w:val="32"/>
          <w:szCs w:val="32"/>
          <w:lang w:val="en-US" w:eastAsia="zh-CN"/>
        </w:rPr>
        <w:t>199.51</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426.3</w:t>
      </w:r>
      <w:r>
        <w:rPr>
          <w:rFonts w:hint="eastAsia" w:ascii="仿宋_GB2312" w:hAnsi="仿宋_GB2312" w:eastAsia="仿宋_GB2312" w:cs="仿宋_GB2312"/>
          <w:color w:val="auto"/>
          <w:sz w:val="32"/>
          <w:szCs w:val="32"/>
        </w:rPr>
        <w:t>%，决算数大于年初预算数的主要原因是：该项支出为</w:t>
      </w:r>
      <w:r>
        <w:rPr>
          <w:rFonts w:hint="eastAsia" w:ascii="仿宋_GB2312" w:hAnsi="仿宋_GB2312" w:eastAsia="仿宋_GB2312" w:cs="仿宋_GB2312"/>
          <w:color w:val="auto"/>
          <w:sz w:val="32"/>
          <w:szCs w:val="32"/>
          <w:lang w:val="en-US" w:eastAsia="zh-CN"/>
        </w:rPr>
        <w:t>人员经费和公用经费</w:t>
      </w:r>
      <w:r>
        <w:rPr>
          <w:rFonts w:hint="eastAsia" w:ascii="仿宋_GB2312" w:hAnsi="仿宋_GB2312" w:eastAsia="仿宋_GB2312" w:cs="仿宋_GB2312"/>
          <w:color w:val="auto"/>
          <w:sz w:val="32"/>
          <w:szCs w:val="32"/>
        </w:rPr>
        <w:t>，年初预算统一做在该类行政运行（项），但财政实际下拨的项有些会不一样。</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、文化旅游体育与传媒支出（类）其他文化旅游体育与传媒支出（款）其他文化旅游体育与传媒支出（项）</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万元，支出决算</w:t>
      </w:r>
      <w:r>
        <w:rPr>
          <w:rFonts w:hint="eastAsia" w:ascii="仿宋_GB2312" w:hAnsi="仿宋_GB2312" w:eastAsia="仿宋_GB2312" w:cs="仿宋_GB2312"/>
          <w:color w:val="auto"/>
          <w:sz w:val="32"/>
          <w:szCs w:val="32"/>
          <w:lang w:val="en-US" w:eastAsia="zh-CN"/>
        </w:rPr>
        <w:t>31.2</w:t>
      </w:r>
      <w:r>
        <w:rPr>
          <w:rFonts w:hint="eastAsia" w:ascii="仿宋_GB2312" w:hAnsi="仿宋_GB2312" w:eastAsia="仿宋_GB2312" w:cs="仿宋_GB2312"/>
          <w:color w:val="auto"/>
          <w:sz w:val="32"/>
          <w:szCs w:val="32"/>
        </w:rPr>
        <w:t>万元，无法计算</w:t>
      </w:r>
      <w:r>
        <w:rPr>
          <w:rFonts w:hint="eastAsia" w:ascii="Times New Roman" w:hAnsi="Times New Roman" w:eastAsia="仿宋_GB2312"/>
          <w:sz w:val="32"/>
          <w:szCs w:val="32"/>
        </w:rPr>
        <w:t>完成年初预算</w:t>
      </w:r>
      <w:r>
        <w:rPr>
          <w:rFonts w:hint="eastAsia" w:ascii="仿宋_GB2312" w:hAnsi="仿宋_GB2312" w:eastAsia="仿宋_GB2312" w:cs="仿宋_GB2312"/>
          <w:color w:val="auto"/>
          <w:sz w:val="32"/>
          <w:szCs w:val="32"/>
        </w:rPr>
        <w:t>比例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决算数大于年初预算数的主要原因是：该项支出为公用经费，年初预算统一做在该类行政运行（项），但财政实际下拨的项有些会不一样。</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、社会保障和就业支出（类）行政事业单位养老支出（款）机关事业单位基本养老保险缴费支出（项）</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24.71</w:t>
      </w:r>
      <w:r>
        <w:rPr>
          <w:rFonts w:hint="eastAsia" w:ascii="仿宋_GB2312" w:hAnsi="仿宋_GB2312" w:eastAsia="仿宋_GB2312" w:cs="仿宋_GB2312"/>
          <w:color w:val="auto"/>
          <w:sz w:val="32"/>
          <w:szCs w:val="32"/>
        </w:rPr>
        <w:t>万元，无法计算</w:t>
      </w:r>
      <w:r>
        <w:rPr>
          <w:rFonts w:hint="eastAsia" w:ascii="Times New Roman" w:hAnsi="Times New Roman" w:eastAsia="仿宋_GB2312"/>
          <w:sz w:val="32"/>
          <w:szCs w:val="32"/>
        </w:rPr>
        <w:t>完成年初预算</w:t>
      </w:r>
      <w:r>
        <w:rPr>
          <w:rFonts w:hint="eastAsia" w:ascii="仿宋_GB2312" w:hAnsi="仿宋_GB2312" w:eastAsia="仿宋_GB2312" w:cs="仿宋_GB2312"/>
          <w:color w:val="auto"/>
          <w:sz w:val="32"/>
          <w:szCs w:val="32"/>
        </w:rPr>
        <w:t>比例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决算数大于年初预算数的主要原因是：该项支出为机关事业单位基本养老保险缴费，年初预算统一做在文化旅游体育与传媒支出，但财政实际下拨的项有些会不一样。</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、社会保障和就业支出（类）行政事业单位养老支出（款）</w:t>
      </w:r>
      <w:r>
        <w:rPr>
          <w:rFonts w:hint="eastAsia" w:ascii="仿宋_GB2312" w:hAnsi="仿宋_GB2312" w:eastAsia="仿宋_GB2312" w:cs="仿宋_GB2312"/>
          <w:color w:val="auto"/>
          <w:sz w:val="32"/>
          <w:szCs w:val="32"/>
          <w:lang w:val="en-US" w:eastAsia="zh-CN"/>
        </w:rPr>
        <w:t>其他行政事业单位</w:t>
      </w:r>
      <w:r>
        <w:rPr>
          <w:rFonts w:hint="eastAsia" w:ascii="仿宋_GB2312" w:hAnsi="仿宋_GB2312" w:eastAsia="仿宋_GB2312" w:cs="仿宋_GB2312"/>
          <w:color w:val="auto"/>
          <w:sz w:val="32"/>
          <w:szCs w:val="32"/>
        </w:rPr>
        <w:t>养老支出（项）</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年初预算为0万元，支出决算</w:t>
      </w:r>
      <w:r>
        <w:rPr>
          <w:rFonts w:hint="eastAsia" w:ascii="仿宋_GB2312" w:hAnsi="仿宋_GB2312" w:eastAsia="仿宋_GB2312" w:cs="仿宋_GB2312"/>
          <w:color w:val="auto"/>
          <w:sz w:val="32"/>
          <w:szCs w:val="32"/>
          <w:lang w:val="en-US" w:eastAsia="zh-CN"/>
        </w:rPr>
        <w:t>19.25</w:t>
      </w:r>
      <w:r>
        <w:rPr>
          <w:rFonts w:hint="eastAsia" w:ascii="仿宋_GB2312" w:hAnsi="仿宋_GB2312" w:eastAsia="仿宋_GB2312" w:cs="仿宋_GB2312"/>
          <w:color w:val="auto"/>
          <w:sz w:val="32"/>
          <w:szCs w:val="32"/>
        </w:rPr>
        <w:t>万元，无法计算</w:t>
      </w:r>
      <w:r>
        <w:rPr>
          <w:rFonts w:hint="eastAsia" w:ascii="Times New Roman" w:hAnsi="Times New Roman" w:eastAsia="仿宋_GB2312"/>
          <w:sz w:val="32"/>
          <w:szCs w:val="32"/>
        </w:rPr>
        <w:t>完成年初预算</w:t>
      </w:r>
      <w:r>
        <w:rPr>
          <w:rFonts w:hint="eastAsia" w:ascii="仿宋_GB2312" w:hAnsi="仿宋_GB2312" w:eastAsia="仿宋_GB2312" w:cs="仿宋_GB2312"/>
          <w:color w:val="auto"/>
          <w:sz w:val="32"/>
          <w:szCs w:val="32"/>
        </w:rPr>
        <w:t>比例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决算数大于年初预算数的主要原因是：该项支出为离退休人员公用经费及离退休人员</w:t>
      </w:r>
      <w:r>
        <w:rPr>
          <w:rFonts w:hint="eastAsia" w:ascii="仿宋_GB2312" w:hAnsi="仿宋_GB2312" w:eastAsia="仿宋_GB2312" w:cs="仿宋_GB2312"/>
          <w:color w:val="auto"/>
          <w:sz w:val="32"/>
          <w:szCs w:val="32"/>
          <w:lang w:val="en-US" w:eastAsia="zh-CN"/>
        </w:rPr>
        <w:t>2023年</w:t>
      </w:r>
      <w:r>
        <w:rPr>
          <w:rFonts w:hint="eastAsia" w:ascii="仿宋_GB2312" w:hAnsi="仿宋_GB2312" w:eastAsia="仿宋_GB2312" w:cs="仿宋_GB2312"/>
          <w:color w:val="auto"/>
          <w:sz w:val="32"/>
          <w:szCs w:val="32"/>
        </w:rPr>
        <w:t>春节一次性补助费用。</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、卫生健康支出（类）行政事业单位医疗（款）</w:t>
      </w:r>
      <w:r>
        <w:rPr>
          <w:rFonts w:hint="eastAsia" w:ascii="仿宋_GB2312" w:hAnsi="仿宋_GB2312" w:eastAsia="仿宋_GB2312" w:cs="仿宋_GB2312"/>
          <w:color w:val="auto"/>
          <w:sz w:val="32"/>
          <w:szCs w:val="32"/>
          <w:lang w:val="en-US" w:eastAsia="zh-CN"/>
        </w:rPr>
        <w:t>行政</w:t>
      </w:r>
      <w:r>
        <w:rPr>
          <w:rFonts w:hint="eastAsia" w:ascii="仿宋_GB2312" w:hAnsi="仿宋_GB2312" w:eastAsia="仿宋_GB2312" w:cs="仿宋_GB2312"/>
          <w:color w:val="auto"/>
          <w:sz w:val="32"/>
          <w:szCs w:val="32"/>
        </w:rPr>
        <w:t>单位医疗（项）</w:t>
      </w:r>
    </w:p>
    <w:p>
      <w:pPr>
        <w:pStyle w:val="12"/>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年初预算为0万元，支出决算为</w:t>
      </w:r>
      <w:r>
        <w:rPr>
          <w:rFonts w:hint="eastAsia" w:ascii="仿宋_GB2312" w:hAnsi="仿宋_GB2312" w:eastAsia="仿宋_GB2312" w:cs="仿宋_GB2312"/>
          <w:color w:val="auto"/>
          <w:sz w:val="32"/>
          <w:szCs w:val="32"/>
          <w:lang w:val="en-US" w:eastAsia="zh-CN"/>
        </w:rPr>
        <w:t>12.38</w:t>
      </w:r>
      <w:r>
        <w:rPr>
          <w:rFonts w:hint="eastAsia" w:ascii="仿宋_GB2312" w:hAnsi="仿宋_GB2312" w:eastAsia="仿宋_GB2312" w:cs="仿宋_GB2312"/>
          <w:color w:val="auto"/>
          <w:sz w:val="32"/>
          <w:szCs w:val="32"/>
        </w:rPr>
        <w:t>万元，无法计算</w:t>
      </w:r>
      <w:r>
        <w:rPr>
          <w:rFonts w:hint="eastAsia" w:ascii="Times New Roman" w:hAnsi="Times New Roman" w:eastAsia="仿宋_GB2312"/>
          <w:sz w:val="32"/>
          <w:szCs w:val="32"/>
        </w:rPr>
        <w:t>完成年初预算</w:t>
      </w:r>
      <w:r>
        <w:rPr>
          <w:rFonts w:hint="eastAsia" w:ascii="仿宋_GB2312" w:hAnsi="仿宋_GB2312" w:eastAsia="仿宋_GB2312" w:cs="仿宋_GB2312"/>
          <w:color w:val="auto"/>
          <w:sz w:val="32"/>
          <w:szCs w:val="32"/>
        </w:rPr>
        <w:t>比例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决算数大于年初预算数的主要原因是：该项支出是职工基本医疗保险缴费，年初预算做在文化旅游体育与传媒支出，导致决算数大于预算数。</w:t>
      </w:r>
    </w:p>
    <w:p>
      <w:pPr>
        <w:snapToGrid w:val="0"/>
        <w:spacing w:line="520" w:lineRule="exact"/>
        <w:ind w:firstLine="640" w:firstLineChars="200"/>
        <w:rPr>
          <w:rFonts w:hint="eastAsia" w:ascii="仿宋_GB2312" w:hAnsi="仿宋" w:eastAsia="仿宋_GB2312"/>
          <w:sz w:val="32"/>
          <w:szCs w:val="32"/>
        </w:rPr>
      </w:pP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度财政拨款基本支出</w:t>
      </w:r>
      <w:r>
        <w:rPr>
          <w:rFonts w:hint="eastAsia" w:ascii="Times New Roman" w:hAnsi="Times New Roman" w:eastAsia="仿宋_GB2312"/>
          <w:sz w:val="32"/>
          <w:szCs w:val="32"/>
          <w:lang w:val="en-US" w:eastAsia="zh-CN"/>
        </w:rPr>
        <w:t>487.73</w:t>
      </w:r>
      <w:r>
        <w:rPr>
          <w:rFonts w:hint="eastAsia" w:ascii="Times New Roman" w:hAnsi="Times New Roman" w:eastAsia="仿宋_GB2312"/>
          <w:sz w:val="32"/>
          <w:szCs w:val="32"/>
        </w:rPr>
        <w:t>万元，其中：</w:t>
      </w:r>
    </w:p>
    <w:p>
      <w:pPr>
        <w:pStyle w:val="12"/>
        <w:ind w:firstLine="640" w:firstLineChars="200"/>
        <w:rPr>
          <w:rFonts w:asciiTheme="minorEastAsia" w:hAnsiTheme="minorEastAsia" w:eastAsiaTheme="minorEastAsia"/>
          <w:sz w:val="32"/>
          <w:szCs w:val="32"/>
        </w:rPr>
      </w:pPr>
      <w:r>
        <w:rPr>
          <w:rFonts w:hint="eastAsia" w:ascii="Times New Roman" w:hAnsi="Times New Roman" w:eastAsia="仿宋_GB2312"/>
          <w:b/>
          <w:bCs/>
          <w:sz w:val="32"/>
          <w:szCs w:val="32"/>
          <w:lang w:val="en-US" w:eastAsia="zh-CN"/>
        </w:rPr>
        <w:t>1、</w:t>
      </w:r>
      <w:r>
        <w:rPr>
          <w:rFonts w:hint="eastAsia" w:ascii="Times New Roman" w:hAnsi="Times New Roman" w:eastAsia="仿宋_GB2312"/>
          <w:b/>
          <w:bCs/>
          <w:sz w:val="32"/>
          <w:szCs w:val="32"/>
        </w:rPr>
        <w:t>人员经费</w:t>
      </w:r>
      <w:r>
        <w:rPr>
          <w:rFonts w:hint="eastAsia" w:ascii="仿宋_GB2312" w:hAnsi="仿宋_GB2312" w:eastAsia="仿宋_GB2312" w:cs="仿宋_GB2312"/>
          <w:sz w:val="32"/>
          <w:szCs w:val="32"/>
          <w:lang w:val="en-US" w:eastAsia="zh-CN"/>
        </w:rPr>
        <w:t>450.47</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92.36</w:t>
      </w:r>
      <w:r>
        <w:rPr>
          <w:rFonts w:hint="eastAsia" w:ascii="仿宋_GB2312" w:hAnsi="仿宋_GB2312" w:eastAsia="仿宋_GB2312" w:cs="仿宋_GB2312"/>
          <w:sz w:val="32"/>
          <w:szCs w:val="32"/>
        </w:rPr>
        <w:t>%,主要包括基本工资、津贴补贴、奖金、伙食补助费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绩效工资、机关事业单位基本养老保险缴费、职业年金缴费、职工基本医疗保险缴费、其他社会保障缴费、住房公积金、其他工资福利支出、离休费、退休费、抚恤金、生活补助、医疗费补助、奖励金</w:t>
      </w:r>
      <w:r>
        <w:rPr>
          <w:rFonts w:hint="eastAsia" w:ascii="仿宋_GB2312" w:hAnsi="仿宋_GB2312" w:eastAsia="仿宋_GB2312" w:cs="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b/>
          <w:bCs/>
          <w:sz w:val="32"/>
          <w:szCs w:val="32"/>
          <w:lang w:val="en-US" w:eastAsia="zh-CN"/>
        </w:rPr>
        <w:t>2、</w:t>
      </w: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37.27</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7.64</w:t>
      </w:r>
      <w:r>
        <w:rPr>
          <w:rFonts w:hint="eastAsia" w:ascii="仿宋_GB2312" w:hAnsi="仿宋_GB2312" w:eastAsia="仿宋_GB2312" w:cs="仿宋_GB2312"/>
          <w:sz w:val="32"/>
          <w:szCs w:val="32"/>
        </w:rPr>
        <w:t>%，主要包括办公费、咨询费、手续费</w:t>
      </w:r>
      <w:r>
        <w:rPr>
          <w:rFonts w:hint="eastAsia" w:ascii="仿宋_GB2312" w:hAnsi="仿宋_GB2312" w:eastAsia="仿宋_GB2312" w:cs="仿宋_GB2312"/>
          <w:sz w:val="32"/>
          <w:szCs w:val="32"/>
          <w:lang w:eastAsia="zh-CN"/>
        </w:rPr>
        <w:t>、水费、电费、邮电费、物业管理费、差旅费、维修（护）费、租赁费、会议费、培训费、公务接待费、专用材料费、劳务费、</w:t>
      </w:r>
      <w:r>
        <w:rPr>
          <w:rFonts w:hint="eastAsia" w:ascii="仿宋_GB2312" w:hAnsi="仿宋_GB2312" w:eastAsia="仿宋_GB2312" w:cs="仿宋_GB2312"/>
          <w:sz w:val="32"/>
          <w:szCs w:val="32"/>
          <w:lang w:val="en-US" w:eastAsia="zh-CN"/>
        </w:rPr>
        <w:t>委托业务费</w:t>
      </w:r>
      <w:r>
        <w:rPr>
          <w:rFonts w:hint="eastAsia" w:ascii="仿宋_GB2312" w:hAnsi="仿宋_GB2312" w:eastAsia="仿宋_GB2312" w:cs="仿宋_GB2312"/>
          <w:sz w:val="32"/>
          <w:szCs w:val="32"/>
          <w:lang w:eastAsia="zh-CN"/>
        </w:rPr>
        <w:t>、福利费、公务用车运行维护费、</w:t>
      </w:r>
      <w:r>
        <w:rPr>
          <w:rFonts w:hint="eastAsia" w:ascii="仿宋_GB2312" w:hAnsi="仿宋_GB2312" w:eastAsia="仿宋_GB2312" w:cs="仿宋_GB2312"/>
          <w:sz w:val="32"/>
          <w:szCs w:val="32"/>
          <w:lang w:val="en-US" w:eastAsia="zh-CN"/>
        </w:rPr>
        <w:t>其他交通费用、税金及附加费用、</w:t>
      </w:r>
      <w:r>
        <w:rPr>
          <w:rFonts w:hint="eastAsia" w:ascii="仿宋_GB2312" w:hAnsi="仿宋_GB2312" w:eastAsia="仿宋_GB2312" w:cs="仿宋_GB2312"/>
          <w:sz w:val="32"/>
          <w:szCs w:val="32"/>
          <w:lang w:eastAsia="zh-CN"/>
        </w:rPr>
        <w:t>其他商品和服务支出、</w:t>
      </w:r>
      <w:r>
        <w:rPr>
          <w:rFonts w:hint="eastAsia" w:ascii="仿宋_GB2312" w:hAnsi="仿宋_GB2312" w:eastAsia="仿宋_GB2312" w:cs="仿宋_GB2312"/>
          <w:sz w:val="32"/>
          <w:szCs w:val="32"/>
          <w:lang w:val="en-US" w:eastAsia="zh-CN"/>
        </w:rPr>
        <w:t>办公</w:t>
      </w:r>
      <w:r>
        <w:rPr>
          <w:rFonts w:hint="eastAsia" w:ascii="仿宋_GB2312" w:hAnsi="仿宋_GB2312" w:eastAsia="仿宋_GB2312" w:cs="仿宋_GB2312"/>
          <w:sz w:val="32"/>
          <w:szCs w:val="32"/>
          <w:lang w:eastAsia="zh-CN"/>
        </w:rPr>
        <w:t>设备购置、专用设备购置</w:t>
      </w:r>
      <w:r>
        <w:rPr>
          <w:rFonts w:hint="eastAsia" w:ascii="仿宋_GB2312" w:hAnsi="仿宋_GB2312" w:eastAsia="仿宋_GB2312" w:cs="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50.8</w:t>
      </w:r>
      <w:r>
        <w:rPr>
          <w:rFonts w:hint="eastAsia" w:ascii="Times New Roman" w:hAnsi="Times New Roman" w:eastAsia="仿宋_GB2312"/>
          <w:sz w:val="32"/>
          <w:szCs w:val="32"/>
        </w:rPr>
        <w:t>%，其中：</w:t>
      </w:r>
    </w:p>
    <w:p>
      <w:pPr>
        <w:pStyle w:val="12"/>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完成预算</w:t>
      </w:r>
      <w:r>
        <w:rPr>
          <w:rFonts w:hint="eastAsia" w:ascii="Times New Roman" w:hAnsi="Times New Roman" w:eastAsia="仿宋_GB2312"/>
          <w:sz w:val="32"/>
          <w:szCs w:val="32"/>
          <w:lang w:eastAsia="zh-CN"/>
        </w:rPr>
        <w:t>比例不能计算。</w:t>
      </w:r>
    </w:p>
    <w:p>
      <w:pPr>
        <w:pStyle w:val="12"/>
        <w:ind w:firstLine="800" w:firstLineChars="250"/>
        <w:rPr>
          <w:rFonts w:hint="eastAsia" w:ascii="仿宋_GB2312" w:hAnsi="仿宋_GB2312" w:eastAsia="仿宋_GB2312" w:cs="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51.3</w:t>
      </w:r>
      <w:r>
        <w:rPr>
          <w:rFonts w:hint="eastAsia" w:ascii="Times New Roman" w:hAnsi="Times New Roman" w:eastAsia="仿宋_GB2312"/>
          <w:sz w:val="32"/>
          <w:szCs w:val="32"/>
        </w:rPr>
        <w:t>%，决算数小于预算数的主要原因是</w:t>
      </w:r>
      <w:r>
        <w:rPr>
          <w:rFonts w:hint="eastAsia" w:ascii="仿宋_GB2312" w:hAnsi="仿宋_GB2312" w:eastAsia="仿宋_GB2312" w:cs="仿宋_GB2312"/>
          <w:sz w:val="32"/>
          <w:szCs w:val="32"/>
        </w:rPr>
        <w:t>我单位严格遵守中央“八项规定”以及省、市有关规定，严格控制公务接待费用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增加0.26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增加78.79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val="en-US" w:eastAsia="zh-CN"/>
        </w:rPr>
        <w:t>没有疫情后</w:t>
      </w:r>
      <w:r>
        <w:rPr>
          <w:rFonts w:hint="eastAsia" w:ascii="Times New Roman" w:hAnsi="Times New Roman" w:eastAsia="仿宋_GB2312"/>
          <w:sz w:val="32"/>
          <w:szCs w:val="32"/>
          <w:lang w:val="en-US" w:eastAsia="zh-CN"/>
        </w:rPr>
        <w:t>增加了技术设备检测调试公务接待费用</w:t>
      </w:r>
      <w:r>
        <w:rPr>
          <w:rFonts w:hint="eastAsia" w:ascii="仿宋_GB2312" w:hAnsi="仿宋_GB2312" w:eastAsia="仿宋_GB2312" w:cs="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完成预算</w:t>
      </w:r>
      <w:r>
        <w:rPr>
          <w:rFonts w:hint="eastAsia" w:ascii="Times New Roman" w:hAnsi="Times New Roman" w:eastAsia="仿宋_GB2312"/>
          <w:sz w:val="32"/>
          <w:szCs w:val="32"/>
          <w:lang w:eastAsia="zh-CN"/>
        </w:rPr>
        <w:t>比例不能计算。</w:t>
      </w:r>
    </w:p>
    <w:p>
      <w:pPr>
        <w:pStyle w:val="12"/>
        <w:keepNext w:val="0"/>
        <w:keepLines w:val="0"/>
        <w:pageBreakBefore w:val="0"/>
        <w:widowControl w:val="0"/>
        <w:numPr>
          <w:ilvl w:val="0"/>
          <w:numId w:val="3"/>
        </w:numPr>
        <w:kinsoku/>
        <w:wordWrap/>
        <w:overflowPunct/>
        <w:topLinePunct w:val="0"/>
        <w:bidi w:val="0"/>
        <w:snapToGrid/>
        <w:spacing w:line="600" w:lineRule="exact"/>
        <w:ind w:left="638" w:leftChars="304" w:firstLine="0" w:firstLine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1.96</w:t>
      </w:r>
      <w:r>
        <w:rPr>
          <w:rFonts w:hint="eastAsia" w:ascii="Times New Roman" w:hAnsi="Times New Roman" w:eastAsia="仿宋_GB2312"/>
          <w:sz w:val="32"/>
          <w:szCs w:val="32"/>
        </w:rPr>
        <w:t>万元，完</w:t>
      </w:r>
    </w:p>
    <w:p>
      <w:pPr>
        <w:pStyle w:val="12"/>
        <w:keepNext w:val="0"/>
        <w:keepLines w:val="0"/>
        <w:pageBreakBefore w:val="0"/>
        <w:widowControl w:val="0"/>
        <w:numPr>
          <w:ilvl w:val="0"/>
          <w:numId w:val="0"/>
        </w:numPr>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成预算的</w:t>
      </w:r>
      <w:r>
        <w:rPr>
          <w:rFonts w:hint="eastAsia" w:ascii="Times New Roman" w:hAnsi="Times New Roman" w:eastAsia="仿宋_GB2312"/>
          <w:sz w:val="32"/>
          <w:szCs w:val="32"/>
          <w:lang w:val="en-US" w:eastAsia="zh-CN"/>
        </w:rPr>
        <w:t>50.91</w:t>
      </w:r>
      <w:r>
        <w:rPr>
          <w:rFonts w:hint="eastAsia" w:ascii="Times New Roman" w:hAnsi="Times New Roman" w:eastAsia="仿宋_GB2312"/>
          <w:sz w:val="32"/>
          <w:szCs w:val="32"/>
        </w:rPr>
        <w:t>%，决算数小于预算数的主要原因是</w:t>
      </w:r>
      <w:r>
        <w:rPr>
          <w:rFonts w:hint="eastAsia" w:ascii="仿宋_GB2312" w:hAnsi="仿宋_GB2312" w:eastAsia="仿宋_GB2312" w:cs="仿宋_GB2312"/>
          <w:sz w:val="32"/>
          <w:szCs w:val="32"/>
        </w:rPr>
        <w:t>是我单位严格遵守中央“八项规定”以及省、市有关规定，加强公务用车的管理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val="en-US" w:eastAsia="zh-CN"/>
        </w:rPr>
        <w:t>减少1.26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减少39.13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val="en-US" w:eastAsia="zh-CN"/>
        </w:rPr>
        <w:t>本年车辆燃油费和维护费减少</w:t>
      </w:r>
      <w:r>
        <w:rPr>
          <w:rFonts w:hint="eastAsia" w:ascii="仿宋_GB2312" w:hAnsi="仿宋_GB2312" w:eastAsia="仿宋_GB2312" w:cs="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度“三公”经费财政拨款支出决算中，公务接待费支出决算</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23.14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，比例不能计算</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76.86</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9次73</w:t>
      </w:r>
      <w:r>
        <w:rPr>
          <w:rFonts w:hint="eastAsia" w:ascii="Times New Roman" w:hAnsi="Times New Roman" w:eastAsia="仿宋_GB2312"/>
          <w:sz w:val="32"/>
          <w:szCs w:val="32"/>
        </w:rPr>
        <w:t>人，主要是</w:t>
      </w:r>
      <w:r>
        <w:rPr>
          <w:rFonts w:hint="eastAsia" w:ascii="Times New Roman" w:hAnsi="Times New Roman" w:eastAsia="仿宋_GB2312"/>
          <w:sz w:val="32"/>
          <w:szCs w:val="32"/>
          <w:lang w:val="en-US" w:eastAsia="zh-CN"/>
        </w:rPr>
        <w:t>业务单位学习交流</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1.96</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1.96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公务车辆油料和维护</w:t>
      </w:r>
      <w:r>
        <w:rPr>
          <w:rFonts w:hint="eastAsia" w:ascii="Times New Roman" w:hAnsi="Times New Roman" w:eastAsia="仿宋_GB2312"/>
          <w:sz w:val="32"/>
          <w:szCs w:val="32"/>
        </w:rPr>
        <w:t>支出，截止</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2023年度本</w:t>
      </w:r>
      <w:r>
        <w:rPr>
          <w:rFonts w:hint="eastAsia" w:ascii="Times New Roman" w:hAnsi="Times New Roman" w:eastAsia="仿宋_GB2312"/>
          <w:sz w:val="32"/>
          <w:szCs w:val="32"/>
        </w:rPr>
        <w:t>单位没有政府性基金收支。</w:t>
      </w:r>
    </w:p>
    <w:p>
      <w:pPr>
        <w:pStyle w:val="12"/>
        <w:numPr>
          <w:ilvl w:val="0"/>
          <w:numId w:val="0"/>
        </w:numPr>
        <w:ind w:firstLine="600" w:firstLineChars="200"/>
        <w:rPr>
          <w:rFonts w:hint="eastAsia" w:ascii="黑体" w:hAnsi="黑体" w:eastAsia="黑体" w:cs="黑体"/>
          <w:b w:val="0"/>
          <w:bCs w:val="0"/>
          <w:sz w:val="30"/>
          <w:szCs w:val="30"/>
          <w:highlight w:val="none"/>
          <w:lang w:val="en-US" w:eastAsia="zh-CN"/>
        </w:rPr>
      </w:pPr>
      <w:r>
        <w:rPr>
          <w:rFonts w:hint="eastAsia" w:ascii="黑体" w:hAnsi="黑体" w:eastAsia="黑体" w:cs="黑体"/>
          <w:b w:val="0"/>
          <w:bCs w:val="0"/>
          <w:sz w:val="30"/>
          <w:szCs w:val="30"/>
          <w:highlight w:val="none"/>
          <w:lang w:val="en-US" w:eastAsia="zh-CN"/>
        </w:rPr>
        <w:t>九、国有资本经营预算财政拨款</w:t>
      </w:r>
      <w:r>
        <w:rPr>
          <w:rFonts w:hint="eastAsia" w:hAnsi="黑体" w:cs="黑体"/>
          <w:b w:val="0"/>
          <w:bCs w:val="0"/>
          <w:sz w:val="30"/>
          <w:szCs w:val="30"/>
          <w:highlight w:val="none"/>
          <w:lang w:val="en-US" w:eastAsia="zh-CN"/>
        </w:rPr>
        <w:t>收入</w:t>
      </w:r>
      <w:r>
        <w:rPr>
          <w:rFonts w:hint="eastAsia" w:ascii="黑体" w:hAnsi="黑体" w:eastAsia="黑体" w:cs="黑体"/>
          <w:b w:val="0"/>
          <w:bCs w:val="0"/>
          <w:sz w:val="30"/>
          <w:szCs w:val="30"/>
          <w:highlight w:val="none"/>
          <w:lang w:val="en-US" w:eastAsia="zh-CN"/>
        </w:rPr>
        <w:t>支出</w:t>
      </w:r>
      <w:r>
        <w:rPr>
          <w:rFonts w:hint="eastAsia" w:ascii="黑体" w:hAnsi="黑体" w:eastAsia="黑体" w:cs="黑体"/>
          <w:b w:val="0"/>
          <w:bCs w:val="0"/>
          <w:sz w:val="30"/>
          <w:szCs w:val="30"/>
          <w:highlight w:val="none"/>
        </w:rPr>
        <w:t>决算情况</w:t>
      </w:r>
      <w:r>
        <w:rPr>
          <w:rFonts w:hint="eastAsia" w:ascii="黑体" w:hAnsi="黑体" w:eastAsia="黑体" w:cs="黑体"/>
          <w:b w:val="0"/>
          <w:bCs w:val="0"/>
          <w:sz w:val="30"/>
          <w:szCs w:val="30"/>
          <w:highlight w:val="none"/>
          <w:lang w:val="en-US" w:eastAsia="zh-CN"/>
        </w:rPr>
        <w:t>说明</w:t>
      </w:r>
    </w:p>
    <w:p>
      <w:pPr>
        <w:pStyle w:val="12"/>
        <w:numPr>
          <w:ilvl w:val="0"/>
          <w:numId w:val="0"/>
        </w:numPr>
        <w:ind w:firstLine="1280" w:firstLineChars="400"/>
        <w:rPr>
          <w:rFonts w:hint="eastAsia" w:ascii="仿宋_GB2312" w:hAnsi="仿宋_GB2312" w:eastAsia="仿宋_GB2312" w:cs="仿宋_GB2312"/>
          <w:b w:val="0"/>
          <w:bCs w:val="0"/>
          <w:sz w:val="30"/>
          <w:szCs w:val="30"/>
          <w:highlight w:val="none"/>
          <w:lang w:val="en-US" w:eastAsia="zh-CN"/>
        </w:rPr>
      </w:pPr>
      <w:r>
        <w:rPr>
          <w:rFonts w:hint="eastAsia" w:ascii="仿宋_GB2312" w:hAnsi="仿宋_GB2312" w:eastAsia="仿宋_GB2312" w:cs="仿宋_GB2312"/>
          <w:b w:val="0"/>
          <w:bCs w:val="0"/>
          <w:color w:val="auto"/>
          <w:sz w:val="32"/>
          <w:szCs w:val="32"/>
          <w:highlight w:val="none"/>
        </w:rPr>
        <w:t>本单位无</w:t>
      </w:r>
      <w:r>
        <w:rPr>
          <w:rFonts w:hint="eastAsia" w:ascii="仿宋_GB2312" w:hAnsi="仿宋_GB2312" w:eastAsia="仿宋_GB2312" w:cs="仿宋_GB2312"/>
          <w:b w:val="0"/>
          <w:bCs w:val="0"/>
          <w:sz w:val="32"/>
          <w:szCs w:val="32"/>
          <w:highlight w:val="none"/>
          <w:lang w:val="en-US" w:eastAsia="zh-CN"/>
        </w:rPr>
        <w:t>国有资本经营预算财政拨款收入，</w:t>
      </w:r>
      <w:r>
        <w:rPr>
          <w:rFonts w:hint="eastAsia" w:ascii="仿宋_GB2312" w:hAnsi="仿宋_GB2312" w:eastAsia="仿宋_GB2312" w:cs="仿宋_GB2312"/>
          <w:b w:val="0"/>
          <w:bCs w:val="0"/>
          <w:color w:val="auto"/>
          <w:sz w:val="32"/>
          <w:szCs w:val="32"/>
          <w:highlight w:val="none"/>
        </w:rPr>
        <w:t>无</w:t>
      </w:r>
      <w:r>
        <w:rPr>
          <w:rFonts w:hint="eastAsia" w:ascii="仿宋_GB2312" w:hAnsi="仿宋_GB2312" w:eastAsia="仿宋_GB2312" w:cs="仿宋_GB2312"/>
          <w:b w:val="0"/>
          <w:bCs w:val="0"/>
          <w:sz w:val="32"/>
          <w:szCs w:val="32"/>
          <w:highlight w:val="none"/>
          <w:lang w:val="en-US" w:eastAsia="zh-CN"/>
        </w:rPr>
        <w:t>国有资本经营预算财政拨款支出。</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sz w:val="32"/>
          <w:szCs w:val="32"/>
        </w:rPr>
      </w:pPr>
      <w:r>
        <w:rPr>
          <w:rFonts w:hint="eastAsia" w:ascii="黑体" w:hAnsi="黑体" w:eastAsia="黑体" w:cs="黑体"/>
          <w:b/>
          <w:sz w:val="32"/>
          <w:szCs w:val="32"/>
          <w:lang w:val="en-US" w:eastAsia="zh-CN"/>
        </w:rPr>
        <w:t>十、</w:t>
      </w:r>
      <w:r>
        <w:rPr>
          <w:rFonts w:hint="eastAsia" w:ascii="黑体" w:hAnsi="黑体" w:eastAsia="黑体" w:cs="黑体"/>
          <w:b/>
          <w:sz w:val="32"/>
          <w:szCs w:val="32"/>
        </w:rPr>
        <w:t>关于机关运行经费支出说明</w:t>
      </w:r>
    </w:p>
    <w:p>
      <w:pPr>
        <w:pStyle w:val="12"/>
        <w:ind w:firstLine="1280" w:firstLineChars="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我单位为事业单位，故没有机关运行经费。</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会议费</w:t>
      </w:r>
      <w:r>
        <w:rPr>
          <w:rFonts w:hint="eastAsia" w:ascii="Times New Roman" w:hAnsi="Times New Roman" w:eastAsia="仿宋_GB2312"/>
          <w:sz w:val="32"/>
          <w:szCs w:val="32"/>
          <w:lang w:val="en-US" w:eastAsia="zh-CN"/>
        </w:rPr>
        <w:t>开支；</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事业单位人员</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事业单位工作人员培训及广播电视技术培训</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keepNext w:val="0"/>
        <w:keepLines w:val="0"/>
        <w:pageBreakBefore w:val="0"/>
        <w:kinsoku/>
        <w:wordWrap/>
        <w:overflowPunct/>
        <w:topLinePunct w:val="0"/>
        <w:bidi w:val="0"/>
        <w:snapToGrid/>
        <w:spacing w:line="600" w:lineRule="exact"/>
        <w:ind w:firstLine="640" w:firstLineChars="200"/>
        <w:textAlignment w:val="auto"/>
        <w:rPr>
          <w:rFonts w:hint="eastAsia" w:ascii="宋体" w:hAnsi="宋体" w:eastAsia="宋体" w:cs="宋体"/>
          <w:kern w:val="0"/>
          <w:sz w:val="32"/>
          <w:szCs w:val="32"/>
          <w:highlight w:val="none"/>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度政府采购支出总额</w:t>
      </w:r>
      <w:r>
        <w:rPr>
          <w:rFonts w:hint="eastAsia" w:ascii="Times New Roman" w:hAnsi="Times New Roman" w:eastAsia="仿宋_GB2312"/>
          <w:sz w:val="32"/>
          <w:szCs w:val="32"/>
          <w:lang w:val="en-US" w:eastAsia="zh-CN"/>
        </w:rPr>
        <w:t>15.42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15.42</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15.42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15.42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三</w:t>
      </w:r>
      <w:r>
        <w:rPr>
          <w:rFonts w:hint="eastAsia" w:ascii="黑体" w:hAnsi="黑体" w:eastAsia="黑体" w:cs="黑体"/>
          <w:b w:val="0"/>
          <w:bCs/>
          <w:sz w:val="32"/>
          <w:szCs w:val="32"/>
        </w:rPr>
        <w:t>、关于国有资产占用情况说明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w:t>
      </w:r>
      <w:r>
        <w:rPr>
          <w:rFonts w:hint="eastAsia" w:ascii="Times New Roman" w:hAnsi="Times New Roman" w:eastAsia="仿宋_GB2312"/>
          <w:sz w:val="32"/>
          <w:szCs w:val="32"/>
          <w:lang w:eastAsia="zh-CN"/>
        </w:rPr>
        <w:t>2023年</w:t>
      </w:r>
      <w:r>
        <w:rPr>
          <w:rFonts w:hint="eastAsia" w:ascii="Times New Roman" w:hAnsi="Times New Roman" w:eastAsia="仿宋_GB2312"/>
          <w:sz w:val="32"/>
          <w:szCs w:val="32"/>
        </w:rPr>
        <w:t>12月31日，本单位共有车辆</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val="en-US" w:eastAsia="zh-CN"/>
        </w:rPr>
        <w:t>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台（套）。</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lang w:eastAsia="zh-CN"/>
        </w:rPr>
        <w:t>2023年</w:t>
      </w:r>
      <w:r>
        <w:rPr>
          <w:rFonts w:hint="eastAsia" w:ascii="黑体" w:hAnsi="黑体" w:eastAsia="黑体" w:cs="黑体"/>
          <w:b w:val="0"/>
          <w:bCs/>
          <w:sz w:val="32"/>
          <w:szCs w:val="32"/>
        </w:rPr>
        <w:t>度预算绩效情况的说明</w:t>
      </w: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keepNext w:val="0"/>
        <w:keepLines w:val="0"/>
        <w:pageBreakBefore w:val="0"/>
        <w:numPr>
          <w:numId w:val="0"/>
        </w:numPr>
        <w:kinsoku/>
        <w:wordWrap/>
        <w:overflowPunct/>
        <w:topLinePunct w:val="0"/>
        <w:autoSpaceDE/>
        <w:autoSpaceDN/>
        <w:bidi w:val="0"/>
        <w:adjustRightInd/>
        <w:spacing w:line="360" w:lineRule="auto"/>
        <w:ind w:left="640" w:leftChars="0" w:firstLine="900" w:firstLineChars="3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0"/>
          <w:szCs w:val="30"/>
          <w:lang w:val="en-US" w:eastAsia="zh-CN"/>
        </w:rPr>
        <w:t>本单位主要</w:t>
      </w:r>
      <w:r>
        <w:rPr>
          <w:rFonts w:hint="eastAsia" w:ascii="仿宋_GB2312" w:hAnsi="仿宋_GB2312" w:eastAsia="仿宋_GB2312" w:cs="仿宋_GB2312"/>
          <w:sz w:val="30"/>
          <w:szCs w:val="30"/>
        </w:rPr>
        <w:t>负责广播电视转播等职责</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kern w:val="0"/>
          <w:sz w:val="30"/>
          <w:szCs w:val="30"/>
        </w:rPr>
        <w:t>现共转播数字无线清流3个频点，共播出电视节目27套，省、市两级调频广播电台节目5套、城市应急广播1套及传输微波信号，总计播出功率为33KW。广播电视无线覆盖了怀化城区、中方、芷江、麻阳、洪江、辰溪等周边地区，有效半径达到65公里，覆盖人口达300多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2023年完成预算收支620.12万元，完成年初预算508.42万元</w:t>
      </w:r>
      <w:r>
        <w:rPr>
          <w:rFonts w:hint="eastAsia" w:ascii="仿宋" w:hAnsi="仿宋" w:eastAsia="仿宋" w:cs="仿宋"/>
          <w:color w:val="000000" w:themeColor="text1"/>
          <w:sz w:val="32"/>
          <w:szCs w:val="32"/>
          <w:lang w:val="en-US" w:eastAsia="zh-CN"/>
          <w14:textFill>
            <w14:solidFill>
              <w14:schemeClr w14:val="tx1"/>
            </w14:solidFill>
          </w14:textFill>
        </w:rPr>
        <w:t>的121.97%，</w:t>
      </w:r>
      <w:r>
        <w:rPr>
          <w:rFonts w:hint="eastAsia" w:ascii="Times New Roman" w:hAnsi="Times New Roman" w:eastAsia="仿宋_GB2312"/>
          <w:sz w:val="32"/>
          <w:szCs w:val="32"/>
        </w:rPr>
        <w:t>主要是因为</w:t>
      </w:r>
      <w:r>
        <w:rPr>
          <w:rFonts w:hint="eastAsia" w:ascii="仿宋_GB2312" w:hAnsi="仿宋_GB2312" w:eastAsia="仿宋_GB2312" w:cs="仿宋_GB2312"/>
          <w:sz w:val="32"/>
          <w:szCs w:val="32"/>
          <w:lang w:val="en-US" w:eastAsia="zh-CN"/>
        </w:rPr>
        <w:t>有线网络中心分流安置人员8人工资及福利费等未纳入年初预算；其中：一般公共预算收支427.67万元，纳入专户管理的非税收入拨款80.75万元。</w:t>
      </w:r>
      <w:r>
        <w:rPr>
          <w:rFonts w:hint="eastAsia" w:ascii="仿宋" w:hAnsi="仿宋" w:eastAsia="仿宋" w:cs="仿宋"/>
          <w:color w:val="000000" w:themeColor="text1"/>
          <w:sz w:val="32"/>
          <w:szCs w:val="32"/>
          <w14:textFill>
            <w14:solidFill>
              <w14:schemeClr w14:val="tx1"/>
            </w14:solidFill>
          </w14:textFill>
        </w:rPr>
        <w:t>我</w:t>
      </w:r>
      <w:r>
        <w:rPr>
          <w:rFonts w:hint="eastAsia" w:ascii="仿宋" w:hAnsi="仿宋" w:eastAsia="仿宋" w:cs="仿宋"/>
          <w:color w:val="000000" w:themeColor="text1"/>
          <w:sz w:val="32"/>
          <w:szCs w:val="32"/>
          <w:lang w:val="en-US" w:eastAsia="zh-CN"/>
          <w14:textFill>
            <w14:solidFill>
              <w14:schemeClr w14:val="tx1"/>
            </w14:solidFill>
          </w14:textFill>
        </w:rPr>
        <w:t>单位</w:t>
      </w:r>
      <w:r>
        <w:rPr>
          <w:rFonts w:hint="eastAsia" w:ascii="仿宋" w:hAnsi="仿宋" w:eastAsia="仿宋"/>
          <w:color w:val="000000" w:themeColor="text1"/>
          <w:sz w:val="32"/>
          <w:szCs w:val="32"/>
          <w:lang w:val="en-US" w:eastAsia="zh-CN"/>
          <w14:textFill>
            <w14:solidFill>
              <w14:schemeClr w14:val="tx1"/>
            </w14:solidFill>
          </w14:textFill>
        </w:rPr>
        <w:t>2023年</w:t>
      </w:r>
      <w:r>
        <w:rPr>
          <w:rFonts w:hint="eastAsia" w:ascii="仿宋" w:hAnsi="仿宋" w:eastAsia="仿宋"/>
          <w:color w:val="000000" w:themeColor="text1"/>
          <w:sz w:val="32"/>
          <w:szCs w:val="32"/>
          <w14:textFill>
            <w14:solidFill>
              <w14:schemeClr w14:val="tx1"/>
            </w14:solidFill>
          </w14:textFill>
        </w:rPr>
        <w:t>在市委、市政府和市广播电视台的正确领导和大力支持下，</w:t>
      </w:r>
      <w:r>
        <w:rPr>
          <w:rFonts w:hint="eastAsia" w:ascii="仿宋" w:hAnsi="仿宋" w:eastAsia="仿宋"/>
          <w:color w:val="000000" w:themeColor="text1"/>
          <w:sz w:val="32"/>
          <w:szCs w:val="32"/>
          <w:lang w:eastAsia="zh-CN"/>
          <w14:textFill>
            <w14:solidFill>
              <w14:schemeClr w14:val="tx1"/>
            </w14:solidFill>
          </w14:textFill>
        </w:rPr>
        <w:t>我台</w:t>
      </w:r>
      <w:r>
        <w:rPr>
          <w:rFonts w:hint="eastAsia" w:ascii="仿宋" w:hAnsi="仿宋" w:eastAsia="仿宋"/>
          <w:color w:val="000000" w:themeColor="text1"/>
          <w:sz w:val="32"/>
          <w:szCs w:val="32"/>
          <w14:textFill>
            <w14:solidFill>
              <w14:schemeClr w14:val="tx1"/>
            </w14:solidFill>
          </w14:textFill>
        </w:rPr>
        <w:t>认真</w:t>
      </w:r>
      <w:r>
        <w:rPr>
          <w:rFonts w:hint="eastAsia" w:ascii="仿宋" w:hAnsi="仿宋" w:eastAsia="仿宋"/>
          <w:color w:val="000000" w:themeColor="text1"/>
          <w:sz w:val="32"/>
          <w:szCs w:val="32"/>
          <w:lang w:eastAsia="zh-CN"/>
          <w14:textFill>
            <w14:solidFill>
              <w14:schemeClr w14:val="tx1"/>
            </w14:solidFill>
          </w14:textFill>
        </w:rPr>
        <w:t>学习</w:t>
      </w:r>
      <w:r>
        <w:rPr>
          <w:rFonts w:hint="eastAsia" w:ascii="仿宋" w:hAnsi="仿宋" w:eastAsia="仿宋"/>
          <w:color w:val="000000" w:themeColor="text1"/>
          <w:sz w:val="32"/>
          <w:szCs w:val="32"/>
          <w14:textFill>
            <w14:solidFill>
              <w14:schemeClr w14:val="tx1"/>
            </w14:solidFill>
          </w14:textFill>
        </w:rPr>
        <w:t>贯彻党的“二十大”会议精神，以深入学习习近平新时代中国特色社会主义思想为主线，以确保安全优质播出为目标，着眼当前、立足长效机制建设，坚持强素质、抓管理、提质效、创一流，实现了各项工作的新突破。</w:t>
      </w:r>
      <w:r>
        <w:rPr>
          <w:rFonts w:hint="eastAsia" w:ascii="仿宋" w:hAnsi="仿宋" w:eastAsia="仿宋" w:cs="仿宋"/>
          <w:b w:val="0"/>
          <w:bCs/>
          <w:color w:val="000000" w:themeColor="text1"/>
          <w:sz w:val="32"/>
          <w:szCs w:val="32"/>
          <w14:textFill>
            <w14:solidFill>
              <w14:schemeClr w14:val="tx1"/>
            </w14:solidFill>
          </w14:textFill>
        </w:rPr>
        <w:t>取得的主要工作成绩</w:t>
      </w:r>
      <w:r>
        <w:rPr>
          <w:rFonts w:hint="eastAsia" w:ascii="仿宋" w:hAnsi="仿宋" w:eastAsia="仿宋" w:cs="仿宋"/>
          <w:b/>
          <w:color w:val="000000" w:themeColor="text1"/>
          <w:sz w:val="32"/>
          <w:szCs w:val="32"/>
          <w:lang w:eastAsia="zh-CN"/>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700" w:lineRule="exact"/>
        <w:ind w:left="0" w:right="0" w:firstLine="640" w:firstLineChars="200"/>
        <w:jc w:val="both"/>
        <w:textAlignment w:val="auto"/>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1、</w:t>
      </w:r>
      <w:r>
        <w:rPr>
          <w:rFonts w:hint="eastAsia" w:ascii="仿宋" w:hAnsi="仿宋" w:eastAsia="仿宋" w:cs="仿宋"/>
          <w:b/>
          <w:bCs/>
          <w:caps w:val="0"/>
          <w:color w:val="000000" w:themeColor="text1"/>
          <w:spacing w:val="0"/>
          <w:sz w:val="32"/>
          <w:szCs w:val="32"/>
          <w14:textFill>
            <w14:solidFill>
              <w14:schemeClr w14:val="tx1"/>
            </w14:solidFill>
          </w14:textFill>
        </w:rPr>
        <w:t>坚持党建引领，强化队伍建设</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以党建带业务，以业务促党建，激励全体党员干部重担当、强比拼、提素质</w:t>
      </w: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700" w:lineRule="exact"/>
        <w:ind w:left="0" w:right="0" w:firstLine="640" w:firstLineChars="200"/>
        <w:jc w:val="both"/>
        <w:textAlignment w:val="auto"/>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一是强化组织引领作用。切实发挥党组织战斗堡垒作用，始终将增强政治功能深透到日常业务发展中</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召开会议传达学习中央、省、市委主题教育的安排和工作要求，详细解读实施方案，精心安排部署，明确目标任务、时间节点和责任主体，以提高认识水平，统一思想，凝聚共识，为主题教育的扎实展开提供了理念和操作指引。</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通过书记讲党课、</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组织生活</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会等多种活动形式，进一步激励</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干部职工</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在本职工作争当岗位先锋。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700" w:lineRule="exact"/>
        <w:ind w:left="0" w:right="0" w:firstLine="640" w:firstLineChars="200"/>
        <w:jc w:val="both"/>
        <w:textAlignment w:val="auto"/>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二是党建带动</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团队</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建</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设</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。组织开展</w:t>
      </w:r>
      <w:r>
        <w:rPr>
          <w:rFonts w:hint="eastAsia" w:ascii="仿宋" w:hAnsi="仿宋" w:eastAsia="仿宋" w:cs="仿宋"/>
          <w:b w:val="0"/>
          <w:bCs w:val="0"/>
          <w:i w:val="0"/>
          <w:iCs w:val="0"/>
          <w:caps w:val="0"/>
          <w:color w:val="000000" w:themeColor="text1"/>
          <w:spacing w:val="0"/>
          <w:sz w:val="32"/>
          <w:szCs w:val="32"/>
          <w:shd w:val="clear" w:fill="FFFFFF"/>
          <w:lang w:val="en-US" w:eastAsia="zh-CN"/>
          <w14:textFill>
            <w14:solidFill>
              <w14:schemeClr w14:val="tx1"/>
            </w14:solidFill>
          </w14:textFill>
        </w:rPr>
        <w:t>到唐伯赓烈士故居接受革命传统教育</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促进提升党建教育实效，通过主题党日活动</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观看《榜样7》</w:t>
      </w:r>
      <w:r>
        <w:rPr>
          <w:rFonts w:hint="eastAsia" w:ascii="仿宋" w:hAnsi="仿宋" w:eastAsia="仿宋" w:cs="仿宋"/>
          <w:b w:val="0"/>
          <w:bCs w:val="0"/>
          <w:color w:val="000000" w:themeColor="text1"/>
          <w:sz w:val="32"/>
          <w:szCs w:val="32"/>
          <w:lang w:eastAsia="zh-CN"/>
          <w14:textFill>
            <w14:solidFill>
              <w14:schemeClr w14:val="tx1"/>
            </w14:solidFill>
          </w14:textFill>
        </w:rPr>
        <w:t>撰写</w:t>
      </w:r>
      <w:r>
        <w:rPr>
          <w:rFonts w:hint="eastAsia" w:ascii="仿宋" w:hAnsi="仿宋" w:eastAsia="仿宋" w:cs="仿宋"/>
          <w:b w:val="0"/>
          <w:bCs w:val="0"/>
          <w:color w:val="000000" w:themeColor="text1"/>
          <w:sz w:val="32"/>
          <w:szCs w:val="32"/>
          <w14:textFill>
            <w14:solidFill>
              <w14:schemeClr w14:val="tx1"/>
            </w14:solidFill>
          </w14:textFill>
        </w:rPr>
        <w:t>心得体会</w:t>
      </w:r>
      <w:r>
        <w:rPr>
          <w:rFonts w:hint="eastAsia" w:ascii="仿宋" w:hAnsi="仿宋" w:eastAsia="仿宋" w:cs="仿宋"/>
          <w:b w:val="0"/>
          <w:bCs w:val="0"/>
          <w:color w:val="000000" w:themeColor="text1"/>
          <w:sz w:val="32"/>
          <w:szCs w:val="32"/>
          <w:lang w:eastAsia="zh-CN"/>
          <w14:textFill>
            <w14:solidFill>
              <w14:schemeClr w14:val="tx1"/>
            </w14:solidFill>
          </w14:textFill>
        </w:rPr>
        <w:t>、工会组织登山、桨板划水活动等，</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倡导积极工作、快乐生活的理念，营造积极向上的良好氛围</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使党建活动更有吸引力和感染力，充分调动了全</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台职</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工干事创业热情</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提升党员干部无私奉献、服务群众的自觉和能力</w:t>
      </w: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700" w:lineRule="exact"/>
        <w:ind w:left="0" w:right="0" w:firstLine="640" w:firstLineChars="200"/>
        <w:jc w:val="both"/>
        <w:textAlignment w:val="auto"/>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三</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是强化队伍管理促成长。组织开展谈心谈话、</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月度积分考核</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等，落实</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职</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工日常行为管理监督，及时掌握了解</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职工</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思想动态，对出现的苗头性、倾向性问题早提醒、早纠正，引导培养纪律观念强、规矩意识强的队伍。</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2、</w:t>
      </w:r>
      <w:r>
        <w:rPr>
          <w:rFonts w:hint="eastAsia" w:ascii="仿宋" w:hAnsi="仿宋" w:eastAsia="仿宋"/>
          <w:b/>
          <w:color w:val="000000" w:themeColor="text1"/>
          <w:sz w:val="32"/>
          <w:szCs w:val="32"/>
          <w14:textFill>
            <w14:solidFill>
              <w14:schemeClr w14:val="tx1"/>
            </w14:solidFill>
          </w14:textFill>
        </w:rPr>
        <w:t>内部管理得到了进一步规范。</w:t>
      </w:r>
      <w:r>
        <w:rPr>
          <w:rFonts w:hint="eastAsia" w:ascii="仿宋" w:hAnsi="仿宋" w:eastAsia="仿宋"/>
          <w:color w:val="000000" w:themeColor="text1"/>
          <w:sz w:val="32"/>
          <w:szCs w:val="32"/>
          <w14:textFill>
            <w14:solidFill>
              <w14:schemeClr w14:val="tx1"/>
            </w14:solidFill>
          </w14:textFill>
        </w:rPr>
        <w:t>加强领导，健全机构，营造民主和谐稳定的工作环境。今年上半年，根据上级</w:t>
      </w:r>
      <w:r>
        <w:rPr>
          <w:rFonts w:hint="eastAsia" w:ascii="仿宋" w:hAnsi="仿宋" w:eastAsia="仿宋"/>
          <w:color w:val="000000" w:themeColor="text1"/>
          <w:sz w:val="32"/>
          <w:szCs w:val="32"/>
          <w:lang w:eastAsia="zh-CN"/>
          <w14:textFill>
            <w14:solidFill>
              <w14:schemeClr w14:val="tx1"/>
            </w14:solidFill>
          </w14:textFill>
        </w:rPr>
        <w:t>考察和组织</w:t>
      </w:r>
      <w:r>
        <w:rPr>
          <w:rFonts w:hint="eastAsia" w:ascii="仿宋" w:hAnsi="仿宋" w:eastAsia="仿宋"/>
          <w:color w:val="000000" w:themeColor="text1"/>
          <w:sz w:val="32"/>
          <w:szCs w:val="32"/>
          <w14:textFill>
            <w14:solidFill>
              <w14:schemeClr w14:val="tx1"/>
            </w14:solidFill>
          </w14:textFill>
        </w:rPr>
        <w:t>部门的</w:t>
      </w:r>
      <w:r>
        <w:rPr>
          <w:rFonts w:hint="eastAsia" w:ascii="仿宋" w:hAnsi="仿宋" w:eastAsia="仿宋"/>
          <w:color w:val="000000" w:themeColor="text1"/>
          <w:sz w:val="32"/>
          <w:szCs w:val="32"/>
          <w:lang w:val="en-US" w:eastAsia="zh-CN"/>
          <w14:textFill>
            <w14:solidFill>
              <w14:schemeClr w14:val="tx1"/>
            </w14:solidFill>
          </w14:textFill>
        </w:rPr>
        <w:t>任命</w:t>
      </w:r>
      <w:r>
        <w:rPr>
          <w:rFonts w:hint="eastAsia" w:ascii="仿宋" w:hAnsi="仿宋" w:eastAsia="仿宋"/>
          <w:color w:val="000000" w:themeColor="text1"/>
          <w:sz w:val="32"/>
          <w:szCs w:val="32"/>
          <w14:textFill>
            <w14:solidFill>
              <w14:schemeClr w14:val="tx1"/>
            </w14:solidFill>
          </w14:textFill>
        </w:rPr>
        <w:t>，对台主要负责人进行了</w:t>
      </w:r>
      <w:r>
        <w:rPr>
          <w:rFonts w:hint="eastAsia" w:ascii="仿宋" w:hAnsi="仿宋" w:eastAsia="仿宋"/>
          <w:color w:val="000000" w:themeColor="text1"/>
          <w:sz w:val="32"/>
          <w:szCs w:val="32"/>
          <w:lang w:val="en-US" w:eastAsia="zh-CN"/>
          <w14:textFill>
            <w14:solidFill>
              <w14:schemeClr w14:val="tx1"/>
            </w14:solidFill>
          </w14:textFill>
        </w:rPr>
        <w:t>调整</w:t>
      </w:r>
      <w:r>
        <w:rPr>
          <w:rFonts w:hint="eastAsia" w:ascii="仿宋" w:hAnsi="仿宋" w:eastAsia="仿宋"/>
          <w:color w:val="000000" w:themeColor="text1"/>
          <w:sz w:val="32"/>
          <w:szCs w:val="32"/>
          <w14:textFill>
            <w14:solidFill>
              <w14:schemeClr w14:val="tx1"/>
            </w14:solidFill>
          </w14:textFill>
        </w:rPr>
        <w:t>，台主要</w:t>
      </w:r>
      <w:r>
        <w:rPr>
          <w:rFonts w:hint="eastAsia" w:ascii="仿宋" w:hAnsi="仿宋" w:eastAsia="仿宋"/>
          <w:color w:val="000000" w:themeColor="text1"/>
          <w:sz w:val="32"/>
          <w:szCs w:val="32"/>
          <w:lang w:eastAsia="zh-CN"/>
          <w14:textFill>
            <w14:solidFill>
              <w14:schemeClr w14:val="tx1"/>
            </w14:solidFill>
          </w14:textFill>
        </w:rPr>
        <w:t>负责人</w:t>
      </w:r>
      <w:r>
        <w:rPr>
          <w:rFonts w:hint="eastAsia" w:ascii="仿宋" w:hAnsi="仿宋" w:eastAsia="仿宋"/>
          <w:color w:val="000000" w:themeColor="text1"/>
          <w:sz w:val="32"/>
          <w:szCs w:val="32"/>
          <w14:textFill>
            <w14:solidFill>
              <w14:schemeClr w14:val="tx1"/>
            </w14:solidFill>
          </w14:textFill>
        </w:rPr>
        <w:t>任免平稳过渡。同时按照三定方案，</w:t>
      </w:r>
      <w:r>
        <w:rPr>
          <w:rFonts w:hint="eastAsia" w:ascii="仿宋" w:hAnsi="仿宋" w:eastAsia="仿宋"/>
          <w:color w:val="000000" w:themeColor="text1"/>
          <w:sz w:val="32"/>
          <w:szCs w:val="32"/>
          <w:lang w:val="en-US" w:eastAsia="zh-CN"/>
          <w14:textFill>
            <w14:solidFill>
              <w14:schemeClr w14:val="tx1"/>
            </w14:solidFill>
          </w14:textFill>
        </w:rPr>
        <w:t>配齐了一名副台长和播出部主任</w:t>
      </w:r>
      <w:r>
        <w:rPr>
          <w:rFonts w:hint="eastAsia" w:ascii="仿宋" w:hAnsi="仿宋" w:eastAsia="仿宋"/>
          <w:color w:val="000000" w:themeColor="text1"/>
          <w:sz w:val="32"/>
          <w:szCs w:val="32"/>
          <w14:textFill>
            <w14:solidFill>
              <w14:schemeClr w14:val="tx1"/>
            </w14:solidFill>
          </w14:textFill>
        </w:rPr>
        <w:t>，对办公室、播出部</w:t>
      </w:r>
      <w:r>
        <w:rPr>
          <w:rFonts w:hint="eastAsia" w:ascii="仿宋" w:hAnsi="仿宋" w:eastAsia="仿宋"/>
          <w:color w:val="000000" w:themeColor="text1"/>
          <w:sz w:val="32"/>
          <w:szCs w:val="32"/>
          <w:lang w:eastAsia="zh-CN"/>
          <w14:textFill>
            <w14:solidFill>
              <w14:schemeClr w14:val="tx1"/>
            </w14:solidFill>
          </w14:textFill>
        </w:rPr>
        <w:t>新提拔的二名</w:t>
      </w:r>
      <w:r>
        <w:rPr>
          <w:rFonts w:hint="eastAsia" w:ascii="仿宋" w:hAnsi="仿宋" w:eastAsia="仿宋"/>
          <w:color w:val="000000" w:themeColor="text1"/>
          <w:sz w:val="32"/>
          <w:szCs w:val="32"/>
          <w14:textFill>
            <w14:solidFill>
              <w14:schemeClr w14:val="tx1"/>
            </w14:solidFill>
          </w14:textFill>
        </w:rPr>
        <w:t>副主任实行公开竞聘</w:t>
      </w:r>
      <w:r>
        <w:rPr>
          <w:rFonts w:hint="eastAsia" w:ascii="仿宋" w:hAnsi="仿宋" w:eastAsia="仿宋"/>
          <w:color w:val="000000" w:themeColor="text1"/>
          <w:sz w:val="32"/>
          <w:szCs w:val="32"/>
          <w:lang w:eastAsia="zh-CN"/>
          <w14:textFill>
            <w14:solidFill>
              <w14:schemeClr w14:val="tx1"/>
            </w14:solidFill>
          </w14:textFill>
        </w:rPr>
        <w:t>，真正做到了</w:t>
      </w:r>
      <w:r>
        <w:rPr>
          <w:rFonts w:hint="eastAsia" w:ascii="仿宋" w:hAnsi="仿宋" w:eastAsia="仿宋"/>
          <w:color w:val="000000" w:themeColor="text1"/>
          <w:sz w:val="32"/>
          <w:szCs w:val="32"/>
          <w14:textFill>
            <w14:solidFill>
              <w14:schemeClr w14:val="tx1"/>
            </w14:solidFill>
          </w14:textFill>
        </w:rPr>
        <w:t>坚持民主管理、民主评议，听取干部职工的意见，接受群众的监督，创设了公开、公平、公正的良好氛围。为进一步加强党员及职工的教育管理，逐步形成科学、完善的考核评价体系，对全台积分管理制度进行完善修订，解决了部分同志</w:t>
      </w:r>
      <w:r>
        <w:rPr>
          <w:rFonts w:hint="eastAsia" w:ascii="仿宋" w:hAnsi="仿宋" w:eastAsia="仿宋"/>
          <w:color w:val="000000" w:themeColor="text1"/>
          <w:sz w:val="32"/>
          <w:szCs w:val="32"/>
          <w:lang w:eastAsia="zh-CN"/>
          <w14:textFill>
            <w14:solidFill>
              <w14:schemeClr w14:val="tx1"/>
            </w14:solidFill>
          </w14:textFill>
        </w:rPr>
        <w:t>在工作</w:t>
      </w:r>
      <w:r>
        <w:rPr>
          <w:rFonts w:hint="eastAsia" w:ascii="仿宋" w:hAnsi="仿宋" w:eastAsia="仿宋"/>
          <w:color w:val="000000" w:themeColor="text1"/>
          <w:sz w:val="32"/>
          <w:szCs w:val="32"/>
          <w14:textFill>
            <w14:solidFill>
              <w14:schemeClr w14:val="tx1"/>
            </w14:solidFill>
          </w14:textFill>
        </w:rPr>
        <w:t>中存在的党性意识不强、组织纪律观念差、作用发挥不好等问题，并采取定性评价与量化考评相结合的方式，实现日常管理服务的科学化、精细化，激励全台党员及职工做到政治合格、执行纪律合格、品德合格、发挥作用合格，落实好各项工作的规范化和制度化管理。充分调动广大职工的积极性和创造性，保障了我台各项工作平稳有序开展。</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3、</w:t>
      </w:r>
      <w:r>
        <w:rPr>
          <w:rFonts w:hint="eastAsia" w:ascii="仿宋" w:hAnsi="仿宋" w:eastAsia="仿宋"/>
          <w:b/>
          <w:color w:val="000000" w:themeColor="text1"/>
          <w:sz w:val="32"/>
          <w:szCs w:val="32"/>
          <w14:textFill>
            <w14:solidFill>
              <w14:schemeClr w14:val="tx1"/>
            </w14:solidFill>
          </w14:textFill>
        </w:rPr>
        <w:t>加强技防物防，提升安全播出保障能力。</w:t>
      </w:r>
      <w:r>
        <w:rPr>
          <w:rFonts w:hint="eastAsia" w:ascii="仿宋" w:hAnsi="仿宋" w:eastAsia="仿宋"/>
          <w:color w:val="000000" w:themeColor="text1"/>
          <w:sz w:val="32"/>
          <w:szCs w:val="32"/>
          <w14:textFill>
            <w14:solidFill>
              <w14:schemeClr w14:val="tx1"/>
            </w14:solidFill>
          </w14:textFill>
        </w:rPr>
        <w:t>播出是根本，维护是保证。我们紧紧围绕“不间断、高质量、既经济、又安全”的方针展开机房值班、维护工作，做到两手抓、两手硬。全面自查，排除隐患，对供配电系统、信号源系统、天馈系统、传输监测系统进行更换和备份，完成了第三期防雷接地工程，减少了雷击对转播设备的影响</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完成了700MHZ移频单频网组网收尾工程，解决了覆盖干扰问题</w:t>
      </w:r>
      <w:r>
        <w:rPr>
          <w:rFonts w:hint="eastAsia" w:ascii="仿宋" w:hAnsi="仿宋" w:eastAsia="仿宋"/>
          <w:color w:val="000000" w:themeColor="text1"/>
          <w:sz w:val="32"/>
          <w:szCs w:val="32"/>
          <w:lang w:val="en-US" w:eastAsia="zh-CN"/>
          <w14:textFill>
            <w14:solidFill>
              <w14:schemeClr w14:val="tx1"/>
            </w14:solidFill>
          </w14:textFill>
        </w:rPr>
        <w:t>；投入17万元对基地铁塔防腐进行了全面维护；对办公区的监控进行升级改造并增加监控点，确保办公区域安全有效管控</w:t>
      </w:r>
      <w:r>
        <w:rPr>
          <w:rFonts w:hint="eastAsia" w:ascii="仿宋" w:hAnsi="仿宋" w:eastAsia="仿宋"/>
          <w:color w:val="000000" w:themeColor="text1"/>
          <w:sz w:val="32"/>
          <w:szCs w:val="32"/>
          <w14:textFill>
            <w14:solidFill>
              <w14:schemeClr w14:val="tx1"/>
            </w14:solidFill>
          </w14:textFill>
        </w:rPr>
        <w:t>。</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搞好部门联动协作，严防死守，确保广播电视安全播出。先后</w:t>
      </w:r>
      <w:r>
        <w:rPr>
          <w:rFonts w:hint="eastAsia" w:ascii="仿宋" w:hAnsi="仿宋" w:eastAsia="仿宋" w:cs="仿宋"/>
          <w:color w:val="000000" w:themeColor="text1"/>
          <w:sz w:val="32"/>
          <w:szCs w:val="32"/>
          <w14:textFill>
            <w14:solidFill>
              <w14:schemeClr w14:val="tx1"/>
            </w14:solidFill>
          </w14:textFill>
        </w:rPr>
        <w:t>与公安部门、电力部门、无委、消防等12个单位部门合作，就保障广播电视安全播出工作进行协调</w:t>
      </w:r>
      <w:r>
        <w:rPr>
          <w:rFonts w:hint="eastAsia" w:ascii="仿宋" w:hAnsi="仿宋" w:eastAsia="仿宋" w:cs="仿宋"/>
          <w:color w:val="000000" w:themeColor="text1"/>
          <w:sz w:val="32"/>
          <w:szCs w:val="32"/>
          <w:lang w:eastAsia="zh-CN"/>
          <w14:textFill>
            <w14:solidFill>
              <w14:schemeClr w14:val="tx1"/>
            </w14:solidFill>
          </w14:textFill>
        </w:rPr>
        <w:t>沟通</w:t>
      </w:r>
      <w:r>
        <w:rPr>
          <w:rFonts w:hint="eastAsia" w:ascii="仿宋" w:hAnsi="仿宋" w:eastAsia="仿宋" w:cs="仿宋"/>
          <w:color w:val="000000" w:themeColor="text1"/>
          <w:sz w:val="32"/>
          <w:szCs w:val="32"/>
          <w14:textFill>
            <w14:solidFill>
              <w14:schemeClr w14:val="tx1"/>
            </w14:solidFill>
          </w14:textFill>
        </w:rPr>
        <w:t>，并确定相应的联系责任人。</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认真搞好传输、接收设备的检查维修维护，全年进行了</w:t>
      </w:r>
      <w:r>
        <w:rPr>
          <w:rFonts w:hint="eastAsia" w:ascii="仿宋" w:hAnsi="仿宋" w:eastAsia="仿宋"/>
          <w:color w:val="000000" w:themeColor="text1"/>
          <w:sz w:val="32"/>
          <w:szCs w:val="32"/>
          <w:lang w:val="en-US" w:eastAsia="zh-CN"/>
          <w14:textFill>
            <w14:solidFill>
              <w14:schemeClr w14:val="tx1"/>
            </w14:solidFill>
          </w14:textFill>
        </w:rPr>
        <w:t>4次季检和8次月检，发现隐患及时排除，真正让设备故障消除在萌芽状态；先后4次</w:t>
      </w:r>
      <w:r>
        <w:rPr>
          <w:rFonts w:hint="eastAsia" w:ascii="仿宋" w:hAnsi="仿宋" w:eastAsia="仿宋"/>
          <w:color w:val="000000" w:themeColor="text1"/>
          <w:sz w:val="32"/>
          <w:szCs w:val="32"/>
          <w14:textFill>
            <w14:solidFill>
              <w14:schemeClr w14:val="tx1"/>
            </w14:solidFill>
          </w14:textFill>
        </w:rPr>
        <w:t>深入中方、鹤城、芷江等广播电视覆盖区域，对我台发射的广播电视信号进行检测，并对信号干扰情况进行会商，找出最佳解决方法，让广播电视信号清晰地传送到千家万户。从发现问题到整改问题，全面提升我台安全播出保障能力。</w:t>
      </w:r>
    </w:p>
    <w:p>
      <w:pPr>
        <w:pStyle w:val="7"/>
        <w:keepNext w:val="0"/>
        <w:keepLines w:val="0"/>
        <w:pageBreakBefore w:val="0"/>
        <w:widowControl w:val="0"/>
        <w:numPr>
          <w:ilvl w:val="0"/>
          <w:numId w:val="0"/>
        </w:numPr>
        <w:shd w:val="clear" w:color="auto" w:fill="FFFFFF"/>
        <w:kinsoku/>
        <w:wordWrap/>
        <w:overflowPunct/>
        <w:topLinePunct w:val="0"/>
        <w:autoSpaceDE w:val="0"/>
        <w:autoSpaceDN/>
        <w:bidi w:val="0"/>
        <w:adjustRightInd/>
        <w:spacing w:before="0" w:beforeAutospacing="0" w:after="0" w:afterAutospacing="0" w:line="700" w:lineRule="exact"/>
        <w:ind w:firstLine="640" w:firstLineChars="200"/>
        <w:jc w:val="both"/>
        <w:textAlignment w:val="auto"/>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4、</w:t>
      </w:r>
      <w:r>
        <w:rPr>
          <w:rFonts w:hint="eastAsia" w:ascii="仿宋" w:hAnsi="仿宋" w:eastAsia="仿宋"/>
          <w:b/>
          <w:bCs/>
          <w:color w:val="000000" w:themeColor="text1"/>
          <w:sz w:val="32"/>
          <w:szCs w:val="32"/>
          <w14:textFill>
            <w14:solidFill>
              <w14:schemeClr w14:val="tx1"/>
            </w14:solidFill>
          </w14:textFill>
        </w:rPr>
        <w:t>周密部署，全力保障全国“两会”</w:t>
      </w:r>
      <w:r>
        <w:rPr>
          <w:rFonts w:hint="eastAsia" w:ascii="仿宋" w:hAnsi="仿宋" w:eastAsia="仿宋"/>
          <w:b/>
          <w:bCs/>
          <w:color w:val="000000" w:themeColor="text1"/>
          <w:sz w:val="32"/>
          <w:szCs w:val="32"/>
          <w:lang w:eastAsia="zh-CN"/>
          <w14:textFill>
            <w14:solidFill>
              <w14:schemeClr w14:val="tx1"/>
            </w14:solidFill>
          </w14:textFill>
        </w:rPr>
        <w:t>、亚运会亚残运会等重要播出时段</w:t>
      </w:r>
      <w:r>
        <w:rPr>
          <w:rFonts w:hint="eastAsia" w:ascii="仿宋" w:hAnsi="仿宋" w:eastAsia="仿宋"/>
          <w:b/>
          <w:bCs/>
          <w:color w:val="000000" w:themeColor="text1"/>
          <w:sz w:val="32"/>
          <w:szCs w:val="32"/>
          <w14:textFill>
            <w14:solidFill>
              <w14:schemeClr w14:val="tx1"/>
            </w14:solidFill>
          </w14:textFill>
        </w:rPr>
        <w:t>广播电视安全播出。</w:t>
      </w:r>
      <w:r>
        <w:rPr>
          <w:rFonts w:hint="eastAsia" w:ascii="仿宋" w:hAnsi="仿宋" w:eastAsia="仿宋"/>
          <w:color w:val="000000" w:themeColor="text1"/>
          <w:sz w:val="32"/>
          <w:szCs w:val="32"/>
          <w14:textFill>
            <w14:solidFill>
              <w14:schemeClr w14:val="tx1"/>
            </w14:solidFill>
          </w14:textFill>
        </w:rPr>
        <w:t>为深入贯彻落实上级精神，圆满完成重要播出期内的播出任务，在认识上、组织上、技术上做了充分的准备和周密的部署</w:t>
      </w:r>
      <w:r>
        <w:rPr>
          <w:rFonts w:hint="eastAsia" w:ascii="仿宋" w:hAnsi="仿宋" w:eastAsia="仿宋"/>
          <w:color w:val="000000" w:themeColor="text1"/>
          <w:sz w:val="32"/>
          <w:szCs w:val="32"/>
          <w:lang w:eastAsia="zh-CN"/>
          <w14:textFill>
            <w14:solidFill>
              <w14:schemeClr w14:val="tx1"/>
            </w14:solidFill>
          </w14:textFill>
        </w:rPr>
        <w:t>。</w:t>
      </w:r>
    </w:p>
    <w:p>
      <w:pPr>
        <w:pStyle w:val="7"/>
        <w:keepNext w:val="0"/>
        <w:keepLines w:val="0"/>
        <w:pageBreakBefore w:val="0"/>
        <w:widowControl w:val="0"/>
        <w:numPr>
          <w:ilvl w:val="0"/>
          <w:numId w:val="0"/>
        </w:numPr>
        <w:shd w:val="clear" w:color="auto" w:fill="FFFFFF"/>
        <w:kinsoku/>
        <w:wordWrap/>
        <w:overflowPunct/>
        <w:topLinePunct w:val="0"/>
        <w:autoSpaceDE w:val="0"/>
        <w:autoSpaceDN/>
        <w:bidi w:val="0"/>
        <w:adjustRightInd/>
        <w:spacing w:before="0" w:beforeAutospacing="0" w:after="0" w:afterAutospacing="0" w:line="70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一是提高思想认识，组织全台干部职工召开安全生产和安全播出动员大会，进一步增强大家的政治责任感和使命感。</w:t>
      </w:r>
    </w:p>
    <w:p>
      <w:pPr>
        <w:pStyle w:val="7"/>
        <w:keepNext w:val="0"/>
        <w:keepLines w:val="0"/>
        <w:pageBreakBefore w:val="0"/>
        <w:widowControl w:val="0"/>
        <w:numPr>
          <w:ilvl w:val="0"/>
          <w:numId w:val="0"/>
        </w:numPr>
        <w:shd w:val="clear" w:color="auto" w:fill="FFFFFF"/>
        <w:kinsoku/>
        <w:wordWrap/>
        <w:overflowPunct/>
        <w:topLinePunct w:val="0"/>
        <w:autoSpaceDE w:val="0"/>
        <w:autoSpaceDN/>
        <w:bidi w:val="0"/>
        <w:adjustRightInd/>
        <w:spacing w:before="0" w:beforeAutospacing="0" w:after="0" w:afterAutospacing="0" w:line="70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二是组织对播出设备、天线、电源、播出前端进行防雷检测，各个设备符合防雷技术要求。同时，与电力部门签订电源维护合同，保证台内电源安全，消除了电源变压器、稳压器的隐患。</w:t>
      </w:r>
    </w:p>
    <w:p>
      <w:pPr>
        <w:pStyle w:val="7"/>
        <w:keepNext w:val="0"/>
        <w:keepLines w:val="0"/>
        <w:pageBreakBefore w:val="0"/>
        <w:widowControl w:val="0"/>
        <w:numPr>
          <w:ilvl w:val="0"/>
          <w:numId w:val="0"/>
        </w:numPr>
        <w:shd w:val="clear" w:color="auto" w:fill="FFFFFF"/>
        <w:kinsoku/>
        <w:wordWrap/>
        <w:overflowPunct/>
        <w:topLinePunct w:val="0"/>
        <w:autoSpaceDE w:val="0"/>
        <w:autoSpaceDN/>
        <w:bidi w:val="0"/>
        <w:adjustRightInd/>
        <w:spacing w:before="0" w:beforeAutospacing="0" w:after="0" w:afterAutospacing="0" w:line="700" w:lineRule="exact"/>
        <w:ind w:firstLine="640" w:firstLineChars="200"/>
        <w:jc w:val="both"/>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三是制定播出突发事件应急预案，加强突发事故应急预案演练，做好发射机维护、信号接收、设备检修，铁塔区的检查及配电电源部分的维护工作。</w:t>
      </w:r>
    </w:p>
    <w:p>
      <w:pPr>
        <w:keepNext w:val="0"/>
        <w:keepLines w:val="0"/>
        <w:pageBreakBefore w:val="0"/>
        <w:widowControl/>
        <w:shd w:val="clear" w:color="auto" w:fill="FFFFFF"/>
        <w:kinsoku/>
        <w:wordWrap/>
        <w:overflowPunct/>
        <w:topLinePunct w:val="0"/>
        <w:autoSpaceDN/>
        <w:bidi w:val="0"/>
        <w:adjustRightInd/>
        <w:spacing w:line="700" w:lineRule="exact"/>
        <w:ind w:firstLine="640" w:firstLineChars="200"/>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全国“两会”</w:t>
      </w:r>
      <w:r>
        <w:rPr>
          <w:rFonts w:hint="eastAsia" w:ascii="仿宋" w:hAnsi="仿宋" w:eastAsia="仿宋" w:cs="宋体"/>
          <w:color w:val="000000" w:themeColor="text1"/>
          <w:kern w:val="0"/>
          <w:sz w:val="32"/>
          <w:szCs w:val="32"/>
          <w:lang w:eastAsia="zh-CN"/>
          <w14:textFill>
            <w14:solidFill>
              <w14:schemeClr w14:val="tx1"/>
            </w14:solidFill>
          </w14:textFill>
        </w:rPr>
        <w:t>和亚运会亚残运会等重要播出</w:t>
      </w:r>
      <w:r>
        <w:rPr>
          <w:rFonts w:hint="eastAsia" w:ascii="仿宋" w:hAnsi="仿宋" w:eastAsia="仿宋" w:cs="宋体"/>
          <w:color w:val="000000" w:themeColor="text1"/>
          <w:kern w:val="0"/>
          <w:sz w:val="32"/>
          <w:szCs w:val="32"/>
          <w14:textFill>
            <w14:solidFill>
              <w14:schemeClr w14:val="tx1"/>
            </w14:solidFill>
          </w14:textFill>
        </w:rPr>
        <w:t>期间，台领导带班靠前指挥，增加双岗值班值守人员，加大对重点部位的值班巡查力度，加强监听监控，严格零报告制度，确保了</w:t>
      </w:r>
      <w:r>
        <w:rPr>
          <w:rFonts w:hint="eastAsia" w:ascii="仿宋" w:hAnsi="仿宋" w:eastAsia="仿宋" w:cs="宋体"/>
          <w:color w:val="000000" w:themeColor="text1"/>
          <w:kern w:val="0"/>
          <w:sz w:val="32"/>
          <w:szCs w:val="32"/>
          <w:lang w:eastAsia="zh-CN"/>
          <w14:textFill>
            <w14:solidFill>
              <w14:schemeClr w14:val="tx1"/>
            </w14:solidFill>
          </w14:textFill>
        </w:rPr>
        <w:t>重要播出</w:t>
      </w:r>
      <w:r>
        <w:rPr>
          <w:rFonts w:hint="eastAsia" w:ascii="仿宋" w:hAnsi="仿宋" w:eastAsia="仿宋" w:cs="宋体"/>
          <w:color w:val="000000" w:themeColor="text1"/>
          <w:kern w:val="0"/>
          <w:sz w:val="32"/>
          <w:szCs w:val="32"/>
          <w14:textFill>
            <w14:solidFill>
              <w14:schemeClr w14:val="tx1"/>
            </w14:solidFill>
          </w14:textFill>
        </w:rPr>
        <w:t>期间广播电视安全播出零中断。</w:t>
      </w:r>
    </w:p>
    <w:p>
      <w:pPr>
        <w:keepNext w:val="0"/>
        <w:keepLines w:val="0"/>
        <w:pageBreakBefore w:val="0"/>
        <w:widowControl/>
        <w:shd w:val="clear" w:color="auto" w:fill="FFFFFF"/>
        <w:kinsoku/>
        <w:wordWrap/>
        <w:overflowPunct/>
        <w:topLinePunct w:val="0"/>
        <w:autoSpaceDN/>
        <w:bidi w:val="0"/>
        <w:adjustRightInd/>
        <w:spacing w:line="700" w:lineRule="exact"/>
        <w:ind w:firstLine="640" w:firstLineChars="200"/>
        <w:textAlignment w:val="auto"/>
        <w:rPr>
          <w:rFonts w:hint="default" w:ascii="仿宋" w:hAnsi="仿宋" w:eastAsia="仿宋" w:cs="宋体"/>
          <w:color w:val="000000" w:themeColor="text1"/>
          <w:kern w:val="0"/>
          <w:sz w:val="32"/>
          <w:szCs w:val="32"/>
          <w:lang w:val="en-US" w:eastAsia="zh-CN"/>
          <w14:textFill>
            <w14:solidFill>
              <w14:schemeClr w14:val="tx1"/>
            </w14:solidFill>
          </w14:textFill>
        </w:rPr>
      </w:pPr>
      <w:r>
        <w:rPr>
          <w:rFonts w:hint="eastAsia" w:ascii="仿宋" w:hAnsi="仿宋" w:eastAsia="仿宋" w:cs="宋体"/>
          <w:color w:val="000000" w:themeColor="text1"/>
          <w:kern w:val="0"/>
          <w:sz w:val="32"/>
          <w:szCs w:val="32"/>
          <w:lang w:val="en-US" w:eastAsia="zh-CN"/>
          <w14:textFill>
            <w14:solidFill>
              <w14:schemeClr w14:val="tx1"/>
            </w14:solidFill>
          </w14:textFill>
        </w:rPr>
        <w:t>一年来，广播电视节目信号播出、传输、接收设备在技术人员精心呵护下，数字电视、调频广播安全播出正常，做到了全年安全播出零事故、零失误。</w:t>
      </w:r>
    </w:p>
    <w:p>
      <w:pPr>
        <w:keepNext w:val="0"/>
        <w:keepLines w:val="0"/>
        <w:pageBreakBefore w:val="0"/>
        <w:kinsoku/>
        <w:wordWrap/>
        <w:overflowPunct/>
        <w:topLinePunct w:val="0"/>
        <w:autoSpaceDE w:val="0"/>
        <w:autoSpaceDN/>
        <w:bidi w:val="0"/>
        <w:adjustRightInd/>
        <w:spacing w:line="700" w:lineRule="exact"/>
        <w:ind w:firstLine="640"/>
        <w:textAlignment w:val="auto"/>
        <w:rPr>
          <w:rFonts w:hint="eastAsia" w:ascii="仿宋" w:hAnsi="仿宋" w:eastAsia="仿宋"/>
          <w:bCs/>
          <w:color w:val="000000" w:themeColor="text1"/>
          <w:sz w:val="32"/>
          <w:szCs w:val="32"/>
          <w14:textFill>
            <w14:solidFill>
              <w14:schemeClr w14:val="tx1"/>
            </w14:solidFill>
          </w14:textFill>
        </w:rPr>
      </w:pPr>
      <w:r>
        <w:rPr>
          <w:rFonts w:hint="eastAsia" w:ascii="仿宋" w:hAnsi="仿宋" w:eastAsia="仿宋" w:cs="宋体"/>
          <w:b/>
          <w:color w:val="000000" w:themeColor="text1"/>
          <w:kern w:val="0"/>
          <w:sz w:val="32"/>
          <w:szCs w:val="32"/>
          <w:lang w:val="en-US" w:eastAsia="zh-CN"/>
          <w14:textFill>
            <w14:solidFill>
              <w14:schemeClr w14:val="tx1"/>
            </w14:solidFill>
          </w14:textFill>
        </w:rPr>
        <w:t>5、</w:t>
      </w:r>
      <w:r>
        <w:rPr>
          <w:rFonts w:hint="eastAsia" w:ascii="仿宋" w:hAnsi="仿宋" w:eastAsia="仿宋" w:cs="宋体"/>
          <w:b/>
          <w:color w:val="000000" w:themeColor="text1"/>
          <w:kern w:val="0"/>
          <w:sz w:val="32"/>
          <w:szCs w:val="32"/>
          <w14:textFill>
            <w14:solidFill>
              <w14:schemeClr w14:val="tx1"/>
            </w14:solidFill>
          </w14:textFill>
        </w:rPr>
        <w:t>加强对</w:t>
      </w:r>
      <w:r>
        <w:rPr>
          <w:rFonts w:hint="eastAsia" w:ascii="仿宋" w:hAnsi="仿宋" w:eastAsia="仿宋"/>
          <w:b/>
          <w:color w:val="000000" w:themeColor="text1"/>
          <w:sz w:val="32"/>
          <w:szCs w:val="32"/>
          <w14:textFill>
            <w14:solidFill>
              <w14:schemeClr w14:val="tx1"/>
            </w14:solidFill>
          </w14:textFill>
        </w:rPr>
        <w:t>意识形态和网络意识形态工作有效管控。</w:t>
      </w:r>
      <w:r>
        <w:rPr>
          <w:rFonts w:hint="eastAsia" w:ascii="仿宋" w:hAnsi="仿宋" w:eastAsia="仿宋" w:cs="仿宋"/>
          <w:color w:val="000000" w:themeColor="text1"/>
          <w:sz w:val="32"/>
          <w:szCs w:val="32"/>
          <w14:textFill>
            <w14:solidFill>
              <w14:schemeClr w14:val="tx1"/>
            </w14:solidFill>
          </w14:textFill>
        </w:rPr>
        <w:t>认真履行意识形态责任制，召开</w:t>
      </w:r>
      <w:r>
        <w:rPr>
          <w:rFonts w:hint="eastAsia" w:ascii="仿宋" w:hAnsi="仿宋" w:eastAsia="仿宋" w:cs="仿宋"/>
          <w:color w:val="000000" w:themeColor="text1"/>
          <w:sz w:val="32"/>
          <w:szCs w:val="32"/>
          <w:lang w:eastAsia="zh-CN"/>
          <w14:textFill>
            <w14:solidFill>
              <w14:schemeClr w14:val="tx1"/>
            </w14:solidFill>
          </w14:textFill>
        </w:rPr>
        <w:t>支委会、台务会</w:t>
      </w:r>
      <w:r>
        <w:rPr>
          <w:rFonts w:hint="eastAsia" w:ascii="仿宋" w:hAnsi="仿宋" w:eastAsia="仿宋" w:cs="仿宋"/>
          <w:color w:val="000000" w:themeColor="text1"/>
          <w:sz w:val="32"/>
          <w:szCs w:val="32"/>
          <w14:textFill>
            <w14:solidFill>
              <w14:schemeClr w14:val="tx1"/>
            </w14:solidFill>
          </w14:textFill>
        </w:rPr>
        <w:t>专题研究意识形态工作</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次，及时向</w:t>
      </w:r>
      <w:r>
        <w:rPr>
          <w:rFonts w:hint="eastAsia" w:ascii="仿宋" w:hAnsi="仿宋" w:eastAsia="仿宋" w:cs="仿宋"/>
          <w:color w:val="000000" w:themeColor="text1"/>
          <w:sz w:val="32"/>
          <w:szCs w:val="32"/>
          <w:lang w:eastAsia="zh-CN"/>
          <w14:textFill>
            <w14:solidFill>
              <w14:schemeClr w14:val="tx1"/>
            </w14:solidFill>
          </w14:textFill>
        </w:rPr>
        <w:t>上级主管部门</w:t>
      </w:r>
      <w:r>
        <w:rPr>
          <w:rFonts w:hint="eastAsia" w:ascii="仿宋" w:hAnsi="仿宋" w:eastAsia="仿宋" w:cs="仿宋"/>
          <w:color w:val="000000" w:themeColor="text1"/>
          <w:sz w:val="32"/>
          <w:szCs w:val="32"/>
          <w14:textFill>
            <w14:solidFill>
              <w14:schemeClr w14:val="tx1"/>
            </w14:solidFill>
          </w14:textFill>
        </w:rPr>
        <w:t>报告意识形态工作的实施情况。主要负责人履行主体责任，班子成员自觉履行“一岗双责”，坚定讲政治，坚决反对和抵制各种错误观点。加强网络意识形态管理，严格执行微信、微博、网站等网络媒体工作纪律，对发布的内容进行严格把关，预防泄密等事件发生。引导党员干部发扬斗争精神，提高斗争本领，特别是对于潜在风险问题，洞察微妙之处，提前采取措施，不断提升应急处突的能力和水平。</w:t>
      </w:r>
      <w:r>
        <w:rPr>
          <w:rFonts w:hint="eastAsia" w:ascii="仿宋" w:hAnsi="仿宋" w:eastAsia="仿宋" w:cs="仿宋"/>
          <w:bCs/>
          <w:color w:val="000000" w:themeColor="text1"/>
          <w:sz w:val="32"/>
          <w:szCs w:val="32"/>
          <w14:textFill>
            <w14:solidFill>
              <w14:schemeClr w14:val="tx1"/>
            </w14:solidFill>
          </w14:textFill>
        </w:rPr>
        <w:t>对全台干部职工宣传爱国主义精神，弘扬正能量，</w:t>
      </w:r>
      <w:r>
        <w:rPr>
          <w:rFonts w:hint="eastAsia" w:ascii="仿宋" w:hAnsi="仿宋" w:eastAsia="仿宋"/>
          <w:bCs/>
          <w:color w:val="000000" w:themeColor="text1"/>
          <w:sz w:val="32"/>
          <w:szCs w:val="32"/>
          <w14:textFill>
            <w14:solidFill>
              <w14:schemeClr w14:val="tx1"/>
            </w14:solidFill>
          </w14:textFill>
        </w:rPr>
        <w:t>坚持正确的政治方向和舆论导向。强化网络舆情信息日常监督管理，指派专人监看有关信息发布平台，对针对我台相关内容的信息及时汇报，积极应对，没有出现有关我台的舆情及负面信息。</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b/>
          <w:bCs/>
          <w:color w:val="000000" w:themeColor="text1"/>
          <w:sz w:val="32"/>
          <w:szCs w:val="32"/>
          <w:lang w:eastAsia="zh-CN"/>
          <w14:textFill>
            <w14:solidFill>
              <w14:schemeClr w14:val="tx1"/>
            </w14:solidFill>
          </w14:textFill>
        </w:rPr>
      </w:pPr>
      <w:r>
        <w:rPr>
          <w:rFonts w:hint="eastAsia" w:ascii="仿宋" w:hAnsi="仿宋" w:eastAsia="仿宋"/>
          <w:b/>
          <w:bCs/>
          <w:color w:val="000000" w:themeColor="text1"/>
          <w:sz w:val="32"/>
          <w:szCs w:val="32"/>
          <w:lang w:val="en-US" w:eastAsia="zh-CN"/>
          <w14:textFill>
            <w14:solidFill>
              <w14:schemeClr w14:val="tx1"/>
            </w14:solidFill>
          </w14:textFill>
        </w:rPr>
        <w:t>6、</w:t>
      </w:r>
      <w:r>
        <w:rPr>
          <w:rFonts w:hint="eastAsia" w:ascii="仿宋" w:hAnsi="仿宋" w:eastAsia="仿宋"/>
          <w:b/>
          <w:bCs/>
          <w:color w:val="000000" w:themeColor="text1"/>
          <w:sz w:val="32"/>
          <w:szCs w:val="32"/>
          <w:lang w:eastAsia="zh-CN"/>
          <w14:textFill>
            <w14:solidFill>
              <w14:schemeClr w14:val="tx1"/>
            </w14:solidFill>
          </w14:textFill>
        </w:rPr>
        <w:t>加大学习培训力度，提升职工业务素质。</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为了让</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职</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工提升团队协作能力、增强个人技能素质，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先后选派二批技术骨干到厦门、长沙学习广播电视传输发射及安全播出管理、湖南广播电视技术能手职业技能竞赛等培训学习；组织管理、技术人员到6902台发射基地进行现场学习交流；湘西羊峰山转播台、娄底苦竹转播台兄弟单位来台相互学习促提升，</w:t>
      </w:r>
      <w:r>
        <w:rPr>
          <w:rFonts w:hint="eastAsia" w:ascii="仿宋" w:hAnsi="仿宋" w:eastAsia="仿宋" w:cs="仿宋"/>
          <w:b w:val="0"/>
          <w:color w:val="000000" w:themeColor="text1"/>
          <w:sz w:val="32"/>
          <w:szCs w:val="32"/>
          <w:lang w:val="en-US" w:eastAsia="zh-CN"/>
          <w14:textFill>
            <w14:solidFill>
              <w14:schemeClr w14:val="tx1"/>
            </w14:solidFill>
          </w14:textFill>
        </w:rPr>
        <w:t>就高山台现状、怎样加强业务培训提升队伍素质</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的难点和问题进行沟通探讨</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；邀请设备器材厂家技术人员现场讲课，讲解设备器材性能和故障处理办法，提升技术人员处理设备故障能力；技术部班组经常针对性地开展应急演练和技术骨干传帮带现学现用。</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通过采取走出去、请进来的学习培训方式，有效提高了职工的业务技能素质。</w:t>
      </w:r>
    </w:p>
    <w:p>
      <w:pPr>
        <w:keepNext w:val="0"/>
        <w:keepLines w:val="0"/>
        <w:pageBreakBefore w:val="0"/>
        <w:kinsoku/>
        <w:wordWrap/>
        <w:overflowPunct/>
        <w:topLinePunct w:val="0"/>
        <w:autoSpaceDE w:val="0"/>
        <w:autoSpaceDN/>
        <w:bidi w:val="0"/>
        <w:adjustRightInd/>
        <w:spacing w:line="7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7、</w:t>
      </w:r>
      <w:r>
        <w:rPr>
          <w:rFonts w:hint="eastAsia" w:ascii="仿宋" w:hAnsi="仿宋" w:eastAsia="仿宋"/>
          <w:b/>
          <w:color w:val="000000" w:themeColor="text1"/>
          <w:sz w:val="32"/>
          <w:szCs w:val="32"/>
          <w14:textFill>
            <w14:solidFill>
              <w14:schemeClr w14:val="tx1"/>
            </w14:solidFill>
          </w14:textFill>
        </w:rPr>
        <w:t>派驻驻村队员，助力乡村振兴。</w:t>
      </w:r>
      <w:r>
        <w:rPr>
          <w:rFonts w:hint="eastAsia" w:ascii="仿宋" w:hAnsi="仿宋" w:eastAsia="仿宋"/>
          <w:color w:val="000000" w:themeColor="text1"/>
          <w:sz w:val="32"/>
          <w:szCs w:val="32"/>
          <w14:textFill>
            <w14:solidFill>
              <w14:schemeClr w14:val="tx1"/>
            </w14:solidFill>
          </w14:textFill>
        </w:rPr>
        <w:t>作为后盾单位，我台派了一名工作队员</w:t>
      </w:r>
      <w:r>
        <w:rPr>
          <w:rFonts w:hint="eastAsia" w:ascii="仿宋" w:hAnsi="仿宋" w:eastAsia="仿宋"/>
          <w:color w:val="000000" w:themeColor="text1"/>
          <w:sz w:val="32"/>
          <w:szCs w:val="32"/>
          <w:lang w:eastAsia="zh-CN"/>
          <w14:textFill>
            <w14:solidFill>
              <w14:schemeClr w14:val="tx1"/>
            </w14:solidFill>
          </w14:textFill>
        </w:rPr>
        <w:t>上半年</w:t>
      </w:r>
      <w:r>
        <w:rPr>
          <w:rFonts w:hint="eastAsia" w:ascii="仿宋" w:hAnsi="仿宋" w:eastAsia="仿宋"/>
          <w:color w:val="000000" w:themeColor="text1"/>
          <w:sz w:val="32"/>
          <w:szCs w:val="32"/>
          <w14:textFill>
            <w14:solidFill>
              <w14:schemeClr w14:val="tx1"/>
            </w14:solidFill>
          </w14:textFill>
        </w:rPr>
        <w:t>进驻新晃</w:t>
      </w:r>
      <w:r>
        <w:rPr>
          <w:rFonts w:hint="eastAsia" w:ascii="仿宋" w:hAnsi="仿宋" w:eastAsia="仿宋"/>
          <w:color w:val="000000" w:themeColor="text1"/>
          <w:kern w:val="0"/>
          <w:sz w:val="32"/>
          <w:szCs w:val="32"/>
          <w14:textFill>
            <w14:solidFill>
              <w14:schemeClr w14:val="tx1"/>
            </w14:solidFill>
          </w14:textFill>
        </w:rPr>
        <w:t>凉伞镇坪南村，与驻村工作队一道</w:t>
      </w:r>
      <w:r>
        <w:rPr>
          <w:rFonts w:hint="eastAsia" w:ascii="仿宋" w:hAnsi="仿宋" w:eastAsia="仿宋"/>
          <w:color w:val="000000" w:themeColor="text1"/>
          <w:sz w:val="32"/>
          <w:szCs w:val="32"/>
          <w14:textFill>
            <w14:solidFill>
              <w14:schemeClr w14:val="tx1"/>
            </w14:solidFill>
          </w14:textFill>
        </w:rPr>
        <w:t>，先后发展了黄牛养殖基地、光伏发电和蔬菜产业基地，村集体经济和农户收入逐渐增加。</w:t>
      </w:r>
      <w:r>
        <w:rPr>
          <w:rFonts w:hint="eastAsia" w:ascii="仿宋" w:hAnsi="仿宋" w:eastAsia="仿宋" w:cs="仿宋"/>
          <w:color w:val="000000" w:themeColor="text1"/>
          <w:sz w:val="32"/>
          <w:szCs w:val="32"/>
          <w14:textFill>
            <w14:solidFill>
              <w14:schemeClr w14:val="tx1"/>
            </w14:solidFill>
          </w14:textFill>
        </w:rPr>
        <w:t>5月，乡村振兴驻村队员轮换到鹤城区黄金坳长潭村，进驻联系村后与其他工作队员一道，深入调查摸底，吃透村情民意，巩固脱贫攻坚成果，大力推动村级产业发展，助力乡村振兴。</w:t>
      </w:r>
      <w:r>
        <w:rPr>
          <w:rFonts w:hint="eastAsia" w:ascii="仿宋" w:hAnsi="仿宋" w:eastAsia="仿宋"/>
          <w:color w:val="000000" w:themeColor="text1"/>
          <w:sz w:val="32"/>
          <w:szCs w:val="32"/>
          <w14:textFill>
            <w14:solidFill>
              <w14:schemeClr w14:val="tx1"/>
            </w14:solidFill>
          </w14:textFill>
        </w:rPr>
        <w:t>同时，台领导定期到联系点走访调研，与乡村振兴驻村队员、村委会干部进行座谈交流，详细询问村集体经济、群众生产生活、人居环境整治和基础设施建设等情况，通过派驻队员和下沉走访调研，要求单位驻村队员积极为村里乡村振兴</w:t>
      </w:r>
      <w:r>
        <w:rPr>
          <w:rFonts w:hint="eastAsia" w:ascii="仿宋" w:hAnsi="仿宋" w:eastAsia="仿宋" w:cs="仿宋"/>
          <w:color w:val="000000" w:themeColor="text1"/>
          <w:sz w:val="32"/>
          <w:szCs w:val="32"/>
          <w14:textFill>
            <w14:solidFill>
              <w14:schemeClr w14:val="tx1"/>
            </w14:solidFill>
          </w14:textFill>
        </w:rPr>
        <w:t>想办法、出点子，因地制宜，用心用情搞好乡村振兴，提高村民满意度。</w:t>
      </w: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heme="minorEastAsia" w:hAnsiTheme="minorEastAsia" w:eastAsiaTheme="minorEastAsia" w:cstheme="minorEastAsia"/>
          <w:b/>
          <w:bCs/>
          <w:sz w:val="32"/>
          <w:szCs w:val="32"/>
        </w:rPr>
      </w:pPr>
      <w:r>
        <w:rPr>
          <w:rFonts w:hint="eastAsia" w:ascii="仿宋" w:hAnsi="仿宋" w:eastAsia="仿宋"/>
          <w:b/>
          <w:color w:val="000000" w:themeColor="text1"/>
          <w:sz w:val="32"/>
          <w:szCs w:val="32"/>
          <w:lang w:val="en-US" w:eastAsia="zh-CN"/>
          <w14:textFill>
            <w14:solidFill>
              <w14:schemeClr w14:val="tx1"/>
            </w14:solidFill>
          </w14:textFill>
        </w:rPr>
        <w:t>（二）存在的问题及原因分析</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在总结成绩的同时，我们</w:t>
      </w:r>
      <w:r>
        <w:rPr>
          <w:rFonts w:hint="eastAsia" w:ascii="仿宋" w:hAnsi="仿宋" w:eastAsia="仿宋" w:cs="仿宋"/>
          <w:color w:val="000000" w:themeColor="text1"/>
          <w:sz w:val="32"/>
          <w:szCs w:val="32"/>
          <w:lang w:eastAsia="zh-CN"/>
          <w14:textFill>
            <w14:solidFill>
              <w14:schemeClr w14:val="tx1"/>
            </w14:solidFill>
          </w14:textFill>
        </w:rPr>
        <w:t>也</w:t>
      </w:r>
      <w:r>
        <w:rPr>
          <w:rFonts w:hint="eastAsia" w:ascii="仿宋" w:hAnsi="仿宋" w:eastAsia="仿宋" w:cs="仿宋"/>
          <w:color w:val="000000" w:themeColor="text1"/>
          <w:sz w:val="32"/>
          <w:szCs w:val="32"/>
          <w14:textFill>
            <w14:solidFill>
              <w14:schemeClr w14:val="tx1"/>
            </w14:solidFill>
          </w14:textFill>
        </w:rPr>
        <w:t>清醒认识到工作存在一些短板和差距。</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一是</w:t>
      </w:r>
      <w:r>
        <w:rPr>
          <w:rFonts w:hint="eastAsia" w:ascii="仿宋" w:hAnsi="仿宋" w:eastAsia="仿宋" w:cs="仿宋"/>
          <w:color w:val="000000" w:themeColor="text1"/>
          <w:sz w:val="32"/>
          <w:szCs w:val="32"/>
          <w14:textFill>
            <w14:solidFill>
              <w14:schemeClr w14:val="tx1"/>
            </w14:solidFill>
          </w14:textFill>
        </w:rPr>
        <w:t>在如何更有效地将党建融入日常业务工作中以及更充分发挥党建引领作用方面，我们尚未取得突出的进展。</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二是安全播出硬件投入不足。现有系统老化严重，设备器材换代更新缓慢，影响广播电视安全播出。</w:t>
      </w:r>
    </w:p>
    <w:p>
      <w:pPr>
        <w:keepNext w:val="0"/>
        <w:keepLines w:val="0"/>
        <w:pageBreakBefore w:val="0"/>
        <w:kinsoku/>
        <w:wordWrap/>
        <w:overflowPunct/>
        <w:topLinePunct w:val="0"/>
        <w:autoSpaceDN/>
        <w:bidi w:val="0"/>
        <w:adjustRightInd/>
        <w:spacing w:line="700" w:lineRule="exact"/>
        <w:ind w:firstLine="640" w:firstLineChars="200"/>
        <w:textAlignment w:val="auto"/>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三是技术人才年龄结构普遍偏大，没有新鲜血液输入，无形之中影响了单位事业长远发展。</w:t>
      </w:r>
    </w:p>
    <w:p>
      <w:pPr>
        <w:pStyle w:val="12"/>
        <w:jc w:val="both"/>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altName w:val="Microsoft YaHei"/>
    <w:panose1 w:val="03000509000000000000"/>
    <w:charset w:val="86"/>
    <w:family w:val="script"/>
    <w:pitch w:val="default"/>
    <w:sig w:usb0="00000000" w:usb1="00000000" w:usb2="00000000" w:usb3="00000000" w:csb0="00040000" w:csb1="00000000"/>
  </w:font>
  <w:font w:name="仿宋_GB2312">
    <w:altName w:val="Microsoft YaHei"/>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altName w:val="宋体"/>
    <w:panose1 w:val="02010609060101010101"/>
    <w:charset w:val="86"/>
    <w:family w:val="auto"/>
    <w:pitch w:val="default"/>
    <w:sig w:usb0="00000000" w:usb1="00000000" w:usb2="00000016" w:usb3="00000000" w:csb0="00040001" w:csb1="00000000"/>
  </w:font>
  <w:font w:name="仿宋">
    <w:altName w:val="Microsoft YaHei"/>
    <w:panose1 w:val="02010609060101010101"/>
    <w:charset w:val="86"/>
    <w:family w:val="auto"/>
    <w:pitch w:val="default"/>
    <w:sig w:usb0="00000000" w:usb1="00000000" w:usb2="00000016" w:usb3="00000000" w:csb0="00040001" w:csb1="00000000"/>
  </w:font>
  <w:font w:name="Microsoft YaHei">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Microsoft YaHei"/>
    <w:panose1 w:val="00000000000000000000"/>
    <w:charset w:val="00"/>
    <w:family w:val="auto"/>
    <w:pitch w:val="default"/>
    <w:sig w:usb0="00000000" w:usb1="00000000" w:usb2="00000000" w:usb3="00000000" w:csb0="00000000" w:csb1="00000000"/>
  </w:font>
  <w:font w:name="仿宋">
    <w:altName w:val="Microsoft YaHei"/>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 w:name="FZLanTingHeiS-UL-GB">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74E6A"/>
    <w:multiLevelType w:val="singleLevel"/>
    <w:tmpl w:val="81D74E6A"/>
    <w:lvl w:ilvl="0" w:tentative="0">
      <w:start w:val="2"/>
      <w:numFmt w:val="chineseCounting"/>
      <w:suff w:val="nothing"/>
      <w:lvlText w:val="（%1）"/>
      <w:lvlJc w:val="left"/>
      <w:rPr>
        <w:rFonts w:hint="eastAsia"/>
      </w:rPr>
    </w:lvl>
  </w:abstractNum>
  <w:abstractNum w:abstractNumId="1">
    <w:nsid w:val="CB8CA855"/>
    <w:multiLevelType w:val="singleLevel"/>
    <w:tmpl w:val="CB8CA855"/>
    <w:lvl w:ilvl="0" w:tentative="0">
      <w:start w:val="4"/>
      <w:numFmt w:val="decimal"/>
      <w:suff w:val="nothing"/>
      <w:lvlText w:val="%1、"/>
      <w:lvlJc w:val="left"/>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xMTJiOGZiYjM2YmE1MzMyZDI1OTZjNjA5OTNkNW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7C9"/>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BAF7FDA"/>
    <w:rsid w:val="15863393"/>
    <w:rsid w:val="1F6410B2"/>
    <w:rsid w:val="1FAE137E"/>
    <w:rsid w:val="21352D06"/>
    <w:rsid w:val="252E1F46"/>
    <w:rsid w:val="2661525F"/>
    <w:rsid w:val="29E06EDC"/>
    <w:rsid w:val="2EBF6305"/>
    <w:rsid w:val="2F3E78B0"/>
    <w:rsid w:val="3992432D"/>
    <w:rsid w:val="3E333C0B"/>
    <w:rsid w:val="46F33876"/>
    <w:rsid w:val="5777D4F5"/>
    <w:rsid w:val="5BAA73E2"/>
    <w:rsid w:val="5ECC5D50"/>
    <w:rsid w:val="5FAE5456"/>
    <w:rsid w:val="5FC6BB1E"/>
    <w:rsid w:val="5FF720F1"/>
    <w:rsid w:val="6AA70E3D"/>
    <w:rsid w:val="6B8415EE"/>
    <w:rsid w:val="6E550047"/>
    <w:rsid w:val="732E3647"/>
    <w:rsid w:val="737D59BA"/>
    <w:rsid w:val="748D1686"/>
    <w:rsid w:val="765E32DA"/>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after="100" w:afterAutospacing="1"/>
    </w:pPr>
    <w:rPr>
      <w:rFonts w:ascii="Arial" w:hAnsi="Arial"/>
      <w:sz w:val="24"/>
      <w:szCs w:val="24"/>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27</Pages>
  <Words>9755</Words>
  <Characters>11225</Characters>
  <Lines>63</Lines>
  <Paragraphs>18</Paragraphs>
  <TotalTime>0</TotalTime>
  <ScaleCrop>false</ScaleCrop>
  <LinksUpToDate>false</LinksUpToDate>
  <CharactersWithSpaces>11890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海燕</cp:lastModifiedBy>
  <cp:lastPrinted>2023-09-20T09:20:00Z</cp:lastPrinted>
  <dcterms:modified xsi:type="dcterms:W3CDTF">2024-09-23T16:14:20Z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2ED1E5D95480436785F1A8DD7130641A_13</vt:lpwstr>
  </property>
</Properties>
</file>