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both"/>
        <w:rPr>
          <w:rFonts w:hAnsi="黑体"/>
          <w:sz w:val="36"/>
          <w:szCs w:val="36"/>
        </w:rPr>
      </w:pPr>
      <w:r>
        <w:rPr>
          <w:rFonts w:hint="eastAsia" w:hAnsi="黑体"/>
          <w:sz w:val="36"/>
          <w:szCs w:val="36"/>
        </w:rPr>
        <w:t>附件1</w:t>
      </w: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36"/>
          <w:szCs w:val="36"/>
        </w:rPr>
      </w:pPr>
    </w:p>
    <w:p>
      <w:pPr>
        <w:jc w:val="center"/>
        <w:rPr>
          <w:w w:val="100"/>
          <w:sz w:val="52"/>
          <w:szCs w:val="52"/>
        </w:rPr>
      </w:pPr>
      <w:r>
        <w:rPr>
          <w:w w:val="100"/>
          <w:sz w:val="52"/>
          <w:szCs w:val="52"/>
        </w:rPr>
        <w:t>2024年度</w:t>
      </w:r>
    </w:p>
    <w:p>
      <w:pPr>
        <w:jc w:val="center"/>
        <w:rPr>
          <w:rFonts w:hint="eastAsia"/>
          <w:w w:val="100"/>
          <w:sz w:val="52"/>
          <w:szCs w:val="52"/>
          <w:lang w:eastAsia="zh-CN"/>
        </w:rPr>
      </w:pPr>
      <w:r>
        <w:rPr>
          <w:rFonts w:hint="eastAsia"/>
          <w:w w:val="100"/>
          <w:sz w:val="52"/>
          <w:szCs w:val="52"/>
          <w:lang w:eastAsia="zh-CN"/>
        </w:rPr>
        <w:t>中国共产党怀化市委员会宣传部</w:t>
      </w:r>
    </w:p>
    <w:p>
      <w:pPr>
        <w:jc w:val="center"/>
        <w:rPr>
          <w:w w:val="100"/>
          <w:sz w:val="52"/>
          <w:szCs w:val="52"/>
        </w:rPr>
      </w:pPr>
      <w:r>
        <w:rPr>
          <w:w w:val="100"/>
          <w:sz w:val="52"/>
          <w:szCs w:val="52"/>
        </w:rPr>
        <w:t>决算公开说明</w:t>
      </w:r>
    </w:p>
    <w:p>
      <w:pPr>
        <w:widowControl/>
        <w:jc w:val="left"/>
        <w:rPr>
          <w:rFonts w:ascii="仿宋" w:hAnsi="仿宋" w:eastAsia="仿宋"/>
          <w:w w:val="100"/>
          <w:sz w:val="30"/>
          <w:szCs w:val="30"/>
        </w:rPr>
      </w:pPr>
      <w:r>
        <w:rPr>
          <w:rFonts w:ascii="仿宋" w:hAnsi="仿宋" w:eastAsia="仿宋"/>
          <w:w w:val="100"/>
          <w:sz w:val="30"/>
          <w:szCs w:val="30"/>
        </w:rPr>
        <w:br w:type="page"/>
      </w:r>
    </w:p>
    <w:p>
      <w:pPr>
        <w:jc w:val="center"/>
        <w:rPr>
          <w:w w:val="100"/>
          <w:sz w:val="30"/>
          <w:szCs w:val="30"/>
        </w:rPr>
      </w:pPr>
      <w:r>
        <w:rPr>
          <w:w w:val="100"/>
          <w:sz w:val="30"/>
          <w:szCs w:val="30"/>
        </w:rPr>
        <w:t>目录</w:t>
      </w:r>
    </w:p>
    <w:p>
      <w:pPr>
        <w:rPr>
          <w:w w:val="100"/>
          <w:sz w:val="30"/>
          <w:szCs w:val="30"/>
        </w:rPr>
      </w:pPr>
      <w:r>
        <w:rPr>
          <w:w w:val="100"/>
          <w:sz w:val="30"/>
          <w:szCs w:val="30"/>
        </w:rPr>
        <w:t>第一部分</w:t>
      </w:r>
      <w:r>
        <w:rPr>
          <w:rFonts w:hint="eastAsia"/>
          <w:w w:val="100"/>
          <w:sz w:val="30"/>
          <w:szCs w:val="30"/>
          <w:lang w:eastAsia="zh-CN"/>
        </w:rPr>
        <w:t>中国共产党怀化市委员会宣传部</w:t>
      </w:r>
      <w:r>
        <w:rPr>
          <w:w w:val="100"/>
          <w:sz w:val="30"/>
          <w:szCs w:val="30"/>
        </w:rPr>
        <w:t>概况</w:t>
      </w:r>
    </w:p>
    <w:p>
      <w:pPr>
        <w:rPr>
          <w:rFonts w:ascii="仿宋" w:hAnsi="仿宋" w:eastAsia="仿宋"/>
          <w:w w:val="100"/>
          <w:sz w:val="30"/>
          <w:szCs w:val="30"/>
        </w:rPr>
      </w:pPr>
      <w:r>
        <w:rPr>
          <w:rFonts w:ascii="仿宋" w:hAnsi="仿宋" w:eastAsia="仿宋"/>
          <w:w w:val="100"/>
          <w:sz w:val="30"/>
          <w:szCs w:val="30"/>
        </w:rPr>
        <w:t>一、部门职责</w:t>
      </w:r>
    </w:p>
    <w:p>
      <w:pPr>
        <w:rPr>
          <w:rFonts w:ascii="仿宋" w:hAnsi="仿宋" w:eastAsia="仿宋"/>
          <w:w w:val="100"/>
          <w:sz w:val="30"/>
          <w:szCs w:val="30"/>
        </w:rPr>
      </w:pPr>
      <w:r>
        <w:rPr>
          <w:rFonts w:ascii="仿宋" w:hAnsi="仿宋" w:eastAsia="仿宋"/>
          <w:w w:val="100"/>
          <w:sz w:val="30"/>
          <w:szCs w:val="30"/>
        </w:rPr>
        <w:t>二、机构设置及决算单位构成</w:t>
      </w:r>
    </w:p>
    <w:p>
      <w:pPr>
        <w:rPr>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pPr>
        <w:rPr>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pPr>
        <w:widowControl/>
        <w:jc w:val="left"/>
        <w:rPr>
          <w:w w:val="100"/>
          <w:sz w:val="30"/>
          <w:szCs w:val="30"/>
        </w:rPr>
      </w:pPr>
      <w:r>
        <w:rPr>
          <w:w w:val="100"/>
          <w:sz w:val="30"/>
          <w:szCs w:val="30"/>
        </w:rPr>
        <w:br w:type="page"/>
      </w:r>
    </w:p>
    <w:p>
      <w:pPr>
        <w:rPr>
          <w:w w:val="100"/>
          <w:sz w:val="30"/>
          <w:szCs w:val="30"/>
        </w:rPr>
      </w:pPr>
    </w:p>
    <w:p>
      <w:pPr>
        <w:jc w:val="center"/>
        <w:rPr>
          <w:w w:val="100"/>
          <w:sz w:val="48"/>
          <w:szCs w:val="48"/>
        </w:rPr>
      </w:pPr>
      <w:r>
        <w:rPr>
          <w:w w:val="100"/>
          <w:sz w:val="48"/>
          <w:szCs w:val="48"/>
        </w:rPr>
        <w:t>第一部分</w:t>
      </w:r>
    </w:p>
    <w:p>
      <w:pPr>
        <w:jc w:val="center"/>
        <w:rPr>
          <w:w w:val="100"/>
          <w:sz w:val="28"/>
          <w:szCs w:val="28"/>
        </w:rPr>
      </w:pPr>
      <w:r>
        <w:rPr>
          <w:rFonts w:hint="eastAsia"/>
          <w:w w:val="100"/>
          <w:sz w:val="48"/>
          <w:szCs w:val="48"/>
          <w:lang w:eastAsia="zh-CN"/>
        </w:rPr>
        <w:t>中国共产党怀化市委员会宣传部</w:t>
      </w:r>
      <w:r>
        <w:rPr>
          <w:w w:val="100"/>
          <w:sz w:val="48"/>
          <w:szCs w:val="48"/>
        </w:rPr>
        <w:t>概况</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一、部门职责</w:t>
      </w:r>
    </w:p>
    <w:p>
      <w:pPr>
        <w:ind w:firstLine="879" w:firstLineChars="293"/>
        <w:rPr>
          <w:rFonts w:hint="eastAsia" w:ascii="仿宋" w:hAnsi="仿宋" w:eastAsia="仿宋" w:cs="仿宋"/>
          <w:w w:val="100"/>
          <w:sz w:val="30"/>
          <w:szCs w:val="30"/>
        </w:rPr>
      </w:pPr>
      <w:r>
        <w:rPr>
          <w:rFonts w:hint="eastAsia" w:ascii="仿宋" w:hAnsi="仿宋" w:eastAsia="仿宋" w:cs="仿宋"/>
          <w:b w:val="0"/>
          <w:bCs w:val="0"/>
          <w:w w:val="100"/>
          <w:sz w:val="30"/>
          <w:szCs w:val="30"/>
          <w:lang w:eastAsia="zh-CN"/>
        </w:rPr>
        <w:t>中国共产党怀化市委员会宣传部</w:t>
      </w:r>
      <w:r>
        <w:rPr>
          <w:rFonts w:hint="eastAsia" w:ascii="仿宋" w:hAnsi="仿宋" w:eastAsia="仿宋" w:cs="仿宋"/>
          <w:w w:val="100"/>
          <w:sz w:val="30"/>
          <w:szCs w:val="30"/>
        </w:rPr>
        <w:t>作为一级预算单位，是市委主管意识形态方面工作的职能部门（部门职责涉密）。</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二、机构设置及决算单位构成</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（一）内设机构设置</w:t>
      </w:r>
    </w:p>
    <w:p>
      <w:pPr>
        <w:widowControl/>
        <w:shd w:val="clear" w:color="auto" w:fill="FFFFFF"/>
        <w:spacing w:line="360" w:lineRule="auto"/>
        <w:ind w:firstLine="600" w:firstLineChars="200"/>
        <w:rPr>
          <w:rFonts w:hint="eastAsia" w:ascii="仿宋" w:hAnsi="仿宋" w:eastAsia="仿宋" w:cs="仿宋"/>
          <w:w w:val="100"/>
          <w:sz w:val="30"/>
          <w:szCs w:val="30"/>
        </w:rPr>
      </w:pPr>
      <w:r>
        <w:rPr>
          <w:rFonts w:hint="eastAsia" w:ascii="仿宋" w:hAnsi="仿宋" w:eastAsia="仿宋" w:cs="仿宋"/>
          <w:b w:val="0"/>
          <w:bCs w:val="0"/>
          <w:w w:val="100"/>
          <w:sz w:val="30"/>
          <w:szCs w:val="30"/>
          <w:lang w:eastAsia="zh-CN"/>
        </w:rPr>
        <w:t>中国共产党怀化市委员会宣传部</w:t>
      </w:r>
      <w:r>
        <w:rPr>
          <w:rFonts w:hint="eastAsia" w:ascii="仿宋" w:hAnsi="仿宋" w:eastAsia="仿宋" w:cs="仿宋"/>
          <w:w w:val="100"/>
          <w:sz w:val="30"/>
          <w:szCs w:val="30"/>
        </w:rPr>
        <w:t>（含市委网信办）为一级部门预算单位，内设科室（涉密）。市委网信办内设3个职能科室及全额事业单位舆情监测和新媒体中心。直属管理市文产办。</w:t>
      </w:r>
    </w:p>
    <w:p>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（二）决算单位构成</w:t>
      </w:r>
    </w:p>
    <w:p>
      <w:pPr>
        <w:widowControl/>
        <w:shd w:val="clear" w:color="auto" w:fill="FFFFFF"/>
        <w:spacing w:line="360" w:lineRule="auto"/>
        <w:ind w:firstLine="600" w:firstLineChars="200"/>
        <w:rPr>
          <w:rFonts w:hint="eastAsia" w:ascii="仿宋" w:hAnsi="仿宋" w:eastAsia="仿宋" w:cs="仿宋"/>
          <w:b w:val="0"/>
          <w:bCs w:val="0"/>
          <w:w w:val="100"/>
          <w:sz w:val="30"/>
          <w:szCs w:val="30"/>
          <w:lang w:val="en-US" w:eastAsia="zh-CN"/>
        </w:rPr>
      </w:pPr>
      <w:r>
        <w:rPr>
          <w:rFonts w:hint="eastAsia" w:ascii="仿宋" w:hAnsi="仿宋" w:eastAsia="仿宋" w:cs="仿宋"/>
          <w:b w:val="0"/>
          <w:bCs w:val="0"/>
          <w:w w:val="100"/>
          <w:sz w:val="30"/>
          <w:szCs w:val="30"/>
          <w:lang w:eastAsia="zh-CN"/>
        </w:rPr>
        <w:t>中国共产党怀化市委员会宣传部只有部本级（含市委网信办），没有其他二级预算单位，因此，纳入202</w:t>
      </w:r>
      <w:r>
        <w:rPr>
          <w:rFonts w:hint="eastAsia" w:ascii="仿宋" w:hAnsi="仿宋" w:eastAsia="仿宋" w:cs="仿宋"/>
          <w:b w:val="0"/>
          <w:bCs w:val="0"/>
          <w:w w:val="100"/>
          <w:sz w:val="30"/>
          <w:szCs w:val="30"/>
          <w:lang w:val="en-US" w:eastAsia="zh-CN"/>
        </w:rPr>
        <w:t>4</w:t>
      </w:r>
      <w:r>
        <w:rPr>
          <w:rFonts w:hint="eastAsia" w:ascii="仿宋" w:hAnsi="仿宋" w:eastAsia="仿宋" w:cs="仿宋"/>
          <w:b w:val="0"/>
          <w:bCs w:val="0"/>
          <w:w w:val="100"/>
          <w:sz w:val="30"/>
          <w:szCs w:val="30"/>
          <w:lang w:eastAsia="zh-CN"/>
        </w:rPr>
        <w:t>年部门决算编制范围的只有中国共产党怀化市委员会宣传部本级（含市委网信办）。</w:t>
      </w:r>
    </w:p>
    <w:p>
      <w:pPr>
        <w:widowControl/>
        <w:shd w:val="clear" w:color="auto" w:fill="FFFFFF"/>
        <w:spacing w:line="360" w:lineRule="auto"/>
        <w:ind w:firstLine="600" w:firstLineChars="200"/>
        <w:rPr>
          <w:rFonts w:hint="eastAsia" w:ascii="仿宋" w:hAnsi="仿宋" w:eastAsia="仿宋" w:cs="仿宋"/>
          <w:b w:val="0"/>
          <w:bCs w:val="0"/>
          <w:w w:val="100"/>
          <w:sz w:val="30"/>
          <w:szCs w:val="30"/>
          <w:lang w:eastAsia="zh-CN"/>
        </w:rPr>
        <w:sectPr>
          <w:pgSz w:w="11906" w:h="16838"/>
          <w:pgMar w:top="1440" w:right="1800" w:bottom="1440" w:left="1800" w:header="851" w:footer="992" w:gutter="0"/>
          <w:cols w:space="425" w:num="1"/>
          <w:docGrid w:type="lines" w:linePitch="312" w:charSpace="0"/>
        </w:sectPr>
      </w:pPr>
    </w:p>
    <w:p>
      <w:pPr>
        <w:ind w:firstLine="680" w:firstLineChars="189"/>
        <w:jc w:val="center"/>
        <w:rPr>
          <w:rFonts w:cs="黑体"/>
          <w:w w:val="100"/>
          <w:sz w:val="36"/>
          <w:szCs w:val="36"/>
        </w:rPr>
      </w:pPr>
      <w:r>
        <w:rPr>
          <w:rFonts w:hint="eastAsia" w:cs="黑体"/>
          <w:w w:val="100"/>
          <w:sz w:val="36"/>
          <w:szCs w:val="36"/>
        </w:rPr>
        <w:t>第二部分 部门决算表</w:t>
      </w:r>
    </w:p>
    <w:p>
      <w:pPr>
        <w:ind w:firstLine="680" w:firstLineChars="189"/>
        <w:jc w:val="right"/>
        <w:rPr>
          <w:rFonts w:ascii="仿宋" w:hAnsi="仿宋" w:eastAsia="仿宋"/>
          <w:w w:val="100"/>
          <w:sz w:val="30"/>
          <w:szCs w:val="30"/>
        </w:rPr>
      </w:pPr>
      <w:r>
        <w:rPr>
          <w:rFonts w:hint="eastAsia" w:cs="黑体"/>
          <w:w w:val="100"/>
          <w:sz w:val="36"/>
          <w:szCs w:val="36"/>
        </w:rPr>
        <w:t>收入支出决算总表</w:t>
      </w:r>
      <w:r>
        <w:rPr>
          <w:rFonts w:hint="eastAsia" w:ascii="仿宋" w:hAnsi="仿宋" w:eastAsia="仿宋"/>
          <w:w w:val="100"/>
          <w:sz w:val="30"/>
          <w:szCs w:val="30"/>
        </w:rPr>
        <w:t xml:space="preserve">                      </w:t>
      </w:r>
      <w:r>
        <w:rPr>
          <w:rFonts w:ascii="仿宋" w:hAnsi="仿宋" w:eastAsia="仿宋"/>
          <w:w w:val="100"/>
          <w:sz w:val="30"/>
          <w:szCs w:val="30"/>
        </w:rPr>
        <w:t>（公开01表）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083"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023"/>
        <w:gridCol w:w="780"/>
        <w:gridCol w:w="1389"/>
        <w:gridCol w:w="4719"/>
        <w:gridCol w:w="780"/>
        <w:gridCol w:w="1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trPr>
        <w:tc>
          <w:tcPr>
            <w:tcW w:w="7192"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6891"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38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39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138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139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四、上级补助收入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五、事业收入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六、经营收入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七、附属单位上缴收入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八、其他收入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268.77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bCs/>
                <w:i w:val="0"/>
                <w:iCs w:val="0"/>
                <w:color w:val="000000"/>
                <w:w w:val="100"/>
                <w:sz w:val="20"/>
                <w:szCs w:val="20"/>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24</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0"/>
                <w:szCs w:val="20"/>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0"/>
                <w:szCs w:val="20"/>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25</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0"/>
                <w:szCs w:val="20"/>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0"/>
                <w:szCs w:val="20"/>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26</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0"/>
                <w:szCs w:val="20"/>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二十六、抗疫特别国债安排的支出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2,378.02</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57</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2,378.02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使用非财政拨款结余（含专用结余）</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结余分配</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年初结转和结余</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年末结转和结余</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30</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2,378.02</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60</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2,378.02</w:t>
            </w:r>
          </w:p>
        </w:tc>
      </w:tr>
    </w:tbl>
    <w:p>
      <w:pPr>
        <w:rPr>
          <w:rFonts w:ascii="仿宋" w:hAnsi="仿宋" w:eastAsia="仿宋"/>
          <w:w w:val="100"/>
          <w:sz w:val="21"/>
          <w:szCs w:val="21"/>
        </w:rPr>
      </w:pPr>
    </w:p>
    <w:p>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pPr>
        <w:ind w:firstLine="849" w:firstLineChars="236"/>
        <w:jc w:val="right"/>
        <w:rPr>
          <w:rFonts w:ascii="仿宋" w:hAnsi="仿宋" w:eastAsia="仿宋"/>
          <w:w w:val="100"/>
          <w:sz w:val="30"/>
          <w:szCs w:val="30"/>
        </w:rPr>
      </w:pPr>
      <w:r>
        <w:rPr>
          <w:rFonts w:hint="eastAsia" w:cs="黑体"/>
          <w:w w:val="100"/>
          <w:sz w:val="36"/>
          <w:szCs w:val="36"/>
        </w:rPr>
        <w:t xml:space="preserve">收入决算表        </w:t>
      </w:r>
      <w:r>
        <w:rPr>
          <w:rFonts w:hint="eastAsia" w:ascii="仿宋" w:hAnsi="仿宋" w:eastAsia="仿宋"/>
          <w:w w:val="100"/>
          <w:sz w:val="30"/>
          <w:szCs w:val="30"/>
        </w:rPr>
        <w:t xml:space="preserve">                     </w:t>
      </w:r>
      <w:r>
        <w:rPr>
          <w:rFonts w:ascii="仿宋" w:hAnsi="仿宋" w:eastAsia="仿宋"/>
          <w:w w:val="100"/>
          <w:sz w:val="30"/>
          <w:szCs w:val="30"/>
        </w:rPr>
        <w:t>（公开02表）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020"/>
        <w:gridCol w:w="3694"/>
        <w:gridCol w:w="1465"/>
        <w:gridCol w:w="1465"/>
        <w:gridCol w:w="1465"/>
        <w:gridCol w:w="1020"/>
        <w:gridCol w:w="1020"/>
        <w:gridCol w:w="1910"/>
        <w:gridCol w:w="1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tblHeade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191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694"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369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369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465"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465"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465"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910"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21"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2,378.02</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2,377.13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2013301</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960.65</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960.65</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2013399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其他宣传事务支出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990.47</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990.47</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2060699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其他社会科学支出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其他行政事业单位养老支出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29.39</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29.39</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2089999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其他社会保障和就业支出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37.63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37.63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其他行政事业单位医疗支出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支出决算表                      </w:t>
      </w:r>
      <w:r>
        <w:rPr>
          <w:rFonts w:ascii="仿宋" w:hAnsi="仿宋" w:eastAsia="仿宋"/>
          <w:w w:val="100"/>
          <w:sz w:val="30"/>
          <w:szCs w:val="30"/>
        </w:rPr>
        <w:t>（公开03表）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116"/>
        <w:gridCol w:w="4049"/>
        <w:gridCol w:w="1606"/>
        <w:gridCol w:w="1124"/>
        <w:gridCol w:w="1124"/>
        <w:gridCol w:w="1606"/>
        <w:gridCol w:w="1116"/>
        <w:gridCol w:w="23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0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12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12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11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33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4049"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049"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049"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60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24"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24"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16"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339"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2,378.02</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1,121.32</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1,256.70</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bCs/>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2013301</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960.65</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960.65</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2013399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其他宣传事务支出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990.47</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990.47</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2060699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其他社会科学支出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其他行政事业单位养老支出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29.39</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29.39</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2089999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其他社会保障和就业支出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150.00</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37.63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37.63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其他行政事业单位医疗支出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财政拨款收入支出决算总表               </w:t>
      </w:r>
      <w:r>
        <w:rPr>
          <w:rFonts w:ascii="仿宋" w:hAnsi="仿宋" w:eastAsia="仿宋"/>
          <w:w w:val="100"/>
          <w:sz w:val="30"/>
          <w:szCs w:val="30"/>
        </w:rPr>
        <w:t>（公开04表）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105"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51"/>
        <w:gridCol w:w="1017"/>
        <w:gridCol w:w="3448"/>
        <w:gridCol w:w="451"/>
        <w:gridCol w:w="1011"/>
        <w:gridCol w:w="1626"/>
        <w:gridCol w:w="1398"/>
        <w:gridCol w:w="1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trPr>
        <w:tc>
          <w:tcPr>
            <w:tcW w:w="4696"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9409"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trPr>
        <w:tc>
          <w:tcPr>
            <w:tcW w:w="322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1"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62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39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47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trPr>
        <w:tc>
          <w:tcPr>
            <w:tcW w:w="322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11"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62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39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7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10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1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62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3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47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1,951.12</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1,951.12</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268.77</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268.77</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38.43</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38.43</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bCs/>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b/>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2,377.13</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i w:val="0"/>
                <w:iCs w:val="0"/>
                <w:color w:val="000000"/>
                <w:w w:val="100"/>
                <w:sz w:val="22"/>
                <w:szCs w:val="22"/>
                <w:u w:val="none"/>
              </w:rPr>
            </w:pP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一般公共预算财政拨款支出决算表 </w:t>
      </w:r>
      <w:r>
        <w:rPr>
          <w:rFonts w:hint="eastAsia" w:ascii="仿宋" w:hAnsi="仿宋" w:eastAsia="仿宋"/>
          <w:w w:val="100"/>
          <w:sz w:val="30"/>
          <w:szCs w:val="30"/>
        </w:rPr>
        <w:t xml:space="preserve">          </w:t>
      </w:r>
      <w:r>
        <w:rPr>
          <w:rFonts w:ascii="仿宋" w:hAnsi="仿宋" w:eastAsia="仿宋"/>
          <w:w w:val="100"/>
          <w:sz w:val="30"/>
          <w:szCs w:val="30"/>
        </w:rPr>
        <w:t>（公开05表）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842"/>
        <w:gridCol w:w="6674"/>
        <w:gridCol w:w="1854"/>
        <w:gridCol w:w="1854"/>
        <w:gridCol w:w="18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667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859"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6674"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5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85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85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667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85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667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85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67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5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85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8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67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2,377.13</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1,120.43</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1,256.70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2013301</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960.65</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960.65</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2013399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其他宣传事务支出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990.47</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2060699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其他社会科学支出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其他行政事业单位养老支出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29.39</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29.39</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2089999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其他社会保障和就业支出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37.63</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37.63</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其他行政事业单位医疗支出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2.58</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一般公共预算财政拨款基本支出决算明细表       </w:t>
      </w:r>
      <w:r>
        <w:rPr>
          <w:rFonts w:ascii="仿宋" w:hAnsi="仿宋" w:eastAsia="仿宋"/>
          <w:w w:val="100"/>
          <w:sz w:val="30"/>
          <w:szCs w:val="30"/>
        </w:rPr>
        <w:t>（公开06表）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817"/>
        <w:gridCol w:w="2883"/>
        <w:gridCol w:w="1064"/>
        <w:gridCol w:w="819"/>
        <w:gridCol w:w="1867"/>
        <w:gridCol w:w="1007"/>
        <w:gridCol w:w="876"/>
        <w:gridCol w:w="3767"/>
        <w:gridCol w:w="9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64"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9319"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288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6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1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186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0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7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376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8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88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06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81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86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100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87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376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98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881.34</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188.05</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339.95</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14.12</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158.10</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5.65</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169.41</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89.38</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2.15</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37.82</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2.34</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24.03</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84.35</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3.22</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0.33</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48.35</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4.53</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0.34</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3.92</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45.53</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6.68</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0.80</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10.09</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18.03</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w:t>
            </w: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20.81</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13.93</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52.61</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2.63</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28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8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18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100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4.96</w:t>
            </w:r>
          </w:p>
        </w:tc>
        <w:tc>
          <w:tcPr>
            <w:tcW w:w="87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376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left"/>
              <w:rPr>
                <w:rFonts w:hint="eastAsia" w:ascii="宋体" w:hAnsi="宋体" w:eastAsia="宋体" w:cs="宋体"/>
                <w:i w:val="0"/>
                <w:iCs w:val="0"/>
                <w:color w:val="000000"/>
                <w:w w:val="100"/>
                <w:sz w:val="22"/>
                <w:szCs w:val="22"/>
                <w:u w:val="none"/>
              </w:rPr>
            </w:pP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7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106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929.68</w:t>
            </w:r>
          </w:p>
        </w:tc>
        <w:tc>
          <w:tcPr>
            <w:tcW w:w="8336"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98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190.75</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政府性基金预算财政拨款收入支出决算表         </w:t>
      </w:r>
      <w:r>
        <w:rPr>
          <w:rFonts w:ascii="仿宋" w:hAnsi="仿宋" w:eastAsia="仿宋"/>
          <w:w w:val="100"/>
          <w:sz w:val="30"/>
          <w:szCs w:val="30"/>
        </w:rPr>
        <w:t>（公开07表）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100" w:type="dxa"/>
        <w:tblInd w:w="3" w:type="dxa"/>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tblPrEx>
          <w:tblCellMar>
            <w:top w:w="56" w:type="dxa"/>
            <w:left w:w="96" w:type="dxa"/>
            <w:bottom w:w="56" w:type="dxa"/>
            <w:right w:w="96" w:type="dxa"/>
          </w:tblCellMar>
        </w:tblPrEx>
        <w:trPr>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年末结转和结余</w:t>
            </w:r>
          </w:p>
        </w:tc>
      </w:tr>
      <w:tr>
        <w:tblPrEx>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r>
      <w:tr>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r>
    </w:tbl>
    <w:p>
      <w:pPr>
        <w:ind w:firstLine="707"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国有资本经营预算财政拨款支出决算表            </w:t>
      </w:r>
      <w:r>
        <w:rPr>
          <w:rFonts w:ascii="仿宋" w:hAnsi="仿宋" w:eastAsia="仿宋"/>
          <w:w w:val="100"/>
          <w:sz w:val="30"/>
          <w:szCs w:val="30"/>
        </w:rPr>
        <w:t>（公开08表）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14119" w:type="dxa"/>
        <w:tblInd w:w="3" w:type="dxa"/>
        <w:tblLayout w:type="fixed"/>
        <w:tblCellMar>
          <w:top w:w="56" w:type="dxa"/>
          <w:left w:w="96" w:type="dxa"/>
          <w:bottom w:w="56" w:type="dxa"/>
          <w:right w:w="96" w:type="dxa"/>
        </w:tblCellMar>
      </w:tblPr>
      <w:tblGrid>
        <w:gridCol w:w="3081"/>
        <w:gridCol w:w="3068"/>
        <w:gridCol w:w="1817"/>
        <w:gridCol w:w="3082"/>
        <w:gridCol w:w="3071"/>
      </w:tblGrid>
      <w:tr>
        <w:tblPrEx>
          <w:tblCellMar>
            <w:top w:w="56" w:type="dxa"/>
            <w:left w:w="96" w:type="dxa"/>
            <w:bottom w:w="56" w:type="dxa"/>
            <w:right w:w="96" w:type="dxa"/>
          </w:tblCellMar>
        </w:tblPrEx>
        <w:trPr>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r>
      <w:tr>
        <w:tblPrEx>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r>
      <w:tr>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ascii="宋体" w:hAnsi="宋体" w:eastAsia="宋体" w:cs="宋体"/>
                <w:b/>
                <w:color w:val="000000"/>
                <w:w w:val="100"/>
                <w:sz w:val="22"/>
              </w:rPr>
            </w:pPr>
          </w:p>
        </w:tc>
      </w:tr>
      <w:tr>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r>
      <w:tr>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ascii="宋体" w:hAnsi="宋体" w:eastAsia="宋体" w:cs="宋体"/>
                <w:b/>
                <w:bCs/>
                <w:color w:val="000000"/>
                <w:w w:val="100"/>
                <w:sz w:val="22"/>
              </w:rPr>
            </w:pPr>
          </w:p>
        </w:tc>
      </w:tr>
    </w:tbl>
    <w:p>
      <w:pPr>
        <w:ind w:firstLine="707"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849" w:firstLineChars="236"/>
        <w:jc w:val="right"/>
        <w:rPr>
          <w:rFonts w:ascii="仿宋" w:hAnsi="仿宋" w:eastAsia="仿宋"/>
          <w:w w:val="100"/>
          <w:sz w:val="30"/>
          <w:szCs w:val="30"/>
        </w:rPr>
      </w:pPr>
      <w:r>
        <w:rPr>
          <w:rFonts w:hint="eastAsia" w:cs="黑体"/>
          <w:w w:val="100"/>
          <w:sz w:val="36"/>
          <w:szCs w:val="36"/>
        </w:rPr>
        <w:t xml:space="preserve">财政拨款“三公”经费支出决算表              </w:t>
      </w:r>
      <w:r>
        <w:rPr>
          <w:rFonts w:ascii="仿宋" w:hAnsi="仿宋" w:eastAsia="仿宋"/>
          <w:w w:val="100"/>
          <w:sz w:val="30"/>
          <w:szCs w:val="30"/>
        </w:rPr>
        <w:t>（公开09表）</w:t>
      </w:r>
    </w:p>
    <w:p>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中国共产党怀化市委员会宣传部</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3"/>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702"/>
        <w:gridCol w:w="1574"/>
        <w:gridCol w:w="702"/>
        <w:gridCol w:w="1286"/>
        <w:gridCol w:w="1704"/>
        <w:gridCol w:w="1106"/>
        <w:gridCol w:w="702"/>
        <w:gridCol w:w="1574"/>
        <w:gridCol w:w="702"/>
        <w:gridCol w:w="1287"/>
        <w:gridCol w:w="1705"/>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507"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492"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4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09"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49"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8"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09"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74"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4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55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558"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74"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58"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90"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58"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49"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456"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603"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74" w:type="pc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28.70</w:t>
            </w:r>
          </w:p>
        </w:tc>
        <w:tc>
          <w:tcPr>
            <w:tcW w:w="55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18.20</w:t>
            </w:r>
          </w:p>
        </w:tc>
        <w:tc>
          <w:tcPr>
            <w:tcW w:w="45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60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18.20</w:t>
            </w:r>
          </w:p>
        </w:tc>
        <w:tc>
          <w:tcPr>
            <w:tcW w:w="39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10.50</w:t>
            </w:r>
          </w:p>
        </w:tc>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18.35</w:t>
            </w:r>
          </w:p>
        </w:tc>
        <w:tc>
          <w:tcPr>
            <w:tcW w:w="558"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249"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14.43</w:t>
            </w:r>
          </w:p>
        </w:tc>
        <w:tc>
          <w:tcPr>
            <w:tcW w:w="456"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right"/>
              <w:rPr>
                <w:rFonts w:hint="eastAsia" w:ascii="宋体" w:hAnsi="宋体" w:eastAsia="宋体" w:cs="宋体"/>
                <w:i w:val="0"/>
                <w:iCs w:val="0"/>
                <w:color w:val="000000"/>
                <w:w w:val="100"/>
                <w:sz w:val="22"/>
                <w:szCs w:val="22"/>
                <w:u w:val="none"/>
              </w:rPr>
            </w:pPr>
          </w:p>
        </w:tc>
        <w:tc>
          <w:tcPr>
            <w:tcW w:w="603"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14.43</w:t>
            </w:r>
          </w:p>
        </w:tc>
        <w:tc>
          <w:tcPr>
            <w:tcW w:w="37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3.92</w:t>
            </w:r>
          </w:p>
        </w:tc>
      </w:tr>
    </w:tbl>
    <w:p>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ind w:firstLine="604" w:firstLineChars="189"/>
        <w:jc w:val="center"/>
        <w:rPr>
          <w:rFonts w:cs="黑体"/>
          <w:w w:val="100"/>
          <w:sz w:val="32"/>
          <w:szCs w:val="32"/>
        </w:rPr>
      </w:pPr>
    </w:p>
    <w:p>
      <w:pPr>
        <w:pStyle w:val="20"/>
        <w:spacing w:line="360" w:lineRule="auto"/>
        <w:jc w:val="center"/>
        <w:rPr>
          <w:rFonts w:hAnsi="黑体" w:cs="黑体"/>
          <w:sz w:val="52"/>
          <w:szCs w:val="52"/>
        </w:rPr>
      </w:pPr>
      <w:r>
        <w:rPr>
          <w:rFonts w:hint="eastAsia" w:hAnsi="黑体" w:cs="黑体"/>
          <w:sz w:val="52"/>
          <w:szCs w:val="52"/>
        </w:rPr>
        <w:t>第三部分</w:t>
      </w:r>
    </w:p>
    <w:p>
      <w:pPr>
        <w:jc w:val="center"/>
        <w:rPr>
          <w:rFonts w:cs="黑体"/>
          <w:w w:val="100"/>
          <w:sz w:val="32"/>
          <w:szCs w:val="32"/>
        </w:rPr>
      </w:pPr>
      <w:r>
        <w:rPr>
          <w:rFonts w:hint="eastAsia" w:cs="黑体"/>
          <w:w w:val="100"/>
          <w:sz w:val="52"/>
          <w:szCs w:val="52"/>
        </w:rPr>
        <w:t>2024年度部门决算情况说明</w:t>
      </w:r>
      <w:r>
        <w:rPr>
          <w:rFonts w:hint="eastAsia" w:cs="黑体"/>
          <w:w w:val="100"/>
          <w:sz w:val="32"/>
          <w:szCs w:val="32"/>
        </w:rPr>
        <w:br w:type="page"/>
      </w:r>
    </w:p>
    <w:p>
      <w:pPr>
        <w:ind w:firstLine="604" w:firstLineChars="189"/>
        <w:jc w:val="center"/>
        <w:rPr>
          <w:rFonts w:cs="黑体"/>
          <w:w w:val="100"/>
          <w:sz w:val="32"/>
          <w:szCs w:val="32"/>
        </w:rPr>
      </w:pP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一、收入支出决算总体情况说明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2024年度收、支总计2378.02万元，与2023年（2033.44万元）相比，增加344.58万元，增长16.95%，主要原因：</w:t>
      </w:r>
      <w:r>
        <w:rPr>
          <w:rFonts w:hint="eastAsia" w:ascii="仿宋" w:hAnsi="仿宋" w:eastAsia="仿宋" w:cs="仿宋"/>
          <w:w w:val="100"/>
          <w:sz w:val="30"/>
          <w:szCs w:val="30"/>
        </w:rPr>
        <w:t>年中追加“一迎三创”工作经费150万元、第十一届全球湘商大会宣传经费100万元，用于文明创建攻坚与重大节会宣传；</w:t>
      </w:r>
      <w:r>
        <w:rPr>
          <w:rFonts w:hint="default" w:ascii="仿宋" w:hAnsi="仿宋" w:eastAsia="仿宋" w:cs="仿宋"/>
          <w:w w:val="100"/>
          <w:sz w:val="30"/>
          <w:szCs w:val="30"/>
        </w:rPr>
        <w:t>网络传播</w:t>
      </w:r>
      <w:r>
        <w:rPr>
          <w:rFonts w:hint="eastAsia" w:ascii="仿宋" w:hAnsi="仿宋" w:eastAsia="仿宋" w:cs="仿宋"/>
          <w:w w:val="100"/>
          <w:sz w:val="30"/>
          <w:szCs w:val="30"/>
        </w:rPr>
        <w:t>及网络舆情专项经费因网络安全任务加重，保障舆情处置能力提升；住房公积金单位部分由财政直接支付转为单位支</w:t>
      </w:r>
      <w:bookmarkStart w:id="0" w:name="_GoBack"/>
      <w:bookmarkEnd w:id="0"/>
      <w:r>
        <w:rPr>
          <w:rFonts w:hint="eastAsia" w:ascii="仿宋" w:hAnsi="仿宋" w:eastAsia="仿宋" w:cs="仿宋"/>
          <w:w w:val="100"/>
          <w:sz w:val="30"/>
          <w:szCs w:val="30"/>
        </w:rPr>
        <w:t>付，纳入基本支出核算，增加相关支出。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二、收入决算情况说明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2024年度收入合计2378.02万元，具体构成及占比如下：</w:t>
      </w:r>
      <w:r>
        <w:rPr>
          <w:rFonts w:hint="eastAsia" w:ascii="仿宋" w:hAnsi="仿宋" w:eastAsia="仿宋" w:cs="仿宋"/>
          <w:w w:val="100"/>
          <w:sz w:val="30"/>
          <w:szCs w:val="30"/>
        </w:rPr>
        <w:t>财政拨款收入2377.13万元：占总收入的99.96%，全部为一般公共预算财政拨款，无政府性基金及国有资本经营预算收入，资金主要用于人员经费、公用经费及宣传项目支出；其他收入0.89万元：占总收入的0.04%，为彭湘琳退多报2023年残疾人保障金缴纳费用，无上级补助收入、事业收入、经营收入及附属单位上缴收入。</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三、支出决算情况说明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2024年度支出合计2378.02万元，具体构成及占比如下：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（一）</w:t>
      </w:r>
      <w:r>
        <w:rPr>
          <w:rFonts w:hint="eastAsia" w:ascii="仿宋" w:hAnsi="仿宋" w:eastAsia="仿宋" w:cs="仿宋"/>
          <w:w w:val="100"/>
          <w:sz w:val="30"/>
          <w:szCs w:val="30"/>
        </w:rPr>
        <w:t>基本支出1121.32万元：占总支出的47.15%，用于保障机构正常运转，其中：</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人员经费929.68万元（占基本支出82.91%）：包括基本工资339.95万元、津贴补贴158.10万元、奖金169.41万元、机关事业单位基本养老保险缴费89.38万元、职工基本医疗保险缴费37.82万元、住房公积金84.35万元等；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公用经费191.64万元（占基本支出17.09%）：包括办公费14.12万元、差旅费24.03万元、会议费4.53万元、公务接待费3.92万元、公务用车运行维护费13.93万元等。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（二）</w:t>
      </w:r>
      <w:r>
        <w:rPr>
          <w:rFonts w:hint="eastAsia" w:ascii="仿宋" w:hAnsi="仿宋" w:eastAsia="仿宋" w:cs="仿宋"/>
          <w:w w:val="100"/>
          <w:sz w:val="30"/>
          <w:szCs w:val="30"/>
        </w:rPr>
        <w:t>项目支出1256.70万元：占总支出的52.85%，聚焦宣传思想文化核心任务，按领域分为：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理论武装类51万元（4.06%）：含理论宣讲经费30万元、二十届三中全会精神宣讲经费15万元等；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意识形态安全类263万元（20.93%）：含“扫黄打非”专项经费20万元、</w:t>
      </w:r>
      <w:r>
        <w:rPr>
          <w:rFonts w:hint="default" w:ascii="仿宋" w:hAnsi="仿宋" w:eastAsia="仿宋" w:cs="仿宋"/>
          <w:w w:val="100"/>
          <w:sz w:val="30"/>
          <w:szCs w:val="30"/>
        </w:rPr>
        <w:t>网络传播</w:t>
      </w:r>
      <w:r>
        <w:rPr>
          <w:rFonts w:hint="eastAsia" w:ascii="仿宋" w:hAnsi="仿宋" w:eastAsia="仿宋" w:cs="仿宋"/>
          <w:w w:val="100"/>
          <w:sz w:val="30"/>
          <w:szCs w:val="30"/>
        </w:rPr>
        <w:t>及网络舆情专项经费198万元等；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新闻外宣类267.60万元（21.29%）：含央媒省媒宣传合作经费179.98万元、全球湘商大会宣传经费100万元等；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文明创建类347.51万元（27.65%）：含“一迎三创”工作经费150万元、文明村镇（社区）奖励经费33万元等；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w:t>
      </w:r>
      <w:r>
        <w:rPr>
          <w:rFonts w:hint="eastAsia" w:ascii="仿宋" w:hAnsi="仿宋" w:eastAsia="仿宋" w:cs="仿宋"/>
          <w:w w:val="100"/>
          <w:sz w:val="30"/>
          <w:szCs w:val="30"/>
        </w:rPr>
        <w:t>文化发展类165万元（13.13%）：含“欢乐潇湘”文化活动经费15万元、新时代文明实践中心试点经费30万元等；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6.</w:t>
      </w:r>
      <w:r>
        <w:rPr>
          <w:rFonts w:hint="eastAsia" w:ascii="仿宋" w:hAnsi="仿宋" w:eastAsia="仿宋" w:cs="仿宋"/>
          <w:w w:val="100"/>
          <w:sz w:val="30"/>
          <w:szCs w:val="30"/>
        </w:rPr>
        <w:t>专项业务类157.60万元（12.54%）：含“三下乡”慰问经费10万元、户外广告经费12.60万元等。</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四、财政拨款收入支出决算总体情况说明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2024年度财政拨款收、支总计2377.13万元（全部为一般公共预算财政拨款），与2023年（2011.86万元）相比，增加365.27万元，增长18.16%，主要原因：</w:t>
      </w:r>
      <w:r>
        <w:rPr>
          <w:rFonts w:hint="eastAsia" w:ascii="仿宋" w:hAnsi="仿宋" w:eastAsia="仿宋" w:cs="仿宋"/>
          <w:w w:val="100"/>
          <w:sz w:val="30"/>
          <w:szCs w:val="30"/>
        </w:rPr>
        <w:t>新增第十一届全球湘商大会宣传、“一迎三创”等重点项目，追加专项经费250万元；</w:t>
      </w:r>
      <w:r>
        <w:rPr>
          <w:rFonts w:hint="default" w:ascii="仿宋" w:hAnsi="仿宋" w:eastAsia="仿宋" w:cs="仿宋"/>
          <w:w w:val="100"/>
          <w:sz w:val="30"/>
          <w:szCs w:val="30"/>
        </w:rPr>
        <w:t>网络传播</w:t>
      </w:r>
      <w:r>
        <w:rPr>
          <w:rFonts w:hint="eastAsia" w:ascii="仿宋" w:hAnsi="仿宋" w:eastAsia="仿宋" w:cs="仿宋"/>
          <w:w w:val="100"/>
          <w:sz w:val="30"/>
          <w:szCs w:val="30"/>
        </w:rPr>
        <w:t>队伍扩建与舆情监测系统升级，增加相关经费投入；基本支出中住房公积金核算方式调整，纳入财政拨款支出范围。</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五、一般公共预算财政拨款支出决算情况说明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（一）一般公共预算财政拨款支出决算总体情况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2377.13万元，占本年支出合计的99.96%，与2023年（2011.86万元）相比，增加365.27万元，增长18.16%，主要因年中追加重大项目经费，同时基本支出结构调整，保障机关运转与核心业务协同推进。</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（二）一般公共预算财政拨款支出决算结构情况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2024年度一般公共预算财政拨款支出2377.13万元，按功能分类科目分布如下：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一般公共服务支出1951.12万元：占79.49%，主要用于宣传事务行政运行（960.65万元）及其他宣传事务支出（990.47万元），覆盖理论宣讲、新闻外宣、文明创建等核心工作；</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科学技术支出1.00万元：占0.04%，为其他社会科学支出，用于课题研究；</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文化旅游体育与传媒支出115.23万元：占4.85%，为其他文化旅游体育与传媒支出，用于文化活动组织、外宣推广；</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社会保障和就业支出268.77万元：占11.31%，包括机关事业单位基本养老保险缴费（89.38万元）、其他行政事业单位养老支出（29.39万元）、其他社会保障和就业支出（150万元）；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w:t>
      </w:r>
      <w:r>
        <w:rPr>
          <w:rFonts w:hint="eastAsia" w:ascii="仿宋" w:hAnsi="仿宋" w:eastAsia="仿宋" w:cs="仿宋"/>
          <w:w w:val="100"/>
          <w:sz w:val="30"/>
          <w:szCs w:val="30"/>
        </w:rPr>
        <w:t>卫生健康支出38.43万元：占1.62%，包括行政单位医疗（37.63万元）、其他行政事业单位医疗支出（0.80万元）；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6.</w:t>
      </w:r>
      <w:r>
        <w:rPr>
          <w:rFonts w:hint="eastAsia" w:ascii="仿宋" w:hAnsi="仿宋" w:eastAsia="仿宋" w:cs="仿宋"/>
          <w:w w:val="100"/>
          <w:sz w:val="30"/>
          <w:szCs w:val="30"/>
        </w:rPr>
        <w:t>住房保障支出2.58万元：占0.11%，为住房公积金支出，保障职工住房需求。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（三）一般公共预算财政拨款支出决算具体情况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2024年度一般公共预算财政拨款支出年初预算数为1807.06万元，支出决算数为2377.13万元，完成年初预算的131.55%，主要因年中追加重点项目经费，具体项目（按功能分类到项级科目）情况如下：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1.一般公共服务（类）宣传事务（款）行政运行（项）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年初预算947.66万元，支出决算960.65万元，完成年初预算的101.37%；</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决算数大于年初预算的主要原因：年中新增3名事业人员，增加工资福利支出12.99万元；资金主要用于64名在职人员工资福利（881.34万元）及机关公用经费（79.31万元），保障日常运转，无违规支出。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2.一般公共服务（类）宣传事务（款）其他宣传事务支出（项）</w:t>
      </w:r>
    </w:p>
    <w:p>
      <w:pPr>
        <w:ind w:left="0" w:leftChars="0" w:firstLine="879" w:firstLineChars="293"/>
        <w:rPr>
          <w:rFonts w:hint="eastAsia" w:ascii="仿宋" w:hAnsi="仿宋" w:eastAsia="仿宋" w:cs="仿宋"/>
          <w:w w:val="100"/>
          <w:sz w:val="30"/>
          <w:szCs w:val="30"/>
        </w:rPr>
      </w:pP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年初预算713.00万元，支出决算990.47万元，完成年初预算的138.92%；</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大于年初预算的主要原因：年中追加“一迎三创”工作经费150万元、全球湘商大会宣传经费100万元、外宣经费35万元；资金用于28个宣传项目，包括文明创建（347.51万元）、新闻外宣（267.60万元）、意识形态安全（263万元）等，全部按项目方案执行，成效显著。</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3.科学技术（类）社会科学（款）其他社会科学支出（项）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年初预算0万元，支出决算1.00万元，完成年初预算的100%（年中追加）；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决算数与年初预算差异原因：为研究“新媒体舆论引导机制”，年中追加课题经费1万元，委托怀化学院开展研究，形成1篇专题报告，为舆情处置提供理论支撑，经费使用合规。</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4.文化旅游体育与传媒（类）其他文化旅游体育与传媒（款）其他文化旅游体育与传媒支出（项）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年初预算0万元，支出决算115.23万元，完成年初预算的100%（年中追加）；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差异原因：围绕文旅融合与外宣工作，年中追加经费用于2023年新闻奖评选及印刷（30.52万元）、二十届三中全会精神宣讲（15万元）、外宣活动（35万元）等，推动“田野诗班”登央视春晚、《花瑶绣娘》获“田汉新剧目奖”，提升怀化文化影响力。</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5.社会保障和就业（类）行政事业单位养老（款）机关事业单位基本养老保险缴费支出（项）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年初预算85.08万元，支出决算89.38万元，完成年初预算的105.05%；</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决算数大于年初预算的主要原因：新增3名事业人员，按缴费基数16%补缴养老保险4.30万元；资金用于64名在职人员养老保险单位承担部分，及时足额缴纳，保障职工社保权益。</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6.社会保障和就业（类）行政事业单位养老（款）其他行政事业单位养老支出（项）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年初预算0万元，支出决算29.39万元，完成年初预算的100%（年中追加）；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决算数与年初预算差异原因：为保障退休人员社会化管理，年中追加经费用于退休人员体检（15万元）、社会化管理服务费（14.39万元），覆盖全部退休人员，提升服务质量。</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7.社会保障和就业（类）其他社会保障和就业（款）其他社会保障和就业支出（项）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年初预算0万元，支出决算150.00万元，完成年初预算的100%（年中追加）；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决算数与年初预算差异原因：为推进“一迎三创”工作，年中追加经费用于文明创建宣传物料制作（60万元）、志愿者补贴（50万元）、社区环境整治（40万元），助力怀化入围全国文明城市提名名单。</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8.卫生健康（类）行政事业单位医疗（款）行政单位医疗（项）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年初预算35.56万元，支出决算37.63万元，完成年初预算的105.82%；</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决算数大于年初预算的主要原因：新增人员补缴职工基本医疗保险2.07万元；资金用于64名在职人员基本医疗保险单位承担部分（缴费比例8%），确保医疗待遇正常享受。</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9.卫生健康（类）行政事业单位医疗（款）其他行政事业单位医疗支出（项）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年初预算0万元，支出决算0.80万元，完成年初预算的100%（年中追加）；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决算数与年初预算差异原因：为退休人员报销补充医疗费用，年中追加经费0.80万元，严格按医保政策执行，无超标准支出。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10.住房保障（类）住房改革（款）住房公积金（项）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年初预算0万元，支出决算2.58万元，完成年初预算的100%（年中追加）；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决算数与年初预算差异原因：因核算方式调整，年中追加经费用于2名新入职人员住房公积金单位承担部分（缴费比例12%），及时划入职工个人账户，保障住房消费需求。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六、一般公共预算财政拨款基本支出决算情况说明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2024年度一般公共预算财政拨款基本支出1120.43万元，按经济分类分为人员经费和公用经费：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（一）人员经费929.68万元（占基本支出82.97%）</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工资福利支出881.34万元：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工资339.95万元：按职级标准发放64名在职人员基本工资；津贴补贴158.10万元：包括岗位津贴、地区附加津贴等，严格按政策标准执行；奖金169.41万元：含年度考核奖金、绩效奖金，按考核结果发放；机关事业单位基本养老保险缴费89.38万元：按缴费基数16%缴纳；职工基本医疗保险缴费37.82万元：按缴费基数8%缴纳基本医保，0.8%缴纳公务员医疗补助；其他社会保障缴费2.34万元：含失业保险（0.7%）、工伤保险（0.2%）；住房公积金84.35万元：按缴费基数12%缴纳。</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对个人和家庭的补助48.35万元：生活补助45.53万元：用于驻村帮扶干部生活补贴、困难职工补助；医疗费补助0.80万元：退休人员补充医疗报销；奖励金2.01万元：优秀公务员、先进工作者奖励。</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（二）公用经费190.75万元（占基本支出17.03%）</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商品和服务支出188.05万元：办公费14.12万元：购置打印纸、笔、文件夹等办公耗材；印刷费5.65万元：打印宣传手册、会议材料；邮电费2.15万元：办公电话、网络费用；差旅费24.03万元：干部赴县市区调研、省级会议参会；维修（护）费3.22万元：办公设备、公务用车维修；租赁费0.33万元：</w:t>
      </w:r>
      <w:r>
        <w:rPr>
          <w:rFonts w:hint="eastAsia" w:ascii="仿宋" w:hAnsi="仿宋" w:eastAsia="仿宋" w:cs="仿宋"/>
          <w:w w:val="100"/>
          <w:sz w:val="30"/>
          <w:szCs w:val="30"/>
          <w:lang w:eastAsia="zh-CN"/>
        </w:rPr>
        <w:t>设备</w:t>
      </w:r>
      <w:r>
        <w:rPr>
          <w:rFonts w:hint="eastAsia" w:ascii="仿宋" w:hAnsi="仿宋" w:eastAsia="仿宋" w:cs="仿宋"/>
          <w:w w:val="100"/>
          <w:sz w:val="30"/>
          <w:szCs w:val="30"/>
        </w:rPr>
        <w:t>租赁；会议费4.53万元：召开宣传干部培训、意识形态工作会议；培训费0.34万元：业务骨干短期培训；公务接待费3.92万元：接待央媒记者、省级工作组；劳务费6.68万元：临时聘用人员劳务；委托业务费10.09万元：委托第三方开展财务审计、档案整理；工会经费18.03万元：按工资总额2%计提，用于工会活动；福利费20.81万元：用于职工体检、食堂补助；公务用车运行维护费13.93万元：6辆公务用车燃油、保险、维修；其他交通费用52.61万元：干部公务交通补贴；税金及附加费用2.63万元：房产租赁税费；其他商品和服务支出4.96万元：零星杂项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资本性支出2.70万元：办公设备购置2.70万元：购置</w:t>
      </w:r>
      <w:r>
        <w:rPr>
          <w:rFonts w:hint="eastAsia" w:ascii="仿宋" w:hAnsi="仿宋" w:eastAsia="仿宋" w:cs="仿宋"/>
          <w:w w:val="100"/>
          <w:sz w:val="30"/>
          <w:szCs w:val="30"/>
          <w:lang w:eastAsia="zh-CN"/>
        </w:rPr>
        <w:t>设备</w:t>
      </w:r>
      <w:r>
        <w:rPr>
          <w:rFonts w:hint="eastAsia" w:ascii="仿宋" w:hAnsi="仿宋" w:eastAsia="仿宋" w:cs="仿宋"/>
          <w:w w:val="100"/>
          <w:sz w:val="30"/>
          <w:szCs w:val="30"/>
        </w:rPr>
        <w:t>通过政府采购。</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七、财政拨款“三公”经费支出决算情况说明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2024年度财政拨款“三公”经费支出预算28.70万元，支出决算18.35万元，完成预算的63.94%；与2023年（13.09万元）相比，增加5.26万元，增长40.19%，具体情况如下：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（一）因公出国（境）费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预算数0万元，支出决算0万元，与预算及上年均无差异；2024年度无因公出国（境）任务，未发生相关支出，严格落实“无审批不出国”要求。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（二）公务用车购置及运行维护费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预算数18.20万元（均为运行维护费，无购置费），支出决算14.43万元，完成预算的79.29%；与2023年（10.91万元）相比，增加3.52万元，增长32.27%；</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增长原因：2024年全球湘商大会、“三下乡”等活动增多，公务用车出行频次增加；截至2024年12月31日，公务用车保有量6辆，无超编制、超标准车辆，实行“一车一卡”定点加油、定点维修，建立《公务用车使用登记台账》，无公车私用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（三）公务接待费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预算数10.50万元，支出决算3.92万元，完成预算的37.33%；与2023年（2.18万元）相比，增加1.74万元，增长79.82%；</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增长原因：2024年承接第十一届全球湘商大会、“主流媒体怀化行”等活动，接待央媒</w:t>
      </w:r>
      <w:r>
        <w:rPr>
          <w:rFonts w:hint="eastAsia" w:ascii="仿宋" w:hAnsi="仿宋" w:eastAsia="仿宋" w:cs="仿宋"/>
          <w:w w:val="100"/>
          <w:sz w:val="30"/>
          <w:szCs w:val="30"/>
          <w:lang w:eastAsia="zh-CN"/>
        </w:rPr>
        <w:t>省媒</w:t>
      </w:r>
      <w:r>
        <w:rPr>
          <w:rFonts w:hint="eastAsia" w:ascii="仿宋" w:hAnsi="仿宋" w:eastAsia="仿宋" w:cs="仿宋"/>
          <w:w w:val="100"/>
          <w:sz w:val="30"/>
          <w:szCs w:val="30"/>
        </w:rPr>
        <w:t>记者、湘商代表、省级工作组50余次，较2023年增长40%；国内公务接待3.92万元，无国（境）外接待，单次接待标准严格控制在140元/人以内，优先安排机关食堂用餐，杜绝高档菜肴与酒水；全年接待65批次、459人次，其中外事接待0批次，接待清单详细记录接待对象、人数、事由及费用，存档备查。</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八、政府性基金预算收入支出决算情况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2024年度本部门无政府性基金预算收入，未安排政府性基金预算支出，符合部门职能定位（无政府性基金相关管理或使用职责），无相关收支数据。</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九、国有资本经营预算收入支出决算情况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2024年度本部门无国有资本经营预算收入，未安排国有资本经营预算支出，无国有资本投资、运营及收益分配相关业务，无相关收支数据。</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十、关于机关运行经费支出说明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2024年度机关运行经费支出190.75万元，与一般公共预算财政拨款基本支出中公用经费一致，与2023年170.51万元相比，增加20.24万元，增长11.87%，主要原因：</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新增3名工作人员，办公耗材、公务交通补贴等支出增加8.32万元；2024年文明创建、湘商大会等活动增多，差旅费、会议费增加6.15万元；公务用车因使用频次增加，运行维护费增加3.52万元；工会经费、福利费按工资总额计提，因人员工资增长增加2.25万元。</w:t>
      </w:r>
      <w:r>
        <w:rPr>
          <w:rFonts w:hint="eastAsia" w:ascii="仿宋" w:hAnsi="仿宋" w:eastAsia="仿宋" w:cs="仿宋"/>
          <w:w w:val="100"/>
          <w:sz w:val="30"/>
          <w:szCs w:val="30"/>
          <w:lang w:val="en-US" w:eastAsia="zh-CN"/>
        </w:rPr>
        <w:t>机关运行经费主要用于办公费、差旅费、公务接待费、公务用车运行维护费等，严格遵循《怀化市市级机关运行经费管理办法》，实行“定额包干、超支不补”，优先保障刚性支出，践行“过紧日子”要求。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十一、一般性支出情况说明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（一）会议费支出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2024年度会议费支出4.53万元，用于召开以下会议：</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全市宣传思想工作会议：参会80人，内容为年度工作部署，支出0.80万元；全市网信工作会议：参会60人，内容为网络舆情处置培训，支出0.75万元；文明创建工作推进会：参会60人，内容为文明城市创建督查反馈，支出0.70万元；理论宣讲骨干培训会：参会50人，内容为宣讲技巧培训，支出0.68万元；其他小型业务会议（如“扫黄打非”工作例会）：支出2.60万元；会议费严格按“一会一函”“定点办会”要求执行，无超标准、超范围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（二）培训费支出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2024年度培训费支出0.34万元，用于开展以下培训：</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市委党校行政执法培训：参会15人，内容为网络舆情应对与执法，支出0.34万元；</w:t>
      </w:r>
      <w:r>
        <w:rPr>
          <w:rFonts w:hint="eastAsia" w:ascii="仿宋" w:hAnsi="仿宋" w:eastAsia="仿宋" w:cs="仿宋"/>
          <w:w w:val="100"/>
          <w:sz w:val="30"/>
          <w:szCs w:val="30"/>
        </w:rPr>
        <w:t>培训费主要用于师资劳务、培训材料，无委托外部培训机构情况，严格控制培训规模与标准。</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（三）节庆、晚会、论坛、赛事活动支出</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2024年度未举办节庆、晚会、论坛、赛事等活动，无相关支出，符合“严控非必要活动”要求。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十二、关于政府采购支出说明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2024年度政府采购支出总额688.57万元，占年度支出总额的28.96%，具体情况如下：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政府采购货物支出63.23万元：占政府采购总支出的9.18%，包括办公设备、宣传物料</w:t>
      </w:r>
      <w:r>
        <w:rPr>
          <w:rFonts w:hint="eastAsia" w:ascii="仿宋" w:hAnsi="仿宋" w:eastAsia="仿宋" w:cs="仿宋"/>
          <w:w w:val="100"/>
          <w:sz w:val="30"/>
          <w:szCs w:val="30"/>
          <w:lang w:eastAsia="zh-CN"/>
        </w:rPr>
        <w:t>等</w:t>
      </w:r>
      <w:r>
        <w:rPr>
          <w:rFonts w:hint="eastAsia" w:ascii="仿宋" w:hAnsi="仿宋" w:eastAsia="仿宋" w:cs="仿宋"/>
          <w:w w:val="100"/>
          <w:sz w:val="30"/>
          <w:szCs w:val="30"/>
        </w:rPr>
        <w:t>，通过公开招标或竞争性谈判采购，单价低于市场均价5%-10%；</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政府采购工程支出0万元：无工程类采购项目；</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政府采购服务支出625.34万元：占政府采购总支出的90.82%，包括舆情监测服务、媒体合作服务、宣传活动策划，授予中小企业合同金额688.57万元，占比100%，其中授予小微企业合同金额688.57万元，占比100%，落实支持中小企业政策。</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政府采购流程严格遵循《怀化市市级政府采购管理办法》，金额超10万元项目全部通过公共资源交易中心招标，小额项目采用询价方式，确保公平、透明、高效。</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十三、关于国有资产占用情况说明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截至2024年12月31日，本部门国有资产占用情况如下：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（一）车辆资产</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共有车辆6辆，均为其他用车（无副部（省）级及以上领导用车、主要负责人用车等），具体情况：</w:t>
      </w:r>
      <w:r>
        <w:rPr>
          <w:rFonts w:hint="eastAsia" w:ascii="仿宋" w:hAnsi="仿宋" w:eastAsia="仿宋" w:cs="仿宋"/>
          <w:w w:val="100"/>
          <w:sz w:val="30"/>
          <w:szCs w:val="30"/>
        </w:rPr>
        <w:t>主要用于舆情应急处置、偏远地区理论宣讲、重大活动现场协调等公务，单车年均运行维护费2.41万元（含燃油、保险、维修）；实行“统一调度、定点维保、台账管理”，建立《公务用车使用登记薄》，记录每次出行事由、里程、费用，无闲置或违规使用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（二）设备资产</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单位价值100万元以上设备（不含车辆）0台（套） ，主要设备包括：</w:t>
      </w:r>
      <w:r>
        <w:rPr>
          <w:rFonts w:hint="eastAsia" w:ascii="仿宋" w:hAnsi="仿宋" w:eastAsia="仿宋" w:cs="仿宋"/>
          <w:w w:val="100"/>
          <w:sz w:val="30"/>
          <w:szCs w:val="30"/>
          <w:lang w:eastAsia="zh-CN"/>
        </w:rPr>
        <w:t>通用</w:t>
      </w:r>
      <w:r>
        <w:rPr>
          <w:rFonts w:hint="eastAsia" w:ascii="仿宋" w:hAnsi="仿宋" w:eastAsia="仿宋" w:cs="仿宋"/>
          <w:w w:val="100"/>
          <w:sz w:val="30"/>
          <w:szCs w:val="30"/>
        </w:rPr>
        <w:t>设备</w:t>
      </w:r>
      <w:r>
        <w:rPr>
          <w:rFonts w:hint="eastAsia" w:ascii="仿宋" w:hAnsi="仿宋" w:eastAsia="仿宋" w:cs="仿宋"/>
          <w:w w:val="100"/>
          <w:sz w:val="30"/>
          <w:szCs w:val="30"/>
          <w:lang w:eastAsia="zh-CN"/>
        </w:rPr>
        <w:t>包括</w:t>
      </w:r>
      <w:r>
        <w:rPr>
          <w:rFonts w:hint="eastAsia" w:ascii="仿宋" w:hAnsi="仿宋" w:eastAsia="仿宋" w:cs="仿宋"/>
          <w:w w:val="100"/>
          <w:sz w:val="30"/>
          <w:szCs w:val="30"/>
        </w:rPr>
        <w:t>电脑、打印机、投影仪</w:t>
      </w:r>
      <w:r>
        <w:rPr>
          <w:rFonts w:hint="eastAsia" w:ascii="仿宋" w:hAnsi="仿宋" w:eastAsia="仿宋" w:cs="仿宋"/>
          <w:w w:val="100"/>
          <w:sz w:val="30"/>
          <w:szCs w:val="30"/>
          <w:lang w:eastAsia="zh-CN"/>
        </w:rPr>
        <w:t>等</w:t>
      </w:r>
      <w:r>
        <w:rPr>
          <w:rFonts w:hint="eastAsia" w:ascii="仿宋" w:hAnsi="仿宋" w:eastAsia="仿宋" w:cs="仿宋"/>
          <w:w w:val="100"/>
          <w:sz w:val="30"/>
          <w:szCs w:val="30"/>
        </w:rPr>
        <w:t>，均正常使用，设备完好率98%；专业设备</w:t>
      </w:r>
      <w:r>
        <w:rPr>
          <w:rFonts w:hint="eastAsia" w:ascii="仿宋" w:hAnsi="仿宋" w:eastAsia="仿宋" w:cs="仿宋"/>
          <w:w w:val="100"/>
          <w:sz w:val="30"/>
          <w:szCs w:val="30"/>
          <w:lang w:eastAsia="zh-CN"/>
        </w:rPr>
        <w:t>包括</w:t>
      </w:r>
      <w:r>
        <w:rPr>
          <w:rFonts w:hint="eastAsia" w:ascii="仿宋" w:hAnsi="仿宋" w:eastAsia="仿宋" w:cs="仿宋"/>
          <w:w w:val="100"/>
          <w:sz w:val="30"/>
          <w:szCs w:val="30"/>
        </w:rPr>
        <w:t>舆情监测服务器、摄像机、音响</w:t>
      </w:r>
      <w:r>
        <w:rPr>
          <w:rFonts w:hint="eastAsia" w:ascii="仿宋" w:hAnsi="仿宋" w:eastAsia="仿宋" w:cs="仿宋"/>
          <w:w w:val="100"/>
          <w:sz w:val="30"/>
          <w:szCs w:val="30"/>
          <w:lang w:eastAsia="zh-CN"/>
        </w:rPr>
        <w:t>和会议</w:t>
      </w:r>
      <w:r>
        <w:rPr>
          <w:rFonts w:hint="eastAsia" w:ascii="仿宋" w:hAnsi="仿宋" w:eastAsia="仿宋" w:cs="仿宋"/>
          <w:w w:val="100"/>
          <w:sz w:val="30"/>
          <w:szCs w:val="30"/>
        </w:rPr>
        <w:t>设备，用于舆情分析、宣传拍摄、文化活动，2024年完成2次维护，保障业务需求。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（三）资产管理情况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制度建设：制定《怀化市宣传部国有资产管理办法》，规范资产配置、使用、处置流程；</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配置管理：资产配置严格按预算执行，2024年新增办公设备</w:t>
      </w:r>
      <w:r>
        <w:rPr>
          <w:rFonts w:hint="eastAsia" w:ascii="仿宋" w:hAnsi="仿宋" w:eastAsia="仿宋" w:cs="仿宋"/>
          <w:w w:val="100"/>
          <w:sz w:val="30"/>
          <w:szCs w:val="30"/>
          <w:lang w:eastAsia="zh-CN"/>
        </w:rPr>
        <w:t>均</w:t>
      </w:r>
      <w:r>
        <w:rPr>
          <w:rFonts w:hint="eastAsia" w:ascii="仿宋" w:hAnsi="仿宋" w:eastAsia="仿宋" w:cs="仿宋"/>
          <w:w w:val="100"/>
          <w:sz w:val="30"/>
          <w:szCs w:val="30"/>
        </w:rPr>
        <w:t>通过政府采购；</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使用管理：建立“一物一卡一码”电子台账，纳入“湖南省行政事业性国有资产管理系统”，</w:t>
      </w:r>
      <w:r>
        <w:rPr>
          <w:rFonts w:hint="eastAsia" w:ascii="仿宋" w:hAnsi="仿宋" w:eastAsia="仿宋" w:cs="仿宋"/>
          <w:w w:val="100"/>
          <w:sz w:val="30"/>
          <w:szCs w:val="30"/>
          <w:lang w:eastAsia="zh-CN"/>
        </w:rPr>
        <w:t>定期</w:t>
      </w:r>
      <w:r>
        <w:rPr>
          <w:rFonts w:hint="eastAsia" w:ascii="仿宋" w:hAnsi="仿宋" w:eastAsia="仿宋" w:cs="仿宋"/>
          <w:w w:val="100"/>
          <w:sz w:val="30"/>
          <w:szCs w:val="30"/>
        </w:rPr>
        <w:t>开展资产清查，账实相符率100%；</w:t>
      </w:r>
    </w:p>
    <w:p>
      <w:pPr>
        <w:ind w:left="0" w:leftChars="0" w:firstLine="879" w:firstLineChars="293"/>
        <w:rPr>
          <w:rFonts w:hint="eastAsia" w:ascii="仿宋" w:hAnsi="仿宋" w:eastAsia="仿宋" w:cs="仿宋"/>
          <w:w w:val="100"/>
          <w:sz w:val="30"/>
          <w:szCs w:val="30"/>
          <w:lang w:eastAsia="zh-CN"/>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处置管理：报废</w:t>
      </w:r>
      <w:r>
        <w:rPr>
          <w:rFonts w:hint="eastAsia" w:ascii="仿宋" w:hAnsi="仿宋" w:eastAsia="仿宋" w:cs="仿宋"/>
          <w:w w:val="100"/>
          <w:sz w:val="30"/>
          <w:szCs w:val="30"/>
          <w:lang w:eastAsia="zh-CN"/>
        </w:rPr>
        <w:t>资产</w:t>
      </w:r>
      <w:r>
        <w:rPr>
          <w:rFonts w:hint="eastAsia" w:ascii="仿宋" w:hAnsi="仿宋" w:eastAsia="仿宋" w:cs="仿宋"/>
          <w:w w:val="100"/>
          <w:sz w:val="30"/>
          <w:szCs w:val="30"/>
        </w:rPr>
        <w:t>经市财政局审批后处置，残值收入上缴财政</w:t>
      </w:r>
      <w:r>
        <w:rPr>
          <w:rFonts w:hint="eastAsia" w:ascii="仿宋" w:hAnsi="仿宋" w:eastAsia="仿宋" w:cs="仿宋"/>
          <w:w w:val="100"/>
          <w:sz w:val="30"/>
          <w:szCs w:val="30"/>
          <w:lang w:eastAsia="zh-CN"/>
        </w:rPr>
        <w:t>。</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十四、关于2024年度预算绩效管理情况的说明</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（一）绩效评价工作开展情况</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绩效自评开展情况组织对2024年度部门整体支出及28个项目支出开展绩效自评，涉及资金1256</w:t>
      </w:r>
      <w:r>
        <w:rPr>
          <w:rFonts w:hint="eastAsia" w:ascii="仿宋" w:hAnsi="仿宋" w:eastAsia="仿宋" w:cs="仿宋"/>
          <w:w w:val="100"/>
          <w:sz w:val="30"/>
          <w:szCs w:val="30"/>
          <w:lang w:val="en-US" w:eastAsia="zh-CN"/>
        </w:rPr>
        <w:t>.70</w:t>
      </w:r>
      <w:r>
        <w:rPr>
          <w:rFonts w:hint="eastAsia" w:ascii="仿宋" w:hAnsi="仿宋" w:eastAsia="仿宋" w:cs="仿宋"/>
          <w:w w:val="100"/>
          <w:sz w:val="30"/>
          <w:szCs w:val="30"/>
        </w:rPr>
        <w:t>万元，覆盖所有收支：</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一般公共预算项目28个，涉及资金1256</w:t>
      </w:r>
      <w:r>
        <w:rPr>
          <w:rFonts w:hint="eastAsia" w:ascii="仿宋" w:hAnsi="仿宋" w:eastAsia="仿宋" w:cs="仿宋"/>
          <w:w w:val="100"/>
          <w:sz w:val="30"/>
          <w:szCs w:val="30"/>
          <w:lang w:val="en-US" w:eastAsia="zh-CN"/>
        </w:rPr>
        <w:t>.70</w:t>
      </w:r>
      <w:r>
        <w:rPr>
          <w:rFonts w:hint="eastAsia" w:ascii="仿宋" w:hAnsi="仿宋" w:eastAsia="仿宋" w:cs="仿宋"/>
          <w:w w:val="100"/>
          <w:sz w:val="30"/>
          <w:szCs w:val="30"/>
        </w:rPr>
        <w:t>万元，占一般公共预算支出总额的100%；无政府性基金、国有资本经营、社会保险基金预算项目。自评通过“科室自查—集中审核—实地复核”流程，收集资金凭证、活动记录、成果报告等佐证材料，确保数据真实、结论客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部门评价开展情况组织对2个重点项目开展部门评价，涉及一般公共预算支出448万元：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w:t>
      </w:r>
      <w:r>
        <w:rPr>
          <w:rFonts w:hint="default" w:ascii="仿宋" w:hAnsi="仿宋" w:eastAsia="仿宋" w:cs="仿宋"/>
          <w:w w:val="100"/>
          <w:sz w:val="30"/>
          <w:szCs w:val="30"/>
        </w:rPr>
        <w:t>网络传播</w:t>
      </w:r>
      <w:r>
        <w:rPr>
          <w:rFonts w:hint="eastAsia" w:ascii="仿宋" w:hAnsi="仿宋" w:eastAsia="仿宋" w:cs="仿宋"/>
          <w:w w:val="100"/>
          <w:sz w:val="30"/>
          <w:szCs w:val="30"/>
        </w:rPr>
        <w:t>及网络舆情专项经费”198万元：通过核查舆情处置台账、</w:t>
      </w:r>
      <w:r>
        <w:rPr>
          <w:rFonts w:hint="default" w:ascii="仿宋" w:hAnsi="仿宋" w:eastAsia="仿宋" w:cs="仿宋"/>
          <w:w w:val="100"/>
          <w:sz w:val="30"/>
          <w:szCs w:val="30"/>
        </w:rPr>
        <w:t>网络传播人</w:t>
      </w:r>
      <w:r>
        <w:rPr>
          <w:rFonts w:hint="eastAsia" w:ascii="仿宋" w:hAnsi="仿宋" w:eastAsia="仿宋" w:cs="仿宋"/>
          <w:w w:val="100"/>
          <w:sz w:val="30"/>
          <w:szCs w:val="30"/>
        </w:rPr>
        <w:t>员培训记录，抽查5个县（市、区）舆情响应情况，评估网络生态改善成效；</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央媒省媒宣传合作经费”250万元：通过比对宣传流量数据、媒体报道清单，访谈10家合作媒体，评估城市形象提升效果。评价邀请专家参与，采用实地核查、数据比对、满意度调查（发放问卷200份）等方式，形成《部门评价报告》。</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事前绩效评估开展情况组织对2个新增项目开展事前绩效评估，涉及资金</w:t>
      </w:r>
      <w:r>
        <w:rPr>
          <w:rFonts w:hint="eastAsia" w:ascii="仿宋" w:hAnsi="仿宋" w:eastAsia="仿宋" w:cs="仿宋"/>
          <w:w w:val="100"/>
          <w:sz w:val="30"/>
          <w:szCs w:val="30"/>
          <w:lang w:val="en-US" w:eastAsia="zh-CN"/>
        </w:rPr>
        <w:t>25</w:t>
      </w:r>
      <w:r>
        <w:rPr>
          <w:rFonts w:hint="eastAsia" w:ascii="仿宋" w:hAnsi="仿宋" w:eastAsia="仿宋" w:cs="仿宋"/>
          <w:w w:val="100"/>
          <w:sz w:val="30"/>
          <w:szCs w:val="30"/>
        </w:rPr>
        <w:t>0万元：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（1）“一迎三创”工作经费150万元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2024年怀化市启动“迎接全省旅发大会，创建全国文明城市、国家卫生城市、国家生态园林城市”（简称“一迎三创”）工作，需专项经费支撑宣传动员、氛围营造、群众参与等核心任务，贴合城市品质提升与民生改善需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评估核心内容：通过调研13个县（市、区）创建现状，发现存在市民知晓率低（2023年底文明城市创建知晓率仅75%）、宣传物料不足、志愿服务保障薄弱等问题，项目实施可填补宣传短板，助力创建目标达成，与“五新四城”战略中“建设文明宜居城市”目标高度契合，必要性评分92分（满分100分）。按“宣传物料制作+活动组织+志愿服务补贴”三类支出测算，其中宣传海报（3元/张）、手册（5元/册）按覆盖50万市民测算需30万元，主题活动（场均2万元）计划20场需40万元，志愿者交通与餐补（20元/人/次）计划5万人次需10万元，剩余70万元用于户外广告投放（核心地段15万元/处，计划5处），预算测算贴合市场价格（如海报印刷市场价3-4元/张），无超标准测算，合理性评分88分。明确市委宣传部为牵头单位，联合市文旅广体局、市住建局等10个部门成立专项工作组，制定“月度调度、季度督查”机制；基层执行能力方面，13个县（市、区）均设有创建办，配备专职人员不少于3名，可保障项目落地，可行性评分90分。</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评估结论：综合得分90分，评估等级“通过”，建议按150万元安排预算。</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（2）“安排第十一届全球湘商大会宣传经费”100万元</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第十一届全球湘商大会于2024年在怀化举办，是展示怀化国际陆港建设成果、吸引湘商回归的重要平台，需专项经费用于媒体合作、宣传策划、成果展示，符合“开放怀化”建设需求。</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评估核心内容：</w:t>
      </w:r>
      <w:r>
        <w:rPr>
          <w:rFonts w:hint="eastAsia" w:ascii="仿宋" w:hAnsi="仿宋" w:eastAsia="仿宋" w:cs="仿宋"/>
          <w:w w:val="100"/>
          <w:sz w:val="30"/>
          <w:szCs w:val="30"/>
        </w:rPr>
        <w:t>湘商大会作为怀化首次承办的全球性商协会盛会，预计吸引海内外湘商代表2000余人参会，需通过央媒省媒宣传提升怀化知名度，此前怀化国际陆港外宣覆盖率仅30%，项目实施可填补对外传播短板，助力签约项目落地，与“打造内陆开放型经济高地”目标一致，必要性评分95分。按“媒体合作+物料制作+活动策划”三类支出测算，其中央媒省媒合作（如央视专题报道、湖南日报特刊）需50万元，宣传短片制作（3部，含航拍、后期）需25万元，大会成果集锦印刷（5000册，15元/册）需7.5万元，剩余17.5万元用于媒体记者接待（30人，500元/人/天，5天），预算参照2023年同类大会（如省旅发大会）支出标准，无冗余，合理性评分90分。成立大会宣传专班，由市委宣传部新闻科牵头，对接央媒30家、省媒25家，已签订初步合作意向；物料制作委托怀化本地资质齐全的广告公司（如怀化某文化传播有限公司），可保障时效性；制定应急预案（如媒体突发需求响应机制），实施可行性评分93分。</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评估结论：综合得分92分，评估等级“通过”，建议按100万元安排预算，优先保障央媒深度报道经费。</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评估结果应用：2个项目评估结果均作为2024年预算安排的核心依据，已纳入年度部门预算，其中“一迎三创”工作经费150万元通过（怀财社字〔2024〕0164号）文件批复，“第十一届全球湘商大会宣传经费”100万元通过（怀财预字〔2024〕0097号）文件批复，同时将评估提出的“偏远地区宣传倾斜”“央媒深度合作”等建议纳入项目实施方案，确保资金精准使用。</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（二）绩效评价结果</w:t>
      </w:r>
    </w:p>
    <w:p>
      <w:pPr>
        <w:ind w:left="0" w:leftChars="0" w:firstLine="879" w:firstLineChars="293"/>
        <w:rPr>
          <w:rFonts w:hint="eastAsia" w:ascii="仿宋" w:hAnsi="仿宋" w:eastAsia="仿宋" w:cs="仿宋"/>
          <w:w w:val="100"/>
          <w:sz w:val="30"/>
          <w:szCs w:val="30"/>
          <w:lang w:eastAsia="zh-CN"/>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绩效自评结果2024年度部门整体支出全年预算数2397.98万元，执行数2378.02万元，完成预算的99.17%，绩效自评得分98分，评价等级为“优秀”</w:t>
      </w:r>
      <w:r>
        <w:rPr>
          <w:rFonts w:hint="eastAsia" w:ascii="仿宋" w:hAnsi="仿宋" w:eastAsia="仿宋" w:cs="仿宋"/>
          <w:w w:val="100"/>
          <w:sz w:val="30"/>
          <w:szCs w:val="30"/>
          <w:lang w:eastAsia="zh-CN"/>
        </w:rPr>
        <w:t>。</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目标完成情况：开展宣讲7970余场（预期6000场），覆盖10万余人次（预期8万人次），“理论+文艺”经验获《人民日报》推介；央媒省媒上稿3000余篇（预期2500篇），湘商大会宣传流量30亿次（预期20亿次），怀化国际陆港获央视《焦点访谈》报道；处置舆情230起（预期200起），查办“扫黄打非”案件50起（预期30起），获评全省“成绩突出单位”；入围全国文明城市提名名单，文明村镇（社区）奖励24个（预期20个），道德模范8人入选“湖南好人”；“田野诗班”登央视春晚，文旅总收入580亿元（增长10%）。</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存在问题及原因：部分项目资源覆盖不均衡：偏远县（市）理论宣讲场次占比15%（预期20%），因交通不便、基层人力不足；调研成果转化不充分：4篇调研报告仅2项落地，因多部门协同机制不完善。</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改进措施：2025年实施“偏远地区倾斜计划”，组建流动宣讲队，增加线上培训；建立“调研成果转化清单”，明确责任单位与时限，纳入年度考核。</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部门评价结果</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default" w:ascii="仿宋" w:hAnsi="仿宋" w:eastAsia="仿宋" w:cs="仿宋"/>
          <w:w w:val="100"/>
          <w:sz w:val="30"/>
          <w:szCs w:val="30"/>
        </w:rPr>
        <w:t>网络传播</w:t>
      </w:r>
      <w:r>
        <w:rPr>
          <w:rFonts w:hint="eastAsia" w:ascii="仿宋" w:hAnsi="仿宋" w:eastAsia="仿宋" w:cs="仿宋"/>
          <w:w w:val="100"/>
          <w:sz w:val="30"/>
          <w:szCs w:val="30"/>
        </w:rPr>
        <w:t>及网络舆情专项经费：预算200万元，执行198万元，完成99%，得分98分，等级“优秀”；培养骨干</w:t>
      </w:r>
      <w:r>
        <w:rPr>
          <w:rFonts w:hint="default" w:ascii="仿宋" w:hAnsi="仿宋" w:eastAsia="仿宋" w:cs="仿宋"/>
          <w:w w:val="100"/>
          <w:sz w:val="30"/>
          <w:szCs w:val="30"/>
        </w:rPr>
        <w:t>网络传播人</w:t>
      </w:r>
      <w:r>
        <w:rPr>
          <w:rFonts w:hint="eastAsia" w:ascii="仿宋" w:hAnsi="仿宋" w:eastAsia="仿宋" w:cs="仿宋"/>
          <w:w w:val="100"/>
          <w:sz w:val="30"/>
          <w:szCs w:val="30"/>
        </w:rPr>
        <w:t>员150名（预期100名），重大舆情响应1.5小时（预期2小时），正面宣传流量100亿次（预期50亿次）。</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央媒省媒宣传合作经费：预算250万元，执行249.98万元，完成99.99%，得分100分，等级“优秀”推动“晓华现象”宣传流量100亿次，获省委主要领导肯定。</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（三）评价结果应用情况</w:t>
      </w:r>
    </w:p>
    <w:p>
      <w:pPr>
        <w:ind w:left="0" w:leftChars="0" w:firstLine="879" w:firstLineChars="293"/>
        <w:rPr>
          <w:rFonts w:hint="eastAsia" w:ascii="仿宋" w:hAnsi="仿宋" w:eastAsia="仿宋" w:cs="仿宋"/>
          <w:w w:val="100"/>
          <w:sz w:val="30"/>
          <w:szCs w:val="30"/>
          <w:lang w:eastAsia="zh-CN"/>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预算调整优化</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对绩效优秀的“</w:t>
      </w:r>
      <w:r>
        <w:rPr>
          <w:rFonts w:hint="default" w:ascii="仿宋" w:hAnsi="仿宋" w:eastAsia="仿宋" w:cs="仿宋"/>
          <w:w w:val="100"/>
          <w:sz w:val="30"/>
          <w:szCs w:val="30"/>
        </w:rPr>
        <w:t>网络传播</w:t>
      </w:r>
      <w:r>
        <w:rPr>
          <w:rFonts w:hint="eastAsia" w:ascii="仿宋" w:hAnsi="仿宋" w:eastAsia="仿宋" w:cs="仿宋"/>
          <w:w w:val="100"/>
          <w:sz w:val="30"/>
          <w:szCs w:val="30"/>
        </w:rPr>
        <w:t>及网络舆情专项经费”“央媒省媒宣传合作经费”，2025年预算分别</w:t>
      </w:r>
      <w:r>
        <w:rPr>
          <w:rFonts w:hint="eastAsia" w:ascii="仿宋" w:hAnsi="仿宋" w:eastAsia="仿宋" w:cs="仿宋"/>
          <w:w w:val="100"/>
          <w:sz w:val="30"/>
          <w:szCs w:val="30"/>
          <w:lang w:eastAsia="zh-CN"/>
        </w:rPr>
        <w:t>调整</w:t>
      </w:r>
      <w:r>
        <w:rPr>
          <w:rFonts w:hint="eastAsia" w:ascii="仿宋" w:hAnsi="仿宋" w:eastAsia="仿宋" w:cs="仿宋"/>
          <w:w w:val="100"/>
          <w:sz w:val="30"/>
          <w:szCs w:val="30"/>
        </w:rPr>
        <w:t>；对执行滞后的“调研经费”，按实际需求10万元单独申报，避免资金闲置</w:t>
      </w:r>
      <w:r>
        <w:rPr>
          <w:rFonts w:hint="eastAsia" w:ascii="仿宋" w:hAnsi="仿宋" w:eastAsia="仿宋" w:cs="仿宋"/>
          <w:w w:val="100"/>
          <w:sz w:val="30"/>
          <w:szCs w:val="30"/>
          <w:lang w:eastAsia="zh-CN"/>
        </w:rPr>
        <w:t>。</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资金管理强化</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修订《专项资金管理制度》，将绩效评价结果与资金分配挂钩；建立“月度监控+季度预警”机制，2024年发现舆情经费支付滞后，立即调整支付计划，确保年度目标完成。</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制度建设完善</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出台《项目预算执行管理办法》，明确项目实施时间表与责任分工；建立《绩效指标库》，分“理论武装”“舆情处置”“文明创建”等领域设置核心指标，统一评价标准。</w:t>
      </w:r>
    </w:p>
    <w:p>
      <w:pPr>
        <w:ind w:left="0" w:leftChars="0" w:firstLine="879" w:firstLineChars="293"/>
        <w:rPr>
          <w:rFonts w:hint="eastAsia" w:ascii="仿宋" w:hAnsi="仿宋" w:eastAsia="仿宋" w:cs="仿宋"/>
          <w:w w:val="100"/>
          <w:sz w:val="30"/>
          <w:szCs w:val="30"/>
        </w:rPr>
      </w:pP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br w:type="page"/>
      </w:r>
    </w:p>
    <w:p>
      <w:pPr>
        <w:jc w:val="center"/>
        <w:rPr>
          <w:rFonts w:cs="黑体"/>
          <w:w w:val="100"/>
          <w:sz w:val="52"/>
          <w:szCs w:val="52"/>
        </w:rPr>
      </w:pPr>
      <w:r>
        <w:rPr>
          <w:rFonts w:hint="eastAsia" w:cs="黑体"/>
          <w:w w:val="100"/>
          <w:sz w:val="52"/>
          <w:szCs w:val="52"/>
        </w:rPr>
        <w:t>第四部分  名词解释</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pPr>
        <w:ind w:firstLine="879" w:firstLineChars="293"/>
        <w:rPr>
          <w:rFonts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pPr>
        <w:rPr>
          <w:rFonts w:ascii="仿宋" w:hAnsi="仿宋" w:eastAsia="仿宋"/>
          <w:w w:val="100"/>
          <w:sz w:val="30"/>
          <w:szCs w:val="30"/>
        </w:rPr>
      </w:pPr>
      <w:r>
        <w:rPr>
          <w:rFonts w:ascii="仿宋" w:hAnsi="仿宋" w:eastAsia="仿宋"/>
          <w:w w:val="100"/>
          <w:sz w:val="30"/>
          <w:szCs w:val="30"/>
        </w:rPr>
        <w:br w:type="page"/>
      </w:r>
    </w:p>
    <w:p>
      <w:pPr>
        <w:jc w:val="center"/>
        <w:rPr>
          <w:rFonts w:cs="黑体"/>
          <w:w w:val="100"/>
          <w:sz w:val="52"/>
          <w:szCs w:val="52"/>
        </w:rPr>
      </w:pPr>
      <w:r>
        <w:rPr>
          <w:rFonts w:hint="eastAsia" w:cs="黑体"/>
          <w:w w:val="100"/>
          <w:sz w:val="52"/>
          <w:szCs w:val="52"/>
        </w:rPr>
        <w:t>第五部分  附件</w:t>
      </w:r>
    </w:p>
    <w:p>
      <w:pPr>
        <w:ind w:firstLine="567" w:firstLineChars="189"/>
        <w:rPr>
          <w:rFonts w:ascii="仿宋" w:hAnsi="仿宋" w:eastAsia="仿宋"/>
          <w:w w:val="100"/>
          <w:sz w:val="30"/>
          <w:szCs w:val="30"/>
        </w:rPr>
      </w:pPr>
      <w:r>
        <w:rPr>
          <w:rFonts w:hint="eastAsia" w:ascii="仿宋" w:hAnsi="仿宋" w:eastAsia="仿宋"/>
          <w:w w:val="100"/>
          <w:sz w:val="30"/>
          <w:szCs w:val="30"/>
        </w:rPr>
        <w:t>一、</w:t>
      </w:r>
      <w:r>
        <w:rPr>
          <w:rFonts w:ascii="仿宋" w:hAnsi="仿宋" w:eastAsia="仿宋"/>
          <w:w w:val="100"/>
          <w:sz w:val="30"/>
          <w:szCs w:val="30"/>
        </w:rPr>
        <w:t>2024年度</w:t>
      </w:r>
      <w:r>
        <w:rPr>
          <w:rFonts w:hint="eastAsia" w:ascii="仿宋" w:hAnsi="仿宋" w:eastAsia="仿宋"/>
          <w:w w:val="100"/>
          <w:sz w:val="30"/>
          <w:szCs w:val="30"/>
          <w:lang w:eastAsia="zh-CN"/>
        </w:rPr>
        <w:t>中国共产党怀化市委员会宣传部</w:t>
      </w:r>
      <w:r>
        <w:rPr>
          <w:rFonts w:ascii="仿宋" w:hAnsi="仿宋" w:eastAsia="仿宋"/>
          <w:w w:val="100"/>
          <w:sz w:val="30"/>
          <w:szCs w:val="30"/>
        </w:rPr>
        <w:t>部门整体支出绩效自评报告</w:t>
      </w:r>
    </w:p>
    <w:p>
      <w:pPr>
        <w:ind w:firstLine="567" w:firstLineChars="189"/>
        <w:rPr>
          <w:rFonts w:ascii="仿宋" w:hAnsi="仿宋" w:eastAsia="仿宋"/>
          <w:w w:val="100"/>
          <w:sz w:val="30"/>
          <w:szCs w:val="30"/>
        </w:rPr>
      </w:pPr>
      <w:r>
        <w:rPr>
          <w:rFonts w:hint="eastAsia" w:ascii="仿宋" w:hAnsi="仿宋" w:eastAsia="仿宋"/>
          <w:w w:val="100"/>
          <w:sz w:val="30"/>
          <w:szCs w:val="30"/>
        </w:rPr>
        <w:t>二、</w:t>
      </w:r>
      <w:r>
        <w:rPr>
          <w:rFonts w:ascii="仿宋" w:hAnsi="仿宋" w:eastAsia="仿宋"/>
          <w:w w:val="100"/>
          <w:sz w:val="30"/>
          <w:szCs w:val="30"/>
        </w:rPr>
        <w:t>2024年度</w:t>
      </w:r>
      <w:r>
        <w:rPr>
          <w:rFonts w:hint="eastAsia" w:ascii="仿宋" w:hAnsi="仿宋" w:eastAsia="仿宋"/>
          <w:w w:val="100"/>
          <w:sz w:val="30"/>
          <w:szCs w:val="30"/>
          <w:lang w:eastAsia="zh-CN"/>
        </w:rPr>
        <w:t>中国共产党怀化市委员会宣传部</w:t>
      </w:r>
      <w:r>
        <w:rPr>
          <w:rFonts w:ascii="仿宋" w:hAnsi="仿宋" w:eastAsia="仿宋"/>
          <w:w w:val="100"/>
          <w:sz w:val="30"/>
          <w:szCs w:val="30"/>
        </w:rPr>
        <w:t>专项资金绩效自评报告</w:t>
      </w:r>
    </w:p>
    <w:p>
      <w:pPr>
        <w:ind w:firstLine="567" w:firstLineChars="189"/>
        <w:rPr>
          <w:rFonts w:ascii="仿宋" w:hAnsi="仿宋" w:eastAsia="仿宋"/>
          <w:w w:val="100"/>
          <w:sz w:val="30"/>
          <w:szCs w:val="30"/>
        </w:rPr>
      </w:pPr>
      <w:r>
        <w:rPr>
          <w:rFonts w:hint="eastAsia" w:ascii="仿宋" w:hAnsi="仿宋" w:eastAsia="仿宋"/>
          <w:w w:val="100"/>
          <w:sz w:val="30"/>
          <w:szCs w:val="30"/>
        </w:rPr>
        <w:t>三、</w:t>
      </w:r>
      <w:r>
        <w:rPr>
          <w:rFonts w:ascii="仿宋" w:hAnsi="仿宋" w:eastAsia="仿宋"/>
          <w:w w:val="100"/>
          <w:sz w:val="30"/>
          <w:szCs w:val="30"/>
        </w:rPr>
        <w:t>2024年度</w:t>
      </w:r>
      <w:r>
        <w:rPr>
          <w:rFonts w:hint="eastAsia" w:ascii="仿宋" w:hAnsi="仿宋" w:eastAsia="仿宋"/>
          <w:w w:val="100"/>
          <w:sz w:val="30"/>
          <w:szCs w:val="30"/>
          <w:lang w:eastAsia="zh-CN"/>
        </w:rPr>
        <w:t>中国共产党怀化市委员会宣传部</w:t>
      </w:r>
      <w:r>
        <w:rPr>
          <w:rFonts w:ascii="仿宋" w:hAnsi="仿宋" w:eastAsia="仿宋"/>
          <w:w w:val="100"/>
          <w:sz w:val="30"/>
          <w:szCs w:val="30"/>
        </w:rPr>
        <w:t>部门决算表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160798"/>
    <w:rsid w:val="00185641"/>
    <w:rsid w:val="00227BC3"/>
    <w:rsid w:val="006133CD"/>
    <w:rsid w:val="00883244"/>
    <w:rsid w:val="00D80CE1"/>
    <w:rsid w:val="00E948C2"/>
    <w:rsid w:val="00EB55C6"/>
    <w:rsid w:val="00EC3770"/>
    <w:rsid w:val="00EF3A9E"/>
    <w:rsid w:val="00F50383"/>
    <w:rsid w:val="1A2C72C1"/>
    <w:rsid w:val="1AD3C81F"/>
    <w:rsid w:val="1B775EE1"/>
    <w:rsid w:val="1E43449B"/>
    <w:rsid w:val="24D74598"/>
    <w:rsid w:val="3FBECAE8"/>
    <w:rsid w:val="4EE972D6"/>
    <w:rsid w:val="527C7B44"/>
    <w:rsid w:val="5CFE746F"/>
    <w:rsid w:val="5F2161D4"/>
    <w:rsid w:val="67F6076D"/>
    <w:rsid w:val="6FD47CB1"/>
    <w:rsid w:val="709C7046"/>
    <w:rsid w:val="FFF23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next w:val="1"/>
    <w:link w:val="17"/>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next w:val="1"/>
    <w:link w:val="18"/>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next w:val="1"/>
    <w:link w:val="19"/>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paragraph" w:styleId="6">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Body Text Indent"/>
    <w:basedOn w:val="1"/>
    <w:next w:val="8"/>
    <w:unhideWhenUsed/>
    <w:qFormat/>
    <w:uiPriority w:val="99"/>
    <w:pPr>
      <w:widowControl/>
      <w:spacing w:after="120"/>
      <w:ind w:left="420" w:leftChars="200"/>
      <w:jc w:val="left"/>
    </w:pPr>
    <w:rPr>
      <w:rFonts w:ascii="宋体" w:hAnsi="宋体" w:eastAsia="宋体" w:cs="宋体"/>
      <w:kern w:val="0"/>
      <w:sz w:val="24"/>
    </w:rPr>
  </w:style>
  <w:style w:type="paragraph" w:styleId="8">
    <w:name w:val="Body Text First Indent 2"/>
    <w:basedOn w:val="7"/>
    <w:next w:val="1"/>
    <w:unhideWhenUsed/>
    <w:qFormat/>
    <w:uiPriority w:val="99"/>
    <w:pPr>
      <w:ind w:firstLine="420" w:firstLineChars="200"/>
    </w:pPr>
  </w:style>
  <w:style w:type="paragraph" w:styleId="9">
    <w:name w:val="footer"/>
    <w:basedOn w:val="1"/>
    <w:link w:val="22"/>
    <w:semiHidden/>
    <w:unhideWhenUsed/>
    <w:qFormat/>
    <w:uiPriority w:val="99"/>
    <w:pPr>
      <w:tabs>
        <w:tab w:val="center" w:pos="4153"/>
        <w:tab w:val="right" w:pos="8306"/>
      </w:tabs>
      <w:snapToGrid w:val="0"/>
      <w:jc w:val="left"/>
    </w:pPr>
    <w:rPr>
      <w:sz w:val="18"/>
      <w:szCs w:val="18"/>
    </w:rPr>
  </w:style>
  <w:style w:type="paragraph" w:styleId="10">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next w:val="8"/>
    <w:semiHidden/>
    <w:qFormat/>
    <w:uiPriority w:val="0"/>
    <w:pPr>
      <w:snapToGrid w:val="0"/>
      <w:jc w:val="left"/>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styleId="15">
    <w:name w:val="Strong"/>
    <w:basedOn w:val="14"/>
    <w:qFormat/>
    <w:uiPriority w:val="22"/>
    <w:rPr>
      <w:b/>
    </w:rPr>
  </w:style>
  <w:style w:type="character" w:customStyle="1" w:styleId="16">
    <w:name w:val="标题 1 Char"/>
    <w:basedOn w:val="14"/>
    <w:link w:val="2"/>
    <w:qFormat/>
    <w:uiPriority w:val="9"/>
    <w:rPr>
      <w:rFonts w:ascii="宋体" w:hAnsi="宋体" w:eastAsia="宋体" w:cs="宋体"/>
      <w:b/>
      <w:bCs/>
      <w:w w:val="100"/>
      <w:kern w:val="36"/>
      <w:sz w:val="48"/>
      <w:szCs w:val="48"/>
    </w:rPr>
  </w:style>
  <w:style w:type="character" w:customStyle="1" w:styleId="17">
    <w:name w:val="标题 2 Char"/>
    <w:basedOn w:val="14"/>
    <w:link w:val="3"/>
    <w:qFormat/>
    <w:uiPriority w:val="9"/>
    <w:rPr>
      <w:rFonts w:ascii="宋体" w:hAnsi="宋体" w:eastAsia="宋体" w:cs="宋体"/>
      <w:b/>
      <w:bCs/>
      <w:w w:val="100"/>
      <w:kern w:val="0"/>
      <w:sz w:val="36"/>
      <w:szCs w:val="36"/>
    </w:rPr>
  </w:style>
  <w:style w:type="character" w:customStyle="1" w:styleId="18">
    <w:name w:val="标题 3 Char"/>
    <w:basedOn w:val="14"/>
    <w:link w:val="4"/>
    <w:qFormat/>
    <w:uiPriority w:val="9"/>
    <w:rPr>
      <w:rFonts w:ascii="宋体" w:hAnsi="宋体" w:eastAsia="宋体" w:cs="宋体"/>
      <w:b/>
      <w:bCs/>
      <w:w w:val="100"/>
      <w:kern w:val="0"/>
      <w:sz w:val="27"/>
      <w:szCs w:val="27"/>
    </w:rPr>
  </w:style>
  <w:style w:type="character" w:customStyle="1" w:styleId="19">
    <w:name w:val="标题 4 Char"/>
    <w:basedOn w:val="14"/>
    <w:link w:val="5"/>
    <w:qFormat/>
    <w:uiPriority w:val="9"/>
    <w:rPr>
      <w:rFonts w:ascii="宋体" w:hAnsi="宋体" w:eastAsia="宋体" w:cs="宋体"/>
      <w:b/>
      <w:bCs/>
      <w:w w:val="100"/>
      <w:kern w:val="0"/>
      <w:sz w:val="24"/>
      <w:szCs w:val="24"/>
    </w:rPr>
  </w:style>
  <w:style w:type="paragraph" w:customStyle="1" w:styleId="20">
    <w:name w:val="Default"/>
    <w:basedOn w:val="1"/>
    <w:qFormat/>
    <w:uiPriority w:val="0"/>
    <w:pPr>
      <w:autoSpaceDE w:val="0"/>
      <w:autoSpaceDN w:val="0"/>
      <w:adjustRightInd w:val="0"/>
      <w:jc w:val="left"/>
    </w:pPr>
    <w:rPr>
      <w:rFonts w:hAnsi="Calibri" w:cs="宋体"/>
      <w:color w:val="000000"/>
      <w:w w:val="100"/>
      <w:kern w:val="0"/>
      <w:sz w:val="24"/>
      <w:szCs w:val="24"/>
    </w:rPr>
  </w:style>
  <w:style w:type="character" w:customStyle="1" w:styleId="21">
    <w:name w:val="页眉 Char"/>
    <w:basedOn w:val="14"/>
    <w:link w:val="10"/>
    <w:semiHidden/>
    <w:qFormat/>
    <w:uiPriority w:val="99"/>
    <w:rPr>
      <w:rFonts w:ascii="黑体" w:hAnsi="黑体" w:eastAsia="黑体" w:cstheme="minorBidi"/>
      <w:w w:val="200"/>
      <w:kern w:val="2"/>
      <w:sz w:val="18"/>
      <w:szCs w:val="18"/>
    </w:rPr>
  </w:style>
  <w:style w:type="character" w:customStyle="1" w:styleId="22">
    <w:name w:val="页脚 Char"/>
    <w:basedOn w:val="14"/>
    <w:link w:val="9"/>
    <w:semiHidden/>
    <w:qFormat/>
    <w:uiPriority w:val="99"/>
    <w:rPr>
      <w:rFonts w:ascii="黑体" w:hAnsi="黑体" w:eastAsia="黑体" w:cstheme="minorBidi"/>
      <w:w w:val="200"/>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353</Words>
  <Characters>356</Characters>
  <Lines>117</Lines>
  <Paragraphs>33</Paragraphs>
  <TotalTime>22</TotalTime>
  <ScaleCrop>false</ScaleCrop>
  <LinksUpToDate>false</LinksUpToDate>
  <CharactersWithSpaces>358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2025-09-17T11:54:00Z</dcterms:created>
  <dc:creator>Administrator</dc:creator>
  <cp:lastModifiedBy>user</cp:lastModifiedBy>
  <dcterms:modified xsi:type="dcterms:W3CDTF">2026-05-28T16:40:35Z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eyJoZGlkIjoiYmEwODczYzY3NTBlODE3MmEwMDU0ZTMzYjg1MTk1MDgiLCJ1c2VySWQiOiIxNjQwNTUxMjk3In0=</vt:lpwstr>
  </property>
  <property fmtid="{D5CDD505-2E9C-101B-9397-08002B2CF9AE}" pid="3" name="KSOProductBuildVer">
    <vt:lpwstr>2052-11.8.2.9339</vt:lpwstr>
  </property>
  <property fmtid="{D5CDD505-2E9C-101B-9397-08002B2CF9AE}" pid="4" name="ICV">
    <vt:lpwstr>7AE71DCDDA6743788A405CF66F23382E_12</vt:lpwstr>
  </property>
</Properties>
</file>