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55E95">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B0100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0B0100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6789A76">
      <w:pPr>
        <w:pStyle w:val="14"/>
        <w:jc w:val="center"/>
        <w:rPr>
          <w:sz w:val="56"/>
          <w:szCs w:val="56"/>
        </w:rPr>
      </w:pPr>
    </w:p>
    <w:p w14:paraId="3247CD75">
      <w:pPr>
        <w:pStyle w:val="14"/>
        <w:jc w:val="center"/>
        <w:rPr>
          <w:sz w:val="84"/>
          <w:szCs w:val="84"/>
        </w:rPr>
      </w:pPr>
    </w:p>
    <w:p w14:paraId="2C959F02">
      <w:pPr>
        <w:pStyle w:val="14"/>
        <w:jc w:val="center"/>
        <w:rPr>
          <w:sz w:val="84"/>
          <w:szCs w:val="84"/>
        </w:rPr>
      </w:pPr>
    </w:p>
    <w:p w14:paraId="77584B5A">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E17ABE4">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怀化市教育局</w:t>
      </w:r>
      <w:r>
        <w:rPr>
          <w:rFonts w:hint="eastAsia" w:ascii="方正小标宋_GBK" w:hAnsi="方正小标宋_GBK" w:eastAsia="方正小标宋_GBK" w:cs="方正小标宋_GBK"/>
          <w:sz w:val="84"/>
          <w:szCs w:val="84"/>
        </w:rPr>
        <w:t>部门决算</w:t>
      </w:r>
    </w:p>
    <w:p w14:paraId="32FC88C0">
      <w:pPr>
        <w:pStyle w:val="14"/>
        <w:jc w:val="center"/>
        <w:rPr>
          <w:rFonts w:hint="eastAsia" w:ascii="方正小标宋_GBK" w:hAnsi="方正小标宋_GBK" w:eastAsia="方正小标宋_GBK" w:cs="方正小标宋_GBK"/>
          <w:sz w:val="56"/>
          <w:szCs w:val="56"/>
        </w:rPr>
      </w:pPr>
    </w:p>
    <w:p w14:paraId="3519C7C2">
      <w:pPr>
        <w:pStyle w:val="14"/>
        <w:jc w:val="center"/>
        <w:rPr>
          <w:sz w:val="56"/>
          <w:szCs w:val="56"/>
        </w:rPr>
      </w:pPr>
    </w:p>
    <w:p w14:paraId="14D3320A">
      <w:pPr>
        <w:pStyle w:val="14"/>
        <w:jc w:val="center"/>
        <w:rPr>
          <w:sz w:val="56"/>
          <w:szCs w:val="56"/>
        </w:rPr>
      </w:pPr>
    </w:p>
    <w:p w14:paraId="637367A4">
      <w:pPr>
        <w:pStyle w:val="14"/>
        <w:jc w:val="center"/>
        <w:rPr>
          <w:sz w:val="56"/>
          <w:szCs w:val="56"/>
        </w:rPr>
      </w:pPr>
    </w:p>
    <w:p w14:paraId="2F280BAC">
      <w:pPr>
        <w:pStyle w:val="14"/>
        <w:jc w:val="center"/>
        <w:rPr>
          <w:sz w:val="32"/>
          <w:szCs w:val="32"/>
        </w:rPr>
      </w:pPr>
    </w:p>
    <w:p w14:paraId="000294B6">
      <w:pPr>
        <w:pStyle w:val="14"/>
        <w:jc w:val="center"/>
        <w:rPr>
          <w:sz w:val="32"/>
          <w:szCs w:val="32"/>
        </w:rPr>
      </w:pPr>
    </w:p>
    <w:p w14:paraId="24F94E0C">
      <w:pPr>
        <w:pStyle w:val="14"/>
        <w:jc w:val="center"/>
        <w:rPr>
          <w:sz w:val="32"/>
          <w:szCs w:val="32"/>
        </w:rPr>
      </w:pPr>
    </w:p>
    <w:p w14:paraId="4AD4183B">
      <w:pPr>
        <w:pStyle w:val="14"/>
        <w:jc w:val="center"/>
        <w:rPr>
          <w:sz w:val="32"/>
          <w:szCs w:val="32"/>
        </w:rPr>
      </w:pPr>
    </w:p>
    <w:p w14:paraId="15E07576">
      <w:pPr>
        <w:pStyle w:val="14"/>
        <w:jc w:val="center"/>
        <w:rPr>
          <w:sz w:val="32"/>
          <w:szCs w:val="32"/>
        </w:rPr>
      </w:pPr>
    </w:p>
    <w:p w14:paraId="395E0F55">
      <w:pPr>
        <w:pStyle w:val="14"/>
        <w:spacing w:line="540" w:lineRule="exact"/>
        <w:jc w:val="center"/>
        <w:rPr>
          <w:sz w:val="56"/>
          <w:szCs w:val="56"/>
        </w:rPr>
      </w:pPr>
    </w:p>
    <w:p w14:paraId="34239324">
      <w:pPr>
        <w:pStyle w:val="14"/>
        <w:spacing w:line="500" w:lineRule="exact"/>
        <w:jc w:val="both"/>
        <w:rPr>
          <w:b/>
          <w:sz w:val="36"/>
          <w:szCs w:val="28"/>
        </w:rPr>
      </w:pPr>
    </w:p>
    <w:p w14:paraId="136366C8">
      <w:pPr>
        <w:pStyle w:val="14"/>
        <w:spacing w:line="500" w:lineRule="exact"/>
        <w:jc w:val="center"/>
        <w:rPr>
          <w:b/>
          <w:sz w:val="36"/>
          <w:szCs w:val="28"/>
        </w:rPr>
      </w:pPr>
      <w:r>
        <w:rPr>
          <w:rFonts w:hint="eastAsia"/>
          <w:b/>
          <w:sz w:val="36"/>
          <w:szCs w:val="28"/>
        </w:rPr>
        <w:t>目录</w:t>
      </w:r>
    </w:p>
    <w:p w14:paraId="043CFDE6">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怀化市教育局</w:t>
      </w:r>
      <w:r>
        <w:rPr>
          <w:rFonts w:hint="eastAsia" w:ascii="黑体" w:hAnsi="黑体" w:eastAsia="黑体" w:cs="黑体"/>
          <w:b w:val="0"/>
          <w:bCs/>
          <w:sz w:val="28"/>
          <w:szCs w:val="28"/>
        </w:rPr>
        <w:t>概况</w:t>
      </w:r>
    </w:p>
    <w:p w14:paraId="3C5415E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BD1FFC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F1D3E73">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F0B937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A325D5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175F13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5AA2CC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4B8203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B84136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6B6879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D0FC04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CF1198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85E5F86">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21965A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0CEA10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C76BBD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D8552A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723792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50C9C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6749F9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19CD37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487B4B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val="en-US" w:eastAsia="zh-CN"/>
        </w:rPr>
        <w:t>国有资本经营预算财政拨款支出</w:t>
      </w:r>
      <w:r>
        <w:rPr>
          <w:rFonts w:hint="eastAsia" w:ascii="仿宋_GB2312" w:hAnsi="仿宋_GB2312" w:eastAsia="仿宋_GB2312" w:cs="仿宋_GB2312"/>
          <w:color w:val="000000"/>
          <w:kern w:val="0"/>
          <w:sz w:val="28"/>
          <w:szCs w:val="28"/>
        </w:rPr>
        <w:t>情况</w:t>
      </w:r>
    </w:p>
    <w:p w14:paraId="19310EE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230D90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30AFE85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36BA836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26499D0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十四、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F2E6B9B">
      <w:pPr>
        <w:pStyle w:val="14"/>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E7F714C">
      <w:pPr>
        <w:pStyle w:val="14"/>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4BCBF7C">
      <w:pPr>
        <w:pStyle w:val="14"/>
        <w:spacing w:line="500" w:lineRule="exact"/>
        <w:rPr>
          <w:rFonts w:hint="eastAsia" w:ascii="黑体" w:hAnsi="黑体" w:eastAsia="黑体" w:cs="黑体"/>
          <w:b w:val="0"/>
          <w:bCs/>
          <w:sz w:val="28"/>
          <w:szCs w:val="28"/>
        </w:rPr>
      </w:pPr>
    </w:p>
    <w:p w14:paraId="71B246A2">
      <w:pPr>
        <w:jc w:val="center"/>
        <w:rPr>
          <w:sz w:val="72"/>
          <w:szCs w:val="72"/>
        </w:rPr>
      </w:pPr>
    </w:p>
    <w:p w14:paraId="724607FB">
      <w:pPr>
        <w:jc w:val="center"/>
        <w:rPr>
          <w:sz w:val="72"/>
          <w:szCs w:val="72"/>
        </w:rPr>
      </w:pPr>
    </w:p>
    <w:p w14:paraId="26EB612F">
      <w:pPr>
        <w:jc w:val="center"/>
        <w:rPr>
          <w:sz w:val="72"/>
          <w:szCs w:val="72"/>
        </w:rPr>
      </w:pPr>
    </w:p>
    <w:p w14:paraId="7ABB6B36">
      <w:pPr>
        <w:jc w:val="center"/>
        <w:rPr>
          <w:sz w:val="72"/>
          <w:szCs w:val="72"/>
        </w:rPr>
      </w:pPr>
    </w:p>
    <w:p w14:paraId="5D8EFCA2">
      <w:pPr>
        <w:rPr>
          <w:rFonts w:hint="eastAsia" w:ascii="方正小标宋_GBK" w:hAnsi="方正小标宋_GBK" w:eastAsia="方正小标宋_GBK" w:cs="方正小标宋_GBK"/>
          <w:sz w:val="72"/>
          <w:szCs w:val="72"/>
        </w:rPr>
      </w:pPr>
    </w:p>
    <w:p w14:paraId="05444C4B">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28F2400">
      <w:pPr>
        <w:pStyle w:val="14"/>
        <w:jc w:val="center"/>
        <w:rPr>
          <w:rFonts w:hint="eastAsia" w:ascii="方正小标宋_GBK" w:hAnsi="方正小标宋_GBK" w:eastAsia="方正小标宋_GBK" w:cs="方正小标宋_GBK"/>
          <w:sz w:val="84"/>
          <w:szCs w:val="84"/>
        </w:rPr>
      </w:pPr>
    </w:p>
    <w:p w14:paraId="6753B9F3">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怀化市教育局</w:t>
      </w:r>
      <w:r>
        <w:rPr>
          <w:rFonts w:hint="eastAsia" w:ascii="方正小标宋_GBK" w:hAnsi="方正小标宋_GBK" w:eastAsia="方正小标宋_GBK" w:cs="方正小标宋_GBK"/>
          <w:sz w:val="84"/>
          <w:szCs w:val="84"/>
        </w:rPr>
        <w:t>概况</w:t>
      </w:r>
    </w:p>
    <w:p w14:paraId="2E71C0F4">
      <w:pPr>
        <w:jc w:val="center"/>
        <w:rPr>
          <w:rFonts w:hint="eastAsia" w:ascii="方正小标宋_GBK" w:hAnsi="方正小标宋_GBK" w:eastAsia="方正小标宋_GBK" w:cs="方正小标宋_GBK"/>
          <w:sz w:val="72"/>
          <w:szCs w:val="72"/>
        </w:rPr>
      </w:pPr>
    </w:p>
    <w:p w14:paraId="62F7704F">
      <w:pPr>
        <w:jc w:val="center"/>
        <w:rPr>
          <w:rFonts w:hint="eastAsia" w:ascii="方正小标宋_GBK" w:hAnsi="方正小标宋_GBK" w:eastAsia="方正小标宋_GBK" w:cs="方正小标宋_GBK"/>
          <w:sz w:val="72"/>
          <w:szCs w:val="72"/>
        </w:rPr>
      </w:pPr>
    </w:p>
    <w:p w14:paraId="6D40DAFC">
      <w:pPr>
        <w:jc w:val="center"/>
        <w:rPr>
          <w:sz w:val="72"/>
          <w:szCs w:val="72"/>
        </w:rPr>
      </w:pPr>
    </w:p>
    <w:p w14:paraId="41ABDC09">
      <w:pPr>
        <w:jc w:val="both"/>
        <w:rPr>
          <w:sz w:val="72"/>
          <w:szCs w:val="72"/>
        </w:rPr>
      </w:pPr>
    </w:p>
    <w:p w14:paraId="1BDCEF35">
      <w:pPr>
        <w:jc w:val="both"/>
        <w:rPr>
          <w:sz w:val="72"/>
          <w:szCs w:val="72"/>
        </w:rPr>
      </w:pPr>
    </w:p>
    <w:p w14:paraId="2A320756">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99AEED5">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（一）贯彻落实国家教育工作的方针、政策和法律、法规，拟定全市教育改革与发展战略、方针、政策和规划，并组织实施。</w:t>
      </w:r>
    </w:p>
    <w:p w14:paraId="44A28FEF">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（二）负责各级各类教育的统筹规划和协调管理，会同有关部门制订各级各类学校的设置标准，指导各级各类学校的教育教学改革，负责教育基本信息的统计、分析和发布。</w:t>
      </w:r>
    </w:p>
    <w:p w14:paraId="22ECDA7B">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734B5D18">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（四）指导以就业为导向的职业教育的发展与改革，落实教学指导文件和教学评估标准，指导中等职业教育教材建设和职业指导工作。</w:t>
      </w:r>
    </w:p>
    <w:p w14:paraId="04EB7FFE">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统筹指导全市基础教育、普通高等教育、职业技术教育、成人高等教育、高等教育自学考试以及民办教育等工作；指导、协调各县（市、区）和各部门有关教育工作；组织对普及九年义务教育的督导与评估。</w:t>
      </w:r>
    </w:p>
    <w:p w14:paraId="587F8788">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08150992">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（七）统筹和指导少数民族教育工作，协调对少数民族地区和贫困地区的教育援助。</w:t>
      </w:r>
    </w:p>
    <w:p w14:paraId="2D399C48">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（八）指导各级各类学校精神文明建设工作（增加的职责），指导各级各类学校的思想政治工作、德育工作、体育卫生、艺术教育和国防教育工作，指导和协调教育系统的稳定工作。</w:t>
      </w:r>
    </w:p>
    <w:p w14:paraId="47EE8E54">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九）依据《教师法》规定，在职责范围内，主管全市师工作；组织指导中小学教师的资格认定、招聘录用、职务评聘、培养培训、调配交流、档案管理和考核奖惩等工作；会同有关部门研究制定市内各级各类学校编制标准，并监督执行；指导教育系统人才队伍建设。</w:t>
      </w:r>
    </w:p>
    <w:p w14:paraId="65F70C35">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（十）统筹管理各类高等、中等学历教育的招生考试工作；负责高校毕业生和中专毕业生的就业指工作；参与高等学校、中等专业学校毕业生就业制度改革，指导高等学校、中等专业学校毕业生就业创业工作。</w:t>
      </w:r>
    </w:p>
    <w:p w14:paraId="31703553">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（十一）组织指导教育方面的国际交流与合作，统筹管理出国留学、来怀留学、中外合作办学，开展与香港、澳门特别行政区和台湾地区的教育合作与交沈，会同有关部门依法监督管理自费留学中介服务机构。</w:t>
      </w:r>
    </w:p>
    <w:p w14:paraId="1CA87880">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（十二）组织、指导全市教育督导工作。</w:t>
      </w:r>
    </w:p>
    <w:p w14:paraId="02644148">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（十三）统筹管理全市语言文字工作，制定全市语言文字规划并组织实施，指导推广普通话和规范字及普通话师资培训工作。</w:t>
      </w:r>
    </w:p>
    <w:p w14:paraId="2C9D3B65">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（十四）协助市委组织部考察和管理学校领导班子和领导干部。</w:t>
      </w:r>
    </w:p>
    <w:p w14:paraId="64D7F06F">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（十五）行政审批事项：取消、下放、调整、增加由市人民政府公布予以变动的行政审批事项。</w:t>
      </w:r>
    </w:p>
    <w:p w14:paraId="5472F19C">
      <w:pPr>
        <w:widowControl/>
        <w:spacing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（十六）承办市人民政府交办的其他事项。</w:t>
      </w:r>
    </w:p>
    <w:p w14:paraId="1F5DB201">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FE0B531">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怀化市教育局</w:t>
      </w:r>
      <w:r>
        <w:rPr>
          <w:rFonts w:hint="eastAsia" w:ascii="Times New Roman" w:hAnsi="Times New Roman" w:eastAsia="仿宋_GB2312" w:cs="仿宋_GB2312"/>
          <w:bCs/>
          <w:kern w:val="0"/>
          <w:sz w:val="32"/>
          <w:szCs w:val="32"/>
        </w:rPr>
        <w:t>内设机构包括：</w:t>
      </w:r>
      <w:r>
        <w:rPr>
          <w:rFonts w:hint="eastAsia" w:ascii="仿宋" w:hAnsi="仿宋" w:eastAsia="仿宋" w:cs="仿宋"/>
          <w:sz w:val="32"/>
          <w:szCs w:val="32"/>
        </w:rPr>
        <w:t>办公室、基础教育科（民族教育科）、发展规划与财务建设科（审计科）、机关党委、人事科、师资教育科（怀化市语言文字工作委员会办公室）、职业教育与成人教育科、行政审批服务科（政策法规科）、体育卫生与艺术教育科、大中专毕业生就业指导办公室、教育督导科、市委教育工作领导小组秘书组秘书科。二级机构：怀化市教育考试院、怀化市教师</w:t>
      </w:r>
      <w:r>
        <w:rPr>
          <w:rFonts w:hint="eastAsia" w:ascii="仿宋" w:hAnsi="仿宋" w:eastAsia="仿宋" w:cs="仿宋"/>
          <w:sz w:val="32"/>
          <w:szCs w:val="32"/>
          <w:lang w:eastAsia="zh-CN"/>
        </w:rPr>
        <w:t>发展</w:t>
      </w:r>
      <w:r>
        <w:rPr>
          <w:rFonts w:hint="eastAsia" w:ascii="仿宋" w:hAnsi="仿宋" w:eastAsia="仿宋" w:cs="仿宋"/>
          <w:sz w:val="32"/>
          <w:szCs w:val="32"/>
        </w:rPr>
        <w:t>中心、怀化市学校安全</w:t>
      </w:r>
      <w:r>
        <w:rPr>
          <w:rFonts w:hint="eastAsia" w:ascii="仿宋" w:hAnsi="仿宋" w:eastAsia="仿宋" w:cs="仿宋"/>
          <w:sz w:val="32"/>
          <w:szCs w:val="32"/>
          <w:lang w:eastAsia="zh-CN"/>
        </w:rPr>
        <w:t>服务中心</w:t>
      </w:r>
      <w:r>
        <w:rPr>
          <w:rFonts w:hint="eastAsia" w:ascii="仿宋" w:hAnsi="仿宋" w:eastAsia="仿宋" w:cs="仿宋"/>
          <w:sz w:val="32"/>
          <w:szCs w:val="32"/>
        </w:rPr>
        <w:t>、</w:t>
      </w:r>
      <w:r>
        <w:rPr>
          <w:rFonts w:hint="eastAsia" w:ascii="仿宋" w:hAnsi="仿宋" w:eastAsia="仿宋" w:cs="仿宋"/>
          <w:sz w:val="32"/>
          <w:szCs w:val="32"/>
          <w:lang w:eastAsia="zh-CN"/>
        </w:rPr>
        <w:t>怀化市教育装备服务中心、</w:t>
      </w:r>
      <w:r>
        <w:rPr>
          <w:rFonts w:hint="eastAsia" w:ascii="仿宋" w:hAnsi="仿宋" w:eastAsia="仿宋" w:cs="仿宋"/>
          <w:sz w:val="32"/>
          <w:szCs w:val="32"/>
        </w:rPr>
        <w:t>怀化市教育科学研究院、</w:t>
      </w:r>
      <w:r>
        <w:rPr>
          <w:rFonts w:hint="eastAsia" w:ascii="仿宋" w:hAnsi="仿宋" w:eastAsia="仿宋" w:cs="仿宋"/>
          <w:sz w:val="32"/>
          <w:szCs w:val="32"/>
          <w:lang w:eastAsia="zh-CN"/>
        </w:rPr>
        <w:t>怀化市民办教育服务中心、</w:t>
      </w:r>
      <w:r>
        <w:rPr>
          <w:rFonts w:hint="eastAsia" w:ascii="仿宋" w:hAnsi="仿宋" w:eastAsia="仿宋" w:cs="仿宋"/>
          <w:sz w:val="32"/>
          <w:szCs w:val="32"/>
        </w:rPr>
        <w:t>怀化市勤工俭学站、怀化市学生资助中心、怀化市教育</w:t>
      </w:r>
      <w:r>
        <w:rPr>
          <w:rFonts w:hint="eastAsia" w:ascii="仿宋" w:hAnsi="仿宋" w:eastAsia="仿宋" w:cs="仿宋"/>
          <w:sz w:val="32"/>
          <w:szCs w:val="32"/>
          <w:lang w:eastAsia="zh-CN"/>
        </w:rPr>
        <w:t>信息中心</w:t>
      </w:r>
      <w:r>
        <w:rPr>
          <w:rFonts w:hint="eastAsia" w:ascii="仿宋" w:hAnsi="仿宋" w:eastAsia="仿宋" w:cs="仿宋"/>
          <w:sz w:val="32"/>
          <w:szCs w:val="32"/>
        </w:rPr>
        <w:t>。</w:t>
      </w:r>
    </w:p>
    <w:p w14:paraId="677DC75C">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怀化市教育局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怀化市教育局及怀化市教育局中等职业教育助学金发放专户。</w:t>
      </w:r>
    </w:p>
    <w:p w14:paraId="2B805651">
      <w:pPr>
        <w:jc w:val="left"/>
        <w:rPr>
          <w:rFonts w:ascii="仿宋_GB2312" w:eastAsia="仿宋_GB2312" w:hAnsiTheme="minorEastAsia"/>
          <w:sz w:val="28"/>
          <w:szCs w:val="32"/>
        </w:rPr>
      </w:pPr>
    </w:p>
    <w:p w14:paraId="6C0E8FF2">
      <w:pPr>
        <w:jc w:val="center"/>
        <w:rPr>
          <w:rFonts w:ascii="黑体" w:hAnsi="黑体" w:eastAsia="黑体"/>
          <w:sz w:val="28"/>
          <w:szCs w:val="28"/>
        </w:rPr>
      </w:pPr>
    </w:p>
    <w:p w14:paraId="2AC7706F">
      <w:pPr>
        <w:jc w:val="center"/>
        <w:rPr>
          <w:rFonts w:ascii="黑体" w:hAnsi="黑体" w:eastAsia="黑体"/>
          <w:sz w:val="28"/>
          <w:szCs w:val="28"/>
        </w:rPr>
      </w:pPr>
    </w:p>
    <w:p w14:paraId="7BA6AD4B">
      <w:pPr>
        <w:jc w:val="center"/>
        <w:rPr>
          <w:rFonts w:ascii="黑体" w:hAnsi="黑体" w:eastAsia="黑体"/>
          <w:sz w:val="28"/>
          <w:szCs w:val="28"/>
        </w:rPr>
      </w:pPr>
    </w:p>
    <w:p w14:paraId="09EB5A45">
      <w:pPr>
        <w:jc w:val="center"/>
        <w:rPr>
          <w:rFonts w:ascii="黑体" w:hAnsi="黑体" w:eastAsia="黑体"/>
          <w:sz w:val="28"/>
          <w:szCs w:val="28"/>
        </w:rPr>
      </w:pPr>
    </w:p>
    <w:p w14:paraId="66C6FE55">
      <w:pPr>
        <w:jc w:val="center"/>
        <w:rPr>
          <w:rFonts w:ascii="黑体" w:hAnsi="黑体" w:eastAsia="黑体"/>
          <w:sz w:val="28"/>
          <w:szCs w:val="28"/>
        </w:rPr>
      </w:pPr>
    </w:p>
    <w:p w14:paraId="7A7FA9F5">
      <w:pPr>
        <w:jc w:val="center"/>
        <w:rPr>
          <w:rFonts w:ascii="黑体" w:hAnsi="黑体" w:eastAsia="黑体"/>
          <w:sz w:val="28"/>
          <w:szCs w:val="28"/>
        </w:rPr>
      </w:pPr>
    </w:p>
    <w:p w14:paraId="769D1F23">
      <w:pPr>
        <w:jc w:val="center"/>
        <w:rPr>
          <w:rFonts w:ascii="黑体" w:hAnsi="黑体" w:eastAsia="黑体"/>
          <w:sz w:val="28"/>
          <w:szCs w:val="28"/>
        </w:rPr>
      </w:pPr>
    </w:p>
    <w:p w14:paraId="1E4D4001">
      <w:pPr>
        <w:jc w:val="center"/>
        <w:rPr>
          <w:rFonts w:ascii="黑体" w:hAnsi="黑体" w:eastAsia="黑体"/>
          <w:sz w:val="28"/>
          <w:szCs w:val="28"/>
        </w:rPr>
      </w:pPr>
    </w:p>
    <w:p w14:paraId="3FD6F9B5">
      <w:pPr>
        <w:jc w:val="center"/>
        <w:rPr>
          <w:rFonts w:ascii="黑体" w:hAnsi="黑体" w:eastAsia="黑体"/>
          <w:sz w:val="28"/>
          <w:szCs w:val="28"/>
        </w:rPr>
      </w:pPr>
    </w:p>
    <w:p w14:paraId="39C4C101">
      <w:pPr>
        <w:jc w:val="center"/>
        <w:rPr>
          <w:rFonts w:ascii="黑体" w:hAnsi="黑体" w:eastAsia="黑体"/>
          <w:sz w:val="28"/>
          <w:szCs w:val="28"/>
        </w:rPr>
      </w:pPr>
    </w:p>
    <w:p w14:paraId="77CA2700">
      <w:pPr>
        <w:jc w:val="center"/>
        <w:rPr>
          <w:rFonts w:ascii="黑体" w:hAnsi="黑体" w:eastAsia="黑体"/>
          <w:sz w:val="28"/>
          <w:szCs w:val="28"/>
        </w:rPr>
      </w:pPr>
    </w:p>
    <w:p w14:paraId="78BEE3C6">
      <w:pPr>
        <w:jc w:val="center"/>
        <w:rPr>
          <w:rFonts w:ascii="黑体" w:hAnsi="黑体" w:eastAsia="黑体"/>
          <w:sz w:val="28"/>
          <w:szCs w:val="28"/>
        </w:rPr>
      </w:pPr>
    </w:p>
    <w:p w14:paraId="70F48BD1">
      <w:pPr>
        <w:jc w:val="center"/>
        <w:rPr>
          <w:sz w:val="72"/>
          <w:szCs w:val="72"/>
        </w:rPr>
      </w:pPr>
    </w:p>
    <w:p w14:paraId="1060CA6B">
      <w:pPr>
        <w:jc w:val="center"/>
        <w:rPr>
          <w:sz w:val="72"/>
          <w:szCs w:val="72"/>
        </w:rPr>
      </w:pPr>
    </w:p>
    <w:p w14:paraId="2F28B6A8">
      <w:pPr>
        <w:jc w:val="center"/>
        <w:rPr>
          <w:sz w:val="72"/>
          <w:szCs w:val="72"/>
        </w:rPr>
      </w:pPr>
    </w:p>
    <w:p w14:paraId="55CFB2F6">
      <w:pPr>
        <w:jc w:val="center"/>
        <w:rPr>
          <w:sz w:val="72"/>
          <w:szCs w:val="72"/>
        </w:rPr>
      </w:pPr>
    </w:p>
    <w:p w14:paraId="22EB19D9">
      <w:pPr>
        <w:pStyle w:val="14"/>
        <w:jc w:val="center"/>
        <w:rPr>
          <w:rFonts w:hint="eastAsia" w:ascii="方正小标宋_GBK" w:hAnsi="方正小标宋_GBK" w:eastAsia="方正小标宋_GBK" w:cs="方正小标宋_GBK"/>
          <w:sz w:val="84"/>
          <w:szCs w:val="84"/>
        </w:rPr>
      </w:pPr>
    </w:p>
    <w:p w14:paraId="719AFA8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3ABD09D">
      <w:pPr>
        <w:pStyle w:val="14"/>
        <w:jc w:val="center"/>
        <w:rPr>
          <w:rFonts w:hint="eastAsia" w:ascii="方正小标宋_GBK" w:hAnsi="方正小标宋_GBK" w:eastAsia="方正小标宋_GBK" w:cs="方正小标宋_GBK"/>
          <w:sz w:val="84"/>
          <w:szCs w:val="84"/>
        </w:rPr>
      </w:pPr>
    </w:p>
    <w:p w14:paraId="74CFAD07">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E821E1E">
      <w:pPr>
        <w:jc w:val="center"/>
        <w:rPr>
          <w:sz w:val="72"/>
          <w:szCs w:val="72"/>
        </w:rPr>
      </w:pPr>
    </w:p>
    <w:p w14:paraId="198B85D5">
      <w:pPr>
        <w:jc w:val="center"/>
        <w:rPr>
          <w:sz w:val="72"/>
          <w:szCs w:val="72"/>
        </w:rPr>
      </w:pPr>
    </w:p>
    <w:p w14:paraId="017A6665">
      <w:pPr>
        <w:jc w:val="center"/>
        <w:rPr>
          <w:sz w:val="72"/>
          <w:szCs w:val="72"/>
        </w:rPr>
      </w:pPr>
    </w:p>
    <w:p w14:paraId="1C4D8A64">
      <w:pPr>
        <w:jc w:val="center"/>
        <w:rPr>
          <w:sz w:val="72"/>
          <w:szCs w:val="72"/>
        </w:rPr>
      </w:pPr>
    </w:p>
    <w:p w14:paraId="3128B59E">
      <w:pPr>
        <w:jc w:val="center"/>
        <w:rPr>
          <w:sz w:val="72"/>
          <w:szCs w:val="72"/>
        </w:rPr>
      </w:pPr>
    </w:p>
    <w:p w14:paraId="495A6246">
      <w:pPr>
        <w:jc w:val="center"/>
        <w:rPr>
          <w:sz w:val="72"/>
          <w:szCs w:val="72"/>
        </w:rPr>
      </w:pPr>
    </w:p>
    <w:p w14:paraId="7FCD00E6">
      <w:pPr>
        <w:jc w:val="left"/>
        <w:rPr>
          <w:sz w:val="32"/>
          <w:szCs w:val="32"/>
        </w:rPr>
      </w:pPr>
    </w:p>
    <w:p w14:paraId="6E89BB5E">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5428" w:type="dxa"/>
        <w:tblInd w:w="0" w:type="dxa"/>
        <w:tblLayout w:type="fixed"/>
        <w:tblCellMar>
          <w:top w:w="0" w:type="dxa"/>
          <w:left w:w="0" w:type="dxa"/>
          <w:bottom w:w="0" w:type="dxa"/>
          <w:right w:w="0" w:type="dxa"/>
        </w:tblCellMar>
      </w:tblPr>
      <w:tblGrid>
        <w:gridCol w:w="276"/>
        <w:gridCol w:w="276"/>
        <w:gridCol w:w="1800"/>
        <w:gridCol w:w="1485"/>
        <w:gridCol w:w="1805"/>
        <w:gridCol w:w="1882"/>
        <w:gridCol w:w="1728"/>
        <w:gridCol w:w="1806"/>
        <w:gridCol w:w="1806"/>
        <w:gridCol w:w="2564"/>
      </w:tblGrid>
      <w:tr w14:paraId="1A32E144">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5"/>
              <w:gridCol w:w="581"/>
              <w:gridCol w:w="1330"/>
              <w:gridCol w:w="4752"/>
              <w:gridCol w:w="1548"/>
              <w:gridCol w:w="515"/>
              <w:gridCol w:w="631"/>
              <w:gridCol w:w="1846"/>
            </w:tblGrid>
            <w:tr w14:paraId="1B8F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5" w:type="dxa"/>
                  <w:tcBorders>
                    <w:top w:val="nil"/>
                    <w:left w:val="nil"/>
                    <w:bottom w:val="nil"/>
                    <w:right w:val="nil"/>
                  </w:tcBorders>
                  <w:shd w:val="clear" w:color="auto" w:fill="auto"/>
                  <w:noWrap/>
                  <w:vAlign w:val="center"/>
                </w:tcPr>
                <w:p w14:paraId="7406E2F6">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14:paraId="3C2F9B9C">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auto"/>
                  <w:noWrap/>
                  <w:vAlign w:val="center"/>
                </w:tcPr>
                <w:p w14:paraId="2C7886AC">
                  <w:pPr>
                    <w:jc w:val="right"/>
                    <w:rPr>
                      <w:rFonts w:hint="eastAsia" w:ascii="宋体" w:hAnsi="宋体" w:eastAsia="宋体" w:cs="宋体"/>
                      <w:i w:val="0"/>
                      <w:color w:val="000000"/>
                      <w:sz w:val="24"/>
                      <w:szCs w:val="24"/>
                      <w:u w:val="none"/>
                    </w:rPr>
                  </w:pPr>
                </w:p>
              </w:tc>
              <w:tc>
                <w:tcPr>
                  <w:tcW w:w="5014" w:type="dxa"/>
                  <w:tcBorders>
                    <w:top w:val="nil"/>
                    <w:left w:val="nil"/>
                    <w:bottom w:val="nil"/>
                    <w:right w:val="nil"/>
                  </w:tcBorders>
                  <w:shd w:val="clear" w:color="auto" w:fill="auto"/>
                  <w:noWrap/>
                  <w:vAlign w:val="center"/>
                </w:tcPr>
                <w:p w14:paraId="095B4EA8">
                  <w:pPr>
                    <w:jc w:val="right"/>
                    <w:rPr>
                      <w:rFonts w:hint="eastAsia" w:ascii="宋体" w:hAnsi="宋体" w:eastAsia="宋体" w:cs="宋体"/>
                      <w:i w:val="0"/>
                      <w:color w:val="000000"/>
                      <w:sz w:val="24"/>
                      <w:szCs w:val="24"/>
                      <w:u w:val="none"/>
                    </w:rPr>
                  </w:pPr>
                </w:p>
              </w:tc>
              <w:tc>
                <w:tcPr>
                  <w:tcW w:w="1644" w:type="dxa"/>
                  <w:gridSpan w:val="2"/>
                  <w:tcBorders>
                    <w:top w:val="nil"/>
                    <w:left w:val="nil"/>
                    <w:bottom w:val="nil"/>
                    <w:right w:val="nil"/>
                  </w:tcBorders>
                  <w:shd w:val="clear" w:color="auto" w:fill="auto"/>
                  <w:noWrap/>
                  <w:vAlign w:val="center"/>
                </w:tcPr>
                <w:p w14:paraId="3A5D329E">
                  <w:pPr>
                    <w:jc w:val="right"/>
                    <w:rPr>
                      <w:rFonts w:hint="eastAsia" w:ascii="宋体" w:hAnsi="宋体" w:eastAsia="宋体" w:cs="宋体"/>
                      <w:i w:val="0"/>
                      <w:color w:val="000000"/>
                      <w:sz w:val="24"/>
                      <w:szCs w:val="24"/>
                      <w:u w:val="none"/>
                    </w:rPr>
                  </w:pPr>
                </w:p>
              </w:tc>
              <w:tc>
                <w:tcPr>
                  <w:tcW w:w="2319" w:type="dxa"/>
                  <w:gridSpan w:val="2"/>
                  <w:tcBorders>
                    <w:top w:val="nil"/>
                    <w:left w:val="nil"/>
                    <w:bottom w:val="nil"/>
                    <w:right w:val="nil"/>
                  </w:tcBorders>
                  <w:shd w:val="clear" w:color="auto" w:fill="auto"/>
                  <w:noWrap/>
                  <w:vAlign w:val="center"/>
                </w:tcPr>
                <w:p w14:paraId="68B428AF">
                  <w:pPr>
                    <w:jc w:val="right"/>
                    <w:rPr>
                      <w:rFonts w:hint="eastAsia" w:ascii="黑体" w:hAnsi="宋体" w:eastAsia="黑体" w:cs="黑体"/>
                      <w:i w:val="0"/>
                      <w:color w:val="000000"/>
                      <w:sz w:val="24"/>
                      <w:szCs w:val="24"/>
                      <w:u w:val="none"/>
                    </w:rPr>
                  </w:pPr>
                </w:p>
              </w:tc>
            </w:tr>
            <w:tr w14:paraId="4137E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3DFB99E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2DD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912" w:type="dxa"/>
                  <w:tcBorders>
                    <w:top w:val="nil"/>
                    <w:left w:val="nil"/>
                    <w:bottom w:val="nil"/>
                    <w:right w:val="nil"/>
                  </w:tcBorders>
                  <w:shd w:val="clear" w:color="auto" w:fill="FFFFFF"/>
                  <w:noWrap/>
                  <w:vAlign w:val="center"/>
                </w:tcPr>
                <w:p w14:paraId="0094D3F5">
                  <w:pPr>
                    <w:jc w:val="right"/>
                    <w:rPr>
                      <w:rFonts w:hint="eastAsia" w:ascii="宋体" w:hAnsi="宋体" w:eastAsia="宋体" w:cs="宋体"/>
                      <w:i w:val="0"/>
                      <w:color w:val="000000"/>
                      <w:sz w:val="24"/>
                      <w:szCs w:val="24"/>
                      <w:u w:val="none"/>
                    </w:rPr>
                  </w:pPr>
                </w:p>
              </w:tc>
              <w:tc>
                <w:tcPr>
                  <w:tcW w:w="567" w:type="dxa"/>
                  <w:tcBorders>
                    <w:top w:val="nil"/>
                    <w:left w:val="nil"/>
                    <w:bottom w:val="nil"/>
                    <w:right w:val="nil"/>
                  </w:tcBorders>
                  <w:shd w:val="clear" w:color="auto" w:fill="FFFFFF"/>
                  <w:noWrap/>
                  <w:vAlign w:val="center"/>
                </w:tcPr>
                <w:p w14:paraId="0F43F7C5">
                  <w:pPr>
                    <w:jc w:val="right"/>
                    <w:rPr>
                      <w:rFonts w:hint="eastAsia" w:ascii="宋体" w:hAnsi="宋体" w:eastAsia="宋体" w:cs="宋体"/>
                      <w:i w:val="0"/>
                      <w:color w:val="000000"/>
                      <w:sz w:val="24"/>
                      <w:szCs w:val="24"/>
                      <w:u w:val="none"/>
                    </w:rPr>
                  </w:pPr>
                </w:p>
              </w:tc>
              <w:tc>
                <w:tcPr>
                  <w:tcW w:w="1250" w:type="dxa"/>
                  <w:tcBorders>
                    <w:top w:val="nil"/>
                    <w:left w:val="nil"/>
                    <w:bottom w:val="nil"/>
                    <w:right w:val="nil"/>
                  </w:tcBorders>
                  <w:shd w:val="clear" w:color="auto" w:fill="FFFFFF"/>
                  <w:noWrap/>
                  <w:vAlign w:val="center"/>
                </w:tcPr>
                <w:p w14:paraId="469EB220">
                  <w:pPr>
                    <w:jc w:val="right"/>
                    <w:rPr>
                      <w:rFonts w:hint="eastAsia" w:ascii="宋体" w:hAnsi="宋体" w:eastAsia="宋体" w:cs="宋体"/>
                      <w:i w:val="0"/>
                      <w:color w:val="000000"/>
                      <w:sz w:val="24"/>
                      <w:szCs w:val="24"/>
                      <w:u w:val="none"/>
                    </w:rPr>
                  </w:pPr>
                </w:p>
              </w:tc>
              <w:tc>
                <w:tcPr>
                  <w:tcW w:w="4902" w:type="dxa"/>
                  <w:tcBorders>
                    <w:top w:val="nil"/>
                    <w:left w:val="nil"/>
                    <w:bottom w:val="nil"/>
                    <w:right w:val="nil"/>
                  </w:tcBorders>
                  <w:shd w:val="clear" w:color="auto" w:fill="FFFFFF"/>
                  <w:noWrap/>
                  <w:vAlign w:val="center"/>
                </w:tcPr>
                <w:p w14:paraId="5E9DBBF8">
                  <w:pPr>
                    <w:jc w:val="right"/>
                    <w:rPr>
                      <w:rFonts w:hint="eastAsia" w:ascii="宋体" w:hAnsi="宋体" w:eastAsia="宋体" w:cs="宋体"/>
                      <w:i w:val="0"/>
                      <w:color w:val="000000"/>
                      <w:sz w:val="24"/>
                      <w:szCs w:val="24"/>
                      <w:u w:val="none"/>
                    </w:rPr>
                  </w:pPr>
                </w:p>
              </w:tc>
              <w:tc>
                <w:tcPr>
                  <w:tcW w:w="2165" w:type="dxa"/>
                  <w:gridSpan w:val="2"/>
                  <w:tcBorders>
                    <w:top w:val="nil"/>
                    <w:left w:val="nil"/>
                    <w:bottom w:val="nil"/>
                    <w:right w:val="nil"/>
                  </w:tcBorders>
                  <w:shd w:val="clear" w:color="auto" w:fill="FFFFFF"/>
                  <w:noWrap/>
                  <w:vAlign w:val="center"/>
                </w:tcPr>
                <w:p w14:paraId="675B849B">
                  <w:pPr>
                    <w:jc w:val="right"/>
                    <w:rPr>
                      <w:rFonts w:hint="eastAsia" w:ascii="宋体" w:hAnsi="宋体" w:eastAsia="宋体" w:cs="宋体"/>
                      <w:i w:val="0"/>
                      <w:color w:val="000000"/>
                      <w:sz w:val="24"/>
                      <w:szCs w:val="24"/>
                      <w:u w:val="none"/>
                    </w:rPr>
                  </w:pPr>
                </w:p>
              </w:tc>
              <w:tc>
                <w:tcPr>
                  <w:tcW w:w="2602" w:type="dxa"/>
                  <w:gridSpan w:val="2"/>
                  <w:tcBorders>
                    <w:top w:val="nil"/>
                    <w:left w:val="nil"/>
                    <w:bottom w:val="nil"/>
                    <w:right w:val="nil"/>
                  </w:tcBorders>
                  <w:shd w:val="clear" w:color="auto" w:fill="FFFFFF"/>
                  <w:noWrap/>
                  <w:vAlign w:val="center"/>
                </w:tcPr>
                <w:p w14:paraId="28E7B08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2293B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912" w:type="dxa"/>
                  <w:tcBorders>
                    <w:top w:val="nil"/>
                    <w:left w:val="nil"/>
                    <w:bottom w:val="nil"/>
                    <w:right w:val="nil"/>
                  </w:tcBorders>
                  <w:shd w:val="clear" w:color="auto" w:fill="FFFFFF"/>
                  <w:noWrap/>
                  <w:vAlign w:val="center"/>
                </w:tcPr>
                <w:p w14:paraId="527DF68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67" w:type="dxa"/>
                  <w:tcBorders>
                    <w:top w:val="nil"/>
                    <w:left w:val="nil"/>
                    <w:bottom w:val="nil"/>
                    <w:right w:val="nil"/>
                  </w:tcBorders>
                  <w:shd w:val="clear" w:color="auto" w:fill="FFFFFF"/>
                  <w:noWrap/>
                  <w:vAlign w:val="center"/>
                </w:tcPr>
                <w:p w14:paraId="1CA167CB">
                  <w:pPr>
                    <w:jc w:val="right"/>
                    <w:rPr>
                      <w:rFonts w:hint="eastAsia" w:ascii="宋体" w:hAnsi="宋体" w:eastAsia="宋体" w:cs="宋体"/>
                      <w:i w:val="0"/>
                      <w:color w:val="000000"/>
                      <w:sz w:val="24"/>
                      <w:szCs w:val="24"/>
                      <w:u w:val="none"/>
                    </w:rPr>
                  </w:pPr>
                </w:p>
              </w:tc>
              <w:tc>
                <w:tcPr>
                  <w:tcW w:w="1250" w:type="dxa"/>
                  <w:tcBorders>
                    <w:top w:val="nil"/>
                    <w:left w:val="nil"/>
                    <w:bottom w:val="nil"/>
                    <w:right w:val="nil"/>
                  </w:tcBorders>
                  <w:shd w:val="clear" w:color="auto" w:fill="FFFFFF"/>
                  <w:noWrap/>
                  <w:vAlign w:val="center"/>
                </w:tcPr>
                <w:p w14:paraId="058DE424">
                  <w:pPr>
                    <w:jc w:val="right"/>
                    <w:rPr>
                      <w:rFonts w:hint="eastAsia" w:ascii="宋体" w:hAnsi="宋体" w:eastAsia="宋体" w:cs="宋体"/>
                      <w:i w:val="0"/>
                      <w:color w:val="000000"/>
                      <w:sz w:val="24"/>
                      <w:szCs w:val="24"/>
                      <w:u w:val="none"/>
                    </w:rPr>
                  </w:pPr>
                </w:p>
              </w:tc>
              <w:tc>
                <w:tcPr>
                  <w:tcW w:w="4902" w:type="dxa"/>
                  <w:tcBorders>
                    <w:top w:val="nil"/>
                    <w:left w:val="nil"/>
                    <w:bottom w:val="nil"/>
                    <w:right w:val="nil"/>
                  </w:tcBorders>
                  <w:shd w:val="clear" w:color="auto" w:fill="FFFFFF"/>
                  <w:noWrap/>
                  <w:vAlign w:val="center"/>
                </w:tcPr>
                <w:p w14:paraId="34084778">
                  <w:pPr>
                    <w:jc w:val="right"/>
                    <w:rPr>
                      <w:rFonts w:hint="eastAsia" w:ascii="宋体" w:hAnsi="宋体" w:eastAsia="宋体" w:cs="宋体"/>
                      <w:i w:val="0"/>
                      <w:color w:val="000000"/>
                      <w:sz w:val="24"/>
                      <w:szCs w:val="24"/>
                      <w:u w:val="none"/>
                    </w:rPr>
                  </w:pPr>
                </w:p>
              </w:tc>
              <w:tc>
                <w:tcPr>
                  <w:tcW w:w="2165" w:type="dxa"/>
                  <w:gridSpan w:val="2"/>
                  <w:tcBorders>
                    <w:top w:val="nil"/>
                    <w:left w:val="nil"/>
                    <w:bottom w:val="nil"/>
                    <w:right w:val="nil"/>
                  </w:tcBorders>
                  <w:shd w:val="clear" w:color="auto" w:fill="FFFFFF"/>
                  <w:noWrap/>
                  <w:vAlign w:val="center"/>
                </w:tcPr>
                <w:p w14:paraId="268EEDED">
                  <w:pPr>
                    <w:jc w:val="right"/>
                    <w:rPr>
                      <w:rFonts w:hint="eastAsia" w:ascii="宋体" w:hAnsi="宋体" w:eastAsia="宋体" w:cs="宋体"/>
                      <w:i w:val="0"/>
                      <w:color w:val="000000"/>
                      <w:sz w:val="24"/>
                      <w:szCs w:val="24"/>
                      <w:u w:val="none"/>
                    </w:rPr>
                  </w:pPr>
                </w:p>
              </w:tc>
              <w:tc>
                <w:tcPr>
                  <w:tcW w:w="2602" w:type="dxa"/>
                  <w:gridSpan w:val="2"/>
                  <w:tcBorders>
                    <w:top w:val="nil"/>
                    <w:left w:val="nil"/>
                    <w:bottom w:val="nil"/>
                    <w:right w:val="nil"/>
                  </w:tcBorders>
                  <w:shd w:val="clear" w:color="auto" w:fill="FFFFFF"/>
                  <w:noWrap/>
                  <w:vAlign w:val="center"/>
                </w:tcPr>
                <w:p w14:paraId="7C349D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6AAA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572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E7F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374"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2E8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2258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62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8A5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05F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B16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430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AC8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584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2B98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8D6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2F509">
                  <w:pPr>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326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724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AAFB9">
                  <w:pPr>
                    <w:jc w:val="center"/>
                    <w:rPr>
                      <w:rFonts w:hint="eastAsia" w:ascii="宋体" w:hAnsi="宋体" w:eastAsia="宋体" w:cs="宋体"/>
                      <w:i w:val="0"/>
                      <w:color w:val="000000"/>
                      <w:sz w:val="24"/>
                      <w:szCs w:val="24"/>
                      <w:u w:val="none"/>
                    </w:rPr>
                  </w:pP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5C5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A233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14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3D8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066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5511.40</w:t>
                  </w: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E12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354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653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0.30</w:t>
                  </w:r>
                </w:p>
              </w:tc>
            </w:tr>
            <w:tr w14:paraId="2EFD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D36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CC8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74A0">
                  <w:pPr>
                    <w:jc w:val="right"/>
                    <w:rPr>
                      <w:rFonts w:hint="eastAsia" w:ascii="宋体" w:hAnsi="宋体" w:eastAsia="宋体" w:cs="宋体"/>
                      <w:i w:val="0"/>
                      <w:color w:val="000000"/>
                      <w:sz w:val="22"/>
                      <w:szCs w:val="22"/>
                      <w:u w:val="none"/>
                    </w:rPr>
                  </w:pP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9EB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5AC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E064">
                  <w:pPr>
                    <w:jc w:val="right"/>
                    <w:rPr>
                      <w:rFonts w:hint="eastAsia" w:ascii="宋体" w:hAnsi="宋体" w:eastAsia="宋体" w:cs="宋体"/>
                      <w:i w:val="0"/>
                      <w:color w:val="000000"/>
                      <w:sz w:val="22"/>
                      <w:szCs w:val="22"/>
                      <w:u w:val="none"/>
                    </w:rPr>
                  </w:pPr>
                </w:p>
              </w:tc>
            </w:tr>
            <w:tr w14:paraId="2E6B4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87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A8B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533D">
                  <w:pPr>
                    <w:jc w:val="right"/>
                    <w:rPr>
                      <w:rFonts w:hint="eastAsia" w:ascii="宋体" w:hAnsi="宋体" w:eastAsia="宋体" w:cs="宋体"/>
                      <w:i w:val="0"/>
                      <w:color w:val="000000"/>
                      <w:sz w:val="22"/>
                      <w:szCs w:val="22"/>
                      <w:u w:val="none"/>
                    </w:rPr>
                  </w:pP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53B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6D1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9A00">
                  <w:pPr>
                    <w:jc w:val="right"/>
                    <w:rPr>
                      <w:rFonts w:hint="eastAsia" w:ascii="宋体" w:hAnsi="宋体" w:eastAsia="宋体" w:cs="宋体"/>
                      <w:i w:val="0"/>
                      <w:color w:val="000000"/>
                      <w:sz w:val="22"/>
                      <w:szCs w:val="22"/>
                      <w:u w:val="none"/>
                    </w:rPr>
                  </w:pPr>
                </w:p>
              </w:tc>
            </w:tr>
            <w:tr w14:paraId="7BA60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63A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3BF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98F5">
                  <w:pPr>
                    <w:jc w:val="right"/>
                    <w:rPr>
                      <w:rFonts w:hint="eastAsia" w:ascii="宋体" w:hAnsi="宋体" w:eastAsia="宋体" w:cs="宋体"/>
                      <w:i w:val="0"/>
                      <w:color w:val="000000"/>
                      <w:sz w:val="22"/>
                      <w:szCs w:val="22"/>
                      <w:u w:val="none"/>
                    </w:rPr>
                  </w:pP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C54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ACF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13E1">
                  <w:pPr>
                    <w:jc w:val="right"/>
                    <w:rPr>
                      <w:rFonts w:hint="eastAsia" w:ascii="宋体" w:hAnsi="宋体" w:eastAsia="宋体" w:cs="宋体"/>
                      <w:i w:val="0"/>
                      <w:color w:val="000000"/>
                      <w:sz w:val="22"/>
                      <w:szCs w:val="22"/>
                      <w:u w:val="none"/>
                    </w:rPr>
                  </w:pPr>
                </w:p>
              </w:tc>
            </w:tr>
            <w:tr w14:paraId="47BFA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17C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3CA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16B6">
                  <w:pPr>
                    <w:jc w:val="right"/>
                    <w:rPr>
                      <w:rFonts w:hint="eastAsia" w:ascii="宋体" w:hAnsi="宋体" w:eastAsia="宋体" w:cs="宋体"/>
                      <w:i w:val="0"/>
                      <w:color w:val="000000"/>
                      <w:sz w:val="22"/>
                      <w:szCs w:val="22"/>
                      <w:u w:val="none"/>
                    </w:rPr>
                  </w:pP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8BD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4ED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7062">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6421.37</w:t>
                  </w:r>
                </w:p>
              </w:tc>
            </w:tr>
            <w:tr w14:paraId="1D628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F44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912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3DF9F">
                  <w:pPr>
                    <w:jc w:val="right"/>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8C4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9F7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64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340.27</w:t>
                  </w:r>
                </w:p>
              </w:tc>
            </w:tr>
            <w:tr w14:paraId="13EC7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3C0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42C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6881">
                  <w:pPr>
                    <w:jc w:val="right"/>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F6D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410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EB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94.77</w:t>
                  </w:r>
                </w:p>
              </w:tc>
            </w:tr>
            <w:tr w14:paraId="7FCD7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7CE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F05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4418">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1467.59</w:t>
                  </w:r>
                </w:p>
              </w:tc>
              <w:tc>
                <w:tcPr>
                  <w:tcW w:w="4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AE60">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二十三、其他支出</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68A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3A08">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122.27</w:t>
                  </w:r>
                </w:p>
              </w:tc>
            </w:tr>
            <w:tr w14:paraId="15155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A3C1">
                  <w:pPr>
                    <w:jc w:val="right"/>
                    <w:rPr>
                      <w:rFonts w:hint="eastAsia" w:ascii="宋体" w:hAnsi="宋体" w:eastAsia="宋体" w:cs="宋体"/>
                      <w:i w:val="0"/>
                      <w:color w:val="000000"/>
                      <w:sz w:val="20"/>
                      <w:szCs w:val="20"/>
                      <w:u w:val="none"/>
                    </w:rPr>
                  </w:pP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82F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EEA8">
                  <w:pPr>
                    <w:jc w:val="right"/>
                    <w:rPr>
                      <w:rFonts w:hint="eastAsia" w:ascii="宋体" w:hAnsi="宋体" w:eastAsia="宋体" w:cs="宋体"/>
                      <w:i w:val="0"/>
                      <w:color w:val="000000"/>
                      <w:sz w:val="22"/>
                      <w:szCs w:val="22"/>
                      <w:u w:val="none"/>
                    </w:rPr>
                  </w:pPr>
                </w:p>
              </w:tc>
              <w:tc>
                <w:tcPr>
                  <w:tcW w:w="4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A0BC">
                  <w:pPr>
                    <w:jc w:val="right"/>
                    <w:rPr>
                      <w:rFonts w:hint="eastAsia" w:ascii="宋体" w:hAnsi="宋体" w:eastAsia="宋体" w:cs="宋体"/>
                      <w:i w:val="0"/>
                      <w:color w:val="000000"/>
                      <w:sz w:val="20"/>
                      <w:szCs w:val="20"/>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3F0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C254">
                  <w:pPr>
                    <w:rPr>
                      <w:rFonts w:hint="eastAsia" w:ascii="宋体" w:hAnsi="宋体" w:eastAsia="宋体" w:cs="宋体"/>
                      <w:b/>
                      <w:i w:val="0"/>
                      <w:color w:val="000000"/>
                      <w:sz w:val="22"/>
                      <w:szCs w:val="22"/>
                      <w:u w:val="none"/>
                    </w:rPr>
                  </w:pPr>
                </w:p>
              </w:tc>
            </w:tr>
            <w:tr w14:paraId="63941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59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6FE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642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6978.99</w:t>
                  </w:r>
                </w:p>
              </w:tc>
              <w:tc>
                <w:tcPr>
                  <w:tcW w:w="4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DD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1B4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9E44">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6978.99</w:t>
                  </w:r>
                </w:p>
              </w:tc>
            </w:tr>
            <w:tr w14:paraId="4E4E9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6B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9E4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0BF9">
                  <w:pPr>
                    <w:jc w:val="right"/>
                    <w:rPr>
                      <w:rFonts w:hint="eastAsia" w:ascii="宋体" w:hAnsi="宋体" w:eastAsia="宋体" w:cs="宋体"/>
                      <w:i w:val="0"/>
                      <w:color w:val="000000"/>
                      <w:sz w:val="22"/>
                      <w:szCs w:val="22"/>
                      <w:u w:val="none"/>
                    </w:rPr>
                  </w:pPr>
                </w:p>
              </w:tc>
              <w:tc>
                <w:tcPr>
                  <w:tcW w:w="4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78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09B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CAFB">
                  <w:pPr>
                    <w:rPr>
                      <w:rFonts w:hint="eastAsia" w:ascii="宋体" w:hAnsi="宋体" w:eastAsia="宋体" w:cs="宋体"/>
                      <w:i w:val="0"/>
                      <w:color w:val="000000"/>
                      <w:sz w:val="22"/>
                      <w:szCs w:val="22"/>
                      <w:u w:val="none"/>
                    </w:rPr>
                  </w:pPr>
                </w:p>
              </w:tc>
            </w:tr>
            <w:tr w14:paraId="5124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62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E7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C1F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00546">
                  <w:pPr>
                    <w:jc w:val="right"/>
                    <w:rPr>
                      <w:rFonts w:hint="eastAsia" w:ascii="宋体" w:hAnsi="宋体" w:eastAsia="宋体" w:cs="宋体"/>
                      <w:i w:val="0"/>
                      <w:color w:val="000000"/>
                      <w:sz w:val="22"/>
                      <w:szCs w:val="22"/>
                      <w:u w:val="none"/>
                    </w:rPr>
                  </w:pPr>
                </w:p>
              </w:tc>
              <w:tc>
                <w:tcPr>
                  <w:tcW w:w="4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A5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30B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E60F">
                  <w:pPr>
                    <w:rPr>
                      <w:rFonts w:hint="eastAsia" w:ascii="宋体" w:hAnsi="宋体" w:eastAsia="宋体" w:cs="宋体"/>
                      <w:i w:val="0"/>
                      <w:color w:val="000000"/>
                      <w:sz w:val="22"/>
                      <w:szCs w:val="22"/>
                      <w:u w:val="none"/>
                    </w:rPr>
                  </w:pPr>
                </w:p>
              </w:tc>
            </w:tr>
            <w:tr w14:paraId="4CFAC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3" w:type="dxa"/>
                <w:trHeight w:val="448" w:hRule="atLeast"/>
              </w:trPr>
              <w:tc>
                <w:tcPr>
                  <w:tcW w:w="3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B69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69C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98DB">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6978.99</w:t>
                  </w:r>
                </w:p>
              </w:tc>
              <w:tc>
                <w:tcPr>
                  <w:tcW w:w="4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B86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7A7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F0D4">
                  <w:pPr>
                    <w:rPr>
                      <w:rFonts w:hint="eastAsia" w:ascii="宋体" w:hAnsi="宋体" w:eastAsia="宋体" w:cs="宋体"/>
                      <w:b/>
                      <w:i w:val="0"/>
                      <w:color w:val="000000"/>
                      <w:sz w:val="22"/>
                      <w:szCs w:val="22"/>
                      <w:u w:val="none"/>
                    </w:rPr>
                  </w:pPr>
                  <w:r>
                    <w:rPr>
                      <w:rFonts w:hint="eastAsia" w:ascii="宋体" w:hAnsi="宋体" w:eastAsia="宋体" w:cs="宋体"/>
                      <w:b w:val="0"/>
                      <w:bCs/>
                      <w:i w:val="0"/>
                      <w:color w:val="000000"/>
                      <w:sz w:val="22"/>
                      <w:szCs w:val="22"/>
                      <w:u w:val="none"/>
                    </w:rPr>
                    <w:t>6978.99</w:t>
                  </w:r>
                </w:p>
              </w:tc>
            </w:tr>
            <w:tr w14:paraId="3CA84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777DEC4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19EB2E3E">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6F585EB">
        <w:tblPrEx>
          <w:tblCellMar>
            <w:top w:w="0" w:type="dxa"/>
            <w:left w:w="0" w:type="dxa"/>
            <w:bottom w:w="0" w:type="dxa"/>
            <w:right w:w="0" w:type="dxa"/>
          </w:tblCellMar>
        </w:tblPrEx>
        <w:trPr>
          <w:trHeight w:val="285" w:hRule="atLeast"/>
        </w:trPr>
        <w:tc>
          <w:tcPr>
            <w:tcW w:w="276" w:type="dxa"/>
            <w:tcBorders>
              <w:top w:val="nil"/>
              <w:left w:val="nil"/>
              <w:bottom w:val="nil"/>
              <w:right w:val="nil"/>
            </w:tcBorders>
            <w:shd w:val="clear" w:color="000000" w:fill="FFFFFF"/>
            <w:noWrap/>
            <w:tcMar>
              <w:top w:w="15" w:type="dxa"/>
              <w:left w:w="15" w:type="dxa"/>
              <w:bottom w:w="0" w:type="dxa"/>
              <w:right w:w="15" w:type="dxa"/>
            </w:tcMar>
            <w:vAlign w:val="center"/>
          </w:tcPr>
          <w:p w14:paraId="1AF08936">
            <w:pPr>
              <w:jc w:val="right"/>
              <w:rPr>
                <w:rFonts w:ascii="宋体" w:hAnsi="宋体" w:eastAsia="宋体" w:cs="宋体"/>
                <w:sz w:val="24"/>
                <w:szCs w:val="24"/>
              </w:rPr>
            </w:pPr>
            <w:r>
              <w:rPr>
                <w:rFonts w:hint="eastAsia"/>
              </w:rPr>
              <w:t>　</w:t>
            </w:r>
          </w:p>
        </w:tc>
        <w:tc>
          <w:tcPr>
            <w:tcW w:w="276" w:type="dxa"/>
            <w:tcBorders>
              <w:top w:val="nil"/>
              <w:left w:val="nil"/>
              <w:bottom w:val="nil"/>
              <w:right w:val="nil"/>
            </w:tcBorders>
            <w:shd w:val="clear" w:color="000000" w:fill="FFFFFF"/>
            <w:noWrap/>
            <w:tcMar>
              <w:top w:w="15" w:type="dxa"/>
              <w:left w:w="15" w:type="dxa"/>
              <w:bottom w:w="0" w:type="dxa"/>
              <w:right w:w="15" w:type="dxa"/>
            </w:tcMar>
            <w:vAlign w:val="center"/>
          </w:tcPr>
          <w:p w14:paraId="2ABF066B">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14:paraId="5B759228">
            <w:pPr>
              <w:jc w:val="right"/>
              <w:rPr>
                <w:rFonts w:ascii="宋体" w:hAnsi="宋体" w:eastAsia="宋体" w:cs="宋体"/>
                <w:sz w:val="24"/>
                <w:szCs w:val="24"/>
              </w:rPr>
            </w:pPr>
            <w:r>
              <w:rPr>
                <w:rFonts w:hint="eastAsia"/>
              </w:rPr>
              <w:t>　</w:t>
            </w:r>
          </w:p>
        </w:tc>
        <w:tc>
          <w:tcPr>
            <w:tcW w:w="1485" w:type="dxa"/>
            <w:tcBorders>
              <w:top w:val="nil"/>
              <w:left w:val="nil"/>
              <w:bottom w:val="nil"/>
              <w:right w:val="nil"/>
            </w:tcBorders>
            <w:shd w:val="clear" w:color="000000" w:fill="FFFFFF"/>
            <w:noWrap/>
            <w:tcMar>
              <w:top w:w="15" w:type="dxa"/>
              <w:left w:w="15" w:type="dxa"/>
              <w:bottom w:w="0" w:type="dxa"/>
              <w:right w:w="15" w:type="dxa"/>
            </w:tcMar>
            <w:vAlign w:val="center"/>
          </w:tcPr>
          <w:p w14:paraId="692DA376">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654524B7">
            <w:pPr>
              <w:jc w:val="right"/>
              <w:rPr>
                <w:rFonts w:ascii="宋体" w:hAnsi="宋体" w:eastAsia="宋体" w:cs="宋体"/>
                <w:sz w:val="24"/>
                <w:szCs w:val="24"/>
              </w:rPr>
            </w:pPr>
            <w:r>
              <w:rPr>
                <w:rFonts w:hint="eastAsia"/>
              </w:rPr>
              <w:t>　</w:t>
            </w:r>
          </w:p>
        </w:tc>
        <w:tc>
          <w:tcPr>
            <w:tcW w:w="1882" w:type="dxa"/>
            <w:tcBorders>
              <w:top w:val="nil"/>
              <w:left w:val="nil"/>
              <w:bottom w:val="nil"/>
              <w:right w:val="nil"/>
            </w:tcBorders>
            <w:shd w:val="clear" w:color="000000" w:fill="FFFFFF"/>
            <w:noWrap/>
            <w:tcMar>
              <w:top w:w="15" w:type="dxa"/>
              <w:left w:w="15" w:type="dxa"/>
              <w:bottom w:w="0" w:type="dxa"/>
              <w:right w:w="15" w:type="dxa"/>
            </w:tcMar>
            <w:vAlign w:val="center"/>
          </w:tcPr>
          <w:p w14:paraId="61050933">
            <w:pPr>
              <w:jc w:val="right"/>
              <w:rPr>
                <w:rFonts w:ascii="宋体" w:hAnsi="宋体" w:eastAsia="宋体" w:cs="宋体"/>
                <w:sz w:val="24"/>
                <w:szCs w:val="24"/>
              </w:rPr>
            </w:pPr>
            <w:r>
              <w:rPr>
                <w:rFonts w:hint="eastAsia"/>
              </w:rPr>
              <w:t>　</w:t>
            </w:r>
          </w:p>
        </w:tc>
        <w:tc>
          <w:tcPr>
            <w:tcW w:w="1728" w:type="dxa"/>
            <w:tcBorders>
              <w:top w:val="nil"/>
              <w:left w:val="nil"/>
              <w:bottom w:val="nil"/>
              <w:right w:val="nil"/>
            </w:tcBorders>
            <w:shd w:val="clear" w:color="000000" w:fill="FFFFFF"/>
            <w:noWrap/>
            <w:tcMar>
              <w:top w:w="15" w:type="dxa"/>
              <w:left w:w="15" w:type="dxa"/>
              <w:bottom w:w="0" w:type="dxa"/>
              <w:right w:w="15" w:type="dxa"/>
            </w:tcMar>
            <w:vAlign w:val="center"/>
          </w:tcPr>
          <w:p w14:paraId="47E61315">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3201E31E">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043274B0">
            <w:pPr>
              <w:jc w:val="right"/>
              <w:rPr>
                <w:rFonts w:ascii="宋体" w:hAnsi="宋体" w:eastAsia="宋体" w:cs="宋体"/>
                <w:sz w:val="24"/>
                <w:szCs w:val="24"/>
              </w:rPr>
            </w:pPr>
            <w:r>
              <w:rPr>
                <w:rFonts w:hint="eastAsia"/>
              </w:rPr>
              <w:t>　</w:t>
            </w:r>
          </w:p>
        </w:tc>
        <w:tc>
          <w:tcPr>
            <w:tcW w:w="2564" w:type="dxa"/>
            <w:tcBorders>
              <w:top w:val="nil"/>
              <w:left w:val="nil"/>
              <w:bottom w:val="nil"/>
              <w:right w:val="nil"/>
            </w:tcBorders>
            <w:shd w:val="clear" w:color="000000" w:fill="FFFFFF"/>
            <w:noWrap/>
            <w:tcMar>
              <w:top w:w="15" w:type="dxa"/>
              <w:left w:w="15" w:type="dxa"/>
              <w:bottom w:w="0" w:type="dxa"/>
              <w:right w:w="15" w:type="dxa"/>
            </w:tcMar>
            <w:vAlign w:val="center"/>
          </w:tcPr>
          <w:p w14:paraId="55ED458D">
            <w:pPr>
              <w:jc w:val="right"/>
              <w:rPr>
                <w:rFonts w:ascii="宋体" w:hAnsi="宋体" w:eastAsia="宋体" w:cs="宋体"/>
                <w:color w:val="000000"/>
                <w:sz w:val="20"/>
                <w:szCs w:val="20"/>
              </w:rPr>
            </w:pPr>
            <w:r>
              <w:rPr>
                <w:rFonts w:hint="eastAsia"/>
                <w:color w:val="000000"/>
                <w:sz w:val="20"/>
                <w:szCs w:val="20"/>
              </w:rPr>
              <w:t>公开02表</w:t>
            </w:r>
          </w:p>
        </w:tc>
      </w:tr>
      <w:tr w14:paraId="4640A54B">
        <w:tblPrEx>
          <w:tblCellMar>
            <w:top w:w="0" w:type="dxa"/>
            <w:left w:w="0" w:type="dxa"/>
            <w:bottom w:w="0" w:type="dxa"/>
            <w:right w:w="0" w:type="dxa"/>
          </w:tblCellMar>
        </w:tblPrEx>
        <w:trPr>
          <w:trHeight w:val="285" w:hRule="atLeast"/>
        </w:trPr>
        <w:tc>
          <w:tcPr>
            <w:tcW w:w="55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B0669ED">
            <w:pPr>
              <w:rPr>
                <w:rFonts w:ascii="宋体" w:hAnsi="宋体" w:eastAsia="宋体" w:cs="宋体"/>
                <w:color w:val="000000"/>
                <w:sz w:val="20"/>
                <w:szCs w:val="20"/>
              </w:rPr>
            </w:pPr>
            <w:r>
              <w:rPr>
                <w:rFonts w:hint="eastAsia"/>
                <w:color w:val="000000"/>
                <w:sz w:val="20"/>
                <w:szCs w:val="20"/>
              </w:rPr>
              <w:t>部门：</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14:paraId="4BA972E3">
            <w:pPr>
              <w:jc w:val="right"/>
              <w:rPr>
                <w:rFonts w:ascii="宋体" w:hAnsi="宋体" w:eastAsia="宋体" w:cs="宋体"/>
                <w:sz w:val="24"/>
                <w:szCs w:val="24"/>
              </w:rPr>
            </w:pPr>
            <w:r>
              <w:rPr>
                <w:rFonts w:hint="eastAsia"/>
              </w:rPr>
              <w:t>　</w:t>
            </w:r>
          </w:p>
        </w:tc>
        <w:tc>
          <w:tcPr>
            <w:tcW w:w="1485" w:type="dxa"/>
            <w:tcBorders>
              <w:top w:val="nil"/>
              <w:left w:val="nil"/>
              <w:bottom w:val="nil"/>
              <w:right w:val="nil"/>
            </w:tcBorders>
            <w:shd w:val="clear" w:color="000000" w:fill="FFFFFF"/>
            <w:noWrap/>
            <w:tcMar>
              <w:top w:w="15" w:type="dxa"/>
              <w:left w:w="15" w:type="dxa"/>
              <w:bottom w:w="0" w:type="dxa"/>
              <w:right w:w="15" w:type="dxa"/>
            </w:tcMar>
            <w:vAlign w:val="center"/>
          </w:tcPr>
          <w:p w14:paraId="38AAFC98">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AF00602">
            <w:pPr>
              <w:jc w:val="right"/>
              <w:rPr>
                <w:rFonts w:ascii="宋体" w:hAnsi="宋体" w:eastAsia="宋体" w:cs="宋体"/>
                <w:sz w:val="24"/>
                <w:szCs w:val="24"/>
              </w:rPr>
            </w:pPr>
            <w:r>
              <w:rPr>
                <w:rFonts w:hint="eastAsia"/>
              </w:rPr>
              <w:t>　</w:t>
            </w:r>
          </w:p>
        </w:tc>
        <w:tc>
          <w:tcPr>
            <w:tcW w:w="1882" w:type="dxa"/>
            <w:tcBorders>
              <w:top w:val="nil"/>
              <w:left w:val="nil"/>
              <w:bottom w:val="nil"/>
              <w:right w:val="nil"/>
            </w:tcBorders>
            <w:shd w:val="clear" w:color="000000" w:fill="FFFFFF"/>
            <w:noWrap/>
            <w:tcMar>
              <w:top w:w="15" w:type="dxa"/>
              <w:left w:w="15" w:type="dxa"/>
              <w:bottom w:w="0" w:type="dxa"/>
              <w:right w:w="15" w:type="dxa"/>
            </w:tcMar>
            <w:vAlign w:val="center"/>
          </w:tcPr>
          <w:p w14:paraId="109E21B4">
            <w:pPr>
              <w:jc w:val="center"/>
              <w:rPr>
                <w:rFonts w:ascii="宋体" w:hAnsi="宋体" w:eastAsia="宋体" w:cs="宋体"/>
                <w:color w:val="000000"/>
                <w:sz w:val="20"/>
                <w:szCs w:val="20"/>
              </w:rPr>
            </w:pPr>
            <w:r>
              <w:rPr>
                <w:rFonts w:hint="eastAsia"/>
                <w:color w:val="000000"/>
                <w:sz w:val="20"/>
                <w:szCs w:val="20"/>
              </w:rPr>
              <w:t>　</w:t>
            </w:r>
          </w:p>
        </w:tc>
        <w:tc>
          <w:tcPr>
            <w:tcW w:w="1728" w:type="dxa"/>
            <w:tcBorders>
              <w:top w:val="nil"/>
              <w:left w:val="nil"/>
              <w:bottom w:val="nil"/>
              <w:right w:val="nil"/>
            </w:tcBorders>
            <w:shd w:val="clear" w:color="000000" w:fill="FFFFFF"/>
            <w:noWrap/>
            <w:tcMar>
              <w:top w:w="15" w:type="dxa"/>
              <w:left w:w="15" w:type="dxa"/>
              <w:bottom w:w="0" w:type="dxa"/>
              <w:right w:w="15" w:type="dxa"/>
            </w:tcMar>
            <w:vAlign w:val="center"/>
          </w:tcPr>
          <w:p w14:paraId="0BB7F120">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25C2B694">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3AACA2FD">
            <w:pPr>
              <w:jc w:val="right"/>
              <w:rPr>
                <w:rFonts w:ascii="宋体" w:hAnsi="宋体" w:eastAsia="宋体" w:cs="宋体"/>
                <w:sz w:val="24"/>
                <w:szCs w:val="24"/>
              </w:rPr>
            </w:pPr>
            <w:r>
              <w:rPr>
                <w:rFonts w:hint="eastAsia"/>
              </w:rPr>
              <w:t>　</w:t>
            </w:r>
          </w:p>
        </w:tc>
        <w:tc>
          <w:tcPr>
            <w:tcW w:w="2564" w:type="dxa"/>
            <w:tcBorders>
              <w:top w:val="nil"/>
              <w:left w:val="nil"/>
              <w:bottom w:val="nil"/>
              <w:right w:val="nil"/>
            </w:tcBorders>
            <w:shd w:val="clear" w:color="000000" w:fill="FFFFFF"/>
            <w:noWrap/>
            <w:tcMar>
              <w:top w:w="15" w:type="dxa"/>
              <w:left w:w="15" w:type="dxa"/>
              <w:bottom w:w="0" w:type="dxa"/>
              <w:right w:w="15" w:type="dxa"/>
            </w:tcMar>
            <w:vAlign w:val="center"/>
          </w:tcPr>
          <w:p w14:paraId="4E86D7C5">
            <w:pPr>
              <w:jc w:val="right"/>
              <w:rPr>
                <w:rFonts w:ascii="宋体" w:hAnsi="宋体" w:eastAsia="宋体" w:cs="宋体"/>
                <w:color w:val="000000"/>
                <w:sz w:val="20"/>
                <w:szCs w:val="20"/>
              </w:rPr>
            </w:pPr>
            <w:r>
              <w:rPr>
                <w:rFonts w:hint="eastAsia"/>
                <w:color w:val="000000"/>
                <w:sz w:val="20"/>
                <w:szCs w:val="20"/>
              </w:rPr>
              <w:t>单位：万元</w:t>
            </w:r>
          </w:p>
        </w:tc>
      </w:tr>
      <w:tr w14:paraId="1DF94A50">
        <w:tblPrEx>
          <w:tblCellMar>
            <w:top w:w="0" w:type="dxa"/>
            <w:left w:w="0" w:type="dxa"/>
            <w:bottom w:w="0" w:type="dxa"/>
            <w:right w:w="0" w:type="dxa"/>
          </w:tblCellMar>
        </w:tblPrEx>
        <w:trPr>
          <w:trHeight w:val="450" w:hRule="atLeast"/>
        </w:trPr>
        <w:tc>
          <w:tcPr>
            <w:tcW w:w="235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87D91A">
            <w:pPr>
              <w:jc w:val="center"/>
              <w:rPr>
                <w:rFonts w:ascii="宋体" w:hAnsi="宋体" w:eastAsia="宋体" w:cs="宋体"/>
                <w:sz w:val="24"/>
                <w:szCs w:val="24"/>
              </w:rPr>
            </w:pPr>
            <w:r>
              <w:rPr>
                <w:rFonts w:hint="eastAsia"/>
              </w:rPr>
              <w:t>项    目</w:t>
            </w:r>
          </w:p>
        </w:tc>
        <w:tc>
          <w:tcPr>
            <w:tcW w:w="148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5D76E0">
            <w:pPr>
              <w:jc w:val="center"/>
              <w:rPr>
                <w:rFonts w:ascii="宋体" w:hAnsi="宋体" w:eastAsia="宋体" w:cs="宋体"/>
                <w:sz w:val="24"/>
                <w:szCs w:val="24"/>
              </w:rPr>
            </w:pPr>
            <w:r>
              <w:rPr>
                <w:rFonts w:hint="eastAsia"/>
              </w:rPr>
              <w:t>本年收入合计</w:t>
            </w:r>
          </w:p>
        </w:tc>
        <w:tc>
          <w:tcPr>
            <w:tcW w:w="18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56D8842">
            <w:pPr>
              <w:jc w:val="center"/>
              <w:rPr>
                <w:rFonts w:ascii="宋体" w:hAnsi="宋体" w:eastAsia="宋体" w:cs="宋体"/>
                <w:sz w:val="24"/>
                <w:szCs w:val="24"/>
              </w:rPr>
            </w:pPr>
            <w:r>
              <w:rPr>
                <w:rFonts w:hint="eastAsia"/>
              </w:rPr>
              <w:t>财政拨款收入</w:t>
            </w:r>
          </w:p>
        </w:tc>
        <w:tc>
          <w:tcPr>
            <w:tcW w:w="188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04FB81">
            <w:pPr>
              <w:jc w:val="center"/>
              <w:rPr>
                <w:rFonts w:ascii="宋体" w:hAnsi="宋体" w:eastAsia="宋体" w:cs="宋体"/>
                <w:sz w:val="24"/>
                <w:szCs w:val="24"/>
              </w:rPr>
            </w:pPr>
            <w:r>
              <w:rPr>
                <w:rFonts w:hint="eastAsia"/>
              </w:rPr>
              <w:t>上级补助收入</w:t>
            </w:r>
          </w:p>
        </w:tc>
        <w:tc>
          <w:tcPr>
            <w:tcW w:w="17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0E2417">
            <w:pPr>
              <w:jc w:val="center"/>
              <w:rPr>
                <w:rFonts w:ascii="宋体" w:hAnsi="宋体" w:eastAsia="宋体" w:cs="宋体"/>
                <w:sz w:val="24"/>
                <w:szCs w:val="24"/>
              </w:rPr>
            </w:pPr>
            <w:r>
              <w:rPr>
                <w:rFonts w:hint="eastAsia"/>
              </w:rPr>
              <w:t>事业收入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EA0EEB">
            <w:pPr>
              <w:jc w:val="center"/>
              <w:rPr>
                <w:rFonts w:ascii="宋体" w:hAnsi="宋体" w:eastAsia="宋体" w:cs="宋体"/>
                <w:sz w:val="24"/>
                <w:szCs w:val="24"/>
              </w:rPr>
            </w:pPr>
            <w:r>
              <w:rPr>
                <w:rFonts w:hint="eastAsia"/>
              </w:rPr>
              <w:t>经营收入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D51099">
            <w:pPr>
              <w:jc w:val="center"/>
              <w:rPr>
                <w:rFonts w:ascii="宋体" w:hAnsi="宋体" w:eastAsia="宋体" w:cs="宋体"/>
                <w:sz w:val="24"/>
                <w:szCs w:val="24"/>
              </w:rPr>
            </w:pPr>
            <w:r>
              <w:rPr>
                <w:rFonts w:hint="eastAsia"/>
              </w:rPr>
              <w:t>附属单位上缴收入</w:t>
            </w:r>
          </w:p>
        </w:tc>
        <w:tc>
          <w:tcPr>
            <w:tcW w:w="25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846C9DD">
            <w:pPr>
              <w:jc w:val="center"/>
              <w:rPr>
                <w:rFonts w:ascii="宋体" w:hAnsi="宋体" w:eastAsia="宋体" w:cs="宋体"/>
                <w:sz w:val="24"/>
                <w:szCs w:val="24"/>
              </w:rPr>
            </w:pPr>
            <w:r>
              <w:rPr>
                <w:rFonts w:hint="eastAsia"/>
              </w:rPr>
              <w:t>其他收入</w:t>
            </w:r>
          </w:p>
        </w:tc>
      </w:tr>
      <w:tr w14:paraId="0FD2173A">
        <w:tblPrEx>
          <w:tblCellMar>
            <w:top w:w="0" w:type="dxa"/>
            <w:left w:w="0" w:type="dxa"/>
            <w:bottom w:w="0" w:type="dxa"/>
            <w:right w:w="0" w:type="dxa"/>
          </w:tblCellMar>
        </w:tblPrEx>
        <w:trPr>
          <w:trHeight w:val="450" w:hRule="atLeast"/>
        </w:trPr>
        <w:tc>
          <w:tcPr>
            <w:tcW w:w="55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95B18C">
            <w:pPr>
              <w:jc w:val="center"/>
              <w:rPr>
                <w:rFonts w:ascii="宋体" w:hAnsi="宋体" w:eastAsia="宋体" w:cs="宋体"/>
                <w:sz w:val="24"/>
                <w:szCs w:val="24"/>
              </w:rPr>
            </w:pPr>
            <w:r>
              <w:rPr>
                <w:rFonts w:hint="eastAsia"/>
              </w:rPr>
              <w:t>功能分类科目编码</w:t>
            </w:r>
          </w:p>
        </w:tc>
        <w:tc>
          <w:tcPr>
            <w:tcW w:w="18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D2B169">
            <w:pPr>
              <w:jc w:val="center"/>
              <w:rPr>
                <w:rFonts w:ascii="宋体" w:hAnsi="宋体" w:eastAsia="宋体" w:cs="宋体"/>
                <w:sz w:val="24"/>
                <w:szCs w:val="24"/>
              </w:rPr>
            </w:pPr>
            <w:r>
              <w:rPr>
                <w:rFonts w:hint="eastAsia"/>
              </w:rPr>
              <w:t>科目名称</w:t>
            </w: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2D8EEE80">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A75F4A3">
            <w:pPr>
              <w:rPr>
                <w:rFonts w:ascii="宋体" w:hAnsi="宋体" w:eastAsia="宋体" w:cs="宋体"/>
                <w:sz w:val="24"/>
                <w:szCs w:val="24"/>
              </w:rPr>
            </w:pPr>
          </w:p>
        </w:tc>
        <w:tc>
          <w:tcPr>
            <w:tcW w:w="1882" w:type="dxa"/>
            <w:vMerge w:val="continue"/>
            <w:tcBorders>
              <w:top w:val="single" w:color="auto" w:sz="4" w:space="0"/>
              <w:left w:val="single" w:color="auto" w:sz="4" w:space="0"/>
              <w:bottom w:val="single" w:color="auto" w:sz="4" w:space="0"/>
              <w:right w:val="single" w:color="auto" w:sz="4" w:space="0"/>
            </w:tcBorders>
            <w:vAlign w:val="center"/>
          </w:tcPr>
          <w:p w14:paraId="452E8D80">
            <w:pPr>
              <w:rPr>
                <w:rFonts w:ascii="宋体" w:hAnsi="宋体" w:eastAsia="宋体" w:cs="宋体"/>
                <w:sz w:val="24"/>
                <w:szCs w:val="24"/>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4D867AAC">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C11E630">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57B1B04B">
            <w:pPr>
              <w:rPr>
                <w:rFonts w:ascii="宋体" w:hAnsi="宋体" w:eastAsia="宋体" w:cs="宋体"/>
                <w:sz w:val="24"/>
                <w:szCs w:val="24"/>
              </w:rPr>
            </w:pPr>
          </w:p>
        </w:tc>
        <w:tc>
          <w:tcPr>
            <w:tcW w:w="2564" w:type="dxa"/>
            <w:vMerge w:val="continue"/>
            <w:tcBorders>
              <w:top w:val="single" w:color="auto" w:sz="4" w:space="0"/>
              <w:left w:val="single" w:color="auto" w:sz="4" w:space="0"/>
              <w:bottom w:val="single" w:color="auto" w:sz="4" w:space="0"/>
              <w:right w:val="single" w:color="auto" w:sz="4" w:space="0"/>
            </w:tcBorders>
            <w:vAlign w:val="center"/>
          </w:tcPr>
          <w:p w14:paraId="218C875B">
            <w:pPr>
              <w:rPr>
                <w:rFonts w:ascii="宋体" w:hAnsi="宋体" w:eastAsia="宋体" w:cs="宋体"/>
                <w:sz w:val="24"/>
                <w:szCs w:val="24"/>
              </w:rPr>
            </w:pPr>
          </w:p>
        </w:tc>
      </w:tr>
      <w:tr w14:paraId="15C0D75F">
        <w:tblPrEx>
          <w:tblCellMar>
            <w:top w:w="0" w:type="dxa"/>
            <w:left w:w="0" w:type="dxa"/>
            <w:bottom w:w="0" w:type="dxa"/>
            <w:right w:w="0" w:type="dxa"/>
          </w:tblCellMar>
        </w:tblPrEx>
        <w:trPr>
          <w:trHeight w:val="450" w:hRule="atLeast"/>
        </w:trPr>
        <w:tc>
          <w:tcPr>
            <w:tcW w:w="552" w:type="dxa"/>
            <w:gridSpan w:val="2"/>
            <w:vMerge w:val="continue"/>
            <w:tcBorders>
              <w:top w:val="single" w:color="auto" w:sz="4" w:space="0"/>
              <w:left w:val="single" w:color="auto" w:sz="4" w:space="0"/>
              <w:bottom w:val="single" w:color="auto" w:sz="4" w:space="0"/>
              <w:right w:val="single" w:color="auto" w:sz="4" w:space="0"/>
            </w:tcBorders>
            <w:vAlign w:val="center"/>
          </w:tcPr>
          <w:p w14:paraId="1F7A5C8E">
            <w:pPr>
              <w:rPr>
                <w:rFonts w:ascii="宋体" w:hAnsi="宋体" w:eastAsia="宋体" w:cs="宋体"/>
                <w:sz w:val="24"/>
                <w:szCs w:val="24"/>
              </w:rPr>
            </w:pPr>
          </w:p>
        </w:tc>
        <w:tc>
          <w:tcPr>
            <w:tcW w:w="1800" w:type="dxa"/>
            <w:vMerge w:val="continue"/>
            <w:tcBorders>
              <w:top w:val="nil"/>
              <w:left w:val="single" w:color="auto" w:sz="4" w:space="0"/>
              <w:bottom w:val="single" w:color="auto" w:sz="4" w:space="0"/>
              <w:right w:val="single" w:color="auto" w:sz="4" w:space="0"/>
            </w:tcBorders>
            <w:vAlign w:val="center"/>
          </w:tcPr>
          <w:p w14:paraId="14F85172">
            <w:pPr>
              <w:rPr>
                <w:rFonts w:ascii="宋体" w:hAnsi="宋体" w:eastAsia="宋体" w:cs="宋体"/>
                <w:sz w:val="24"/>
                <w:szCs w:val="24"/>
              </w:rPr>
            </w:pP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060B6EAF">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B6DD2E4">
            <w:pPr>
              <w:rPr>
                <w:rFonts w:ascii="宋体" w:hAnsi="宋体" w:eastAsia="宋体" w:cs="宋体"/>
                <w:sz w:val="24"/>
                <w:szCs w:val="24"/>
              </w:rPr>
            </w:pPr>
          </w:p>
        </w:tc>
        <w:tc>
          <w:tcPr>
            <w:tcW w:w="1882" w:type="dxa"/>
            <w:vMerge w:val="continue"/>
            <w:tcBorders>
              <w:top w:val="single" w:color="auto" w:sz="4" w:space="0"/>
              <w:left w:val="single" w:color="auto" w:sz="4" w:space="0"/>
              <w:bottom w:val="single" w:color="auto" w:sz="4" w:space="0"/>
              <w:right w:val="single" w:color="auto" w:sz="4" w:space="0"/>
            </w:tcBorders>
            <w:vAlign w:val="center"/>
          </w:tcPr>
          <w:p w14:paraId="30D10DF8">
            <w:pPr>
              <w:rPr>
                <w:rFonts w:ascii="宋体" w:hAnsi="宋体" w:eastAsia="宋体" w:cs="宋体"/>
                <w:sz w:val="24"/>
                <w:szCs w:val="24"/>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378BF166">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48B55E73">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D74EAAA">
            <w:pPr>
              <w:rPr>
                <w:rFonts w:ascii="宋体" w:hAnsi="宋体" w:eastAsia="宋体" w:cs="宋体"/>
                <w:sz w:val="24"/>
                <w:szCs w:val="24"/>
              </w:rPr>
            </w:pPr>
          </w:p>
        </w:tc>
        <w:tc>
          <w:tcPr>
            <w:tcW w:w="2564" w:type="dxa"/>
            <w:vMerge w:val="continue"/>
            <w:tcBorders>
              <w:top w:val="single" w:color="auto" w:sz="4" w:space="0"/>
              <w:left w:val="single" w:color="auto" w:sz="4" w:space="0"/>
              <w:bottom w:val="single" w:color="auto" w:sz="4" w:space="0"/>
              <w:right w:val="single" w:color="auto" w:sz="4" w:space="0"/>
            </w:tcBorders>
            <w:vAlign w:val="center"/>
          </w:tcPr>
          <w:p w14:paraId="7024CA4C">
            <w:pPr>
              <w:rPr>
                <w:rFonts w:ascii="宋体" w:hAnsi="宋体" w:eastAsia="宋体" w:cs="宋体"/>
                <w:sz w:val="24"/>
                <w:szCs w:val="24"/>
              </w:rPr>
            </w:pPr>
          </w:p>
        </w:tc>
      </w:tr>
      <w:tr w14:paraId="3DA68B15">
        <w:tblPrEx>
          <w:tblCellMar>
            <w:top w:w="0" w:type="dxa"/>
            <w:left w:w="0" w:type="dxa"/>
            <w:bottom w:w="0" w:type="dxa"/>
            <w:right w:w="0" w:type="dxa"/>
          </w:tblCellMar>
        </w:tblPrEx>
        <w:trPr>
          <w:trHeight w:val="450" w:hRule="atLeast"/>
        </w:trPr>
        <w:tc>
          <w:tcPr>
            <w:tcW w:w="235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356B2A">
            <w:pPr>
              <w:jc w:val="center"/>
              <w:rPr>
                <w:rFonts w:ascii="宋体" w:hAnsi="宋体" w:eastAsia="宋体" w:cs="宋体"/>
                <w:sz w:val="24"/>
                <w:szCs w:val="24"/>
              </w:rPr>
            </w:pPr>
            <w:r>
              <w:rPr>
                <w:rFonts w:hint="eastAsia"/>
              </w:rPr>
              <w:t>栏次</w:t>
            </w:r>
          </w:p>
        </w:tc>
        <w:tc>
          <w:tcPr>
            <w:tcW w:w="148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3B4B8">
            <w:pPr>
              <w:jc w:val="center"/>
              <w:rPr>
                <w:rFonts w:ascii="宋体" w:hAnsi="宋体" w:eastAsia="宋体" w:cs="宋体"/>
                <w:sz w:val="24"/>
                <w:szCs w:val="24"/>
              </w:rPr>
            </w:pPr>
            <w:r>
              <w:rPr>
                <w:rFonts w:hint="eastAsia"/>
              </w:rPr>
              <w:t>1</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004203">
            <w:pPr>
              <w:jc w:val="center"/>
              <w:rPr>
                <w:rFonts w:ascii="宋体" w:hAnsi="宋体" w:eastAsia="宋体" w:cs="宋体"/>
                <w:sz w:val="24"/>
                <w:szCs w:val="24"/>
              </w:rPr>
            </w:pPr>
            <w:r>
              <w:rPr>
                <w:rFonts w:hint="eastAsia"/>
              </w:rPr>
              <w:t>2</w:t>
            </w:r>
          </w:p>
        </w:tc>
        <w:tc>
          <w:tcPr>
            <w:tcW w:w="188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7B63A5">
            <w:pPr>
              <w:jc w:val="center"/>
              <w:rPr>
                <w:rFonts w:ascii="宋体" w:hAnsi="宋体" w:eastAsia="宋体" w:cs="宋体"/>
                <w:sz w:val="24"/>
                <w:szCs w:val="24"/>
              </w:rPr>
            </w:pPr>
            <w:r>
              <w:rPr>
                <w:rFonts w:hint="eastAsia"/>
              </w:rPr>
              <w:t>3</w:t>
            </w:r>
          </w:p>
        </w:tc>
        <w:tc>
          <w:tcPr>
            <w:tcW w:w="17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665A31">
            <w:pPr>
              <w:jc w:val="center"/>
              <w:rPr>
                <w:rFonts w:ascii="宋体" w:hAnsi="宋体" w:eastAsia="宋体" w:cs="宋体"/>
                <w:sz w:val="24"/>
                <w:szCs w:val="24"/>
              </w:rPr>
            </w:pPr>
            <w:r>
              <w:rPr>
                <w:rFonts w:hint="eastAsia"/>
              </w:rPr>
              <w:t>4</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F19D61">
            <w:pPr>
              <w:jc w:val="center"/>
              <w:rPr>
                <w:rFonts w:ascii="宋体" w:hAnsi="宋体" w:eastAsia="宋体" w:cs="宋体"/>
                <w:sz w:val="24"/>
                <w:szCs w:val="24"/>
              </w:rPr>
            </w:pPr>
            <w:r>
              <w:rPr>
                <w:rFonts w:hint="eastAsia"/>
              </w:rPr>
              <w:t>5</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90FCC5">
            <w:pPr>
              <w:jc w:val="center"/>
              <w:rPr>
                <w:rFonts w:ascii="宋体" w:hAnsi="宋体" w:eastAsia="宋体" w:cs="宋体"/>
                <w:sz w:val="24"/>
                <w:szCs w:val="24"/>
              </w:rPr>
            </w:pPr>
            <w:r>
              <w:rPr>
                <w:rFonts w:hint="eastAsia"/>
              </w:rPr>
              <w:t>6</w:t>
            </w:r>
          </w:p>
        </w:tc>
        <w:tc>
          <w:tcPr>
            <w:tcW w:w="2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4482D">
            <w:pPr>
              <w:jc w:val="center"/>
              <w:rPr>
                <w:rFonts w:ascii="宋体" w:hAnsi="宋体" w:eastAsia="宋体" w:cs="宋体"/>
                <w:sz w:val="24"/>
                <w:szCs w:val="24"/>
              </w:rPr>
            </w:pPr>
            <w:r>
              <w:rPr>
                <w:rFonts w:hint="eastAsia"/>
              </w:rPr>
              <w:t>7</w:t>
            </w:r>
          </w:p>
        </w:tc>
      </w:tr>
      <w:tr w14:paraId="4622D82D">
        <w:tblPrEx>
          <w:tblCellMar>
            <w:top w:w="0" w:type="dxa"/>
            <w:left w:w="0" w:type="dxa"/>
            <w:bottom w:w="0" w:type="dxa"/>
            <w:right w:w="0" w:type="dxa"/>
          </w:tblCellMar>
        </w:tblPrEx>
        <w:trPr>
          <w:trHeight w:val="450" w:hRule="atLeast"/>
        </w:trPr>
        <w:tc>
          <w:tcPr>
            <w:tcW w:w="235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EB7302">
            <w:pPr>
              <w:jc w:val="center"/>
              <w:rPr>
                <w:rFonts w:ascii="宋体" w:hAnsi="宋体" w:eastAsia="宋体" w:cs="宋体"/>
                <w:sz w:val="24"/>
                <w:szCs w:val="24"/>
              </w:rPr>
            </w:pPr>
            <w:r>
              <w:rPr>
                <w:rFonts w:hint="eastAsia"/>
              </w:rPr>
              <w:t>合计</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89FF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6,978.99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3A72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5,511.40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FED31">
            <w:pPr>
              <w:jc w:val="right"/>
              <w:rPr>
                <w:rFonts w:ascii="宋体" w:hAnsi="宋体" w:eastAsia="宋体" w:cs="宋体"/>
                <w:sz w:val="24"/>
                <w:szCs w:val="24"/>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9F404">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ECC02">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78FFC">
            <w:pPr>
              <w:jc w:val="right"/>
              <w:rPr>
                <w:rFonts w:ascii="宋体" w:hAnsi="宋体" w:eastAsia="宋体" w:cs="宋体"/>
                <w:sz w:val="24"/>
                <w:szCs w:val="24"/>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5D82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1,467.59</w:t>
            </w:r>
          </w:p>
        </w:tc>
      </w:tr>
      <w:tr w14:paraId="21C177DE">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6A9C5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D7DA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A45A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6C73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C44CD">
            <w:pPr>
              <w:jc w:val="right"/>
              <w:rPr>
                <w:rFonts w:ascii="宋体" w:hAnsi="宋体" w:eastAsia="宋体" w:cs="宋体"/>
                <w:sz w:val="24"/>
                <w:szCs w:val="24"/>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4B6BA">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BCC31">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42FD6">
            <w:pPr>
              <w:jc w:val="right"/>
              <w:rPr>
                <w:rFonts w:ascii="宋体" w:hAnsi="宋体" w:eastAsia="宋体" w:cs="宋体"/>
                <w:sz w:val="24"/>
                <w:szCs w:val="24"/>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543DF">
            <w:pPr>
              <w:jc w:val="right"/>
              <w:rPr>
                <w:rFonts w:ascii="宋体" w:hAnsi="宋体" w:eastAsia="宋体" w:cs="宋体"/>
                <w:sz w:val="24"/>
                <w:szCs w:val="24"/>
              </w:rPr>
            </w:pPr>
          </w:p>
        </w:tc>
      </w:tr>
      <w:tr w14:paraId="5DB03A30">
        <w:tblPrEx>
          <w:tblCellMar>
            <w:top w:w="0" w:type="dxa"/>
            <w:left w:w="0" w:type="dxa"/>
            <w:bottom w:w="0" w:type="dxa"/>
            <w:right w:w="0" w:type="dxa"/>
          </w:tblCellMar>
        </w:tblPrEx>
        <w:trPr>
          <w:trHeight w:val="501"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376F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C103F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8DBA6">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A4E8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92535">
            <w:pPr>
              <w:jc w:val="right"/>
              <w:rPr>
                <w:rFonts w:ascii="宋体" w:hAnsi="宋体" w:eastAsia="宋体" w:cs="宋体"/>
                <w:sz w:val="24"/>
                <w:szCs w:val="24"/>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A8606">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793FF">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18FDD">
            <w:pPr>
              <w:jc w:val="right"/>
              <w:rPr>
                <w:rFonts w:ascii="宋体" w:hAnsi="宋体" w:eastAsia="宋体" w:cs="宋体"/>
                <w:sz w:val="24"/>
                <w:szCs w:val="24"/>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252C9">
            <w:pPr>
              <w:jc w:val="right"/>
              <w:rPr>
                <w:rFonts w:ascii="宋体" w:hAnsi="宋体" w:eastAsia="宋体" w:cs="宋体"/>
                <w:sz w:val="24"/>
                <w:szCs w:val="24"/>
              </w:rPr>
            </w:pPr>
          </w:p>
        </w:tc>
      </w:tr>
      <w:tr w14:paraId="08F4C0C3">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487DC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B1715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7CB6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947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BD46C">
            <w:pPr>
              <w:jc w:val="right"/>
              <w:rPr>
                <w:rFonts w:ascii="宋体" w:hAnsi="宋体" w:eastAsia="宋体" w:cs="宋体"/>
                <w:sz w:val="24"/>
                <w:szCs w:val="24"/>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9F3EC">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E0162">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4A232">
            <w:pPr>
              <w:jc w:val="right"/>
              <w:rPr>
                <w:rFonts w:ascii="宋体" w:hAnsi="宋体" w:eastAsia="宋体" w:cs="宋体"/>
                <w:sz w:val="24"/>
                <w:szCs w:val="24"/>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63165">
            <w:pPr>
              <w:jc w:val="right"/>
              <w:rPr>
                <w:rFonts w:ascii="宋体" w:hAnsi="宋体" w:eastAsia="宋体" w:cs="宋体"/>
                <w:sz w:val="24"/>
                <w:szCs w:val="24"/>
              </w:rPr>
            </w:pPr>
          </w:p>
        </w:tc>
      </w:tr>
      <w:tr w14:paraId="76252ACE">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EA7B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FE600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93F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6,421.37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4419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5,076.05</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46BDC">
            <w:pPr>
              <w:jc w:val="right"/>
              <w:rPr>
                <w:rFonts w:ascii="宋体" w:hAnsi="宋体" w:eastAsia="宋体" w:cs="宋体"/>
                <w:sz w:val="24"/>
                <w:szCs w:val="24"/>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6C57B">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CB71B">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7AB2B">
            <w:pPr>
              <w:jc w:val="right"/>
              <w:rPr>
                <w:rFonts w:ascii="宋体" w:hAnsi="宋体" w:eastAsia="宋体" w:cs="宋体"/>
                <w:sz w:val="24"/>
                <w:szCs w:val="24"/>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43DC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1,345.32</w:t>
            </w:r>
          </w:p>
        </w:tc>
      </w:tr>
      <w:tr w14:paraId="6CA872B3">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D6B66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20501</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068F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教育管理事务</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A72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3,319.23</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EF4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1,973.91</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49842">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37C0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A1DD7">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4A1B7">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F2E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1,345.32</w:t>
            </w:r>
          </w:p>
        </w:tc>
      </w:tr>
      <w:tr w14:paraId="34546E4E">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EFD95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2050101</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7836C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D81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2,873.99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2CA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1,823.49</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D3398">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EFFA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4B1D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FAB68">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6CA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1,050.50</w:t>
            </w:r>
          </w:p>
        </w:tc>
      </w:tr>
      <w:tr w14:paraId="282D8197">
        <w:tblPrEx>
          <w:tblCellMar>
            <w:top w:w="0" w:type="dxa"/>
            <w:left w:w="0" w:type="dxa"/>
            <w:bottom w:w="0" w:type="dxa"/>
            <w:right w:w="0" w:type="dxa"/>
          </w:tblCellMar>
        </w:tblPrEx>
        <w:trPr>
          <w:trHeight w:val="499"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277C5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2050199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B816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其他教育管理事务支出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10B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445.24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382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150.42</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3DBCF">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A4A00">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05DF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73CCE">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28F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294.82</w:t>
            </w:r>
          </w:p>
        </w:tc>
      </w:tr>
      <w:tr w14:paraId="75A81907">
        <w:tblPrEx>
          <w:tblCellMar>
            <w:top w:w="0" w:type="dxa"/>
            <w:left w:w="0" w:type="dxa"/>
            <w:bottom w:w="0" w:type="dxa"/>
            <w:right w:w="0" w:type="dxa"/>
          </w:tblCellMar>
        </w:tblPrEx>
        <w:trPr>
          <w:trHeight w:val="514"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EB4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567EA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普通教育</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A56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2,595.83</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568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2,595.83</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A242C">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803B1">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4BBF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04F2C">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68E25">
            <w:pPr>
              <w:jc w:val="right"/>
              <w:rPr>
                <w:rFonts w:hint="eastAsia"/>
              </w:rPr>
            </w:pPr>
          </w:p>
        </w:tc>
      </w:tr>
      <w:tr w14:paraId="30F416B7">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8C65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2050202</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0E3C2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4B4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7.62</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B71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7.62</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6B3CC">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13DA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4A327">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9D9C5">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2BB59">
            <w:pPr>
              <w:jc w:val="right"/>
              <w:rPr>
                <w:rFonts w:hint="eastAsia"/>
              </w:rPr>
            </w:pPr>
          </w:p>
        </w:tc>
      </w:tr>
      <w:tr w14:paraId="02A53C0F">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CD2A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2050203</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73B7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EF5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A73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49AAF">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61EF20">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026A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663CE">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F5168">
            <w:pPr>
              <w:jc w:val="right"/>
              <w:rPr>
                <w:rFonts w:hint="eastAsia"/>
              </w:rPr>
            </w:pPr>
          </w:p>
        </w:tc>
      </w:tr>
      <w:tr w14:paraId="431D962A">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8333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2050204</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BF15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ADB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2,481.30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869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2,481.30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D2452">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011A1">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7C29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D3627">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CB291">
            <w:pPr>
              <w:jc w:val="right"/>
              <w:rPr>
                <w:rFonts w:hint="eastAsia"/>
              </w:rPr>
            </w:pPr>
          </w:p>
        </w:tc>
      </w:tr>
      <w:tr w14:paraId="69277422">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8DE9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1768D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2ED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98.91</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BA7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98.91</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7626E">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30D9E">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1EBE0">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61999">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B76D6">
            <w:pPr>
              <w:jc w:val="right"/>
              <w:rPr>
                <w:rFonts w:hint="eastAsia"/>
              </w:rPr>
            </w:pPr>
          </w:p>
        </w:tc>
      </w:tr>
      <w:tr w14:paraId="5FCFAF8A">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A3B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20503</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78CB5">
            <w:pPr>
              <w:keepNext w:val="0"/>
              <w:keepLines w:val="0"/>
              <w:widowControl/>
              <w:suppressLineNumbers w:val="0"/>
              <w:jc w:val="left"/>
              <w:textAlignment w:val="center"/>
              <w:rPr>
                <w:rFonts w:hint="eastAsia"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职业教育</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D57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370.90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0A4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370.90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AF612">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B0952">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7188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7E118">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8C4DE">
            <w:pPr>
              <w:jc w:val="right"/>
              <w:rPr>
                <w:rFonts w:hint="eastAsia"/>
              </w:rPr>
            </w:pPr>
          </w:p>
        </w:tc>
      </w:tr>
      <w:tr w14:paraId="484A40D0">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0ACFF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2050302</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8C27FC">
            <w:pPr>
              <w:keepNext w:val="0"/>
              <w:keepLines w:val="0"/>
              <w:widowControl/>
              <w:suppressLineNumbers w:val="0"/>
              <w:jc w:val="left"/>
              <w:textAlignment w:val="center"/>
              <w:rPr>
                <w:rFonts w:hint="eastAsia"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  中等职业教育</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D4C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370.90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028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370.90</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15612">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E41A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70005">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FD3D5">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B4267">
            <w:pPr>
              <w:jc w:val="right"/>
              <w:rPr>
                <w:rFonts w:hint="eastAsia"/>
              </w:rPr>
            </w:pPr>
          </w:p>
        </w:tc>
      </w:tr>
      <w:tr w14:paraId="0F416D4A">
        <w:tblPrEx>
          <w:tblCellMar>
            <w:top w:w="0" w:type="dxa"/>
            <w:left w:w="0" w:type="dxa"/>
            <w:bottom w:w="0" w:type="dxa"/>
            <w:right w:w="0" w:type="dxa"/>
          </w:tblCellMar>
        </w:tblPrEx>
        <w:trPr>
          <w:trHeight w:val="518"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F8863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BF19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其他教育支出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7DA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135.41</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B6E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135.41</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2F906">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0408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726AB">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E4FC6">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5D19F">
            <w:pPr>
              <w:jc w:val="right"/>
              <w:rPr>
                <w:rFonts w:hint="eastAsia"/>
              </w:rPr>
            </w:pPr>
          </w:p>
        </w:tc>
      </w:tr>
      <w:tr w14:paraId="572F757D">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6CEF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53E77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BF5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135.41</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58E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135.41</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3CE48">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35C02">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4CDF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7FE55">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7BB61">
            <w:pPr>
              <w:jc w:val="right"/>
              <w:rPr>
                <w:rFonts w:hint="eastAsia"/>
              </w:rPr>
            </w:pPr>
          </w:p>
        </w:tc>
      </w:tr>
      <w:tr w14:paraId="72492149">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10AC5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D40F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25A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340.27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AA33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340.27</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35AEC">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052A7">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697AA">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64C4D">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23CF4">
            <w:pPr>
              <w:jc w:val="right"/>
              <w:rPr>
                <w:rFonts w:hint="eastAsia"/>
              </w:rPr>
            </w:pPr>
          </w:p>
        </w:tc>
      </w:tr>
      <w:tr w14:paraId="00C09D5E">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6AC13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55D7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16E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340.27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09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340.27</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17A75">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790C5">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0410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AF8639">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F152D">
            <w:pPr>
              <w:jc w:val="right"/>
              <w:rPr>
                <w:rFonts w:hint="eastAsia"/>
              </w:rPr>
            </w:pPr>
          </w:p>
        </w:tc>
      </w:tr>
      <w:tr w14:paraId="0226EB26">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ABD00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73139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C36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194.68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C82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194.68</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B2C63">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C712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8C34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9FA6A">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827BB">
            <w:pPr>
              <w:jc w:val="right"/>
              <w:rPr>
                <w:rFonts w:hint="eastAsia"/>
              </w:rPr>
            </w:pPr>
          </w:p>
        </w:tc>
      </w:tr>
      <w:tr w14:paraId="59C9B8E1">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963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AC8D8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4C9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145.59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9BC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145.59</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5C280">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32B8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7302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3CAC1">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D890E">
            <w:pPr>
              <w:jc w:val="right"/>
              <w:rPr>
                <w:rFonts w:hint="eastAsia"/>
              </w:rPr>
            </w:pPr>
          </w:p>
        </w:tc>
      </w:tr>
      <w:tr w14:paraId="548613F8">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84F1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01E90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C6F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A2F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94.77</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8E05E">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2718A2">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E205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008E2">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712E8">
            <w:pPr>
              <w:jc w:val="right"/>
              <w:rPr>
                <w:rFonts w:hint="eastAsia"/>
              </w:rPr>
            </w:pPr>
          </w:p>
        </w:tc>
      </w:tr>
      <w:tr w14:paraId="4DE9E470">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D8DF2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43CA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107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BEA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94.77</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6B19C">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A722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C8A4E">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EE145">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ADE5C">
            <w:pPr>
              <w:jc w:val="right"/>
              <w:rPr>
                <w:rFonts w:hint="eastAsia"/>
              </w:rPr>
            </w:pPr>
          </w:p>
        </w:tc>
      </w:tr>
      <w:tr w14:paraId="367F1440">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99FC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C036F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4B1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EC6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94.77</w:t>
            </w: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F2B8C">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C112">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7A2D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96653">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DC03C">
            <w:pPr>
              <w:jc w:val="right"/>
              <w:rPr>
                <w:rFonts w:hint="eastAsia"/>
              </w:rPr>
            </w:pPr>
          </w:p>
        </w:tc>
      </w:tr>
      <w:tr w14:paraId="3B8807EA">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B72E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E4DD3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77C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122.27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082D0">
            <w:pPr>
              <w:jc w:val="right"/>
              <w:rPr>
                <w:rFonts w:hint="eastAsia"/>
              </w:rPr>
            </w:pP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0E9C0">
            <w:pPr>
              <w:jc w:val="right"/>
              <w:rPr>
                <w:rFonts w:hint="eastAsia"/>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18F37">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C1F15">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6CDD9">
            <w:pPr>
              <w:jc w:val="right"/>
              <w:rPr>
                <w:rFonts w:hint="eastAsia"/>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7D6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122.27</w:t>
            </w:r>
          </w:p>
        </w:tc>
      </w:tr>
      <w:tr w14:paraId="149CF33D">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79B95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BBF9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A59E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7DF81">
            <w:pPr>
              <w:jc w:val="right"/>
              <w:rPr>
                <w:rFonts w:ascii="宋体" w:hAnsi="宋体" w:eastAsia="宋体" w:cs="宋体"/>
                <w:sz w:val="24"/>
                <w:szCs w:val="24"/>
              </w:rPr>
            </w:pP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06E56">
            <w:pPr>
              <w:jc w:val="right"/>
              <w:rPr>
                <w:rFonts w:ascii="宋体" w:hAnsi="宋体" w:eastAsia="宋体" w:cs="宋体"/>
                <w:sz w:val="24"/>
                <w:szCs w:val="24"/>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0EE0E">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E7371">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D5728">
            <w:pPr>
              <w:jc w:val="right"/>
              <w:rPr>
                <w:rFonts w:ascii="宋体" w:hAnsi="宋体" w:eastAsia="宋体" w:cs="宋体"/>
                <w:sz w:val="24"/>
                <w:szCs w:val="24"/>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9A9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122.27</w:t>
            </w:r>
          </w:p>
        </w:tc>
      </w:tr>
      <w:tr w14:paraId="382E11D4">
        <w:tblPrEx>
          <w:tblCellMar>
            <w:top w:w="0" w:type="dxa"/>
            <w:left w:w="0" w:type="dxa"/>
            <w:bottom w:w="0" w:type="dxa"/>
            <w:right w:w="0" w:type="dxa"/>
          </w:tblCellMar>
        </w:tblPrEx>
        <w:trPr>
          <w:trHeight w:val="450" w:hRule="atLeast"/>
        </w:trPr>
        <w:tc>
          <w:tcPr>
            <w:tcW w:w="5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D80E6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D9A13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47C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E1F07">
            <w:pPr>
              <w:jc w:val="right"/>
              <w:rPr>
                <w:rFonts w:ascii="宋体" w:hAnsi="宋体" w:eastAsia="宋体" w:cs="宋体"/>
                <w:sz w:val="24"/>
                <w:szCs w:val="24"/>
              </w:rPr>
            </w:pPr>
          </w:p>
        </w:tc>
        <w:tc>
          <w:tcPr>
            <w:tcW w:w="18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55AE1">
            <w:pPr>
              <w:jc w:val="right"/>
              <w:rPr>
                <w:rFonts w:ascii="宋体" w:hAnsi="宋体" w:eastAsia="宋体" w:cs="宋体"/>
                <w:sz w:val="24"/>
                <w:szCs w:val="24"/>
              </w:rPr>
            </w:pP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4E457">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DE45B">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E1804">
            <w:pPr>
              <w:jc w:val="right"/>
              <w:rPr>
                <w:rFonts w:ascii="宋体" w:hAnsi="宋体" w:eastAsia="宋体" w:cs="宋体"/>
                <w:sz w:val="24"/>
                <w:szCs w:val="24"/>
              </w:rPr>
            </w:pP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A4EE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122.27</w:t>
            </w:r>
          </w:p>
        </w:tc>
      </w:tr>
      <w:tr w14:paraId="080E0DED">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DC36474">
            <w:pPr>
              <w:rPr>
                <w:rFonts w:ascii="宋体" w:hAnsi="宋体" w:eastAsia="宋体" w:cs="宋体"/>
                <w:sz w:val="24"/>
                <w:szCs w:val="24"/>
              </w:rPr>
            </w:pPr>
            <w:r>
              <w:rPr>
                <w:rFonts w:hint="eastAsia"/>
              </w:rPr>
              <w:t>注：本表反映部门本年度取得的各项收入情况。</w:t>
            </w:r>
          </w:p>
        </w:tc>
      </w:tr>
    </w:tbl>
    <w:p w14:paraId="7065F9D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375679F">
      <w:pPr>
        <w:widowControl/>
        <w:rPr>
          <w:rFonts w:ascii="Times New Roman" w:hAnsi="Times New Roman" w:eastAsia="方正小标宋_GBK" w:cs="Times New Roman"/>
          <w:color w:val="000000"/>
          <w:kern w:val="0"/>
          <w:sz w:val="36"/>
          <w:szCs w:val="36"/>
        </w:rPr>
      </w:pPr>
    </w:p>
    <w:tbl>
      <w:tblPr>
        <w:tblStyle w:val="10"/>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48FE9E0">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9388D1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57C13D8">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91F26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A56E2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447BB1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3D3D0C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0E8FB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ED391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7C745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023D3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07EA40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CE16C9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08D279B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3A11C5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69F0FF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1DC88C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7E444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618A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784C96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64747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627A244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2F3398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05B2C9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4557C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D3258E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0085E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A1F725">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479B36">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FFEBEB">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8DB67B2">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3645DEF">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7092A78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53E328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E12016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429985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6C4CF4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EFD232F">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2741917D">
            <w:pPr>
              <w:widowControl/>
              <w:jc w:val="left"/>
              <w:rPr>
                <w:rFonts w:ascii="宋体" w:hAnsi="宋体" w:eastAsia="宋体" w:cs="宋体"/>
                <w:kern w:val="0"/>
                <w:sz w:val="24"/>
                <w:szCs w:val="24"/>
              </w:rPr>
            </w:pPr>
          </w:p>
        </w:tc>
      </w:tr>
      <w:tr w14:paraId="24AC10D4">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3CDCDF8">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7D43FD57">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90A518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EBF6C1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8B7424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5CCF0D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B8366B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26A54B11">
            <w:pPr>
              <w:widowControl/>
              <w:jc w:val="left"/>
              <w:rPr>
                <w:rFonts w:ascii="宋体" w:hAnsi="宋体" w:eastAsia="宋体" w:cs="宋体"/>
                <w:kern w:val="0"/>
                <w:sz w:val="24"/>
                <w:szCs w:val="24"/>
              </w:rPr>
            </w:pPr>
          </w:p>
        </w:tc>
      </w:tr>
      <w:tr w14:paraId="7DEAAD10">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395A229">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0549F3A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2BE109E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1106BB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CC20F5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076B0A7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6FD0EA67">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C96915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2CDA7B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7782AE5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6,978.99</w:t>
            </w:r>
          </w:p>
        </w:tc>
        <w:tc>
          <w:tcPr>
            <w:tcW w:w="1991" w:type="dxa"/>
            <w:tcBorders>
              <w:top w:val="nil"/>
              <w:left w:val="nil"/>
              <w:bottom w:val="single" w:color="auto" w:sz="4" w:space="0"/>
              <w:right w:val="single" w:color="auto" w:sz="4" w:space="0"/>
            </w:tcBorders>
            <w:shd w:val="clear" w:color="auto" w:fill="auto"/>
            <w:noWrap/>
            <w:vAlign w:val="center"/>
          </w:tcPr>
          <w:p w14:paraId="5F3E29A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3,507.87</w:t>
            </w:r>
          </w:p>
        </w:tc>
        <w:tc>
          <w:tcPr>
            <w:tcW w:w="1991" w:type="dxa"/>
            <w:tcBorders>
              <w:top w:val="nil"/>
              <w:left w:val="nil"/>
              <w:bottom w:val="single" w:color="auto" w:sz="4" w:space="0"/>
              <w:right w:val="single" w:color="auto" w:sz="4" w:space="0"/>
            </w:tcBorders>
            <w:shd w:val="clear" w:color="auto" w:fill="auto"/>
            <w:noWrap/>
            <w:vAlign w:val="center"/>
          </w:tcPr>
          <w:p w14:paraId="78879FA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3,471.12</w:t>
            </w:r>
          </w:p>
        </w:tc>
        <w:tc>
          <w:tcPr>
            <w:tcW w:w="1991" w:type="dxa"/>
            <w:tcBorders>
              <w:top w:val="nil"/>
              <w:left w:val="nil"/>
              <w:bottom w:val="single" w:color="auto" w:sz="4" w:space="0"/>
              <w:right w:val="single" w:color="auto" w:sz="4" w:space="0"/>
            </w:tcBorders>
            <w:shd w:val="clear" w:color="auto" w:fill="auto"/>
            <w:noWrap/>
            <w:vAlign w:val="center"/>
          </w:tcPr>
          <w:p w14:paraId="41C223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D1A05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17556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796214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BB171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14:paraId="24C7B1A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5AAEDB4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991" w:type="dxa"/>
            <w:tcBorders>
              <w:top w:val="nil"/>
              <w:left w:val="nil"/>
              <w:bottom w:val="single" w:color="auto" w:sz="4" w:space="0"/>
              <w:right w:val="single" w:color="auto" w:sz="4" w:space="0"/>
            </w:tcBorders>
            <w:shd w:val="clear" w:color="auto" w:fill="auto"/>
            <w:noWrap/>
            <w:vAlign w:val="center"/>
          </w:tcPr>
          <w:p w14:paraId="2E92E1F5">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9A8C54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991" w:type="dxa"/>
            <w:tcBorders>
              <w:top w:val="nil"/>
              <w:left w:val="nil"/>
              <w:bottom w:val="single" w:color="auto" w:sz="4" w:space="0"/>
              <w:right w:val="single" w:color="auto" w:sz="4" w:space="0"/>
            </w:tcBorders>
            <w:shd w:val="clear" w:color="auto" w:fill="auto"/>
            <w:noWrap/>
            <w:vAlign w:val="center"/>
          </w:tcPr>
          <w:p w14:paraId="6F94A2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CDA40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44668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841066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57B4F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481" w:type="dxa"/>
            <w:tcBorders>
              <w:top w:val="nil"/>
              <w:left w:val="nil"/>
              <w:bottom w:val="single" w:color="auto" w:sz="4" w:space="0"/>
              <w:right w:val="single" w:color="auto" w:sz="4" w:space="0"/>
            </w:tcBorders>
            <w:shd w:val="clear" w:color="000000" w:fill="FFFFFF"/>
            <w:noWrap/>
            <w:vAlign w:val="center"/>
          </w:tcPr>
          <w:p w14:paraId="74C03B3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78F3C34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991" w:type="dxa"/>
            <w:tcBorders>
              <w:top w:val="nil"/>
              <w:left w:val="nil"/>
              <w:bottom w:val="single" w:color="auto" w:sz="4" w:space="0"/>
              <w:right w:val="single" w:color="auto" w:sz="4" w:space="0"/>
            </w:tcBorders>
            <w:shd w:val="clear" w:color="auto" w:fill="auto"/>
            <w:noWrap/>
            <w:vAlign w:val="center"/>
          </w:tcPr>
          <w:p w14:paraId="44373290">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659BDF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991" w:type="dxa"/>
            <w:tcBorders>
              <w:top w:val="nil"/>
              <w:left w:val="nil"/>
              <w:bottom w:val="single" w:color="auto" w:sz="4" w:space="0"/>
              <w:right w:val="single" w:color="auto" w:sz="4" w:space="0"/>
            </w:tcBorders>
            <w:shd w:val="clear" w:color="auto" w:fill="auto"/>
            <w:noWrap/>
            <w:vAlign w:val="center"/>
          </w:tcPr>
          <w:p w14:paraId="22E473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8DDCA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EDEE9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639988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DA651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481" w:type="dxa"/>
            <w:tcBorders>
              <w:top w:val="nil"/>
              <w:left w:val="nil"/>
              <w:bottom w:val="single" w:color="auto" w:sz="4" w:space="0"/>
              <w:right w:val="single" w:color="auto" w:sz="4" w:space="0"/>
            </w:tcBorders>
            <w:shd w:val="clear" w:color="000000" w:fill="FFFFFF"/>
            <w:noWrap/>
            <w:vAlign w:val="center"/>
          </w:tcPr>
          <w:p w14:paraId="44EC0E1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3ACE83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991" w:type="dxa"/>
            <w:tcBorders>
              <w:top w:val="nil"/>
              <w:left w:val="nil"/>
              <w:bottom w:val="single" w:color="auto" w:sz="4" w:space="0"/>
              <w:right w:val="single" w:color="auto" w:sz="4" w:space="0"/>
            </w:tcBorders>
            <w:shd w:val="clear" w:color="auto" w:fill="auto"/>
            <w:noWrap/>
            <w:vAlign w:val="center"/>
          </w:tcPr>
          <w:p w14:paraId="796D4B6A">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74E98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991" w:type="dxa"/>
            <w:tcBorders>
              <w:top w:val="nil"/>
              <w:left w:val="nil"/>
              <w:bottom w:val="single" w:color="auto" w:sz="4" w:space="0"/>
              <w:right w:val="single" w:color="auto" w:sz="4" w:space="0"/>
            </w:tcBorders>
            <w:shd w:val="clear" w:color="auto" w:fill="auto"/>
            <w:noWrap/>
            <w:vAlign w:val="center"/>
          </w:tcPr>
          <w:p w14:paraId="442A5C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0676F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1A1B1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36403F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68B1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481" w:type="dxa"/>
            <w:tcBorders>
              <w:top w:val="nil"/>
              <w:left w:val="nil"/>
              <w:bottom w:val="single" w:color="auto" w:sz="4" w:space="0"/>
              <w:right w:val="single" w:color="auto" w:sz="4" w:space="0"/>
            </w:tcBorders>
            <w:shd w:val="clear" w:color="000000" w:fill="FFFFFF"/>
            <w:noWrap/>
            <w:vAlign w:val="center"/>
          </w:tcPr>
          <w:p w14:paraId="745BFE5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952" w:type="dxa"/>
            <w:tcBorders>
              <w:top w:val="nil"/>
              <w:left w:val="nil"/>
              <w:bottom w:val="single" w:color="auto" w:sz="4" w:space="0"/>
              <w:right w:val="single" w:color="auto" w:sz="4" w:space="0"/>
            </w:tcBorders>
            <w:shd w:val="clear" w:color="auto" w:fill="auto"/>
            <w:noWrap/>
            <w:vAlign w:val="center"/>
          </w:tcPr>
          <w:p w14:paraId="4F4702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6,421.37</w:t>
            </w:r>
          </w:p>
        </w:tc>
        <w:tc>
          <w:tcPr>
            <w:tcW w:w="1991" w:type="dxa"/>
            <w:tcBorders>
              <w:top w:val="nil"/>
              <w:left w:val="nil"/>
              <w:bottom w:val="single" w:color="auto" w:sz="4" w:space="0"/>
              <w:right w:val="single" w:color="auto" w:sz="4" w:space="0"/>
            </w:tcBorders>
            <w:shd w:val="clear" w:color="auto" w:fill="auto"/>
            <w:noWrap/>
            <w:vAlign w:val="center"/>
          </w:tcPr>
          <w:p w14:paraId="42BACD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2,950.55</w:t>
            </w:r>
          </w:p>
        </w:tc>
        <w:tc>
          <w:tcPr>
            <w:tcW w:w="1991" w:type="dxa"/>
            <w:tcBorders>
              <w:top w:val="nil"/>
              <w:left w:val="nil"/>
              <w:bottom w:val="single" w:color="auto" w:sz="4" w:space="0"/>
              <w:right w:val="single" w:color="auto" w:sz="4" w:space="0"/>
            </w:tcBorders>
            <w:shd w:val="clear" w:color="auto" w:fill="auto"/>
            <w:noWrap/>
            <w:vAlign w:val="center"/>
          </w:tcPr>
          <w:p w14:paraId="42EEDF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3,470.82</w:t>
            </w:r>
          </w:p>
        </w:tc>
        <w:tc>
          <w:tcPr>
            <w:tcW w:w="1991" w:type="dxa"/>
            <w:tcBorders>
              <w:top w:val="nil"/>
              <w:left w:val="nil"/>
              <w:bottom w:val="single" w:color="auto" w:sz="4" w:space="0"/>
              <w:right w:val="single" w:color="auto" w:sz="4" w:space="0"/>
            </w:tcBorders>
            <w:shd w:val="clear" w:color="auto" w:fill="auto"/>
            <w:noWrap/>
            <w:vAlign w:val="center"/>
          </w:tcPr>
          <w:p w14:paraId="3C74866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FCEF58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8E612C0">
            <w:pPr>
              <w:widowControl/>
              <w:jc w:val="right"/>
              <w:rPr>
                <w:rFonts w:hint="eastAsia" w:ascii="宋体" w:hAnsi="宋体" w:eastAsia="宋体" w:cs="宋体"/>
                <w:kern w:val="0"/>
                <w:sz w:val="24"/>
                <w:szCs w:val="24"/>
              </w:rPr>
            </w:pPr>
          </w:p>
        </w:tc>
      </w:tr>
      <w:tr w14:paraId="7746420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323EF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20501</w:t>
            </w:r>
          </w:p>
        </w:tc>
        <w:tc>
          <w:tcPr>
            <w:tcW w:w="1481" w:type="dxa"/>
            <w:tcBorders>
              <w:top w:val="nil"/>
              <w:left w:val="nil"/>
              <w:bottom w:val="single" w:color="auto" w:sz="4" w:space="0"/>
              <w:right w:val="single" w:color="auto" w:sz="4" w:space="0"/>
            </w:tcBorders>
            <w:shd w:val="clear" w:color="000000" w:fill="FFFFFF"/>
            <w:noWrap/>
            <w:vAlign w:val="center"/>
          </w:tcPr>
          <w:p w14:paraId="4A7B561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教育管理事务</w:t>
            </w:r>
          </w:p>
        </w:tc>
        <w:tc>
          <w:tcPr>
            <w:tcW w:w="1952" w:type="dxa"/>
            <w:tcBorders>
              <w:top w:val="nil"/>
              <w:left w:val="nil"/>
              <w:bottom w:val="single" w:color="auto" w:sz="4" w:space="0"/>
              <w:right w:val="single" w:color="auto" w:sz="4" w:space="0"/>
            </w:tcBorders>
            <w:shd w:val="clear" w:color="auto" w:fill="auto"/>
            <w:noWrap/>
            <w:vAlign w:val="center"/>
          </w:tcPr>
          <w:p w14:paraId="26BBFF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3,319.23</w:t>
            </w:r>
          </w:p>
        </w:tc>
        <w:tc>
          <w:tcPr>
            <w:tcW w:w="1991" w:type="dxa"/>
            <w:tcBorders>
              <w:top w:val="nil"/>
              <w:left w:val="nil"/>
              <w:bottom w:val="single" w:color="auto" w:sz="4" w:space="0"/>
              <w:right w:val="single" w:color="auto" w:sz="4" w:space="0"/>
            </w:tcBorders>
            <w:shd w:val="clear" w:color="auto" w:fill="auto"/>
            <w:noWrap/>
            <w:vAlign w:val="center"/>
          </w:tcPr>
          <w:p w14:paraId="215FD3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2,950.55</w:t>
            </w:r>
          </w:p>
        </w:tc>
        <w:tc>
          <w:tcPr>
            <w:tcW w:w="1991" w:type="dxa"/>
            <w:tcBorders>
              <w:top w:val="nil"/>
              <w:left w:val="nil"/>
              <w:bottom w:val="single" w:color="auto" w:sz="4" w:space="0"/>
              <w:right w:val="single" w:color="auto" w:sz="4" w:space="0"/>
            </w:tcBorders>
            <w:shd w:val="clear" w:color="auto" w:fill="auto"/>
            <w:noWrap/>
            <w:vAlign w:val="center"/>
          </w:tcPr>
          <w:p w14:paraId="694AB8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368.68</w:t>
            </w:r>
          </w:p>
        </w:tc>
        <w:tc>
          <w:tcPr>
            <w:tcW w:w="1991" w:type="dxa"/>
            <w:tcBorders>
              <w:top w:val="nil"/>
              <w:left w:val="nil"/>
              <w:bottom w:val="single" w:color="auto" w:sz="4" w:space="0"/>
              <w:right w:val="single" w:color="auto" w:sz="4" w:space="0"/>
            </w:tcBorders>
            <w:shd w:val="clear" w:color="auto" w:fill="auto"/>
            <w:noWrap/>
            <w:vAlign w:val="center"/>
          </w:tcPr>
          <w:p w14:paraId="0974ACF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1F71AF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A658915">
            <w:pPr>
              <w:widowControl/>
              <w:jc w:val="right"/>
              <w:rPr>
                <w:rFonts w:hint="eastAsia" w:ascii="宋体" w:hAnsi="宋体" w:eastAsia="宋体" w:cs="宋体"/>
                <w:kern w:val="0"/>
                <w:sz w:val="24"/>
                <w:szCs w:val="24"/>
              </w:rPr>
            </w:pPr>
          </w:p>
        </w:tc>
      </w:tr>
      <w:tr w14:paraId="1E9D42E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0A8C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2050101</w:t>
            </w:r>
          </w:p>
        </w:tc>
        <w:tc>
          <w:tcPr>
            <w:tcW w:w="1481" w:type="dxa"/>
            <w:tcBorders>
              <w:top w:val="nil"/>
              <w:left w:val="nil"/>
              <w:bottom w:val="single" w:color="auto" w:sz="4" w:space="0"/>
              <w:right w:val="single" w:color="auto" w:sz="4" w:space="0"/>
            </w:tcBorders>
            <w:shd w:val="clear" w:color="000000" w:fill="FFFFFF"/>
            <w:noWrap/>
            <w:vAlign w:val="center"/>
          </w:tcPr>
          <w:p w14:paraId="59D72AF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6657B7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2,873.99</w:t>
            </w:r>
          </w:p>
        </w:tc>
        <w:tc>
          <w:tcPr>
            <w:tcW w:w="1991" w:type="dxa"/>
            <w:tcBorders>
              <w:top w:val="nil"/>
              <w:left w:val="nil"/>
              <w:bottom w:val="single" w:color="auto" w:sz="4" w:space="0"/>
              <w:right w:val="single" w:color="auto" w:sz="4" w:space="0"/>
            </w:tcBorders>
            <w:shd w:val="clear" w:color="auto" w:fill="auto"/>
            <w:noWrap/>
            <w:vAlign w:val="center"/>
          </w:tcPr>
          <w:p w14:paraId="028605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2,567.27</w:t>
            </w:r>
          </w:p>
        </w:tc>
        <w:tc>
          <w:tcPr>
            <w:tcW w:w="1991" w:type="dxa"/>
            <w:tcBorders>
              <w:top w:val="nil"/>
              <w:left w:val="nil"/>
              <w:bottom w:val="single" w:color="auto" w:sz="4" w:space="0"/>
              <w:right w:val="single" w:color="auto" w:sz="4" w:space="0"/>
            </w:tcBorders>
            <w:shd w:val="clear" w:color="auto" w:fill="auto"/>
            <w:noWrap/>
            <w:vAlign w:val="center"/>
          </w:tcPr>
          <w:p w14:paraId="47D4CE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306.72</w:t>
            </w:r>
          </w:p>
        </w:tc>
        <w:tc>
          <w:tcPr>
            <w:tcW w:w="1991" w:type="dxa"/>
            <w:tcBorders>
              <w:top w:val="nil"/>
              <w:left w:val="nil"/>
              <w:bottom w:val="single" w:color="auto" w:sz="4" w:space="0"/>
              <w:right w:val="single" w:color="auto" w:sz="4" w:space="0"/>
            </w:tcBorders>
            <w:shd w:val="clear" w:color="auto" w:fill="auto"/>
            <w:noWrap/>
            <w:vAlign w:val="center"/>
          </w:tcPr>
          <w:p w14:paraId="349C960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3AC644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C13D78D">
            <w:pPr>
              <w:widowControl/>
              <w:jc w:val="right"/>
              <w:rPr>
                <w:rFonts w:hint="eastAsia" w:ascii="宋体" w:hAnsi="宋体" w:eastAsia="宋体" w:cs="宋体"/>
                <w:kern w:val="0"/>
                <w:sz w:val="24"/>
                <w:szCs w:val="24"/>
              </w:rPr>
            </w:pPr>
          </w:p>
        </w:tc>
      </w:tr>
      <w:tr w14:paraId="183FF4B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EF4D1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2050199</w:t>
            </w:r>
          </w:p>
        </w:tc>
        <w:tc>
          <w:tcPr>
            <w:tcW w:w="1481" w:type="dxa"/>
            <w:tcBorders>
              <w:top w:val="nil"/>
              <w:left w:val="nil"/>
              <w:bottom w:val="single" w:color="auto" w:sz="4" w:space="0"/>
              <w:right w:val="single" w:color="auto" w:sz="4" w:space="0"/>
            </w:tcBorders>
            <w:shd w:val="clear" w:color="000000" w:fill="FFFFFF"/>
            <w:noWrap/>
            <w:vAlign w:val="center"/>
          </w:tcPr>
          <w:p w14:paraId="4220DB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其他教育管理事务支出</w:t>
            </w:r>
          </w:p>
        </w:tc>
        <w:tc>
          <w:tcPr>
            <w:tcW w:w="1952" w:type="dxa"/>
            <w:tcBorders>
              <w:top w:val="nil"/>
              <w:left w:val="nil"/>
              <w:bottom w:val="single" w:color="auto" w:sz="4" w:space="0"/>
              <w:right w:val="single" w:color="auto" w:sz="4" w:space="0"/>
            </w:tcBorders>
            <w:shd w:val="clear" w:color="auto" w:fill="auto"/>
            <w:noWrap/>
            <w:vAlign w:val="center"/>
          </w:tcPr>
          <w:p w14:paraId="5F5D06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445.24</w:t>
            </w:r>
          </w:p>
        </w:tc>
        <w:tc>
          <w:tcPr>
            <w:tcW w:w="1991" w:type="dxa"/>
            <w:tcBorders>
              <w:top w:val="nil"/>
              <w:left w:val="nil"/>
              <w:bottom w:val="single" w:color="auto" w:sz="4" w:space="0"/>
              <w:right w:val="single" w:color="auto" w:sz="4" w:space="0"/>
            </w:tcBorders>
            <w:shd w:val="clear" w:color="auto" w:fill="auto"/>
            <w:noWrap/>
            <w:vAlign w:val="center"/>
          </w:tcPr>
          <w:p w14:paraId="4741A2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383.29</w:t>
            </w:r>
          </w:p>
        </w:tc>
        <w:tc>
          <w:tcPr>
            <w:tcW w:w="1991" w:type="dxa"/>
            <w:tcBorders>
              <w:top w:val="nil"/>
              <w:left w:val="nil"/>
              <w:bottom w:val="single" w:color="auto" w:sz="4" w:space="0"/>
              <w:right w:val="single" w:color="auto" w:sz="4" w:space="0"/>
            </w:tcBorders>
            <w:shd w:val="clear" w:color="auto" w:fill="auto"/>
            <w:noWrap/>
            <w:vAlign w:val="center"/>
          </w:tcPr>
          <w:p w14:paraId="3A4AED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61.96</w:t>
            </w:r>
          </w:p>
        </w:tc>
        <w:tc>
          <w:tcPr>
            <w:tcW w:w="1991" w:type="dxa"/>
            <w:tcBorders>
              <w:top w:val="nil"/>
              <w:left w:val="nil"/>
              <w:bottom w:val="single" w:color="auto" w:sz="4" w:space="0"/>
              <w:right w:val="single" w:color="auto" w:sz="4" w:space="0"/>
            </w:tcBorders>
            <w:shd w:val="clear" w:color="auto" w:fill="auto"/>
            <w:noWrap/>
            <w:vAlign w:val="center"/>
          </w:tcPr>
          <w:p w14:paraId="44F819C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90C5D6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C6F176E">
            <w:pPr>
              <w:widowControl/>
              <w:jc w:val="right"/>
              <w:rPr>
                <w:rFonts w:hint="eastAsia" w:ascii="宋体" w:hAnsi="宋体" w:eastAsia="宋体" w:cs="宋体"/>
                <w:kern w:val="0"/>
                <w:sz w:val="24"/>
                <w:szCs w:val="24"/>
              </w:rPr>
            </w:pPr>
          </w:p>
        </w:tc>
      </w:tr>
      <w:tr w14:paraId="65AA2D3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46FA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1481" w:type="dxa"/>
            <w:tcBorders>
              <w:top w:val="nil"/>
              <w:left w:val="nil"/>
              <w:bottom w:val="single" w:color="auto" w:sz="4" w:space="0"/>
              <w:right w:val="single" w:color="auto" w:sz="4" w:space="0"/>
            </w:tcBorders>
            <w:shd w:val="clear" w:color="000000" w:fill="FFFFFF"/>
            <w:noWrap/>
            <w:vAlign w:val="center"/>
          </w:tcPr>
          <w:p w14:paraId="76F9CE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952" w:type="dxa"/>
            <w:tcBorders>
              <w:top w:val="nil"/>
              <w:left w:val="nil"/>
              <w:bottom w:val="single" w:color="auto" w:sz="4" w:space="0"/>
              <w:right w:val="single" w:color="auto" w:sz="4" w:space="0"/>
            </w:tcBorders>
            <w:shd w:val="clear" w:color="auto" w:fill="auto"/>
            <w:noWrap/>
            <w:vAlign w:val="center"/>
          </w:tcPr>
          <w:p w14:paraId="05E93E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2,595.83</w:t>
            </w:r>
          </w:p>
        </w:tc>
        <w:tc>
          <w:tcPr>
            <w:tcW w:w="1991" w:type="dxa"/>
            <w:tcBorders>
              <w:top w:val="nil"/>
              <w:left w:val="nil"/>
              <w:bottom w:val="single" w:color="auto" w:sz="4" w:space="0"/>
              <w:right w:val="single" w:color="auto" w:sz="4" w:space="0"/>
            </w:tcBorders>
            <w:shd w:val="clear" w:color="auto" w:fill="auto"/>
            <w:noWrap/>
            <w:vAlign w:val="center"/>
          </w:tcPr>
          <w:p w14:paraId="1D59B2A7">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68EB8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2,595.83</w:t>
            </w:r>
          </w:p>
        </w:tc>
        <w:tc>
          <w:tcPr>
            <w:tcW w:w="1991" w:type="dxa"/>
            <w:tcBorders>
              <w:top w:val="nil"/>
              <w:left w:val="nil"/>
              <w:bottom w:val="single" w:color="auto" w:sz="4" w:space="0"/>
              <w:right w:val="single" w:color="auto" w:sz="4" w:space="0"/>
            </w:tcBorders>
            <w:shd w:val="clear" w:color="auto" w:fill="auto"/>
            <w:noWrap/>
            <w:vAlign w:val="center"/>
          </w:tcPr>
          <w:p w14:paraId="67C83A7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4B35E2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84718E0">
            <w:pPr>
              <w:widowControl/>
              <w:jc w:val="right"/>
              <w:rPr>
                <w:rFonts w:hint="eastAsia" w:ascii="宋体" w:hAnsi="宋体" w:eastAsia="宋体" w:cs="宋体"/>
                <w:kern w:val="0"/>
                <w:sz w:val="24"/>
                <w:szCs w:val="24"/>
              </w:rPr>
            </w:pPr>
          </w:p>
        </w:tc>
      </w:tr>
      <w:tr w14:paraId="0216572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84A3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2050202</w:t>
            </w:r>
          </w:p>
        </w:tc>
        <w:tc>
          <w:tcPr>
            <w:tcW w:w="1481" w:type="dxa"/>
            <w:tcBorders>
              <w:top w:val="nil"/>
              <w:left w:val="nil"/>
              <w:bottom w:val="single" w:color="auto" w:sz="4" w:space="0"/>
              <w:right w:val="single" w:color="auto" w:sz="4" w:space="0"/>
            </w:tcBorders>
            <w:shd w:val="clear" w:color="000000" w:fill="FFFFFF"/>
            <w:noWrap/>
            <w:vAlign w:val="center"/>
          </w:tcPr>
          <w:p w14:paraId="294C380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1952" w:type="dxa"/>
            <w:tcBorders>
              <w:top w:val="nil"/>
              <w:left w:val="nil"/>
              <w:bottom w:val="single" w:color="auto" w:sz="4" w:space="0"/>
              <w:right w:val="single" w:color="auto" w:sz="4" w:space="0"/>
            </w:tcBorders>
            <w:shd w:val="clear" w:color="auto" w:fill="auto"/>
            <w:noWrap/>
            <w:vAlign w:val="center"/>
          </w:tcPr>
          <w:p w14:paraId="6991EF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7.62</w:t>
            </w:r>
          </w:p>
        </w:tc>
        <w:tc>
          <w:tcPr>
            <w:tcW w:w="1991" w:type="dxa"/>
            <w:tcBorders>
              <w:top w:val="nil"/>
              <w:left w:val="nil"/>
              <w:bottom w:val="single" w:color="auto" w:sz="4" w:space="0"/>
              <w:right w:val="single" w:color="auto" w:sz="4" w:space="0"/>
            </w:tcBorders>
            <w:shd w:val="clear" w:color="auto" w:fill="auto"/>
            <w:noWrap/>
            <w:vAlign w:val="center"/>
          </w:tcPr>
          <w:p w14:paraId="5123EAB7">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DE65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7.62</w:t>
            </w:r>
          </w:p>
        </w:tc>
        <w:tc>
          <w:tcPr>
            <w:tcW w:w="1991" w:type="dxa"/>
            <w:tcBorders>
              <w:top w:val="nil"/>
              <w:left w:val="nil"/>
              <w:bottom w:val="single" w:color="auto" w:sz="4" w:space="0"/>
              <w:right w:val="single" w:color="auto" w:sz="4" w:space="0"/>
            </w:tcBorders>
            <w:shd w:val="clear" w:color="auto" w:fill="auto"/>
            <w:noWrap/>
            <w:vAlign w:val="center"/>
          </w:tcPr>
          <w:p w14:paraId="2FA1BFB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DDF80A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DEFAA96">
            <w:pPr>
              <w:widowControl/>
              <w:jc w:val="right"/>
              <w:rPr>
                <w:rFonts w:hint="eastAsia" w:ascii="宋体" w:hAnsi="宋体" w:eastAsia="宋体" w:cs="宋体"/>
                <w:kern w:val="0"/>
                <w:sz w:val="24"/>
                <w:szCs w:val="24"/>
              </w:rPr>
            </w:pPr>
          </w:p>
        </w:tc>
      </w:tr>
      <w:tr w14:paraId="7155532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8C3F0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1481" w:type="dxa"/>
            <w:tcBorders>
              <w:top w:val="nil"/>
              <w:left w:val="nil"/>
              <w:bottom w:val="single" w:color="auto" w:sz="4" w:space="0"/>
              <w:right w:val="single" w:color="auto" w:sz="4" w:space="0"/>
            </w:tcBorders>
            <w:shd w:val="clear" w:color="000000" w:fill="FFFFFF"/>
            <w:noWrap/>
            <w:vAlign w:val="center"/>
          </w:tcPr>
          <w:p w14:paraId="14B6A65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952" w:type="dxa"/>
            <w:tcBorders>
              <w:top w:val="nil"/>
              <w:left w:val="nil"/>
              <w:bottom w:val="single" w:color="auto" w:sz="4" w:space="0"/>
              <w:right w:val="single" w:color="auto" w:sz="4" w:space="0"/>
            </w:tcBorders>
            <w:shd w:val="clear" w:color="auto" w:fill="auto"/>
            <w:noWrap/>
            <w:vAlign w:val="center"/>
          </w:tcPr>
          <w:p w14:paraId="396C37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69F66318">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A22B8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05D96C1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1320AA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07E3CB3">
            <w:pPr>
              <w:widowControl/>
              <w:jc w:val="right"/>
              <w:rPr>
                <w:rFonts w:hint="eastAsia" w:ascii="宋体" w:hAnsi="宋体" w:eastAsia="宋体" w:cs="宋体"/>
                <w:kern w:val="0"/>
                <w:sz w:val="24"/>
                <w:szCs w:val="24"/>
              </w:rPr>
            </w:pPr>
          </w:p>
        </w:tc>
      </w:tr>
      <w:tr w14:paraId="736C7B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54A1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1481" w:type="dxa"/>
            <w:tcBorders>
              <w:top w:val="nil"/>
              <w:left w:val="nil"/>
              <w:bottom w:val="single" w:color="auto" w:sz="4" w:space="0"/>
              <w:right w:val="single" w:color="auto" w:sz="4" w:space="0"/>
            </w:tcBorders>
            <w:shd w:val="clear" w:color="000000" w:fill="FFFFFF"/>
            <w:noWrap/>
            <w:vAlign w:val="center"/>
          </w:tcPr>
          <w:p w14:paraId="7388B6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952" w:type="dxa"/>
            <w:tcBorders>
              <w:top w:val="nil"/>
              <w:left w:val="nil"/>
              <w:bottom w:val="single" w:color="auto" w:sz="4" w:space="0"/>
              <w:right w:val="single" w:color="auto" w:sz="4" w:space="0"/>
            </w:tcBorders>
            <w:shd w:val="clear" w:color="auto" w:fill="auto"/>
            <w:noWrap/>
            <w:vAlign w:val="center"/>
          </w:tcPr>
          <w:p w14:paraId="5DE66B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2,481.30</w:t>
            </w:r>
          </w:p>
        </w:tc>
        <w:tc>
          <w:tcPr>
            <w:tcW w:w="1991" w:type="dxa"/>
            <w:tcBorders>
              <w:top w:val="nil"/>
              <w:left w:val="nil"/>
              <w:bottom w:val="single" w:color="auto" w:sz="4" w:space="0"/>
              <w:right w:val="single" w:color="auto" w:sz="4" w:space="0"/>
            </w:tcBorders>
            <w:shd w:val="clear" w:color="auto" w:fill="auto"/>
            <w:noWrap/>
            <w:vAlign w:val="center"/>
          </w:tcPr>
          <w:p w14:paraId="7D0BB218">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F8DF1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2,481.30</w:t>
            </w:r>
          </w:p>
        </w:tc>
        <w:tc>
          <w:tcPr>
            <w:tcW w:w="1991" w:type="dxa"/>
            <w:tcBorders>
              <w:top w:val="nil"/>
              <w:left w:val="nil"/>
              <w:bottom w:val="single" w:color="auto" w:sz="4" w:space="0"/>
              <w:right w:val="single" w:color="auto" w:sz="4" w:space="0"/>
            </w:tcBorders>
            <w:shd w:val="clear" w:color="auto" w:fill="auto"/>
            <w:noWrap/>
            <w:vAlign w:val="center"/>
          </w:tcPr>
          <w:p w14:paraId="7926B04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53E9E9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B65F9B7">
            <w:pPr>
              <w:widowControl/>
              <w:jc w:val="right"/>
              <w:rPr>
                <w:rFonts w:hint="eastAsia" w:ascii="宋体" w:hAnsi="宋体" w:eastAsia="宋体" w:cs="宋体"/>
                <w:kern w:val="0"/>
                <w:sz w:val="24"/>
                <w:szCs w:val="24"/>
              </w:rPr>
            </w:pPr>
          </w:p>
        </w:tc>
      </w:tr>
      <w:tr w14:paraId="2784113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D788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1481" w:type="dxa"/>
            <w:tcBorders>
              <w:top w:val="nil"/>
              <w:left w:val="nil"/>
              <w:bottom w:val="single" w:color="auto" w:sz="4" w:space="0"/>
              <w:right w:val="single" w:color="auto" w:sz="4" w:space="0"/>
            </w:tcBorders>
            <w:shd w:val="clear" w:color="000000" w:fill="FFFFFF"/>
            <w:noWrap/>
            <w:vAlign w:val="center"/>
          </w:tcPr>
          <w:p w14:paraId="4278BF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952" w:type="dxa"/>
            <w:tcBorders>
              <w:top w:val="nil"/>
              <w:left w:val="nil"/>
              <w:bottom w:val="single" w:color="auto" w:sz="4" w:space="0"/>
              <w:right w:val="single" w:color="auto" w:sz="4" w:space="0"/>
            </w:tcBorders>
            <w:shd w:val="clear" w:color="auto" w:fill="auto"/>
            <w:noWrap/>
            <w:vAlign w:val="center"/>
          </w:tcPr>
          <w:p w14:paraId="67ED25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98.91</w:t>
            </w:r>
          </w:p>
        </w:tc>
        <w:tc>
          <w:tcPr>
            <w:tcW w:w="1991" w:type="dxa"/>
            <w:tcBorders>
              <w:top w:val="nil"/>
              <w:left w:val="nil"/>
              <w:bottom w:val="single" w:color="auto" w:sz="4" w:space="0"/>
              <w:right w:val="single" w:color="auto" w:sz="4" w:space="0"/>
            </w:tcBorders>
            <w:shd w:val="clear" w:color="auto" w:fill="auto"/>
            <w:noWrap/>
            <w:vAlign w:val="center"/>
          </w:tcPr>
          <w:p w14:paraId="16581E53">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CCADF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98.91</w:t>
            </w:r>
          </w:p>
        </w:tc>
        <w:tc>
          <w:tcPr>
            <w:tcW w:w="1991" w:type="dxa"/>
            <w:tcBorders>
              <w:top w:val="nil"/>
              <w:left w:val="nil"/>
              <w:bottom w:val="single" w:color="auto" w:sz="4" w:space="0"/>
              <w:right w:val="single" w:color="auto" w:sz="4" w:space="0"/>
            </w:tcBorders>
            <w:shd w:val="clear" w:color="auto" w:fill="auto"/>
            <w:noWrap/>
            <w:vAlign w:val="center"/>
          </w:tcPr>
          <w:p w14:paraId="21A5433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2C01D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4CF6804">
            <w:pPr>
              <w:widowControl/>
              <w:jc w:val="right"/>
              <w:rPr>
                <w:rFonts w:hint="eastAsia" w:ascii="宋体" w:hAnsi="宋体" w:eastAsia="宋体" w:cs="宋体"/>
                <w:kern w:val="0"/>
                <w:sz w:val="24"/>
                <w:szCs w:val="24"/>
              </w:rPr>
            </w:pPr>
          </w:p>
        </w:tc>
      </w:tr>
      <w:tr w14:paraId="217C802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818D4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20503</w:t>
            </w:r>
          </w:p>
        </w:tc>
        <w:tc>
          <w:tcPr>
            <w:tcW w:w="1481" w:type="dxa"/>
            <w:tcBorders>
              <w:top w:val="nil"/>
              <w:left w:val="nil"/>
              <w:bottom w:val="single" w:color="auto" w:sz="4" w:space="0"/>
              <w:right w:val="single" w:color="auto" w:sz="4" w:space="0"/>
            </w:tcBorders>
            <w:shd w:val="clear" w:color="000000" w:fill="FFFFFF"/>
            <w:noWrap/>
            <w:vAlign w:val="center"/>
          </w:tcPr>
          <w:p w14:paraId="70D3E8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职业教育</w:t>
            </w:r>
          </w:p>
        </w:tc>
        <w:tc>
          <w:tcPr>
            <w:tcW w:w="1952" w:type="dxa"/>
            <w:tcBorders>
              <w:top w:val="nil"/>
              <w:left w:val="nil"/>
              <w:bottom w:val="single" w:color="auto" w:sz="4" w:space="0"/>
              <w:right w:val="single" w:color="auto" w:sz="4" w:space="0"/>
            </w:tcBorders>
            <w:shd w:val="clear" w:color="auto" w:fill="auto"/>
            <w:noWrap/>
            <w:vAlign w:val="center"/>
          </w:tcPr>
          <w:p w14:paraId="56B39E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370.90</w:t>
            </w:r>
          </w:p>
        </w:tc>
        <w:tc>
          <w:tcPr>
            <w:tcW w:w="1991" w:type="dxa"/>
            <w:tcBorders>
              <w:top w:val="nil"/>
              <w:left w:val="nil"/>
              <w:bottom w:val="single" w:color="auto" w:sz="4" w:space="0"/>
              <w:right w:val="single" w:color="auto" w:sz="4" w:space="0"/>
            </w:tcBorders>
            <w:shd w:val="clear" w:color="auto" w:fill="auto"/>
            <w:noWrap/>
            <w:vAlign w:val="center"/>
          </w:tcPr>
          <w:p w14:paraId="79BF2156">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EC9D9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370.90</w:t>
            </w:r>
          </w:p>
        </w:tc>
        <w:tc>
          <w:tcPr>
            <w:tcW w:w="1991" w:type="dxa"/>
            <w:tcBorders>
              <w:top w:val="nil"/>
              <w:left w:val="nil"/>
              <w:bottom w:val="single" w:color="auto" w:sz="4" w:space="0"/>
              <w:right w:val="single" w:color="auto" w:sz="4" w:space="0"/>
            </w:tcBorders>
            <w:shd w:val="clear" w:color="auto" w:fill="auto"/>
            <w:noWrap/>
            <w:vAlign w:val="center"/>
          </w:tcPr>
          <w:p w14:paraId="10CC8D4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3E9B79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E341647">
            <w:pPr>
              <w:widowControl/>
              <w:jc w:val="right"/>
              <w:rPr>
                <w:rFonts w:hint="eastAsia" w:ascii="宋体" w:hAnsi="宋体" w:eastAsia="宋体" w:cs="宋体"/>
                <w:kern w:val="0"/>
                <w:sz w:val="24"/>
                <w:szCs w:val="24"/>
              </w:rPr>
            </w:pPr>
          </w:p>
        </w:tc>
      </w:tr>
      <w:tr w14:paraId="3A6D074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70FB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2050302</w:t>
            </w:r>
          </w:p>
        </w:tc>
        <w:tc>
          <w:tcPr>
            <w:tcW w:w="1481" w:type="dxa"/>
            <w:tcBorders>
              <w:top w:val="nil"/>
              <w:left w:val="nil"/>
              <w:bottom w:val="single" w:color="auto" w:sz="4" w:space="0"/>
              <w:right w:val="single" w:color="auto" w:sz="4" w:space="0"/>
            </w:tcBorders>
            <w:shd w:val="clear" w:color="000000" w:fill="FFFFFF"/>
            <w:noWrap/>
            <w:vAlign w:val="center"/>
          </w:tcPr>
          <w:p w14:paraId="1930F7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中等职业教育</w:t>
            </w:r>
          </w:p>
        </w:tc>
        <w:tc>
          <w:tcPr>
            <w:tcW w:w="1952" w:type="dxa"/>
            <w:tcBorders>
              <w:top w:val="nil"/>
              <w:left w:val="nil"/>
              <w:bottom w:val="single" w:color="auto" w:sz="4" w:space="0"/>
              <w:right w:val="single" w:color="auto" w:sz="4" w:space="0"/>
            </w:tcBorders>
            <w:shd w:val="clear" w:color="auto" w:fill="auto"/>
            <w:noWrap/>
            <w:vAlign w:val="center"/>
          </w:tcPr>
          <w:p w14:paraId="5A2385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370.90</w:t>
            </w:r>
          </w:p>
        </w:tc>
        <w:tc>
          <w:tcPr>
            <w:tcW w:w="1991" w:type="dxa"/>
            <w:tcBorders>
              <w:top w:val="nil"/>
              <w:left w:val="nil"/>
              <w:bottom w:val="single" w:color="auto" w:sz="4" w:space="0"/>
              <w:right w:val="single" w:color="auto" w:sz="4" w:space="0"/>
            </w:tcBorders>
            <w:shd w:val="clear" w:color="auto" w:fill="auto"/>
            <w:noWrap/>
            <w:vAlign w:val="center"/>
          </w:tcPr>
          <w:p w14:paraId="5F991934">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91150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370.90</w:t>
            </w:r>
          </w:p>
        </w:tc>
        <w:tc>
          <w:tcPr>
            <w:tcW w:w="1991" w:type="dxa"/>
            <w:tcBorders>
              <w:top w:val="nil"/>
              <w:left w:val="nil"/>
              <w:bottom w:val="single" w:color="auto" w:sz="4" w:space="0"/>
              <w:right w:val="single" w:color="auto" w:sz="4" w:space="0"/>
            </w:tcBorders>
            <w:shd w:val="clear" w:color="auto" w:fill="auto"/>
            <w:noWrap/>
            <w:vAlign w:val="center"/>
          </w:tcPr>
          <w:p w14:paraId="28F50BA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D5B71A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927EA59">
            <w:pPr>
              <w:widowControl/>
              <w:jc w:val="right"/>
              <w:rPr>
                <w:rFonts w:hint="eastAsia" w:ascii="宋体" w:hAnsi="宋体" w:eastAsia="宋体" w:cs="宋体"/>
                <w:kern w:val="0"/>
                <w:sz w:val="24"/>
                <w:szCs w:val="24"/>
              </w:rPr>
            </w:pPr>
          </w:p>
        </w:tc>
      </w:tr>
      <w:tr w14:paraId="3544DA1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9FB1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w:t>
            </w:r>
          </w:p>
        </w:tc>
        <w:tc>
          <w:tcPr>
            <w:tcW w:w="1481" w:type="dxa"/>
            <w:tcBorders>
              <w:top w:val="nil"/>
              <w:left w:val="nil"/>
              <w:bottom w:val="single" w:color="auto" w:sz="4" w:space="0"/>
              <w:right w:val="single" w:color="auto" w:sz="4" w:space="0"/>
            </w:tcBorders>
            <w:shd w:val="clear" w:color="000000" w:fill="FFFFFF"/>
            <w:noWrap/>
            <w:vAlign w:val="center"/>
          </w:tcPr>
          <w:p w14:paraId="43796E4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其他教育支出</w:t>
            </w:r>
          </w:p>
        </w:tc>
        <w:tc>
          <w:tcPr>
            <w:tcW w:w="1952" w:type="dxa"/>
            <w:tcBorders>
              <w:top w:val="nil"/>
              <w:left w:val="nil"/>
              <w:bottom w:val="single" w:color="auto" w:sz="4" w:space="0"/>
              <w:right w:val="single" w:color="auto" w:sz="4" w:space="0"/>
            </w:tcBorders>
            <w:shd w:val="clear" w:color="auto" w:fill="auto"/>
            <w:noWrap/>
            <w:vAlign w:val="center"/>
          </w:tcPr>
          <w:p w14:paraId="198363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135.41</w:t>
            </w:r>
          </w:p>
        </w:tc>
        <w:tc>
          <w:tcPr>
            <w:tcW w:w="1991" w:type="dxa"/>
            <w:tcBorders>
              <w:top w:val="nil"/>
              <w:left w:val="nil"/>
              <w:bottom w:val="single" w:color="auto" w:sz="4" w:space="0"/>
              <w:right w:val="single" w:color="auto" w:sz="4" w:space="0"/>
            </w:tcBorders>
            <w:shd w:val="clear" w:color="auto" w:fill="auto"/>
            <w:noWrap/>
            <w:vAlign w:val="center"/>
          </w:tcPr>
          <w:p w14:paraId="7E427D40">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8BB0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135.41</w:t>
            </w:r>
          </w:p>
        </w:tc>
        <w:tc>
          <w:tcPr>
            <w:tcW w:w="1991" w:type="dxa"/>
            <w:tcBorders>
              <w:top w:val="nil"/>
              <w:left w:val="nil"/>
              <w:bottom w:val="single" w:color="auto" w:sz="4" w:space="0"/>
              <w:right w:val="single" w:color="auto" w:sz="4" w:space="0"/>
            </w:tcBorders>
            <w:shd w:val="clear" w:color="auto" w:fill="auto"/>
            <w:noWrap/>
            <w:vAlign w:val="center"/>
          </w:tcPr>
          <w:p w14:paraId="3E4305A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C45FF2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E15C255">
            <w:pPr>
              <w:widowControl/>
              <w:jc w:val="right"/>
              <w:rPr>
                <w:rFonts w:hint="eastAsia" w:ascii="宋体" w:hAnsi="宋体" w:eastAsia="宋体" w:cs="宋体"/>
                <w:kern w:val="0"/>
                <w:sz w:val="24"/>
                <w:szCs w:val="24"/>
              </w:rPr>
            </w:pPr>
          </w:p>
        </w:tc>
      </w:tr>
      <w:tr w14:paraId="761A948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B37AD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2059999</w:t>
            </w:r>
          </w:p>
        </w:tc>
        <w:tc>
          <w:tcPr>
            <w:tcW w:w="1481" w:type="dxa"/>
            <w:tcBorders>
              <w:top w:val="nil"/>
              <w:left w:val="nil"/>
              <w:bottom w:val="single" w:color="auto" w:sz="4" w:space="0"/>
              <w:right w:val="single" w:color="auto" w:sz="4" w:space="0"/>
            </w:tcBorders>
            <w:shd w:val="clear" w:color="000000" w:fill="FFFFFF"/>
            <w:noWrap/>
            <w:vAlign w:val="center"/>
          </w:tcPr>
          <w:p w14:paraId="0B41703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952" w:type="dxa"/>
            <w:tcBorders>
              <w:top w:val="nil"/>
              <w:left w:val="nil"/>
              <w:bottom w:val="single" w:color="auto" w:sz="4" w:space="0"/>
              <w:right w:val="single" w:color="auto" w:sz="4" w:space="0"/>
            </w:tcBorders>
            <w:shd w:val="clear" w:color="auto" w:fill="auto"/>
            <w:noWrap/>
            <w:vAlign w:val="center"/>
          </w:tcPr>
          <w:p w14:paraId="4DD2FB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135.41</w:t>
            </w:r>
          </w:p>
        </w:tc>
        <w:tc>
          <w:tcPr>
            <w:tcW w:w="1991" w:type="dxa"/>
            <w:tcBorders>
              <w:top w:val="nil"/>
              <w:left w:val="nil"/>
              <w:bottom w:val="single" w:color="auto" w:sz="4" w:space="0"/>
              <w:right w:val="single" w:color="auto" w:sz="4" w:space="0"/>
            </w:tcBorders>
            <w:shd w:val="clear" w:color="auto" w:fill="auto"/>
            <w:noWrap/>
            <w:vAlign w:val="center"/>
          </w:tcPr>
          <w:p w14:paraId="21BF6F88">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D18D6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135.41</w:t>
            </w:r>
          </w:p>
        </w:tc>
        <w:tc>
          <w:tcPr>
            <w:tcW w:w="1991" w:type="dxa"/>
            <w:tcBorders>
              <w:top w:val="nil"/>
              <w:left w:val="nil"/>
              <w:bottom w:val="single" w:color="auto" w:sz="4" w:space="0"/>
              <w:right w:val="single" w:color="auto" w:sz="4" w:space="0"/>
            </w:tcBorders>
            <w:shd w:val="clear" w:color="auto" w:fill="auto"/>
            <w:noWrap/>
            <w:vAlign w:val="center"/>
          </w:tcPr>
          <w:p w14:paraId="58C5658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B5A153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C435AE9">
            <w:pPr>
              <w:widowControl/>
              <w:jc w:val="right"/>
              <w:rPr>
                <w:rFonts w:hint="eastAsia" w:ascii="宋体" w:hAnsi="宋体" w:eastAsia="宋体" w:cs="宋体"/>
                <w:kern w:val="0"/>
                <w:sz w:val="24"/>
                <w:szCs w:val="24"/>
              </w:rPr>
            </w:pPr>
          </w:p>
        </w:tc>
      </w:tr>
      <w:tr w14:paraId="771AF54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3E46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14:paraId="35F805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5D2B04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340.27</w:t>
            </w:r>
          </w:p>
        </w:tc>
        <w:tc>
          <w:tcPr>
            <w:tcW w:w="1991" w:type="dxa"/>
            <w:tcBorders>
              <w:top w:val="nil"/>
              <w:left w:val="nil"/>
              <w:bottom w:val="single" w:color="auto" w:sz="4" w:space="0"/>
              <w:right w:val="single" w:color="auto" w:sz="4" w:space="0"/>
            </w:tcBorders>
            <w:shd w:val="clear" w:color="auto" w:fill="auto"/>
            <w:noWrap/>
            <w:vAlign w:val="center"/>
          </w:tcPr>
          <w:p w14:paraId="2D102C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340.27</w:t>
            </w:r>
          </w:p>
        </w:tc>
        <w:tc>
          <w:tcPr>
            <w:tcW w:w="1991" w:type="dxa"/>
            <w:tcBorders>
              <w:top w:val="nil"/>
              <w:left w:val="nil"/>
              <w:bottom w:val="single" w:color="auto" w:sz="4" w:space="0"/>
              <w:right w:val="single" w:color="auto" w:sz="4" w:space="0"/>
            </w:tcBorders>
            <w:shd w:val="clear" w:color="auto" w:fill="auto"/>
            <w:noWrap/>
            <w:vAlign w:val="center"/>
          </w:tcPr>
          <w:p w14:paraId="57370462">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6FD6E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87FC78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FF28340">
            <w:pPr>
              <w:widowControl/>
              <w:jc w:val="right"/>
              <w:rPr>
                <w:rFonts w:hint="eastAsia" w:ascii="宋体" w:hAnsi="宋体" w:eastAsia="宋体" w:cs="宋体"/>
                <w:kern w:val="0"/>
                <w:sz w:val="24"/>
                <w:szCs w:val="24"/>
              </w:rPr>
            </w:pPr>
          </w:p>
        </w:tc>
      </w:tr>
      <w:tr w14:paraId="5F2080F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A2D1F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14:paraId="63F590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7177FC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340.27</w:t>
            </w:r>
          </w:p>
        </w:tc>
        <w:tc>
          <w:tcPr>
            <w:tcW w:w="1991" w:type="dxa"/>
            <w:tcBorders>
              <w:top w:val="nil"/>
              <w:left w:val="nil"/>
              <w:bottom w:val="single" w:color="auto" w:sz="4" w:space="0"/>
              <w:right w:val="single" w:color="auto" w:sz="4" w:space="0"/>
            </w:tcBorders>
            <w:shd w:val="clear" w:color="auto" w:fill="auto"/>
            <w:noWrap/>
            <w:vAlign w:val="center"/>
          </w:tcPr>
          <w:p w14:paraId="644D4D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340.27</w:t>
            </w:r>
          </w:p>
        </w:tc>
        <w:tc>
          <w:tcPr>
            <w:tcW w:w="1991" w:type="dxa"/>
            <w:tcBorders>
              <w:top w:val="nil"/>
              <w:left w:val="nil"/>
              <w:bottom w:val="single" w:color="auto" w:sz="4" w:space="0"/>
              <w:right w:val="single" w:color="auto" w:sz="4" w:space="0"/>
            </w:tcBorders>
            <w:shd w:val="clear" w:color="auto" w:fill="auto"/>
            <w:noWrap/>
            <w:vAlign w:val="center"/>
          </w:tcPr>
          <w:p w14:paraId="49855F0F">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895E51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250E47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0A711ED">
            <w:pPr>
              <w:widowControl/>
              <w:jc w:val="right"/>
              <w:rPr>
                <w:rFonts w:hint="eastAsia" w:ascii="宋体" w:hAnsi="宋体" w:eastAsia="宋体" w:cs="宋体"/>
                <w:kern w:val="0"/>
                <w:sz w:val="24"/>
                <w:szCs w:val="24"/>
              </w:rPr>
            </w:pPr>
          </w:p>
        </w:tc>
      </w:tr>
      <w:tr w14:paraId="77B4B00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41A5E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14:paraId="77FF03F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03A0E2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194.68</w:t>
            </w:r>
          </w:p>
        </w:tc>
        <w:tc>
          <w:tcPr>
            <w:tcW w:w="1991" w:type="dxa"/>
            <w:tcBorders>
              <w:top w:val="nil"/>
              <w:left w:val="nil"/>
              <w:bottom w:val="single" w:color="auto" w:sz="4" w:space="0"/>
              <w:right w:val="single" w:color="auto" w:sz="4" w:space="0"/>
            </w:tcBorders>
            <w:shd w:val="clear" w:color="auto" w:fill="auto"/>
            <w:noWrap/>
            <w:vAlign w:val="center"/>
          </w:tcPr>
          <w:p w14:paraId="2272E4F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194.68</w:t>
            </w:r>
          </w:p>
        </w:tc>
        <w:tc>
          <w:tcPr>
            <w:tcW w:w="1991" w:type="dxa"/>
            <w:tcBorders>
              <w:top w:val="nil"/>
              <w:left w:val="nil"/>
              <w:bottom w:val="single" w:color="auto" w:sz="4" w:space="0"/>
              <w:right w:val="single" w:color="auto" w:sz="4" w:space="0"/>
            </w:tcBorders>
            <w:shd w:val="clear" w:color="auto" w:fill="auto"/>
            <w:noWrap/>
            <w:vAlign w:val="center"/>
          </w:tcPr>
          <w:p w14:paraId="54E4E323">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3491D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92490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5D530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ADF1CA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6A31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vAlign w:val="center"/>
          </w:tcPr>
          <w:p w14:paraId="74C40E7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63FCFE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145.59</w:t>
            </w:r>
          </w:p>
        </w:tc>
        <w:tc>
          <w:tcPr>
            <w:tcW w:w="1991" w:type="dxa"/>
            <w:tcBorders>
              <w:top w:val="nil"/>
              <w:left w:val="nil"/>
              <w:bottom w:val="single" w:color="auto" w:sz="4" w:space="0"/>
              <w:right w:val="single" w:color="auto" w:sz="4" w:space="0"/>
            </w:tcBorders>
            <w:shd w:val="clear" w:color="auto" w:fill="auto"/>
            <w:noWrap/>
            <w:vAlign w:val="center"/>
          </w:tcPr>
          <w:p w14:paraId="561052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145.59</w:t>
            </w:r>
          </w:p>
        </w:tc>
        <w:tc>
          <w:tcPr>
            <w:tcW w:w="1991" w:type="dxa"/>
            <w:tcBorders>
              <w:top w:val="nil"/>
              <w:left w:val="nil"/>
              <w:bottom w:val="single" w:color="auto" w:sz="4" w:space="0"/>
              <w:right w:val="single" w:color="auto" w:sz="4" w:space="0"/>
            </w:tcBorders>
            <w:shd w:val="clear" w:color="auto" w:fill="auto"/>
            <w:noWrap/>
            <w:vAlign w:val="center"/>
          </w:tcPr>
          <w:p w14:paraId="47CF7503">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ADE98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76D868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760E726">
            <w:pPr>
              <w:widowControl/>
              <w:jc w:val="right"/>
              <w:rPr>
                <w:rFonts w:hint="eastAsia" w:ascii="宋体" w:hAnsi="宋体" w:eastAsia="宋体" w:cs="宋体"/>
                <w:kern w:val="0"/>
                <w:sz w:val="24"/>
                <w:szCs w:val="24"/>
              </w:rPr>
            </w:pPr>
          </w:p>
        </w:tc>
      </w:tr>
      <w:tr w14:paraId="02D7BD9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738E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14:paraId="5092A4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3B094D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94.77</w:t>
            </w:r>
          </w:p>
        </w:tc>
        <w:tc>
          <w:tcPr>
            <w:tcW w:w="1991" w:type="dxa"/>
            <w:tcBorders>
              <w:top w:val="nil"/>
              <w:left w:val="nil"/>
              <w:bottom w:val="single" w:color="auto" w:sz="4" w:space="0"/>
              <w:right w:val="single" w:color="auto" w:sz="4" w:space="0"/>
            </w:tcBorders>
            <w:shd w:val="clear" w:color="auto" w:fill="auto"/>
            <w:noWrap/>
            <w:vAlign w:val="center"/>
          </w:tcPr>
          <w:p w14:paraId="279498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94.77</w:t>
            </w:r>
          </w:p>
        </w:tc>
        <w:tc>
          <w:tcPr>
            <w:tcW w:w="1991" w:type="dxa"/>
            <w:tcBorders>
              <w:top w:val="nil"/>
              <w:left w:val="nil"/>
              <w:bottom w:val="single" w:color="auto" w:sz="4" w:space="0"/>
              <w:right w:val="single" w:color="auto" w:sz="4" w:space="0"/>
            </w:tcBorders>
            <w:shd w:val="clear" w:color="auto" w:fill="auto"/>
            <w:noWrap/>
            <w:vAlign w:val="center"/>
          </w:tcPr>
          <w:p w14:paraId="660F11F6">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987DD1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D763C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80DF584">
            <w:pPr>
              <w:widowControl/>
              <w:jc w:val="right"/>
              <w:rPr>
                <w:rFonts w:hint="eastAsia" w:ascii="宋体" w:hAnsi="宋体" w:eastAsia="宋体" w:cs="宋体"/>
                <w:kern w:val="0"/>
                <w:sz w:val="24"/>
                <w:szCs w:val="24"/>
              </w:rPr>
            </w:pPr>
          </w:p>
        </w:tc>
      </w:tr>
      <w:tr w14:paraId="2AB688E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2436F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14:paraId="6CBA02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6D1F66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94.77</w:t>
            </w:r>
          </w:p>
        </w:tc>
        <w:tc>
          <w:tcPr>
            <w:tcW w:w="1991" w:type="dxa"/>
            <w:tcBorders>
              <w:top w:val="nil"/>
              <w:left w:val="nil"/>
              <w:bottom w:val="single" w:color="auto" w:sz="4" w:space="0"/>
              <w:right w:val="single" w:color="auto" w:sz="4" w:space="0"/>
            </w:tcBorders>
            <w:shd w:val="clear" w:color="auto" w:fill="auto"/>
            <w:noWrap/>
            <w:vAlign w:val="center"/>
          </w:tcPr>
          <w:p w14:paraId="6EC81D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94.77</w:t>
            </w:r>
          </w:p>
        </w:tc>
        <w:tc>
          <w:tcPr>
            <w:tcW w:w="1991" w:type="dxa"/>
            <w:tcBorders>
              <w:top w:val="nil"/>
              <w:left w:val="nil"/>
              <w:bottom w:val="single" w:color="auto" w:sz="4" w:space="0"/>
              <w:right w:val="single" w:color="auto" w:sz="4" w:space="0"/>
            </w:tcBorders>
            <w:shd w:val="clear" w:color="auto" w:fill="auto"/>
            <w:noWrap/>
            <w:vAlign w:val="center"/>
          </w:tcPr>
          <w:p w14:paraId="293D9DB0">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29CC90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E6421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E2A78BB">
            <w:pPr>
              <w:widowControl/>
              <w:jc w:val="right"/>
              <w:rPr>
                <w:rFonts w:hint="eastAsia" w:ascii="宋体" w:hAnsi="宋体" w:eastAsia="宋体" w:cs="宋体"/>
                <w:kern w:val="0"/>
                <w:sz w:val="24"/>
                <w:szCs w:val="24"/>
              </w:rPr>
            </w:pPr>
          </w:p>
        </w:tc>
      </w:tr>
      <w:tr w14:paraId="769EA7B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2EE8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14:paraId="7A1EC0D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14:paraId="527BD6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94.77</w:t>
            </w:r>
          </w:p>
        </w:tc>
        <w:tc>
          <w:tcPr>
            <w:tcW w:w="1991" w:type="dxa"/>
            <w:tcBorders>
              <w:top w:val="nil"/>
              <w:left w:val="nil"/>
              <w:bottom w:val="single" w:color="auto" w:sz="4" w:space="0"/>
              <w:right w:val="single" w:color="auto" w:sz="4" w:space="0"/>
            </w:tcBorders>
            <w:shd w:val="clear" w:color="auto" w:fill="auto"/>
            <w:noWrap/>
            <w:vAlign w:val="center"/>
          </w:tcPr>
          <w:p w14:paraId="7F8B2F1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94.77</w:t>
            </w:r>
          </w:p>
        </w:tc>
        <w:tc>
          <w:tcPr>
            <w:tcW w:w="1991" w:type="dxa"/>
            <w:tcBorders>
              <w:top w:val="nil"/>
              <w:left w:val="nil"/>
              <w:bottom w:val="single" w:color="auto" w:sz="4" w:space="0"/>
              <w:right w:val="single" w:color="auto" w:sz="4" w:space="0"/>
            </w:tcBorders>
            <w:shd w:val="clear" w:color="auto" w:fill="auto"/>
            <w:noWrap/>
            <w:vAlign w:val="center"/>
          </w:tcPr>
          <w:p w14:paraId="5E089BA9">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219246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4A278A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58BE956">
            <w:pPr>
              <w:widowControl/>
              <w:jc w:val="right"/>
              <w:rPr>
                <w:rFonts w:hint="eastAsia" w:ascii="宋体" w:hAnsi="宋体" w:eastAsia="宋体" w:cs="宋体"/>
                <w:kern w:val="0"/>
                <w:sz w:val="24"/>
                <w:szCs w:val="24"/>
              </w:rPr>
            </w:pPr>
          </w:p>
        </w:tc>
      </w:tr>
      <w:tr w14:paraId="760A664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677E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481" w:type="dxa"/>
            <w:tcBorders>
              <w:top w:val="nil"/>
              <w:left w:val="nil"/>
              <w:bottom w:val="single" w:color="auto" w:sz="4" w:space="0"/>
              <w:right w:val="single" w:color="auto" w:sz="4" w:space="0"/>
            </w:tcBorders>
            <w:shd w:val="clear" w:color="000000" w:fill="FFFFFF"/>
            <w:noWrap/>
            <w:vAlign w:val="center"/>
          </w:tcPr>
          <w:p w14:paraId="24E497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43E7F0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991" w:type="dxa"/>
            <w:tcBorders>
              <w:top w:val="nil"/>
              <w:left w:val="nil"/>
              <w:bottom w:val="single" w:color="auto" w:sz="4" w:space="0"/>
              <w:right w:val="single" w:color="auto" w:sz="4" w:space="0"/>
            </w:tcBorders>
            <w:shd w:val="clear" w:color="auto" w:fill="auto"/>
            <w:noWrap/>
            <w:vAlign w:val="center"/>
          </w:tcPr>
          <w:p w14:paraId="68D21B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991" w:type="dxa"/>
            <w:tcBorders>
              <w:top w:val="nil"/>
              <w:left w:val="nil"/>
              <w:bottom w:val="single" w:color="auto" w:sz="4" w:space="0"/>
              <w:right w:val="single" w:color="auto" w:sz="4" w:space="0"/>
            </w:tcBorders>
            <w:shd w:val="clear" w:color="auto" w:fill="auto"/>
            <w:noWrap/>
            <w:vAlign w:val="center"/>
          </w:tcPr>
          <w:p w14:paraId="7D5C0B61">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2365A1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F42A40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20CE938">
            <w:pPr>
              <w:widowControl/>
              <w:jc w:val="right"/>
              <w:rPr>
                <w:rFonts w:hint="eastAsia" w:ascii="宋体" w:hAnsi="宋体" w:eastAsia="宋体" w:cs="宋体"/>
                <w:kern w:val="0"/>
                <w:sz w:val="24"/>
                <w:szCs w:val="24"/>
              </w:rPr>
            </w:pPr>
          </w:p>
        </w:tc>
      </w:tr>
      <w:tr w14:paraId="0B3B82B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7935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1481" w:type="dxa"/>
            <w:tcBorders>
              <w:top w:val="nil"/>
              <w:left w:val="nil"/>
              <w:bottom w:val="single" w:color="auto" w:sz="4" w:space="0"/>
              <w:right w:val="single" w:color="auto" w:sz="4" w:space="0"/>
            </w:tcBorders>
            <w:shd w:val="clear" w:color="000000" w:fill="FFFFFF"/>
            <w:noWrap/>
            <w:vAlign w:val="center"/>
          </w:tcPr>
          <w:p w14:paraId="4D4506C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04D127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991" w:type="dxa"/>
            <w:tcBorders>
              <w:top w:val="nil"/>
              <w:left w:val="nil"/>
              <w:bottom w:val="single" w:color="auto" w:sz="4" w:space="0"/>
              <w:right w:val="single" w:color="auto" w:sz="4" w:space="0"/>
            </w:tcBorders>
            <w:shd w:val="clear" w:color="auto" w:fill="auto"/>
            <w:noWrap/>
            <w:vAlign w:val="center"/>
          </w:tcPr>
          <w:p w14:paraId="4E3347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991" w:type="dxa"/>
            <w:tcBorders>
              <w:top w:val="nil"/>
              <w:left w:val="nil"/>
              <w:bottom w:val="single" w:color="auto" w:sz="4" w:space="0"/>
              <w:right w:val="single" w:color="auto" w:sz="4" w:space="0"/>
            </w:tcBorders>
            <w:shd w:val="clear" w:color="auto" w:fill="auto"/>
            <w:noWrap/>
            <w:vAlign w:val="center"/>
          </w:tcPr>
          <w:p w14:paraId="5D54928D">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F6FE1C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8F5630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F1F9A43">
            <w:pPr>
              <w:widowControl/>
              <w:jc w:val="right"/>
              <w:rPr>
                <w:rFonts w:hint="eastAsia" w:ascii="宋体" w:hAnsi="宋体" w:eastAsia="宋体" w:cs="宋体"/>
                <w:kern w:val="0"/>
                <w:sz w:val="24"/>
                <w:szCs w:val="24"/>
              </w:rPr>
            </w:pPr>
          </w:p>
        </w:tc>
      </w:tr>
      <w:tr w14:paraId="11641D2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E803A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481" w:type="dxa"/>
            <w:tcBorders>
              <w:top w:val="nil"/>
              <w:left w:val="nil"/>
              <w:bottom w:val="single" w:color="auto" w:sz="4" w:space="0"/>
              <w:right w:val="single" w:color="auto" w:sz="4" w:space="0"/>
            </w:tcBorders>
            <w:shd w:val="clear" w:color="000000" w:fill="FFFFFF"/>
            <w:noWrap/>
            <w:vAlign w:val="center"/>
          </w:tcPr>
          <w:p w14:paraId="24DC97A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952" w:type="dxa"/>
            <w:tcBorders>
              <w:top w:val="nil"/>
              <w:left w:val="nil"/>
              <w:bottom w:val="single" w:color="auto" w:sz="4" w:space="0"/>
              <w:right w:val="single" w:color="auto" w:sz="4" w:space="0"/>
            </w:tcBorders>
            <w:shd w:val="clear" w:color="auto" w:fill="auto"/>
            <w:noWrap/>
            <w:vAlign w:val="center"/>
          </w:tcPr>
          <w:p w14:paraId="52ADC04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991" w:type="dxa"/>
            <w:tcBorders>
              <w:top w:val="nil"/>
              <w:left w:val="nil"/>
              <w:bottom w:val="single" w:color="auto" w:sz="4" w:space="0"/>
              <w:right w:val="single" w:color="auto" w:sz="4" w:space="0"/>
            </w:tcBorders>
            <w:shd w:val="clear" w:color="auto" w:fill="auto"/>
            <w:noWrap/>
            <w:vAlign w:val="center"/>
          </w:tcPr>
          <w:p w14:paraId="36472E9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122.27</w:t>
            </w:r>
          </w:p>
        </w:tc>
        <w:tc>
          <w:tcPr>
            <w:tcW w:w="1991" w:type="dxa"/>
            <w:tcBorders>
              <w:top w:val="nil"/>
              <w:left w:val="nil"/>
              <w:bottom w:val="single" w:color="auto" w:sz="4" w:space="0"/>
              <w:right w:val="single" w:color="auto" w:sz="4" w:space="0"/>
            </w:tcBorders>
            <w:shd w:val="clear" w:color="auto" w:fill="auto"/>
            <w:noWrap/>
            <w:vAlign w:val="center"/>
          </w:tcPr>
          <w:p w14:paraId="26575F8F">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69D15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C3BEC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E6C5A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F65A3B">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FD97DE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B9001A1">
      <w:pPr>
        <w:widowControl/>
        <w:jc w:val="both"/>
        <w:rPr>
          <w:rFonts w:ascii="Times New Roman" w:hAnsi="Times New Roman" w:eastAsia="方正小标宋_GBK" w:cs="Times New Roman"/>
          <w:color w:val="000000"/>
          <w:kern w:val="0"/>
          <w:sz w:val="36"/>
          <w:szCs w:val="21"/>
        </w:rPr>
      </w:pPr>
    </w:p>
    <w:p w14:paraId="7C7CD8A8">
      <w:pPr>
        <w:widowControl/>
        <w:jc w:val="both"/>
        <w:rPr>
          <w:rFonts w:ascii="Times New Roman" w:hAnsi="Times New Roman" w:eastAsia="方正小标宋_GBK" w:cs="Times New Roman"/>
          <w:color w:val="000000"/>
          <w:kern w:val="0"/>
          <w:sz w:val="36"/>
          <w:szCs w:val="21"/>
        </w:rPr>
      </w:pPr>
    </w:p>
    <w:p w14:paraId="1B2E50F2">
      <w:pPr>
        <w:widowControl/>
        <w:jc w:val="both"/>
        <w:rPr>
          <w:rFonts w:ascii="Times New Roman" w:hAnsi="Times New Roman" w:eastAsia="方正小标宋_GBK" w:cs="Times New Roman"/>
          <w:color w:val="000000"/>
          <w:kern w:val="0"/>
          <w:sz w:val="36"/>
          <w:szCs w:val="21"/>
        </w:rPr>
      </w:pPr>
    </w:p>
    <w:p w14:paraId="68596268">
      <w:pPr>
        <w:widowControl/>
        <w:jc w:val="both"/>
        <w:rPr>
          <w:rFonts w:ascii="Times New Roman" w:hAnsi="Times New Roman" w:eastAsia="方正小标宋_GBK" w:cs="Times New Roman"/>
          <w:color w:val="000000"/>
          <w:kern w:val="0"/>
          <w:sz w:val="36"/>
          <w:szCs w:val="21"/>
        </w:rPr>
      </w:pPr>
    </w:p>
    <w:p w14:paraId="3DCDFB54">
      <w:pPr>
        <w:widowControl/>
        <w:jc w:val="both"/>
        <w:rPr>
          <w:rFonts w:ascii="Times New Roman" w:hAnsi="Times New Roman" w:eastAsia="方正小标宋_GBK" w:cs="Times New Roman"/>
          <w:color w:val="000000"/>
          <w:kern w:val="0"/>
          <w:sz w:val="36"/>
          <w:szCs w:val="21"/>
        </w:rPr>
      </w:pPr>
    </w:p>
    <w:p w14:paraId="2459F44E">
      <w:pPr>
        <w:widowControl/>
        <w:jc w:val="both"/>
        <w:rPr>
          <w:rFonts w:ascii="Times New Roman" w:hAnsi="Times New Roman" w:eastAsia="方正小标宋_GBK" w:cs="Times New Roman"/>
          <w:color w:val="000000"/>
          <w:kern w:val="0"/>
          <w:sz w:val="36"/>
          <w:szCs w:val="21"/>
        </w:rPr>
      </w:pPr>
    </w:p>
    <w:p w14:paraId="1C62434D">
      <w:pPr>
        <w:widowControl/>
        <w:jc w:val="both"/>
        <w:rPr>
          <w:rFonts w:ascii="Times New Roman" w:hAnsi="Times New Roman" w:eastAsia="方正小标宋_GBK" w:cs="Times New Roman"/>
          <w:color w:val="000000"/>
          <w:kern w:val="0"/>
          <w:sz w:val="36"/>
          <w:szCs w:val="21"/>
        </w:rPr>
      </w:pPr>
    </w:p>
    <w:p w14:paraId="0BFB501B">
      <w:pPr>
        <w:widowControl/>
        <w:jc w:val="both"/>
        <w:rPr>
          <w:rFonts w:ascii="Times New Roman" w:hAnsi="Times New Roman" w:eastAsia="方正小标宋_GBK" w:cs="Times New Roman"/>
          <w:color w:val="000000"/>
          <w:kern w:val="0"/>
          <w:sz w:val="36"/>
          <w:szCs w:val="21"/>
        </w:rPr>
      </w:pPr>
    </w:p>
    <w:p w14:paraId="3AA6D3C6">
      <w:pPr>
        <w:widowControl/>
        <w:jc w:val="both"/>
        <w:rPr>
          <w:rFonts w:ascii="Times New Roman" w:hAnsi="Times New Roman" w:eastAsia="方正小标宋_GBK" w:cs="Times New Roman"/>
          <w:color w:val="000000"/>
          <w:kern w:val="0"/>
          <w:sz w:val="36"/>
          <w:szCs w:val="21"/>
        </w:rPr>
      </w:pPr>
    </w:p>
    <w:p w14:paraId="6F6C2D83">
      <w:pPr>
        <w:widowControl/>
        <w:jc w:val="both"/>
        <w:rPr>
          <w:rFonts w:ascii="Times New Roman" w:hAnsi="Times New Roman" w:eastAsia="方正小标宋_GBK" w:cs="Times New Roman"/>
          <w:color w:val="000000"/>
          <w:kern w:val="0"/>
          <w:sz w:val="36"/>
          <w:szCs w:val="21"/>
        </w:rPr>
      </w:pPr>
    </w:p>
    <w:p w14:paraId="1B385F77">
      <w:pPr>
        <w:widowControl/>
        <w:jc w:val="both"/>
        <w:rPr>
          <w:rFonts w:ascii="Times New Roman" w:hAnsi="Times New Roman" w:eastAsia="方正小标宋_GBK" w:cs="Times New Roman"/>
          <w:color w:val="000000"/>
          <w:kern w:val="0"/>
          <w:sz w:val="36"/>
          <w:szCs w:val="21"/>
        </w:rPr>
      </w:pPr>
    </w:p>
    <w:tbl>
      <w:tblPr>
        <w:tblStyle w:val="10"/>
        <w:tblW w:w="15521" w:type="dxa"/>
        <w:tblInd w:w="93" w:type="dxa"/>
        <w:tblLayout w:type="autofit"/>
        <w:tblCellMar>
          <w:top w:w="0" w:type="dxa"/>
          <w:left w:w="108" w:type="dxa"/>
          <w:bottom w:w="0" w:type="dxa"/>
          <w:right w:w="108" w:type="dxa"/>
        </w:tblCellMar>
      </w:tblPr>
      <w:tblGrid>
        <w:gridCol w:w="3591"/>
        <w:gridCol w:w="436"/>
        <w:gridCol w:w="1095"/>
        <w:gridCol w:w="495"/>
        <w:gridCol w:w="2911"/>
        <w:gridCol w:w="631"/>
        <w:gridCol w:w="435"/>
        <w:gridCol w:w="1571"/>
        <w:gridCol w:w="1392"/>
        <w:gridCol w:w="1392"/>
        <w:gridCol w:w="1572"/>
      </w:tblGrid>
      <w:tr w14:paraId="4C1E1555">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74963CEE">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1A42C5AA">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0D61D85">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12215CE">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43C7F04">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C8F8BD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74EF286">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B4F25B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F6B7F16">
            <w:pPr>
              <w:widowControl/>
              <w:jc w:val="right"/>
              <w:rPr>
                <w:rFonts w:ascii="宋体" w:hAnsi="宋体" w:eastAsia="宋体" w:cs="宋体"/>
                <w:kern w:val="0"/>
                <w:sz w:val="24"/>
                <w:szCs w:val="24"/>
              </w:rPr>
            </w:pPr>
          </w:p>
        </w:tc>
      </w:tr>
      <w:tr w14:paraId="6654F75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08DA21F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0857E92">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0C388F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69DB9F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0DAF2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1F50F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61A5D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1CF19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820C4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8C9F2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612283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2C362C5">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17A1A1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3987BF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21F57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C3731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CAA5A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3933C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00F13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B472D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2BADE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45C454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3D5BE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120B459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355855A">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64F6B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69C209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5B71CB7A">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73B2EBB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B5AD88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01CEC1E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117FF2FF">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20509956">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49DA75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0F0B5D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8E381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A4F376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1F45F2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4020233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989D95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187DF2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3D2801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3C6C5C0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309617D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9D8A42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5170057">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6D5E056">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52BF8DA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5,511.40</w:t>
            </w:r>
          </w:p>
        </w:tc>
        <w:tc>
          <w:tcPr>
            <w:tcW w:w="3411" w:type="dxa"/>
            <w:gridSpan w:val="2"/>
            <w:tcBorders>
              <w:top w:val="nil"/>
              <w:left w:val="nil"/>
              <w:bottom w:val="single" w:color="auto" w:sz="4" w:space="0"/>
              <w:right w:val="single" w:color="auto" w:sz="4" w:space="0"/>
            </w:tcBorders>
            <w:shd w:val="clear" w:color="auto" w:fill="auto"/>
            <w:noWrap/>
            <w:vAlign w:val="center"/>
          </w:tcPr>
          <w:p w14:paraId="0E7FB886">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A1D3CD">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12CA04C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0.30</w:t>
            </w:r>
          </w:p>
        </w:tc>
        <w:tc>
          <w:tcPr>
            <w:tcW w:w="1394" w:type="dxa"/>
            <w:tcBorders>
              <w:top w:val="nil"/>
              <w:left w:val="nil"/>
              <w:bottom w:val="single" w:color="auto" w:sz="4" w:space="0"/>
              <w:right w:val="single" w:color="auto" w:sz="4" w:space="0"/>
            </w:tcBorders>
            <w:shd w:val="clear" w:color="auto" w:fill="auto"/>
            <w:noWrap/>
            <w:vAlign w:val="center"/>
          </w:tcPr>
          <w:p w14:paraId="75AFCBA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0.30</w:t>
            </w:r>
          </w:p>
        </w:tc>
        <w:tc>
          <w:tcPr>
            <w:tcW w:w="1394" w:type="dxa"/>
            <w:tcBorders>
              <w:top w:val="nil"/>
              <w:left w:val="nil"/>
              <w:bottom w:val="single" w:color="auto" w:sz="4" w:space="0"/>
              <w:right w:val="single" w:color="auto" w:sz="4" w:space="0"/>
            </w:tcBorders>
            <w:shd w:val="clear" w:color="auto" w:fill="auto"/>
            <w:noWrap/>
            <w:vAlign w:val="center"/>
          </w:tcPr>
          <w:p w14:paraId="010D8CF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977D043">
            <w:pPr>
              <w:widowControl/>
              <w:jc w:val="right"/>
              <w:rPr>
                <w:rFonts w:ascii="宋体" w:hAnsi="宋体" w:eastAsia="宋体" w:cs="宋体"/>
                <w:kern w:val="0"/>
                <w:sz w:val="22"/>
              </w:rPr>
            </w:pPr>
            <w:r>
              <w:rPr>
                <w:rFonts w:hint="eastAsia" w:ascii="宋体" w:hAnsi="宋体" w:eastAsia="宋体" w:cs="宋体"/>
                <w:kern w:val="0"/>
                <w:sz w:val="22"/>
              </w:rPr>
              <w:t>　</w:t>
            </w:r>
          </w:p>
        </w:tc>
      </w:tr>
      <w:tr w14:paraId="592593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C8291F">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E5B3BA2">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5F31B7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0CB05D9">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9C3FD0">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01D2BF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8005C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3C61B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9A3E4D">
            <w:pPr>
              <w:widowControl/>
              <w:jc w:val="right"/>
              <w:rPr>
                <w:rFonts w:ascii="宋体" w:hAnsi="宋体" w:eastAsia="宋体" w:cs="宋体"/>
                <w:kern w:val="0"/>
                <w:sz w:val="22"/>
              </w:rPr>
            </w:pPr>
            <w:r>
              <w:rPr>
                <w:rFonts w:hint="eastAsia" w:ascii="宋体" w:hAnsi="宋体" w:eastAsia="宋体" w:cs="宋体"/>
                <w:kern w:val="0"/>
                <w:sz w:val="22"/>
              </w:rPr>
              <w:t>　</w:t>
            </w:r>
          </w:p>
        </w:tc>
      </w:tr>
      <w:tr w14:paraId="21C919F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2EF37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0D1951D">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7D13F4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67F7066">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DB9C83E">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26C3314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796ED1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73EB5E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1AA340A">
            <w:pPr>
              <w:widowControl/>
              <w:jc w:val="right"/>
              <w:rPr>
                <w:rFonts w:ascii="宋体" w:hAnsi="宋体" w:eastAsia="宋体" w:cs="宋体"/>
                <w:kern w:val="0"/>
                <w:sz w:val="22"/>
              </w:rPr>
            </w:pPr>
            <w:r>
              <w:rPr>
                <w:rFonts w:hint="eastAsia" w:ascii="宋体" w:hAnsi="宋体" w:eastAsia="宋体" w:cs="宋体"/>
                <w:kern w:val="0"/>
                <w:sz w:val="22"/>
              </w:rPr>
              <w:t>　</w:t>
            </w:r>
          </w:p>
        </w:tc>
      </w:tr>
      <w:tr w14:paraId="0223684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A1CF3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97FFA45">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0860006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2BE23A2">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0161F41">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12E5DDF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1A252B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C1F30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8846A3">
            <w:pPr>
              <w:widowControl/>
              <w:jc w:val="right"/>
              <w:rPr>
                <w:rFonts w:ascii="宋体" w:hAnsi="宋体" w:eastAsia="宋体" w:cs="宋体"/>
                <w:kern w:val="0"/>
                <w:sz w:val="22"/>
              </w:rPr>
            </w:pPr>
            <w:r>
              <w:rPr>
                <w:rFonts w:hint="eastAsia" w:ascii="宋体" w:hAnsi="宋体" w:eastAsia="宋体" w:cs="宋体"/>
                <w:kern w:val="0"/>
                <w:sz w:val="22"/>
              </w:rPr>
              <w:t>　</w:t>
            </w:r>
          </w:p>
        </w:tc>
      </w:tr>
      <w:tr w14:paraId="05C1EAB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F464D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2D36248">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3E46477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C163BC1">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759373">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2442ED2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5,076.05</w:t>
            </w:r>
          </w:p>
        </w:tc>
        <w:tc>
          <w:tcPr>
            <w:tcW w:w="1394" w:type="dxa"/>
            <w:tcBorders>
              <w:top w:val="nil"/>
              <w:left w:val="nil"/>
              <w:bottom w:val="single" w:color="auto" w:sz="4" w:space="0"/>
              <w:right w:val="single" w:color="auto" w:sz="4" w:space="0"/>
            </w:tcBorders>
            <w:shd w:val="clear" w:color="auto" w:fill="auto"/>
            <w:noWrap/>
            <w:vAlign w:val="center"/>
          </w:tcPr>
          <w:p w14:paraId="1CE8C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5,076.05</w:t>
            </w:r>
          </w:p>
        </w:tc>
        <w:tc>
          <w:tcPr>
            <w:tcW w:w="1394" w:type="dxa"/>
            <w:tcBorders>
              <w:top w:val="nil"/>
              <w:left w:val="nil"/>
              <w:bottom w:val="single" w:color="auto" w:sz="4" w:space="0"/>
              <w:right w:val="single" w:color="auto" w:sz="4" w:space="0"/>
            </w:tcBorders>
            <w:shd w:val="clear" w:color="auto" w:fill="auto"/>
            <w:noWrap/>
            <w:vAlign w:val="center"/>
          </w:tcPr>
          <w:p w14:paraId="2B6BBB9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C88B08B">
            <w:pPr>
              <w:widowControl/>
              <w:jc w:val="right"/>
              <w:rPr>
                <w:rFonts w:ascii="宋体" w:hAnsi="宋体" w:eastAsia="宋体" w:cs="宋体"/>
                <w:kern w:val="0"/>
                <w:sz w:val="22"/>
              </w:rPr>
            </w:pPr>
            <w:r>
              <w:rPr>
                <w:rFonts w:hint="eastAsia" w:ascii="宋体" w:hAnsi="宋体" w:eastAsia="宋体" w:cs="宋体"/>
                <w:kern w:val="0"/>
                <w:sz w:val="22"/>
              </w:rPr>
              <w:t>　</w:t>
            </w:r>
          </w:p>
        </w:tc>
      </w:tr>
      <w:tr w14:paraId="733EA6A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26E7B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73FDC82">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407C91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4C0365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E32573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14:paraId="79A7935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340.27</w:t>
            </w:r>
          </w:p>
        </w:tc>
        <w:tc>
          <w:tcPr>
            <w:tcW w:w="1394" w:type="dxa"/>
            <w:tcBorders>
              <w:top w:val="nil"/>
              <w:left w:val="nil"/>
              <w:bottom w:val="single" w:color="auto" w:sz="4" w:space="0"/>
              <w:right w:val="single" w:color="auto" w:sz="4" w:space="0"/>
            </w:tcBorders>
            <w:shd w:val="clear" w:color="auto" w:fill="auto"/>
            <w:noWrap/>
            <w:vAlign w:val="center"/>
          </w:tcPr>
          <w:p w14:paraId="044ED2C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340.27</w:t>
            </w:r>
          </w:p>
        </w:tc>
        <w:tc>
          <w:tcPr>
            <w:tcW w:w="1394" w:type="dxa"/>
            <w:tcBorders>
              <w:top w:val="nil"/>
              <w:left w:val="nil"/>
              <w:bottom w:val="single" w:color="auto" w:sz="4" w:space="0"/>
              <w:right w:val="single" w:color="auto" w:sz="4" w:space="0"/>
            </w:tcBorders>
            <w:shd w:val="clear" w:color="auto" w:fill="auto"/>
            <w:noWrap/>
            <w:vAlign w:val="center"/>
          </w:tcPr>
          <w:p w14:paraId="459F32E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462A4F0">
            <w:pPr>
              <w:widowControl/>
              <w:jc w:val="right"/>
              <w:rPr>
                <w:rFonts w:ascii="宋体" w:hAnsi="宋体" w:eastAsia="宋体" w:cs="宋体"/>
                <w:kern w:val="0"/>
                <w:sz w:val="22"/>
              </w:rPr>
            </w:pPr>
            <w:r>
              <w:rPr>
                <w:rFonts w:hint="eastAsia" w:ascii="宋体" w:hAnsi="宋体" w:eastAsia="宋体" w:cs="宋体"/>
                <w:kern w:val="0"/>
                <w:sz w:val="22"/>
              </w:rPr>
              <w:t>　</w:t>
            </w:r>
          </w:p>
        </w:tc>
      </w:tr>
      <w:tr w14:paraId="034D5CB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C5CE6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322B12C">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0D452B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1848AB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25A1AB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14:paraId="41B879C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94.77</w:t>
            </w:r>
          </w:p>
        </w:tc>
        <w:tc>
          <w:tcPr>
            <w:tcW w:w="1394" w:type="dxa"/>
            <w:tcBorders>
              <w:top w:val="nil"/>
              <w:left w:val="nil"/>
              <w:bottom w:val="single" w:color="auto" w:sz="4" w:space="0"/>
              <w:right w:val="single" w:color="auto" w:sz="4" w:space="0"/>
            </w:tcBorders>
            <w:shd w:val="clear" w:color="auto" w:fill="auto"/>
            <w:noWrap/>
            <w:vAlign w:val="center"/>
          </w:tcPr>
          <w:p w14:paraId="65D5390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94.77</w:t>
            </w:r>
          </w:p>
        </w:tc>
        <w:tc>
          <w:tcPr>
            <w:tcW w:w="1394" w:type="dxa"/>
            <w:tcBorders>
              <w:top w:val="nil"/>
              <w:left w:val="nil"/>
              <w:bottom w:val="single" w:color="auto" w:sz="4" w:space="0"/>
              <w:right w:val="single" w:color="auto" w:sz="4" w:space="0"/>
            </w:tcBorders>
            <w:shd w:val="clear" w:color="auto" w:fill="auto"/>
            <w:noWrap/>
            <w:vAlign w:val="center"/>
          </w:tcPr>
          <w:p w14:paraId="31E1492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AF1543">
            <w:pPr>
              <w:widowControl/>
              <w:jc w:val="right"/>
              <w:rPr>
                <w:rFonts w:ascii="宋体" w:hAnsi="宋体" w:eastAsia="宋体" w:cs="宋体"/>
                <w:kern w:val="0"/>
                <w:sz w:val="22"/>
              </w:rPr>
            </w:pPr>
            <w:r>
              <w:rPr>
                <w:rFonts w:hint="eastAsia" w:ascii="宋体" w:hAnsi="宋体" w:eastAsia="宋体" w:cs="宋体"/>
                <w:kern w:val="0"/>
                <w:sz w:val="22"/>
              </w:rPr>
              <w:t>　</w:t>
            </w:r>
          </w:p>
        </w:tc>
      </w:tr>
      <w:tr w14:paraId="09514DC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0E39D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466574A">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7E33AC98">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4B85AB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6426CA2">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210A25B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4D8B1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EAA6F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07BFD49">
            <w:pPr>
              <w:widowControl/>
              <w:jc w:val="center"/>
              <w:rPr>
                <w:rFonts w:ascii="宋体" w:hAnsi="宋体" w:eastAsia="宋体" w:cs="宋体"/>
                <w:kern w:val="0"/>
                <w:sz w:val="22"/>
              </w:rPr>
            </w:pPr>
            <w:r>
              <w:rPr>
                <w:rFonts w:hint="eastAsia" w:ascii="宋体" w:hAnsi="宋体" w:eastAsia="宋体" w:cs="宋体"/>
                <w:kern w:val="0"/>
                <w:sz w:val="22"/>
              </w:rPr>
              <w:t>　</w:t>
            </w:r>
          </w:p>
        </w:tc>
      </w:tr>
      <w:tr w14:paraId="643DC46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69BC95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A28D8E3">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60CE4BF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5,511.40</w:t>
            </w:r>
          </w:p>
        </w:tc>
        <w:tc>
          <w:tcPr>
            <w:tcW w:w="3411" w:type="dxa"/>
            <w:gridSpan w:val="2"/>
            <w:tcBorders>
              <w:top w:val="nil"/>
              <w:left w:val="nil"/>
              <w:bottom w:val="single" w:color="auto" w:sz="4" w:space="0"/>
              <w:right w:val="single" w:color="auto" w:sz="4" w:space="0"/>
            </w:tcBorders>
            <w:shd w:val="clear" w:color="auto" w:fill="auto"/>
            <w:noWrap/>
            <w:vAlign w:val="center"/>
          </w:tcPr>
          <w:p w14:paraId="365B619D">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02C59F7D">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0BEDD0C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5,511.40</w:t>
            </w:r>
          </w:p>
        </w:tc>
        <w:tc>
          <w:tcPr>
            <w:tcW w:w="1394" w:type="dxa"/>
            <w:tcBorders>
              <w:top w:val="nil"/>
              <w:left w:val="nil"/>
              <w:bottom w:val="single" w:color="auto" w:sz="4" w:space="0"/>
              <w:right w:val="single" w:color="auto" w:sz="4" w:space="0"/>
            </w:tcBorders>
            <w:shd w:val="clear" w:color="auto" w:fill="auto"/>
            <w:noWrap/>
            <w:vAlign w:val="center"/>
          </w:tcPr>
          <w:p w14:paraId="1C336BE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5,511.40</w:t>
            </w:r>
          </w:p>
        </w:tc>
        <w:tc>
          <w:tcPr>
            <w:tcW w:w="1394" w:type="dxa"/>
            <w:tcBorders>
              <w:top w:val="nil"/>
              <w:left w:val="nil"/>
              <w:bottom w:val="single" w:color="auto" w:sz="4" w:space="0"/>
              <w:right w:val="single" w:color="auto" w:sz="4" w:space="0"/>
            </w:tcBorders>
            <w:shd w:val="clear" w:color="auto" w:fill="auto"/>
            <w:noWrap/>
            <w:vAlign w:val="center"/>
          </w:tcPr>
          <w:p w14:paraId="39CB5AE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99B15D3">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40983A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390877">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4DCDE3B">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5A1D407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D3F0144">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2001ABE4">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5CD7E4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FBB59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BF880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3B17A48">
            <w:pPr>
              <w:widowControl/>
              <w:jc w:val="left"/>
              <w:rPr>
                <w:rFonts w:ascii="宋体" w:hAnsi="宋体" w:eastAsia="宋体" w:cs="宋体"/>
                <w:kern w:val="0"/>
                <w:sz w:val="22"/>
              </w:rPr>
            </w:pPr>
            <w:r>
              <w:rPr>
                <w:rFonts w:hint="eastAsia" w:ascii="宋体" w:hAnsi="宋体" w:eastAsia="宋体" w:cs="宋体"/>
                <w:kern w:val="0"/>
                <w:sz w:val="22"/>
              </w:rPr>
              <w:t>　</w:t>
            </w:r>
          </w:p>
        </w:tc>
      </w:tr>
      <w:tr w14:paraId="3BFA1C0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02962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C7D4781">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920A36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B225F3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2882AA0">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7F0B2F7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10817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47E84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F527D52">
            <w:pPr>
              <w:widowControl/>
              <w:jc w:val="left"/>
              <w:rPr>
                <w:rFonts w:ascii="宋体" w:hAnsi="宋体" w:eastAsia="宋体" w:cs="宋体"/>
                <w:kern w:val="0"/>
                <w:sz w:val="22"/>
              </w:rPr>
            </w:pPr>
            <w:r>
              <w:rPr>
                <w:rFonts w:hint="eastAsia" w:ascii="宋体" w:hAnsi="宋体" w:eastAsia="宋体" w:cs="宋体"/>
                <w:kern w:val="0"/>
                <w:sz w:val="22"/>
              </w:rPr>
              <w:t>　</w:t>
            </w:r>
          </w:p>
        </w:tc>
      </w:tr>
      <w:tr w14:paraId="6F8059B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0B6621">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74CDAB2">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3FD60C5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24B1FF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D9AA1C2">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0B00BAD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ADE3BD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2EA7B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2CB238">
            <w:pPr>
              <w:widowControl/>
              <w:jc w:val="left"/>
              <w:rPr>
                <w:rFonts w:ascii="宋体" w:hAnsi="宋体" w:eastAsia="宋体" w:cs="宋体"/>
                <w:kern w:val="0"/>
                <w:sz w:val="22"/>
              </w:rPr>
            </w:pPr>
            <w:r>
              <w:rPr>
                <w:rFonts w:hint="eastAsia" w:ascii="宋体" w:hAnsi="宋体" w:eastAsia="宋体" w:cs="宋体"/>
                <w:kern w:val="0"/>
                <w:sz w:val="22"/>
              </w:rPr>
              <w:t>　</w:t>
            </w:r>
          </w:p>
        </w:tc>
      </w:tr>
      <w:tr w14:paraId="7EAA034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C993B3">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981DC63">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3065C10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3241CB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D6DF61F">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778559C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7AB13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6F0D1C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8FC972D">
            <w:pPr>
              <w:widowControl/>
              <w:jc w:val="left"/>
              <w:rPr>
                <w:rFonts w:ascii="宋体" w:hAnsi="宋体" w:eastAsia="宋体" w:cs="宋体"/>
                <w:kern w:val="0"/>
                <w:sz w:val="22"/>
              </w:rPr>
            </w:pPr>
            <w:r>
              <w:rPr>
                <w:rFonts w:hint="eastAsia" w:ascii="宋体" w:hAnsi="宋体" w:eastAsia="宋体" w:cs="宋体"/>
                <w:kern w:val="0"/>
                <w:sz w:val="22"/>
              </w:rPr>
              <w:t>　</w:t>
            </w:r>
          </w:p>
        </w:tc>
      </w:tr>
      <w:tr w14:paraId="0B240B8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2C98056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3E3B41D">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E9989C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5,511.40</w:t>
            </w:r>
          </w:p>
        </w:tc>
        <w:tc>
          <w:tcPr>
            <w:tcW w:w="3411" w:type="dxa"/>
            <w:gridSpan w:val="2"/>
            <w:tcBorders>
              <w:top w:val="nil"/>
              <w:left w:val="nil"/>
              <w:bottom w:val="single" w:color="auto" w:sz="4" w:space="0"/>
              <w:right w:val="single" w:color="auto" w:sz="4" w:space="0"/>
            </w:tcBorders>
            <w:shd w:val="clear" w:color="000000" w:fill="FFFFFF"/>
            <w:noWrap/>
            <w:vAlign w:val="center"/>
          </w:tcPr>
          <w:p w14:paraId="18F4273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9A18726">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14:paraId="3C4D905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5,511.40</w:t>
            </w:r>
          </w:p>
        </w:tc>
        <w:tc>
          <w:tcPr>
            <w:tcW w:w="1394" w:type="dxa"/>
            <w:tcBorders>
              <w:top w:val="nil"/>
              <w:left w:val="nil"/>
              <w:bottom w:val="single" w:color="auto" w:sz="4" w:space="0"/>
              <w:right w:val="single" w:color="auto" w:sz="4" w:space="0"/>
            </w:tcBorders>
            <w:shd w:val="clear" w:color="auto" w:fill="auto"/>
            <w:noWrap/>
            <w:vAlign w:val="center"/>
          </w:tcPr>
          <w:p w14:paraId="5FC40EC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5,511.40</w:t>
            </w:r>
          </w:p>
        </w:tc>
        <w:tc>
          <w:tcPr>
            <w:tcW w:w="1394" w:type="dxa"/>
            <w:tcBorders>
              <w:top w:val="nil"/>
              <w:left w:val="nil"/>
              <w:bottom w:val="single" w:color="auto" w:sz="4" w:space="0"/>
              <w:right w:val="single" w:color="auto" w:sz="4" w:space="0"/>
            </w:tcBorders>
            <w:shd w:val="clear" w:color="auto" w:fill="auto"/>
            <w:noWrap/>
            <w:vAlign w:val="center"/>
          </w:tcPr>
          <w:p w14:paraId="06715ECD">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F14E8D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AC8BFEB">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56A378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4EE17F0">
      <w:pPr>
        <w:widowControl/>
        <w:jc w:val="both"/>
        <w:rPr>
          <w:rFonts w:ascii="Times New Roman" w:hAnsi="Times New Roman" w:eastAsia="方正小标宋_GBK" w:cs="Times New Roman"/>
          <w:kern w:val="0"/>
          <w:sz w:val="36"/>
          <w:szCs w:val="36"/>
        </w:rPr>
      </w:pPr>
    </w:p>
    <w:p w14:paraId="385E581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423A2F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024E3B9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D5F2BF4">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E6880A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4407C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18CC878">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6DBDF3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C3A335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CBFC68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05AB36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212D1D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A00B95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38E88B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CF3018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551482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1A4485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39062A3">
            <w:pPr>
              <w:widowControl/>
              <w:jc w:val="left"/>
              <w:rPr>
                <w:rFonts w:ascii="Times New Roman" w:hAnsi="Times New Roman" w:eastAsia="仿宋_GB2312" w:cs="Times New Roman"/>
                <w:kern w:val="0"/>
                <w:szCs w:val="21"/>
              </w:rPr>
            </w:pPr>
          </w:p>
        </w:tc>
      </w:tr>
      <w:tr w14:paraId="7E10212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64CB45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CA158D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E7C42D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772AE7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888A8AC">
            <w:pPr>
              <w:widowControl/>
              <w:jc w:val="left"/>
              <w:rPr>
                <w:rFonts w:ascii="Times New Roman" w:hAnsi="Times New Roman" w:eastAsia="仿宋_GB2312" w:cs="Times New Roman"/>
                <w:kern w:val="0"/>
                <w:szCs w:val="21"/>
              </w:rPr>
            </w:pPr>
          </w:p>
        </w:tc>
      </w:tr>
      <w:tr w14:paraId="5936A57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5FAF4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D40A9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B17E71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8BA99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6459E6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5FFF90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11A1A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5,511.40</w:t>
            </w:r>
          </w:p>
        </w:tc>
        <w:tc>
          <w:tcPr>
            <w:tcW w:w="3492" w:type="dxa"/>
            <w:tcBorders>
              <w:top w:val="nil"/>
              <w:left w:val="nil"/>
              <w:bottom w:val="single" w:color="auto" w:sz="4" w:space="0"/>
              <w:right w:val="single" w:color="auto" w:sz="4" w:space="0"/>
            </w:tcBorders>
            <w:shd w:val="clear" w:color="auto" w:fill="auto"/>
            <w:vAlign w:val="center"/>
          </w:tcPr>
          <w:p w14:paraId="25D9DA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2,040.28</w:t>
            </w:r>
          </w:p>
        </w:tc>
        <w:tc>
          <w:tcPr>
            <w:tcW w:w="3000" w:type="dxa"/>
            <w:tcBorders>
              <w:top w:val="nil"/>
              <w:left w:val="nil"/>
              <w:bottom w:val="single" w:color="auto" w:sz="4" w:space="0"/>
              <w:right w:val="single" w:color="auto" w:sz="8" w:space="0"/>
            </w:tcBorders>
            <w:shd w:val="clear" w:color="auto" w:fill="auto"/>
            <w:vAlign w:val="center"/>
          </w:tcPr>
          <w:p w14:paraId="114726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3,471.12</w:t>
            </w:r>
          </w:p>
        </w:tc>
      </w:tr>
      <w:tr w14:paraId="52A223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F10A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634CA0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89098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c>
          <w:tcPr>
            <w:tcW w:w="3492" w:type="dxa"/>
            <w:tcBorders>
              <w:top w:val="nil"/>
              <w:left w:val="nil"/>
              <w:bottom w:val="single" w:color="auto" w:sz="4" w:space="0"/>
              <w:right w:val="single" w:color="auto" w:sz="4" w:space="0"/>
            </w:tcBorders>
            <w:shd w:val="clear" w:color="auto" w:fill="auto"/>
            <w:vAlign w:val="center"/>
          </w:tcPr>
          <w:p w14:paraId="00B6DA8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7E263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r>
      <w:tr w14:paraId="62CE60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9C0F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223E11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0BFE77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c>
          <w:tcPr>
            <w:tcW w:w="3492" w:type="dxa"/>
            <w:tcBorders>
              <w:top w:val="nil"/>
              <w:left w:val="nil"/>
              <w:bottom w:val="single" w:color="auto" w:sz="4" w:space="0"/>
              <w:right w:val="single" w:color="auto" w:sz="4" w:space="0"/>
            </w:tcBorders>
            <w:shd w:val="clear" w:color="auto" w:fill="auto"/>
            <w:vAlign w:val="center"/>
          </w:tcPr>
          <w:p w14:paraId="301C7CC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1CED9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r>
      <w:tr w14:paraId="1E81EC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2D05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5B37A5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10E4B7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c>
          <w:tcPr>
            <w:tcW w:w="3492" w:type="dxa"/>
            <w:tcBorders>
              <w:top w:val="nil"/>
              <w:left w:val="nil"/>
              <w:bottom w:val="single" w:color="auto" w:sz="4" w:space="0"/>
              <w:right w:val="single" w:color="auto" w:sz="4" w:space="0"/>
            </w:tcBorders>
            <w:shd w:val="clear" w:color="auto" w:fill="auto"/>
            <w:vAlign w:val="center"/>
          </w:tcPr>
          <w:p w14:paraId="7212CB8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C96C2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r>
      <w:tr w14:paraId="31E77F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6924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613CF2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62FFF7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5,076.05</w:t>
            </w:r>
          </w:p>
        </w:tc>
        <w:tc>
          <w:tcPr>
            <w:tcW w:w="3492" w:type="dxa"/>
            <w:tcBorders>
              <w:top w:val="nil"/>
              <w:left w:val="nil"/>
              <w:bottom w:val="single" w:color="auto" w:sz="4" w:space="0"/>
              <w:right w:val="single" w:color="auto" w:sz="4" w:space="0"/>
            </w:tcBorders>
            <w:shd w:val="clear" w:color="auto" w:fill="auto"/>
            <w:vAlign w:val="center"/>
          </w:tcPr>
          <w:p w14:paraId="1895AF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1,605.23</w:t>
            </w:r>
          </w:p>
        </w:tc>
        <w:tc>
          <w:tcPr>
            <w:tcW w:w="3000" w:type="dxa"/>
            <w:tcBorders>
              <w:top w:val="nil"/>
              <w:left w:val="nil"/>
              <w:bottom w:val="single" w:color="auto" w:sz="4" w:space="0"/>
              <w:right w:val="single" w:color="auto" w:sz="8" w:space="0"/>
            </w:tcBorders>
            <w:shd w:val="clear" w:color="auto" w:fill="auto"/>
            <w:vAlign w:val="center"/>
          </w:tcPr>
          <w:p w14:paraId="3B84C7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3,470.82</w:t>
            </w:r>
          </w:p>
        </w:tc>
      </w:tr>
      <w:tr w14:paraId="5FE757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3655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w:t>
            </w:r>
          </w:p>
        </w:tc>
        <w:tc>
          <w:tcPr>
            <w:tcW w:w="3527" w:type="dxa"/>
            <w:tcBorders>
              <w:top w:val="nil"/>
              <w:left w:val="nil"/>
              <w:bottom w:val="single" w:color="auto" w:sz="4" w:space="0"/>
              <w:right w:val="single" w:color="auto" w:sz="4" w:space="0"/>
            </w:tcBorders>
            <w:shd w:val="clear" w:color="auto" w:fill="auto"/>
            <w:vAlign w:val="center"/>
          </w:tcPr>
          <w:p w14:paraId="3F4411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教育管理事务</w:t>
            </w:r>
          </w:p>
        </w:tc>
        <w:tc>
          <w:tcPr>
            <w:tcW w:w="3000" w:type="dxa"/>
            <w:tcBorders>
              <w:top w:val="nil"/>
              <w:left w:val="nil"/>
              <w:bottom w:val="single" w:color="auto" w:sz="4" w:space="0"/>
              <w:right w:val="single" w:color="auto" w:sz="4" w:space="0"/>
            </w:tcBorders>
            <w:shd w:val="clear" w:color="auto" w:fill="auto"/>
            <w:vAlign w:val="center"/>
          </w:tcPr>
          <w:p w14:paraId="31692A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1,973.91</w:t>
            </w:r>
          </w:p>
        </w:tc>
        <w:tc>
          <w:tcPr>
            <w:tcW w:w="3492" w:type="dxa"/>
            <w:tcBorders>
              <w:top w:val="nil"/>
              <w:left w:val="nil"/>
              <w:bottom w:val="single" w:color="auto" w:sz="4" w:space="0"/>
              <w:right w:val="single" w:color="auto" w:sz="4" w:space="0"/>
            </w:tcBorders>
            <w:shd w:val="clear" w:color="auto" w:fill="auto"/>
            <w:vAlign w:val="center"/>
          </w:tcPr>
          <w:p w14:paraId="5727D7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1,605.23</w:t>
            </w:r>
          </w:p>
        </w:tc>
        <w:tc>
          <w:tcPr>
            <w:tcW w:w="3000" w:type="dxa"/>
            <w:tcBorders>
              <w:top w:val="nil"/>
              <w:left w:val="nil"/>
              <w:bottom w:val="single" w:color="auto" w:sz="4" w:space="0"/>
              <w:right w:val="single" w:color="auto" w:sz="8" w:space="0"/>
            </w:tcBorders>
            <w:shd w:val="clear" w:color="auto" w:fill="auto"/>
            <w:vAlign w:val="center"/>
          </w:tcPr>
          <w:p w14:paraId="0EBEB2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368.68</w:t>
            </w:r>
          </w:p>
        </w:tc>
      </w:tr>
      <w:tr w14:paraId="720BF3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E465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2050101</w:t>
            </w:r>
          </w:p>
        </w:tc>
        <w:tc>
          <w:tcPr>
            <w:tcW w:w="3527" w:type="dxa"/>
            <w:tcBorders>
              <w:top w:val="nil"/>
              <w:left w:val="nil"/>
              <w:bottom w:val="single" w:color="auto" w:sz="4" w:space="0"/>
              <w:right w:val="single" w:color="auto" w:sz="4" w:space="0"/>
            </w:tcBorders>
            <w:shd w:val="clear" w:color="auto" w:fill="auto"/>
            <w:vAlign w:val="center"/>
          </w:tcPr>
          <w:p w14:paraId="2F9D9D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88AB2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1,823.49</w:t>
            </w:r>
          </w:p>
        </w:tc>
        <w:tc>
          <w:tcPr>
            <w:tcW w:w="3492" w:type="dxa"/>
            <w:tcBorders>
              <w:top w:val="nil"/>
              <w:left w:val="nil"/>
              <w:bottom w:val="single" w:color="auto" w:sz="4" w:space="0"/>
              <w:right w:val="single" w:color="auto" w:sz="4" w:space="0"/>
            </w:tcBorders>
            <w:shd w:val="clear" w:color="auto" w:fill="auto"/>
            <w:vAlign w:val="center"/>
          </w:tcPr>
          <w:p w14:paraId="5FED03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1,516.77</w:t>
            </w:r>
          </w:p>
        </w:tc>
        <w:tc>
          <w:tcPr>
            <w:tcW w:w="3000" w:type="dxa"/>
            <w:tcBorders>
              <w:top w:val="nil"/>
              <w:left w:val="nil"/>
              <w:bottom w:val="single" w:color="auto" w:sz="4" w:space="0"/>
              <w:right w:val="single" w:color="auto" w:sz="8" w:space="0"/>
            </w:tcBorders>
            <w:shd w:val="clear" w:color="auto" w:fill="auto"/>
            <w:vAlign w:val="center"/>
          </w:tcPr>
          <w:p w14:paraId="29DC34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306.72</w:t>
            </w:r>
          </w:p>
        </w:tc>
      </w:tr>
      <w:tr w14:paraId="14529A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D9F2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2050199</w:t>
            </w:r>
          </w:p>
        </w:tc>
        <w:tc>
          <w:tcPr>
            <w:tcW w:w="3527" w:type="dxa"/>
            <w:tcBorders>
              <w:top w:val="nil"/>
              <w:left w:val="nil"/>
              <w:bottom w:val="single" w:color="auto" w:sz="4" w:space="0"/>
              <w:right w:val="single" w:color="auto" w:sz="4" w:space="0"/>
            </w:tcBorders>
            <w:shd w:val="clear" w:color="auto" w:fill="auto"/>
            <w:vAlign w:val="center"/>
          </w:tcPr>
          <w:p w14:paraId="57EA47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其他教育管理事务支出</w:t>
            </w:r>
          </w:p>
        </w:tc>
        <w:tc>
          <w:tcPr>
            <w:tcW w:w="3000" w:type="dxa"/>
            <w:tcBorders>
              <w:top w:val="nil"/>
              <w:left w:val="nil"/>
              <w:bottom w:val="single" w:color="auto" w:sz="4" w:space="0"/>
              <w:right w:val="single" w:color="auto" w:sz="4" w:space="0"/>
            </w:tcBorders>
            <w:shd w:val="clear" w:color="auto" w:fill="auto"/>
            <w:vAlign w:val="center"/>
          </w:tcPr>
          <w:p w14:paraId="619D2A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150.42</w:t>
            </w:r>
          </w:p>
        </w:tc>
        <w:tc>
          <w:tcPr>
            <w:tcW w:w="3492" w:type="dxa"/>
            <w:tcBorders>
              <w:top w:val="nil"/>
              <w:left w:val="nil"/>
              <w:bottom w:val="single" w:color="auto" w:sz="4" w:space="0"/>
              <w:right w:val="single" w:color="auto" w:sz="4" w:space="0"/>
            </w:tcBorders>
            <w:shd w:val="clear" w:color="auto" w:fill="auto"/>
            <w:vAlign w:val="center"/>
          </w:tcPr>
          <w:p w14:paraId="29810E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88.47</w:t>
            </w:r>
          </w:p>
        </w:tc>
        <w:tc>
          <w:tcPr>
            <w:tcW w:w="3000" w:type="dxa"/>
            <w:tcBorders>
              <w:top w:val="nil"/>
              <w:left w:val="nil"/>
              <w:bottom w:val="single" w:color="auto" w:sz="4" w:space="0"/>
              <w:right w:val="single" w:color="auto" w:sz="8" w:space="0"/>
            </w:tcBorders>
            <w:shd w:val="clear" w:color="auto" w:fill="auto"/>
            <w:vAlign w:val="center"/>
          </w:tcPr>
          <w:p w14:paraId="41FF40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61.96</w:t>
            </w:r>
          </w:p>
        </w:tc>
      </w:tr>
      <w:tr w14:paraId="7E8B3B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F749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24D6B5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4AC647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2,595.83</w:t>
            </w:r>
          </w:p>
        </w:tc>
        <w:tc>
          <w:tcPr>
            <w:tcW w:w="3492" w:type="dxa"/>
            <w:tcBorders>
              <w:top w:val="nil"/>
              <w:left w:val="nil"/>
              <w:bottom w:val="single" w:color="auto" w:sz="4" w:space="0"/>
              <w:right w:val="single" w:color="auto" w:sz="4" w:space="0"/>
            </w:tcBorders>
            <w:shd w:val="clear" w:color="auto" w:fill="auto"/>
            <w:vAlign w:val="center"/>
          </w:tcPr>
          <w:p w14:paraId="22F1184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2AF80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2,595.83</w:t>
            </w:r>
          </w:p>
        </w:tc>
      </w:tr>
      <w:tr w14:paraId="01507C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A63B0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2050202</w:t>
            </w:r>
          </w:p>
        </w:tc>
        <w:tc>
          <w:tcPr>
            <w:tcW w:w="3527" w:type="dxa"/>
            <w:tcBorders>
              <w:top w:val="nil"/>
              <w:left w:val="nil"/>
              <w:bottom w:val="single" w:color="auto" w:sz="4" w:space="0"/>
              <w:right w:val="single" w:color="auto" w:sz="4" w:space="0"/>
            </w:tcBorders>
            <w:shd w:val="clear" w:color="auto" w:fill="auto"/>
            <w:vAlign w:val="center"/>
          </w:tcPr>
          <w:p w14:paraId="70A6FE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3000" w:type="dxa"/>
            <w:tcBorders>
              <w:top w:val="nil"/>
              <w:left w:val="nil"/>
              <w:bottom w:val="single" w:color="auto" w:sz="4" w:space="0"/>
              <w:right w:val="single" w:color="auto" w:sz="4" w:space="0"/>
            </w:tcBorders>
            <w:shd w:val="clear" w:color="auto" w:fill="auto"/>
            <w:vAlign w:val="center"/>
          </w:tcPr>
          <w:p w14:paraId="4EF1F9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7.62</w:t>
            </w:r>
          </w:p>
        </w:tc>
        <w:tc>
          <w:tcPr>
            <w:tcW w:w="3492" w:type="dxa"/>
            <w:tcBorders>
              <w:top w:val="nil"/>
              <w:left w:val="nil"/>
              <w:bottom w:val="single" w:color="auto" w:sz="4" w:space="0"/>
              <w:right w:val="single" w:color="auto" w:sz="4" w:space="0"/>
            </w:tcBorders>
            <w:shd w:val="clear" w:color="auto" w:fill="auto"/>
            <w:vAlign w:val="center"/>
          </w:tcPr>
          <w:p w14:paraId="38C1CF61">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E7134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7.62</w:t>
            </w:r>
          </w:p>
        </w:tc>
      </w:tr>
      <w:tr w14:paraId="18CBE7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7549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14:paraId="078CD15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3000" w:type="dxa"/>
            <w:tcBorders>
              <w:top w:val="nil"/>
              <w:left w:val="nil"/>
              <w:bottom w:val="single" w:color="auto" w:sz="4" w:space="0"/>
              <w:right w:val="single" w:color="auto" w:sz="4" w:space="0"/>
            </w:tcBorders>
            <w:shd w:val="clear" w:color="auto" w:fill="auto"/>
            <w:vAlign w:val="center"/>
          </w:tcPr>
          <w:p w14:paraId="29CD51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7B672E1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2A277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57AA14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8453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2050204</w:t>
            </w:r>
          </w:p>
        </w:tc>
        <w:tc>
          <w:tcPr>
            <w:tcW w:w="3527" w:type="dxa"/>
            <w:tcBorders>
              <w:top w:val="nil"/>
              <w:left w:val="nil"/>
              <w:bottom w:val="single" w:color="auto" w:sz="4" w:space="0"/>
              <w:right w:val="single" w:color="auto" w:sz="4" w:space="0"/>
            </w:tcBorders>
            <w:shd w:val="clear" w:color="auto" w:fill="auto"/>
            <w:vAlign w:val="center"/>
          </w:tcPr>
          <w:p w14:paraId="4CC57E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3000" w:type="dxa"/>
            <w:tcBorders>
              <w:top w:val="nil"/>
              <w:left w:val="nil"/>
              <w:bottom w:val="single" w:color="auto" w:sz="4" w:space="0"/>
              <w:right w:val="single" w:color="auto" w:sz="4" w:space="0"/>
            </w:tcBorders>
            <w:shd w:val="clear" w:color="auto" w:fill="auto"/>
            <w:vAlign w:val="center"/>
          </w:tcPr>
          <w:p w14:paraId="78AC1F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2,481.30</w:t>
            </w:r>
          </w:p>
        </w:tc>
        <w:tc>
          <w:tcPr>
            <w:tcW w:w="3492" w:type="dxa"/>
            <w:tcBorders>
              <w:top w:val="nil"/>
              <w:left w:val="nil"/>
              <w:bottom w:val="single" w:color="auto" w:sz="4" w:space="0"/>
              <w:right w:val="single" w:color="auto" w:sz="4" w:space="0"/>
            </w:tcBorders>
            <w:shd w:val="clear" w:color="auto" w:fill="auto"/>
            <w:vAlign w:val="center"/>
          </w:tcPr>
          <w:p w14:paraId="096E7964">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E6A75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2,481.30</w:t>
            </w:r>
          </w:p>
        </w:tc>
      </w:tr>
      <w:tr w14:paraId="43D687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B03A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069D39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3000" w:type="dxa"/>
            <w:tcBorders>
              <w:top w:val="nil"/>
              <w:left w:val="nil"/>
              <w:bottom w:val="single" w:color="auto" w:sz="4" w:space="0"/>
              <w:right w:val="single" w:color="auto" w:sz="4" w:space="0"/>
            </w:tcBorders>
            <w:shd w:val="clear" w:color="auto" w:fill="auto"/>
            <w:vAlign w:val="center"/>
          </w:tcPr>
          <w:p w14:paraId="451B33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98.91</w:t>
            </w:r>
          </w:p>
        </w:tc>
        <w:tc>
          <w:tcPr>
            <w:tcW w:w="3492" w:type="dxa"/>
            <w:tcBorders>
              <w:top w:val="nil"/>
              <w:left w:val="nil"/>
              <w:bottom w:val="single" w:color="auto" w:sz="4" w:space="0"/>
              <w:right w:val="single" w:color="auto" w:sz="4" w:space="0"/>
            </w:tcBorders>
            <w:shd w:val="clear" w:color="auto" w:fill="auto"/>
            <w:vAlign w:val="center"/>
          </w:tcPr>
          <w:p w14:paraId="1BEDBC2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0BF1C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98.91</w:t>
            </w:r>
          </w:p>
        </w:tc>
      </w:tr>
      <w:tr w14:paraId="716EF4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1378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20503</w:t>
            </w:r>
          </w:p>
        </w:tc>
        <w:tc>
          <w:tcPr>
            <w:tcW w:w="3527" w:type="dxa"/>
            <w:tcBorders>
              <w:top w:val="nil"/>
              <w:left w:val="nil"/>
              <w:bottom w:val="single" w:color="auto" w:sz="4" w:space="0"/>
              <w:right w:val="single" w:color="auto" w:sz="4" w:space="0"/>
            </w:tcBorders>
            <w:shd w:val="clear" w:color="auto" w:fill="auto"/>
            <w:vAlign w:val="center"/>
          </w:tcPr>
          <w:p w14:paraId="300767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职业教育</w:t>
            </w:r>
          </w:p>
        </w:tc>
        <w:tc>
          <w:tcPr>
            <w:tcW w:w="3000" w:type="dxa"/>
            <w:tcBorders>
              <w:top w:val="nil"/>
              <w:left w:val="nil"/>
              <w:bottom w:val="single" w:color="auto" w:sz="4" w:space="0"/>
              <w:right w:val="single" w:color="auto" w:sz="4" w:space="0"/>
            </w:tcBorders>
            <w:shd w:val="clear" w:color="auto" w:fill="auto"/>
            <w:vAlign w:val="center"/>
          </w:tcPr>
          <w:p w14:paraId="42C308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370.90</w:t>
            </w:r>
          </w:p>
        </w:tc>
        <w:tc>
          <w:tcPr>
            <w:tcW w:w="3492" w:type="dxa"/>
            <w:tcBorders>
              <w:top w:val="nil"/>
              <w:left w:val="nil"/>
              <w:bottom w:val="single" w:color="auto" w:sz="4" w:space="0"/>
              <w:right w:val="single" w:color="auto" w:sz="4" w:space="0"/>
            </w:tcBorders>
            <w:shd w:val="clear" w:color="auto" w:fill="auto"/>
            <w:vAlign w:val="center"/>
          </w:tcPr>
          <w:p w14:paraId="765E99B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24F68B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370.90</w:t>
            </w:r>
          </w:p>
        </w:tc>
      </w:tr>
      <w:tr w14:paraId="4148437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AC3CC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2050302</w:t>
            </w:r>
          </w:p>
        </w:tc>
        <w:tc>
          <w:tcPr>
            <w:tcW w:w="3527" w:type="dxa"/>
            <w:tcBorders>
              <w:top w:val="nil"/>
              <w:left w:val="nil"/>
              <w:bottom w:val="single" w:color="auto" w:sz="4" w:space="0"/>
              <w:right w:val="single" w:color="auto" w:sz="4" w:space="0"/>
            </w:tcBorders>
            <w:shd w:val="clear" w:color="auto" w:fill="auto"/>
            <w:vAlign w:val="center"/>
          </w:tcPr>
          <w:p w14:paraId="7BB4AB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中等职业教育</w:t>
            </w:r>
          </w:p>
        </w:tc>
        <w:tc>
          <w:tcPr>
            <w:tcW w:w="3000" w:type="dxa"/>
            <w:tcBorders>
              <w:top w:val="nil"/>
              <w:left w:val="nil"/>
              <w:bottom w:val="single" w:color="auto" w:sz="4" w:space="0"/>
              <w:right w:val="single" w:color="auto" w:sz="4" w:space="0"/>
            </w:tcBorders>
            <w:shd w:val="clear" w:color="auto" w:fill="auto"/>
            <w:vAlign w:val="center"/>
          </w:tcPr>
          <w:p w14:paraId="122F69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370.90</w:t>
            </w:r>
          </w:p>
        </w:tc>
        <w:tc>
          <w:tcPr>
            <w:tcW w:w="3492" w:type="dxa"/>
            <w:tcBorders>
              <w:top w:val="nil"/>
              <w:left w:val="nil"/>
              <w:bottom w:val="single" w:color="auto" w:sz="4" w:space="0"/>
              <w:right w:val="single" w:color="auto" w:sz="4" w:space="0"/>
            </w:tcBorders>
            <w:shd w:val="clear" w:color="auto" w:fill="auto"/>
            <w:vAlign w:val="center"/>
          </w:tcPr>
          <w:p w14:paraId="78A331AB">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25BC6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370.90</w:t>
            </w:r>
          </w:p>
        </w:tc>
      </w:tr>
      <w:tr w14:paraId="297C70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3299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w:t>
            </w:r>
          </w:p>
        </w:tc>
        <w:tc>
          <w:tcPr>
            <w:tcW w:w="3527" w:type="dxa"/>
            <w:tcBorders>
              <w:top w:val="nil"/>
              <w:left w:val="nil"/>
              <w:bottom w:val="single" w:color="auto" w:sz="4" w:space="0"/>
              <w:right w:val="single" w:color="auto" w:sz="4" w:space="0"/>
            </w:tcBorders>
            <w:shd w:val="clear" w:color="auto" w:fill="auto"/>
            <w:vAlign w:val="center"/>
          </w:tcPr>
          <w:p w14:paraId="1AB86D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其他教育支出</w:t>
            </w:r>
          </w:p>
        </w:tc>
        <w:tc>
          <w:tcPr>
            <w:tcW w:w="3000" w:type="dxa"/>
            <w:tcBorders>
              <w:top w:val="nil"/>
              <w:left w:val="nil"/>
              <w:bottom w:val="single" w:color="auto" w:sz="4" w:space="0"/>
              <w:right w:val="single" w:color="auto" w:sz="4" w:space="0"/>
            </w:tcBorders>
            <w:shd w:val="clear" w:color="auto" w:fill="auto"/>
            <w:vAlign w:val="center"/>
          </w:tcPr>
          <w:p w14:paraId="73EFF6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135.41</w:t>
            </w:r>
          </w:p>
        </w:tc>
        <w:tc>
          <w:tcPr>
            <w:tcW w:w="3492" w:type="dxa"/>
            <w:tcBorders>
              <w:top w:val="nil"/>
              <w:left w:val="nil"/>
              <w:bottom w:val="single" w:color="auto" w:sz="4" w:space="0"/>
              <w:right w:val="single" w:color="auto" w:sz="4" w:space="0"/>
            </w:tcBorders>
            <w:shd w:val="clear" w:color="auto" w:fill="auto"/>
            <w:vAlign w:val="center"/>
          </w:tcPr>
          <w:p w14:paraId="036E815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0F6DF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135.41</w:t>
            </w:r>
          </w:p>
        </w:tc>
      </w:tr>
      <w:tr w14:paraId="4A19C1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D9FA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2059999</w:t>
            </w:r>
          </w:p>
        </w:tc>
        <w:tc>
          <w:tcPr>
            <w:tcW w:w="3527" w:type="dxa"/>
            <w:tcBorders>
              <w:top w:val="nil"/>
              <w:left w:val="nil"/>
              <w:bottom w:val="single" w:color="auto" w:sz="4" w:space="0"/>
              <w:right w:val="single" w:color="auto" w:sz="4" w:space="0"/>
            </w:tcBorders>
            <w:shd w:val="clear" w:color="auto" w:fill="auto"/>
            <w:vAlign w:val="center"/>
          </w:tcPr>
          <w:p w14:paraId="60BDA3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3000" w:type="dxa"/>
            <w:tcBorders>
              <w:top w:val="nil"/>
              <w:left w:val="nil"/>
              <w:bottom w:val="single" w:color="auto" w:sz="4" w:space="0"/>
              <w:right w:val="single" w:color="auto" w:sz="4" w:space="0"/>
            </w:tcBorders>
            <w:shd w:val="clear" w:color="auto" w:fill="auto"/>
            <w:vAlign w:val="center"/>
          </w:tcPr>
          <w:p w14:paraId="7EE15B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135.41</w:t>
            </w:r>
          </w:p>
        </w:tc>
        <w:tc>
          <w:tcPr>
            <w:tcW w:w="3492" w:type="dxa"/>
            <w:tcBorders>
              <w:top w:val="nil"/>
              <w:left w:val="nil"/>
              <w:bottom w:val="single" w:color="auto" w:sz="4" w:space="0"/>
              <w:right w:val="single" w:color="auto" w:sz="4" w:space="0"/>
            </w:tcBorders>
            <w:shd w:val="clear" w:color="auto" w:fill="auto"/>
            <w:vAlign w:val="center"/>
          </w:tcPr>
          <w:p w14:paraId="64C14E3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BFDCC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135.41</w:t>
            </w:r>
          </w:p>
        </w:tc>
      </w:tr>
      <w:tr w14:paraId="58BB0F5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2284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483091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687B0F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340.27</w:t>
            </w:r>
          </w:p>
        </w:tc>
        <w:tc>
          <w:tcPr>
            <w:tcW w:w="3492" w:type="dxa"/>
            <w:tcBorders>
              <w:top w:val="nil"/>
              <w:left w:val="nil"/>
              <w:bottom w:val="single" w:color="auto" w:sz="4" w:space="0"/>
              <w:right w:val="single" w:color="auto" w:sz="4" w:space="0"/>
            </w:tcBorders>
            <w:shd w:val="clear" w:color="auto" w:fill="auto"/>
            <w:vAlign w:val="center"/>
          </w:tcPr>
          <w:p w14:paraId="45F51A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340.27</w:t>
            </w:r>
          </w:p>
        </w:tc>
        <w:tc>
          <w:tcPr>
            <w:tcW w:w="3000" w:type="dxa"/>
            <w:tcBorders>
              <w:top w:val="nil"/>
              <w:left w:val="nil"/>
              <w:bottom w:val="single" w:color="auto" w:sz="4" w:space="0"/>
              <w:right w:val="single" w:color="auto" w:sz="8" w:space="0"/>
            </w:tcBorders>
            <w:shd w:val="clear" w:color="auto" w:fill="auto"/>
            <w:vAlign w:val="center"/>
          </w:tcPr>
          <w:p w14:paraId="2547EFA8">
            <w:pPr>
              <w:jc w:val="right"/>
              <w:rPr>
                <w:rFonts w:ascii="Times New Roman" w:hAnsi="Times New Roman" w:eastAsia="仿宋_GB2312" w:cs="Times New Roman"/>
                <w:kern w:val="0"/>
                <w:szCs w:val="21"/>
              </w:rPr>
            </w:pPr>
          </w:p>
        </w:tc>
      </w:tr>
      <w:tr w14:paraId="546AE4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8B06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232CCB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C6401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340.27</w:t>
            </w:r>
          </w:p>
        </w:tc>
        <w:tc>
          <w:tcPr>
            <w:tcW w:w="3492" w:type="dxa"/>
            <w:tcBorders>
              <w:top w:val="nil"/>
              <w:left w:val="nil"/>
              <w:bottom w:val="single" w:color="auto" w:sz="4" w:space="0"/>
              <w:right w:val="single" w:color="auto" w:sz="4" w:space="0"/>
            </w:tcBorders>
            <w:shd w:val="clear" w:color="auto" w:fill="auto"/>
            <w:vAlign w:val="center"/>
          </w:tcPr>
          <w:p w14:paraId="49B212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340.27</w:t>
            </w:r>
          </w:p>
        </w:tc>
        <w:tc>
          <w:tcPr>
            <w:tcW w:w="3000" w:type="dxa"/>
            <w:tcBorders>
              <w:top w:val="nil"/>
              <w:left w:val="nil"/>
              <w:bottom w:val="single" w:color="auto" w:sz="4" w:space="0"/>
              <w:right w:val="single" w:color="auto" w:sz="8" w:space="0"/>
            </w:tcBorders>
            <w:shd w:val="clear" w:color="auto" w:fill="auto"/>
            <w:vAlign w:val="center"/>
          </w:tcPr>
          <w:p w14:paraId="3E1A91ED">
            <w:pPr>
              <w:jc w:val="right"/>
              <w:rPr>
                <w:rFonts w:ascii="Times New Roman" w:hAnsi="Times New Roman" w:eastAsia="仿宋_GB2312" w:cs="Times New Roman"/>
                <w:kern w:val="0"/>
                <w:szCs w:val="21"/>
              </w:rPr>
            </w:pPr>
          </w:p>
        </w:tc>
      </w:tr>
      <w:tr w14:paraId="6EE40C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E0AB1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483EB8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366CBE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194.68</w:t>
            </w:r>
          </w:p>
        </w:tc>
        <w:tc>
          <w:tcPr>
            <w:tcW w:w="3492" w:type="dxa"/>
            <w:tcBorders>
              <w:top w:val="nil"/>
              <w:left w:val="nil"/>
              <w:bottom w:val="single" w:color="auto" w:sz="4" w:space="0"/>
              <w:right w:val="single" w:color="auto" w:sz="4" w:space="0"/>
            </w:tcBorders>
            <w:shd w:val="clear" w:color="auto" w:fill="auto"/>
            <w:vAlign w:val="center"/>
          </w:tcPr>
          <w:p w14:paraId="74EEAB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194.68</w:t>
            </w:r>
          </w:p>
        </w:tc>
        <w:tc>
          <w:tcPr>
            <w:tcW w:w="3000" w:type="dxa"/>
            <w:tcBorders>
              <w:top w:val="nil"/>
              <w:left w:val="nil"/>
              <w:bottom w:val="single" w:color="auto" w:sz="4" w:space="0"/>
              <w:right w:val="single" w:color="auto" w:sz="8" w:space="0"/>
            </w:tcBorders>
            <w:shd w:val="clear" w:color="auto" w:fill="auto"/>
            <w:vAlign w:val="center"/>
          </w:tcPr>
          <w:p w14:paraId="7A85594A">
            <w:pPr>
              <w:jc w:val="right"/>
              <w:rPr>
                <w:rFonts w:ascii="Times New Roman" w:hAnsi="Times New Roman" w:eastAsia="仿宋_GB2312" w:cs="Times New Roman"/>
                <w:kern w:val="0"/>
                <w:szCs w:val="21"/>
              </w:rPr>
            </w:pPr>
          </w:p>
        </w:tc>
      </w:tr>
      <w:tr w14:paraId="1F4C4E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7C88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2A3BFC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7B147D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145.59</w:t>
            </w:r>
          </w:p>
        </w:tc>
        <w:tc>
          <w:tcPr>
            <w:tcW w:w="3492" w:type="dxa"/>
            <w:tcBorders>
              <w:top w:val="nil"/>
              <w:left w:val="nil"/>
              <w:bottom w:val="single" w:color="auto" w:sz="4" w:space="0"/>
              <w:right w:val="single" w:color="auto" w:sz="4" w:space="0"/>
            </w:tcBorders>
            <w:shd w:val="clear" w:color="auto" w:fill="auto"/>
            <w:vAlign w:val="center"/>
          </w:tcPr>
          <w:p w14:paraId="4390D0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145.59</w:t>
            </w:r>
          </w:p>
        </w:tc>
        <w:tc>
          <w:tcPr>
            <w:tcW w:w="3000" w:type="dxa"/>
            <w:tcBorders>
              <w:top w:val="nil"/>
              <w:left w:val="nil"/>
              <w:bottom w:val="single" w:color="auto" w:sz="4" w:space="0"/>
              <w:right w:val="single" w:color="auto" w:sz="8" w:space="0"/>
            </w:tcBorders>
            <w:shd w:val="clear" w:color="auto" w:fill="auto"/>
            <w:vAlign w:val="center"/>
          </w:tcPr>
          <w:p w14:paraId="5F3DA0BB">
            <w:pPr>
              <w:jc w:val="right"/>
              <w:rPr>
                <w:rFonts w:ascii="Times New Roman" w:hAnsi="Times New Roman" w:eastAsia="仿宋_GB2312" w:cs="Times New Roman"/>
                <w:kern w:val="0"/>
                <w:szCs w:val="21"/>
              </w:rPr>
            </w:pPr>
          </w:p>
        </w:tc>
      </w:tr>
      <w:tr w14:paraId="18BACF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E44E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6B89BC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711FDBF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94.77</w:t>
            </w:r>
          </w:p>
        </w:tc>
        <w:tc>
          <w:tcPr>
            <w:tcW w:w="3492" w:type="dxa"/>
            <w:tcBorders>
              <w:top w:val="nil"/>
              <w:left w:val="nil"/>
              <w:bottom w:val="single" w:color="auto" w:sz="4" w:space="0"/>
              <w:right w:val="single" w:color="auto" w:sz="4" w:space="0"/>
            </w:tcBorders>
            <w:shd w:val="clear" w:color="auto" w:fill="auto"/>
            <w:vAlign w:val="center"/>
          </w:tcPr>
          <w:p w14:paraId="01A280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94.77</w:t>
            </w:r>
          </w:p>
        </w:tc>
        <w:tc>
          <w:tcPr>
            <w:tcW w:w="3000" w:type="dxa"/>
            <w:tcBorders>
              <w:top w:val="nil"/>
              <w:left w:val="nil"/>
              <w:bottom w:val="single" w:color="auto" w:sz="4" w:space="0"/>
              <w:right w:val="single" w:color="auto" w:sz="8" w:space="0"/>
            </w:tcBorders>
            <w:shd w:val="clear" w:color="auto" w:fill="auto"/>
            <w:vAlign w:val="center"/>
          </w:tcPr>
          <w:p w14:paraId="311834E9">
            <w:pPr>
              <w:jc w:val="right"/>
              <w:rPr>
                <w:rFonts w:ascii="Times New Roman" w:hAnsi="Times New Roman" w:eastAsia="仿宋_GB2312" w:cs="Times New Roman"/>
                <w:kern w:val="0"/>
                <w:szCs w:val="21"/>
              </w:rPr>
            </w:pPr>
          </w:p>
        </w:tc>
      </w:tr>
      <w:tr w14:paraId="54D44C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5531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73C0070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2C1857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94.77</w:t>
            </w:r>
          </w:p>
        </w:tc>
        <w:tc>
          <w:tcPr>
            <w:tcW w:w="3492" w:type="dxa"/>
            <w:tcBorders>
              <w:top w:val="nil"/>
              <w:left w:val="nil"/>
              <w:bottom w:val="single" w:color="auto" w:sz="4" w:space="0"/>
              <w:right w:val="single" w:color="auto" w:sz="4" w:space="0"/>
            </w:tcBorders>
            <w:shd w:val="clear" w:color="auto" w:fill="auto"/>
            <w:vAlign w:val="center"/>
          </w:tcPr>
          <w:p w14:paraId="162EC9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94.77</w:t>
            </w:r>
          </w:p>
        </w:tc>
        <w:tc>
          <w:tcPr>
            <w:tcW w:w="3000" w:type="dxa"/>
            <w:tcBorders>
              <w:top w:val="nil"/>
              <w:left w:val="nil"/>
              <w:bottom w:val="single" w:color="auto" w:sz="4" w:space="0"/>
              <w:right w:val="single" w:color="auto" w:sz="8" w:space="0"/>
            </w:tcBorders>
            <w:shd w:val="clear" w:color="auto" w:fill="auto"/>
            <w:vAlign w:val="center"/>
          </w:tcPr>
          <w:p w14:paraId="5D32F42D">
            <w:pPr>
              <w:jc w:val="right"/>
              <w:rPr>
                <w:rFonts w:ascii="Times New Roman" w:hAnsi="Times New Roman" w:eastAsia="仿宋_GB2312" w:cs="Times New Roman"/>
                <w:kern w:val="0"/>
                <w:szCs w:val="21"/>
              </w:rPr>
            </w:pPr>
          </w:p>
        </w:tc>
      </w:tr>
      <w:tr w14:paraId="21519F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DBB1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156932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3EB489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94.77</w:t>
            </w:r>
          </w:p>
        </w:tc>
        <w:tc>
          <w:tcPr>
            <w:tcW w:w="3492" w:type="dxa"/>
            <w:tcBorders>
              <w:top w:val="nil"/>
              <w:left w:val="nil"/>
              <w:bottom w:val="single" w:color="auto" w:sz="8" w:space="0"/>
              <w:right w:val="single" w:color="auto" w:sz="4" w:space="0"/>
            </w:tcBorders>
            <w:shd w:val="clear" w:color="auto" w:fill="auto"/>
            <w:vAlign w:val="center"/>
          </w:tcPr>
          <w:p w14:paraId="582C00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94.77</w:t>
            </w:r>
          </w:p>
        </w:tc>
        <w:tc>
          <w:tcPr>
            <w:tcW w:w="3000" w:type="dxa"/>
            <w:tcBorders>
              <w:top w:val="nil"/>
              <w:left w:val="nil"/>
              <w:bottom w:val="single" w:color="auto" w:sz="8" w:space="0"/>
              <w:right w:val="single" w:color="auto" w:sz="8" w:space="0"/>
            </w:tcBorders>
            <w:shd w:val="clear" w:color="auto" w:fill="auto"/>
            <w:vAlign w:val="center"/>
          </w:tcPr>
          <w:p w14:paraId="38FC5454">
            <w:pPr>
              <w:jc w:val="right"/>
              <w:rPr>
                <w:rFonts w:ascii="Times New Roman" w:hAnsi="Times New Roman" w:eastAsia="仿宋_GB2312" w:cs="Times New Roman"/>
                <w:kern w:val="0"/>
                <w:szCs w:val="21"/>
              </w:rPr>
            </w:pPr>
          </w:p>
        </w:tc>
      </w:tr>
      <w:tr w14:paraId="73530C09">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8321FF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73EA58E">
      <w:pPr>
        <w:widowControl/>
        <w:jc w:val="left"/>
        <w:rPr>
          <w:rFonts w:ascii="Times New Roman" w:hAnsi="Times New Roman" w:eastAsia="仿宋_GB2312" w:cs="Times New Roman"/>
          <w:bCs/>
          <w:kern w:val="0"/>
          <w:szCs w:val="21"/>
        </w:rPr>
      </w:pPr>
    </w:p>
    <w:p w14:paraId="74001FA0">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0" w:type="auto"/>
        <w:tblInd w:w="0" w:type="dxa"/>
        <w:tblLayout w:type="autofit"/>
        <w:tblCellMar>
          <w:top w:w="0" w:type="dxa"/>
          <w:left w:w="108" w:type="dxa"/>
          <w:bottom w:w="0" w:type="dxa"/>
          <w:right w:w="108" w:type="dxa"/>
        </w:tblCellMar>
      </w:tblPr>
      <w:tblGrid>
        <w:gridCol w:w="949"/>
        <w:gridCol w:w="238"/>
        <w:gridCol w:w="89"/>
        <w:gridCol w:w="1231"/>
        <w:gridCol w:w="1930"/>
        <w:gridCol w:w="97"/>
        <w:gridCol w:w="939"/>
        <w:gridCol w:w="1152"/>
        <w:gridCol w:w="291"/>
        <w:gridCol w:w="1880"/>
        <w:gridCol w:w="145"/>
        <w:gridCol w:w="685"/>
        <w:gridCol w:w="1153"/>
        <w:gridCol w:w="336"/>
        <w:gridCol w:w="1987"/>
        <w:gridCol w:w="1611"/>
        <w:gridCol w:w="548"/>
        <w:gridCol w:w="353"/>
      </w:tblGrid>
      <w:tr w14:paraId="46911A16">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27937E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950346B">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8A556DD">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1D2A398">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81DED7">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33D574C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14:paraId="1364585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17BABB9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7EB5F0D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6B49C24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6132A93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3FC4F44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2212236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DF7A94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C8112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17911C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32E32EC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1,624.42</w:t>
            </w:r>
          </w:p>
        </w:tc>
        <w:tc>
          <w:tcPr>
            <w:tcW w:w="1222" w:type="dxa"/>
            <w:tcBorders>
              <w:top w:val="nil"/>
              <w:left w:val="nil"/>
              <w:bottom w:val="single" w:color="auto" w:sz="4" w:space="0"/>
              <w:right w:val="single" w:color="auto" w:sz="4" w:space="0"/>
            </w:tcBorders>
            <w:shd w:val="clear" w:color="auto" w:fill="auto"/>
            <w:noWrap/>
            <w:vAlign w:val="center"/>
          </w:tcPr>
          <w:p w14:paraId="759C09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28FDC1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735FD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205.00</w:t>
            </w:r>
          </w:p>
        </w:tc>
        <w:tc>
          <w:tcPr>
            <w:tcW w:w="1223" w:type="dxa"/>
            <w:tcBorders>
              <w:top w:val="nil"/>
              <w:left w:val="nil"/>
              <w:bottom w:val="single" w:color="auto" w:sz="4" w:space="0"/>
              <w:right w:val="single" w:color="auto" w:sz="4" w:space="0"/>
            </w:tcBorders>
            <w:shd w:val="clear" w:color="auto" w:fill="auto"/>
            <w:noWrap/>
            <w:vAlign w:val="center"/>
          </w:tcPr>
          <w:p w14:paraId="664786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430678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0B5D5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2CC88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00BCD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032DD8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28CE9F2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639.85</w:t>
            </w:r>
          </w:p>
        </w:tc>
        <w:tc>
          <w:tcPr>
            <w:tcW w:w="1222" w:type="dxa"/>
            <w:tcBorders>
              <w:top w:val="nil"/>
              <w:left w:val="nil"/>
              <w:bottom w:val="single" w:color="auto" w:sz="4" w:space="0"/>
              <w:right w:val="single" w:color="auto" w:sz="4" w:space="0"/>
            </w:tcBorders>
            <w:shd w:val="clear" w:color="auto" w:fill="auto"/>
            <w:noWrap/>
            <w:vAlign w:val="center"/>
          </w:tcPr>
          <w:p w14:paraId="746401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0529FB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14:paraId="6824609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7.21</w:t>
            </w:r>
          </w:p>
        </w:tc>
        <w:tc>
          <w:tcPr>
            <w:tcW w:w="1223" w:type="dxa"/>
            <w:tcBorders>
              <w:top w:val="nil"/>
              <w:left w:val="nil"/>
              <w:bottom w:val="single" w:color="auto" w:sz="4" w:space="0"/>
              <w:right w:val="single" w:color="auto" w:sz="4" w:space="0"/>
            </w:tcBorders>
            <w:shd w:val="clear" w:color="auto" w:fill="auto"/>
            <w:noWrap/>
            <w:vAlign w:val="center"/>
          </w:tcPr>
          <w:p w14:paraId="1A721B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1C5561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5B610E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45051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93A0A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6E8FC5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40F048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591.74</w:t>
            </w:r>
          </w:p>
        </w:tc>
        <w:tc>
          <w:tcPr>
            <w:tcW w:w="1222" w:type="dxa"/>
            <w:tcBorders>
              <w:top w:val="nil"/>
              <w:left w:val="nil"/>
              <w:bottom w:val="single" w:color="auto" w:sz="4" w:space="0"/>
              <w:right w:val="single" w:color="auto" w:sz="4" w:space="0"/>
            </w:tcBorders>
            <w:shd w:val="clear" w:color="auto" w:fill="auto"/>
            <w:noWrap/>
            <w:vAlign w:val="center"/>
          </w:tcPr>
          <w:p w14:paraId="4D7ABE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00E9F4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14:paraId="50DADB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28.78</w:t>
            </w:r>
          </w:p>
        </w:tc>
        <w:tc>
          <w:tcPr>
            <w:tcW w:w="1223" w:type="dxa"/>
            <w:tcBorders>
              <w:top w:val="nil"/>
              <w:left w:val="nil"/>
              <w:bottom w:val="single" w:color="auto" w:sz="4" w:space="0"/>
              <w:right w:val="single" w:color="auto" w:sz="4" w:space="0"/>
            </w:tcBorders>
            <w:shd w:val="clear" w:color="auto" w:fill="auto"/>
            <w:noWrap/>
            <w:vAlign w:val="center"/>
          </w:tcPr>
          <w:p w14:paraId="048F17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1FA7F9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1DA191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B51188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D8852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02CA23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14:paraId="595355F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93.12</w:t>
            </w:r>
          </w:p>
        </w:tc>
        <w:tc>
          <w:tcPr>
            <w:tcW w:w="1222" w:type="dxa"/>
            <w:tcBorders>
              <w:top w:val="nil"/>
              <w:left w:val="nil"/>
              <w:bottom w:val="single" w:color="auto" w:sz="4" w:space="0"/>
              <w:right w:val="single" w:color="auto" w:sz="4" w:space="0"/>
            </w:tcBorders>
            <w:shd w:val="clear" w:color="auto" w:fill="auto"/>
            <w:noWrap/>
            <w:vAlign w:val="center"/>
          </w:tcPr>
          <w:p w14:paraId="217B99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535C3B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14:paraId="3CDA2648">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65FCCB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02DBB5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30B67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DBDB8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CD638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211A39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14:paraId="72E5816C">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2784FE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67500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14:paraId="291C74D9">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79FE74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4CA2FD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14:paraId="3B17BA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FDEA4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72E5D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267529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10239F8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3.45</w:t>
            </w:r>
          </w:p>
        </w:tc>
        <w:tc>
          <w:tcPr>
            <w:tcW w:w="1222" w:type="dxa"/>
            <w:tcBorders>
              <w:top w:val="nil"/>
              <w:left w:val="nil"/>
              <w:bottom w:val="single" w:color="auto" w:sz="4" w:space="0"/>
              <w:right w:val="single" w:color="auto" w:sz="4" w:space="0"/>
            </w:tcBorders>
            <w:shd w:val="clear" w:color="auto" w:fill="auto"/>
            <w:noWrap/>
            <w:vAlign w:val="center"/>
          </w:tcPr>
          <w:p w14:paraId="35B94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2DF615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14:paraId="67AFB7A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6.23</w:t>
            </w:r>
          </w:p>
        </w:tc>
        <w:tc>
          <w:tcPr>
            <w:tcW w:w="1223" w:type="dxa"/>
            <w:tcBorders>
              <w:top w:val="nil"/>
              <w:left w:val="nil"/>
              <w:bottom w:val="single" w:color="auto" w:sz="4" w:space="0"/>
              <w:right w:val="single" w:color="auto" w:sz="4" w:space="0"/>
            </w:tcBorders>
            <w:shd w:val="clear" w:color="auto" w:fill="auto"/>
            <w:noWrap/>
            <w:vAlign w:val="center"/>
          </w:tcPr>
          <w:p w14:paraId="237446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70EC7B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3B275E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E02EC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7EE92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0809FF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542A75A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189.77</w:t>
            </w:r>
          </w:p>
        </w:tc>
        <w:tc>
          <w:tcPr>
            <w:tcW w:w="1222" w:type="dxa"/>
            <w:tcBorders>
              <w:top w:val="nil"/>
              <w:left w:val="nil"/>
              <w:bottom w:val="single" w:color="auto" w:sz="4" w:space="0"/>
              <w:right w:val="single" w:color="auto" w:sz="4" w:space="0"/>
            </w:tcBorders>
            <w:shd w:val="clear" w:color="auto" w:fill="auto"/>
            <w:noWrap/>
            <w:vAlign w:val="center"/>
          </w:tcPr>
          <w:p w14:paraId="11814B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4BF287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5E46A71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20.24</w:t>
            </w:r>
          </w:p>
        </w:tc>
        <w:tc>
          <w:tcPr>
            <w:tcW w:w="1223" w:type="dxa"/>
            <w:tcBorders>
              <w:top w:val="nil"/>
              <w:left w:val="nil"/>
              <w:bottom w:val="single" w:color="auto" w:sz="4" w:space="0"/>
              <w:right w:val="single" w:color="auto" w:sz="4" w:space="0"/>
            </w:tcBorders>
            <w:shd w:val="clear" w:color="auto" w:fill="auto"/>
            <w:noWrap/>
            <w:vAlign w:val="center"/>
          </w:tcPr>
          <w:p w14:paraId="2285A7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422646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5FAC19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44B22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F709E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1FC278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287508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0.22</w:t>
            </w:r>
          </w:p>
        </w:tc>
        <w:tc>
          <w:tcPr>
            <w:tcW w:w="1222" w:type="dxa"/>
            <w:tcBorders>
              <w:top w:val="nil"/>
              <w:left w:val="nil"/>
              <w:bottom w:val="single" w:color="auto" w:sz="4" w:space="0"/>
              <w:right w:val="single" w:color="auto" w:sz="4" w:space="0"/>
            </w:tcBorders>
            <w:shd w:val="clear" w:color="auto" w:fill="auto"/>
            <w:noWrap/>
            <w:vAlign w:val="center"/>
          </w:tcPr>
          <w:p w14:paraId="21D4FD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05B785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27E3A0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3.78</w:t>
            </w:r>
          </w:p>
        </w:tc>
        <w:tc>
          <w:tcPr>
            <w:tcW w:w="1223" w:type="dxa"/>
            <w:tcBorders>
              <w:top w:val="nil"/>
              <w:left w:val="nil"/>
              <w:bottom w:val="single" w:color="auto" w:sz="4" w:space="0"/>
              <w:right w:val="single" w:color="auto" w:sz="4" w:space="0"/>
            </w:tcBorders>
            <w:shd w:val="clear" w:color="auto" w:fill="auto"/>
            <w:noWrap/>
            <w:vAlign w:val="center"/>
          </w:tcPr>
          <w:p w14:paraId="5A9A88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1E1FAC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14:paraId="19F1F9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E8E7E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80FDF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653ADF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668EBB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94.47</w:t>
            </w:r>
          </w:p>
        </w:tc>
        <w:tc>
          <w:tcPr>
            <w:tcW w:w="1222" w:type="dxa"/>
            <w:tcBorders>
              <w:top w:val="nil"/>
              <w:left w:val="nil"/>
              <w:bottom w:val="single" w:color="auto" w:sz="4" w:space="0"/>
              <w:right w:val="single" w:color="auto" w:sz="4" w:space="0"/>
            </w:tcBorders>
            <w:shd w:val="clear" w:color="auto" w:fill="auto"/>
            <w:noWrap/>
            <w:vAlign w:val="center"/>
          </w:tcPr>
          <w:p w14:paraId="1F187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4DD42C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14:paraId="66D316E3">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3EA213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526420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14:paraId="4FACD6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90A43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BFD66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47B4FC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4BC28962">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4D4656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0AAB7A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14:paraId="76C8B3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16.00</w:t>
            </w:r>
          </w:p>
        </w:tc>
        <w:tc>
          <w:tcPr>
            <w:tcW w:w="1223" w:type="dxa"/>
            <w:tcBorders>
              <w:top w:val="nil"/>
              <w:left w:val="nil"/>
              <w:bottom w:val="single" w:color="auto" w:sz="4" w:space="0"/>
              <w:right w:val="single" w:color="auto" w:sz="4" w:space="0"/>
            </w:tcBorders>
            <w:shd w:val="clear" w:color="auto" w:fill="auto"/>
            <w:noWrap/>
            <w:vAlign w:val="center"/>
          </w:tcPr>
          <w:p w14:paraId="15A15E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63C11A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14:paraId="35E39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BEBE80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BD1E9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72FF1C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3F47E8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11.81</w:t>
            </w:r>
          </w:p>
        </w:tc>
        <w:tc>
          <w:tcPr>
            <w:tcW w:w="1222" w:type="dxa"/>
            <w:tcBorders>
              <w:top w:val="nil"/>
              <w:left w:val="nil"/>
              <w:bottom w:val="single" w:color="auto" w:sz="4" w:space="0"/>
              <w:right w:val="single" w:color="auto" w:sz="4" w:space="0"/>
            </w:tcBorders>
            <w:shd w:val="clear" w:color="auto" w:fill="auto"/>
            <w:noWrap/>
            <w:vAlign w:val="center"/>
          </w:tcPr>
          <w:p w14:paraId="46DBB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062E42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14:paraId="0F961B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14.10</w:t>
            </w:r>
          </w:p>
        </w:tc>
        <w:tc>
          <w:tcPr>
            <w:tcW w:w="1223" w:type="dxa"/>
            <w:tcBorders>
              <w:top w:val="nil"/>
              <w:left w:val="nil"/>
              <w:bottom w:val="single" w:color="auto" w:sz="4" w:space="0"/>
              <w:right w:val="single" w:color="auto" w:sz="4" w:space="0"/>
            </w:tcBorders>
            <w:shd w:val="clear" w:color="auto" w:fill="auto"/>
            <w:noWrap/>
            <w:vAlign w:val="center"/>
          </w:tcPr>
          <w:p w14:paraId="7910EB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6C875E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14:paraId="2836C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ADA792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D1B15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79F90D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14:paraId="563803AF">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2459BE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5C6B7D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2BBB7851">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CA1A8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0EFD43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069D0F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4CF70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73FF6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29454C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14:paraId="268FB7E6">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6F8452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4D68DA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F0FEB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16.22</w:t>
            </w:r>
          </w:p>
        </w:tc>
        <w:tc>
          <w:tcPr>
            <w:tcW w:w="1223" w:type="dxa"/>
            <w:tcBorders>
              <w:top w:val="nil"/>
              <w:left w:val="nil"/>
              <w:bottom w:val="single" w:color="auto" w:sz="4" w:space="0"/>
              <w:right w:val="single" w:color="auto" w:sz="4" w:space="0"/>
            </w:tcBorders>
            <w:shd w:val="clear" w:color="auto" w:fill="auto"/>
            <w:noWrap/>
            <w:vAlign w:val="center"/>
          </w:tcPr>
          <w:p w14:paraId="0DA7BB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72EC3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14:paraId="22C928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8E11A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09A2D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53911C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4B0A9CC0">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5C7577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0A6AF8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14:paraId="6F7E5D7A">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289812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646359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2B17B0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683A0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E4FAB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4CDA9E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0F4AEC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210.86</w:t>
            </w:r>
          </w:p>
        </w:tc>
        <w:tc>
          <w:tcPr>
            <w:tcW w:w="1222" w:type="dxa"/>
            <w:tcBorders>
              <w:top w:val="nil"/>
              <w:left w:val="nil"/>
              <w:bottom w:val="single" w:color="auto" w:sz="4" w:space="0"/>
              <w:right w:val="single" w:color="auto" w:sz="4" w:space="0"/>
            </w:tcBorders>
            <w:shd w:val="clear" w:color="auto" w:fill="auto"/>
            <w:noWrap/>
            <w:vAlign w:val="center"/>
          </w:tcPr>
          <w:p w14:paraId="048423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26BC19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14:paraId="3B145C06">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E080A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300492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51614B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D388B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645DC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5BF056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68B896E5">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05984E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6207A2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14:paraId="2B477CAE">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12A686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0D9F6B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1241E1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6E407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CBE48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19B542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0727D6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189.80</w:t>
            </w:r>
          </w:p>
        </w:tc>
        <w:tc>
          <w:tcPr>
            <w:tcW w:w="1222" w:type="dxa"/>
            <w:tcBorders>
              <w:top w:val="nil"/>
              <w:left w:val="nil"/>
              <w:bottom w:val="single" w:color="auto" w:sz="4" w:space="0"/>
              <w:right w:val="single" w:color="auto" w:sz="4" w:space="0"/>
            </w:tcBorders>
            <w:shd w:val="clear" w:color="auto" w:fill="auto"/>
            <w:noWrap/>
            <w:vAlign w:val="center"/>
          </w:tcPr>
          <w:p w14:paraId="30216E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0C748A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14:paraId="7D03E05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1.21</w:t>
            </w:r>
          </w:p>
        </w:tc>
        <w:tc>
          <w:tcPr>
            <w:tcW w:w="1223" w:type="dxa"/>
            <w:tcBorders>
              <w:top w:val="nil"/>
              <w:left w:val="nil"/>
              <w:bottom w:val="single" w:color="auto" w:sz="4" w:space="0"/>
              <w:right w:val="single" w:color="auto" w:sz="4" w:space="0"/>
            </w:tcBorders>
            <w:shd w:val="clear" w:color="auto" w:fill="auto"/>
            <w:noWrap/>
            <w:vAlign w:val="center"/>
          </w:tcPr>
          <w:p w14:paraId="1F9417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4B036B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469660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43DA8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A978F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507A23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14:paraId="24A899D6">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427C8D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3E687E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6307DBC2">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238610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456122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09CF71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2DCBB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1CD4D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2A7DAC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14:paraId="2E2D1AA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2.38</w:t>
            </w:r>
          </w:p>
        </w:tc>
        <w:tc>
          <w:tcPr>
            <w:tcW w:w="1222" w:type="dxa"/>
            <w:tcBorders>
              <w:top w:val="nil"/>
              <w:left w:val="nil"/>
              <w:bottom w:val="single" w:color="auto" w:sz="4" w:space="0"/>
              <w:right w:val="single" w:color="auto" w:sz="4" w:space="0"/>
            </w:tcBorders>
            <w:shd w:val="clear" w:color="auto" w:fill="auto"/>
            <w:noWrap/>
            <w:vAlign w:val="center"/>
          </w:tcPr>
          <w:p w14:paraId="7C5F9B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701361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14:paraId="7E1F0A52">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6476C3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0A327C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3D44E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0602F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A5C0A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5E213E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30F73A4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7.57</w:t>
            </w:r>
          </w:p>
        </w:tc>
        <w:tc>
          <w:tcPr>
            <w:tcW w:w="1222" w:type="dxa"/>
            <w:tcBorders>
              <w:top w:val="nil"/>
              <w:left w:val="nil"/>
              <w:bottom w:val="single" w:color="auto" w:sz="4" w:space="0"/>
              <w:right w:val="single" w:color="auto" w:sz="4" w:space="0"/>
            </w:tcBorders>
            <w:shd w:val="clear" w:color="auto" w:fill="auto"/>
            <w:noWrap/>
            <w:vAlign w:val="center"/>
          </w:tcPr>
          <w:p w14:paraId="7F2831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7AC747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68C7D9FD">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351B9F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1A390F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38A539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87229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B2D63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04297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14:paraId="4E3511BC">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417612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2984A9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273E169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0.95</w:t>
            </w:r>
          </w:p>
        </w:tc>
        <w:tc>
          <w:tcPr>
            <w:tcW w:w="1223" w:type="dxa"/>
            <w:tcBorders>
              <w:top w:val="nil"/>
              <w:left w:val="nil"/>
              <w:bottom w:val="single" w:color="auto" w:sz="4" w:space="0"/>
              <w:right w:val="single" w:color="auto" w:sz="4" w:space="0"/>
            </w:tcBorders>
            <w:shd w:val="clear" w:color="auto" w:fill="auto"/>
            <w:noWrap/>
            <w:vAlign w:val="center"/>
          </w:tcPr>
          <w:p w14:paraId="23CAB7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10CEBC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65A11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C95CA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BEE52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1E45CC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442FD478">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778413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7DCD98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047FC74B">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2917842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572D290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4A51AF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9CA20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48283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1AE3F4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14:paraId="0B4D6CE5">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644517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02B6B5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14:paraId="69E0B570">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B61F30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5B7C07C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14:paraId="5939C0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55621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7598A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78A6AA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14:paraId="7D8E1E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5.71</w:t>
            </w:r>
          </w:p>
        </w:tc>
        <w:tc>
          <w:tcPr>
            <w:tcW w:w="1222" w:type="dxa"/>
            <w:tcBorders>
              <w:top w:val="nil"/>
              <w:left w:val="nil"/>
              <w:bottom w:val="single" w:color="auto" w:sz="4" w:space="0"/>
              <w:right w:val="single" w:color="auto" w:sz="4" w:space="0"/>
            </w:tcBorders>
            <w:shd w:val="clear" w:color="auto" w:fill="auto"/>
            <w:noWrap/>
            <w:vAlign w:val="center"/>
          </w:tcPr>
          <w:p w14:paraId="2C01E9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4A1BF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14:paraId="61A1F7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5.08</w:t>
            </w:r>
          </w:p>
        </w:tc>
        <w:tc>
          <w:tcPr>
            <w:tcW w:w="1223" w:type="dxa"/>
            <w:tcBorders>
              <w:top w:val="nil"/>
              <w:left w:val="nil"/>
              <w:bottom w:val="single" w:color="auto" w:sz="4" w:space="0"/>
              <w:right w:val="single" w:color="auto" w:sz="4" w:space="0"/>
            </w:tcBorders>
            <w:shd w:val="clear" w:color="auto" w:fill="auto"/>
            <w:noWrap/>
            <w:vAlign w:val="center"/>
          </w:tcPr>
          <w:p w14:paraId="2D32A715">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14:paraId="0346178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8C7B0C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EB65074">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5B7B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C45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E94B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07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3BCAC38">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186E8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78C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ACFE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BD2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A1CB253">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14:paraId="2B8523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A8875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7533A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1830E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3524C25B">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617901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5EE009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525C3E93">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26D4DB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14:paraId="69E82E7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14:paraId="6E97F3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DA9B8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5034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3666AB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14:paraId="22AF686B">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4692D4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368FBD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28F0649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77.01</w:t>
            </w:r>
          </w:p>
        </w:tc>
        <w:tc>
          <w:tcPr>
            <w:tcW w:w="1223" w:type="dxa"/>
            <w:tcBorders>
              <w:top w:val="nil"/>
              <w:left w:val="nil"/>
              <w:bottom w:val="single" w:color="auto" w:sz="4" w:space="0"/>
              <w:right w:val="single" w:color="auto" w:sz="4" w:space="0"/>
            </w:tcBorders>
            <w:shd w:val="clear" w:color="auto" w:fill="auto"/>
            <w:noWrap/>
            <w:vAlign w:val="center"/>
          </w:tcPr>
          <w:p w14:paraId="1DB0475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43ECCAF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31C328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65F619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4F485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64B272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63F379B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5.40</w:t>
            </w:r>
          </w:p>
        </w:tc>
        <w:tc>
          <w:tcPr>
            <w:tcW w:w="1222" w:type="dxa"/>
            <w:tcBorders>
              <w:top w:val="nil"/>
              <w:left w:val="nil"/>
              <w:bottom w:val="single" w:color="auto" w:sz="4" w:space="0"/>
              <w:right w:val="single" w:color="auto" w:sz="4" w:space="0"/>
            </w:tcBorders>
            <w:shd w:val="clear" w:color="auto" w:fill="auto"/>
            <w:noWrap/>
            <w:vAlign w:val="center"/>
          </w:tcPr>
          <w:p w14:paraId="09972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0679C1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720BD9F9">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427EACF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23D2708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091F74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B09EA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1E0DE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472139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14:paraId="0EECFC2C">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28D038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37BC5C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41676F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8.19</w:t>
            </w:r>
          </w:p>
        </w:tc>
        <w:tc>
          <w:tcPr>
            <w:tcW w:w="1223" w:type="dxa"/>
            <w:tcBorders>
              <w:top w:val="nil"/>
              <w:left w:val="nil"/>
              <w:bottom w:val="single" w:color="auto" w:sz="4" w:space="0"/>
              <w:right w:val="single" w:color="auto" w:sz="4" w:space="0"/>
            </w:tcBorders>
            <w:shd w:val="clear" w:color="auto" w:fill="auto"/>
            <w:noWrap/>
            <w:vAlign w:val="center"/>
          </w:tcPr>
          <w:p w14:paraId="696AE69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1534203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7C27C6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150720">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4C708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14:paraId="5B7C3F1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1,835.28</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14:paraId="660B515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14:paraId="537DC84A">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205</w:t>
            </w:r>
            <w:r>
              <w:rPr>
                <w:rFonts w:hint="eastAsia" w:ascii="宋体" w:hAnsi="宋体" w:eastAsia="宋体" w:cs="宋体"/>
                <w:color w:val="000000"/>
                <w:kern w:val="0"/>
                <w:szCs w:val="18"/>
                <w:lang w:val="en-US" w:eastAsia="zh-CN"/>
              </w:rPr>
              <w:t>.005</w:t>
            </w:r>
          </w:p>
        </w:tc>
      </w:tr>
      <w:tr w14:paraId="35005CD9">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DFBF6AD">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5240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787B28C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67F555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5431D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03FCF8F9">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2FF0DC00">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19D31B81">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C43143B">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022076F">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450A1B5B">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FE35B77">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1D0EC181">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5A23BB5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F1A3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60BD284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347B1132">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7F2433E4">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B143F95">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2B4C1E0">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0EF96DB8">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8CF7139">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3F9B8D7">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577520A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5D7B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A964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F11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4B1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F41D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360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5A2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BBF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FBC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041E4">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2F093">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25CB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1A7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944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36D0B">
            <w:pPr>
              <w:jc w:val="center"/>
              <w:rPr>
                <w:rFonts w:hint="eastAsia" w:ascii="宋体" w:hAnsi="宋体" w:eastAsia="宋体" w:cs="宋体"/>
                <w:i w:val="0"/>
                <w:color w:val="000000"/>
                <w:sz w:val="24"/>
                <w:szCs w:val="24"/>
                <w:u w:val="none"/>
              </w:rPr>
            </w:pPr>
          </w:p>
        </w:tc>
      </w:tr>
      <w:tr w14:paraId="3B8A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9FB09">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6F1D2">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20FE6">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392AC">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B717F">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C28CD">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6E7E0">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18DCB">
            <w:pPr>
              <w:jc w:val="center"/>
              <w:rPr>
                <w:rFonts w:hint="eastAsia" w:ascii="宋体" w:hAnsi="宋体" w:eastAsia="宋体" w:cs="宋体"/>
                <w:i w:val="0"/>
                <w:color w:val="000000"/>
                <w:sz w:val="24"/>
                <w:szCs w:val="24"/>
                <w:u w:val="none"/>
              </w:rPr>
            </w:pPr>
          </w:p>
        </w:tc>
      </w:tr>
      <w:tr w14:paraId="47BE2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B8C3E">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EF7A6">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A6748">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72E1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0F4FC">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7BAD0">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B6FDF">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CABA5">
            <w:pPr>
              <w:jc w:val="center"/>
              <w:rPr>
                <w:rFonts w:hint="eastAsia" w:ascii="宋体" w:hAnsi="宋体" w:eastAsia="宋体" w:cs="宋体"/>
                <w:i w:val="0"/>
                <w:color w:val="000000"/>
                <w:sz w:val="24"/>
                <w:szCs w:val="24"/>
                <w:u w:val="none"/>
              </w:rPr>
            </w:pPr>
          </w:p>
        </w:tc>
      </w:tr>
      <w:tr w14:paraId="4376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0EC8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17C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509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E07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4886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34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456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E499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2A14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FF572">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C2F13">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B44AF">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44DF0">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D5C5">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BBD9B">
            <w:pPr>
              <w:jc w:val="center"/>
              <w:rPr>
                <w:rFonts w:hint="eastAsia" w:ascii="宋体" w:hAnsi="宋体" w:eastAsia="宋体" w:cs="宋体"/>
                <w:i w:val="0"/>
                <w:color w:val="000000"/>
                <w:sz w:val="24"/>
                <w:szCs w:val="24"/>
                <w:u w:val="none"/>
              </w:rPr>
            </w:pPr>
          </w:p>
        </w:tc>
      </w:tr>
      <w:tr w14:paraId="72E2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53516">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7EAA3">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A8AE2">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9A165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A1D2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0726F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CF9A">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07841">
            <w:pPr>
              <w:rPr>
                <w:rFonts w:hint="eastAsia" w:ascii="宋体" w:hAnsi="宋体" w:eastAsia="宋体" w:cs="宋体"/>
                <w:i w:val="0"/>
                <w:color w:val="000000"/>
                <w:sz w:val="24"/>
                <w:szCs w:val="24"/>
                <w:u w:val="none"/>
              </w:rPr>
            </w:pPr>
          </w:p>
        </w:tc>
      </w:tr>
      <w:tr w14:paraId="5BD39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099CB">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F70C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935A2">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6D882">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B8D2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4C704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E9E9">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1B209">
            <w:pPr>
              <w:rPr>
                <w:rFonts w:hint="eastAsia" w:ascii="宋体" w:hAnsi="宋体" w:eastAsia="宋体" w:cs="宋体"/>
                <w:i w:val="0"/>
                <w:color w:val="000000"/>
                <w:sz w:val="24"/>
                <w:szCs w:val="24"/>
                <w:u w:val="none"/>
              </w:rPr>
            </w:pPr>
          </w:p>
        </w:tc>
      </w:tr>
      <w:tr w14:paraId="7A9DF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260C9">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A69A7">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C129A">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E3651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AC984">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D42CA6">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C945">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94620">
            <w:pPr>
              <w:rPr>
                <w:rFonts w:hint="eastAsia" w:ascii="宋体" w:hAnsi="宋体" w:eastAsia="宋体" w:cs="宋体"/>
                <w:i w:val="0"/>
                <w:color w:val="000000"/>
                <w:sz w:val="24"/>
                <w:szCs w:val="24"/>
                <w:u w:val="none"/>
              </w:rPr>
            </w:pPr>
          </w:p>
        </w:tc>
      </w:tr>
      <w:tr w14:paraId="00C5A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F51CA">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E6B6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9896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C187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39DA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3FD3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43D3">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94F2C">
            <w:pPr>
              <w:rPr>
                <w:rFonts w:hint="eastAsia" w:ascii="宋体" w:hAnsi="宋体" w:eastAsia="宋体" w:cs="宋体"/>
                <w:i w:val="0"/>
                <w:color w:val="000000"/>
                <w:sz w:val="24"/>
                <w:szCs w:val="24"/>
                <w:u w:val="none"/>
              </w:rPr>
            </w:pPr>
          </w:p>
        </w:tc>
      </w:tr>
      <w:tr w14:paraId="73FF2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88D08">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AE5FA">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4645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BAF61E">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8276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7B70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A1BE">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55F58">
            <w:pPr>
              <w:rPr>
                <w:rFonts w:hint="eastAsia" w:ascii="宋体" w:hAnsi="宋体" w:eastAsia="宋体" w:cs="宋体"/>
                <w:i w:val="0"/>
                <w:color w:val="000000"/>
                <w:sz w:val="24"/>
                <w:szCs w:val="24"/>
                <w:u w:val="none"/>
              </w:rPr>
            </w:pPr>
          </w:p>
        </w:tc>
      </w:tr>
      <w:tr w14:paraId="56E63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4EF8C">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694B0">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4A38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591A43">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60D5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EA75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0358">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7A950">
            <w:pPr>
              <w:rPr>
                <w:rFonts w:hint="eastAsia" w:ascii="宋体" w:hAnsi="宋体" w:eastAsia="宋体" w:cs="宋体"/>
                <w:i w:val="0"/>
                <w:color w:val="000000"/>
                <w:sz w:val="24"/>
                <w:szCs w:val="24"/>
                <w:u w:val="none"/>
              </w:rPr>
            </w:pPr>
          </w:p>
        </w:tc>
      </w:tr>
      <w:tr w14:paraId="13DC7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17DEBAD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2E2117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9F4C19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288B4402">
      <w:pPr>
        <w:widowControl/>
        <w:jc w:val="center"/>
        <w:rPr>
          <w:rFonts w:hint="eastAsia" w:ascii="Times New Roman" w:hAnsi="Times New Roman" w:eastAsia="方正小标宋_GBK" w:cs="Times New Roman"/>
          <w:color w:val="000000"/>
          <w:kern w:val="0"/>
          <w:sz w:val="36"/>
          <w:szCs w:val="36"/>
        </w:rPr>
      </w:pPr>
    </w:p>
    <w:p w14:paraId="4FBAADFC">
      <w:pPr>
        <w:widowControl/>
        <w:jc w:val="center"/>
        <w:rPr>
          <w:rFonts w:hint="eastAsia" w:ascii="Times New Roman" w:hAnsi="Times New Roman" w:eastAsia="方正小标宋_GBK" w:cs="Times New Roman"/>
          <w:color w:val="000000"/>
          <w:kern w:val="0"/>
          <w:sz w:val="36"/>
          <w:szCs w:val="36"/>
        </w:rPr>
      </w:pPr>
    </w:p>
    <w:tbl>
      <w:tblPr>
        <w:tblStyle w:val="10"/>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ECF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0BE07A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3E56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6DE48AE9">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1978D260">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31C6D8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57B776D">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065BAE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945B9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4EB3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3CBD35C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1EABE800">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0F263FF">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8291440">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B403BE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B23F1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83DC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62F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4B07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460B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267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889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55F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EE2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B4B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74E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BD71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F320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FAF6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C2AC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345F2">
            <w:pPr>
              <w:jc w:val="center"/>
              <w:rPr>
                <w:rFonts w:hint="eastAsia" w:ascii="宋体" w:hAnsi="宋体" w:eastAsia="宋体" w:cs="宋体"/>
                <w:i w:val="0"/>
                <w:color w:val="000000"/>
                <w:sz w:val="24"/>
                <w:szCs w:val="24"/>
                <w:u w:val="none"/>
              </w:rPr>
            </w:pPr>
          </w:p>
        </w:tc>
      </w:tr>
      <w:tr w14:paraId="211F5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4798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2074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9B0F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F7B3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6A213">
            <w:pPr>
              <w:jc w:val="center"/>
              <w:rPr>
                <w:rFonts w:hint="eastAsia" w:ascii="宋体" w:hAnsi="宋体" w:eastAsia="宋体" w:cs="宋体"/>
                <w:i w:val="0"/>
                <w:color w:val="000000"/>
                <w:sz w:val="24"/>
                <w:szCs w:val="24"/>
                <w:u w:val="none"/>
              </w:rPr>
            </w:pPr>
          </w:p>
        </w:tc>
      </w:tr>
      <w:tr w14:paraId="2B0D6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199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DE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39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A7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1FDFC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98C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3493">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1D02">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D111">
            <w:pPr>
              <w:jc w:val="center"/>
              <w:rPr>
                <w:rFonts w:hint="eastAsia" w:ascii="宋体" w:hAnsi="宋体" w:eastAsia="宋体" w:cs="宋体"/>
                <w:i w:val="0"/>
                <w:color w:val="000000"/>
                <w:sz w:val="24"/>
                <w:szCs w:val="24"/>
                <w:u w:val="none"/>
              </w:rPr>
            </w:pPr>
          </w:p>
        </w:tc>
      </w:tr>
      <w:tr w14:paraId="15E5E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4D6A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8FF4">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E0C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8D7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9352">
            <w:pPr>
              <w:rPr>
                <w:rFonts w:hint="eastAsia" w:ascii="宋体" w:hAnsi="宋体" w:eastAsia="宋体" w:cs="宋体"/>
                <w:i w:val="0"/>
                <w:color w:val="000000"/>
                <w:sz w:val="24"/>
                <w:szCs w:val="24"/>
                <w:u w:val="none"/>
              </w:rPr>
            </w:pPr>
          </w:p>
        </w:tc>
      </w:tr>
      <w:tr w14:paraId="47A3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322C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518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3D8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683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3B0B">
            <w:pPr>
              <w:rPr>
                <w:rFonts w:hint="eastAsia" w:ascii="宋体" w:hAnsi="宋体" w:eastAsia="宋体" w:cs="宋体"/>
                <w:i w:val="0"/>
                <w:color w:val="000000"/>
                <w:sz w:val="24"/>
                <w:szCs w:val="24"/>
                <w:u w:val="none"/>
              </w:rPr>
            </w:pPr>
          </w:p>
        </w:tc>
      </w:tr>
      <w:tr w14:paraId="5362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CDF8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39D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178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723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2BDA">
            <w:pPr>
              <w:rPr>
                <w:rFonts w:hint="eastAsia" w:ascii="宋体" w:hAnsi="宋体" w:eastAsia="宋体" w:cs="宋体"/>
                <w:i w:val="0"/>
                <w:color w:val="000000"/>
                <w:sz w:val="24"/>
                <w:szCs w:val="24"/>
                <w:u w:val="none"/>
              </w:rPr>
            </w:pPr>
          </w:p>
        </w:tc>
      </w:tr>
      <w:tr w14:paraId="64E42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EE66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6D4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1EF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981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DDAD2">
            <w:pPr>
              <w:rPr>
                <w:rFonts w:hint="eastAsia" w:ascii="宋体" w:hAnsi="宋体" w:eastAsia="宋体" w:cs="宋体"/>
                <w:i w:val="0"/>
                <w:color w:val="000000"/>
                <w:sz w:val="24"/>
                <w:szCs w:val="24"/>
                <w:u w:val="none"/>
              </w:rPr>
            </w:pPr>
          </w:p>
        </w:tc>
      </w:tr>
      <w:tr w14:paraId="26A8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072C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3EC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73E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08C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DD1A">
            <w:pPr>
              <w:rPr>
                <w:rFonts w:hint="eastAsia" w:ascii="宋体" w:hAnsi="宋体" w:eastAsia="宋体" w:cs="宋体"/>
                <w:i w:val="0"/>
                <w:color w:val="000000"/>
                <w:sz w:val="24"/>
                <w:szCs w:val="24"/>
                <w:u w:val="none"/>
              </w:rPr>
            </w:pPr>
          </w:p>
        </w:tc>
      </w:tr>
      <w:tr w14:paraId="4AB4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3C5E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6B7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EA4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1E3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68D9">
            <w:pPr>
              <w:rPr>
                <w:rFonts w:hint="eastAsia" w:ascii="宋体" w:hAnsi="宋体" w:eastAsia="宋体" w:cs="宋体"/>
                <w:i w:val="0"/>
                <w:color w:val="000000"/>
                <w:sz w:val="24"/>
                <w:szCs w:val="24"/>
                <w:u w:val="none"/>
              </w:rPr>
            </w:pPr>
          </w:p>
        </w:tc>
      </w:tr>
      <w:tr w14:paraId="659FC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8343F3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4DCE42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F217D4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331EE4E5">
      <w:pPr>
        <w:widowControl/>
        <w:jc w:val="center"/>
        <w:rPr>
          <w:rFonts w:hint="eastAsia" w:ascii="Times New Roman" w:hAnsi="Times New Roman" w:eastAsia="方正小标宋_GBK" w:cs="Times New Roman"/>
          <w:color w:val="000000"/>
          <w:kern w:val="0"/>
          <w:sz w:val="36"/>
          <w:szCs w:val="36"/>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4F6B3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E96537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E820E5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9AFA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70E3F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65AE5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B28E1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8FE348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45832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69733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A155A2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E9E9F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552F8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C1249C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F2D40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D5074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378A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32BA737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0B5E789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3C6CB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0EF48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0FC562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163E6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E780EE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1190F1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18B0A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236DC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DE077A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4A214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880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0BD8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AF06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A2A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803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CE0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B19E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B40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FA5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A35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959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69D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7BB8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6F95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C0490">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48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BB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E6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9220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3BBD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E8BE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EE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AB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98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0E2E5">
            <w:pPr>
              <w:jc w:val="center"/>
              <w:rPr>
                <w:rFonts w:hint="eastAsia" w:ascii="宋体" w:hAnsi="宋体" w:eastAsia="宋体" w:cs="宋体"/>
                <w:i w:val="0"/>
                <w:color w:val="000000"/>
                <w:sz w:val="22"/>
                <w:szCs w:val="22"/>
                <w:u w:val="none"/>
              </w:rPr>
            </w:pPr>
          </w:p>
        </w:tc>
      </w:tr>
      <w:tr w14:paraId="0AC00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6A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21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84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9C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14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3D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06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9F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D5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A6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E8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65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82C6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F91B">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F694">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1098">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9812">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FFB8">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006A">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569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5.57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3501">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1CC6">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D844">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F976">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4.37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3B96">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r>
      <w:tr w14:paraId="2DE2C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E00DC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280856F">
      <w:pPr>
        <w:autoSpaceDE w:val="0"/>
        <w:autoSpaceDN w:val="0"/>
        <w:adjustRightInd w:val="0"/>
        <w:ind w:left="315" w:leftChars="150"/>
        <w:jc w:val="left"/>
        <w:rPr>
          <w:rFonts w:ascii="宋体" w:eastAsia="宋体" w:cs="宋体"/>
          <w:kern w:val="0"/>
          <w:sz w:val="24"/>
          <w:szCs w:val="24"/>
        </w:rPr>
      </w:pPr>
    </w:p>
    <w:p w14:paraId="666D6D43">
      <w:pPr>
        <w:autoSpaceDE w:val="0"/>
        <w:autoSpaceDN w:val="0"/>
        <w:adjustRightInd w:val="0"/>
        <w:ind w:left="315" w:leftChars="150"/>
        <w:jc w:val="left"/>
        <w:rPr>
          <w:rFonts w:ascii="宋体" w:eastAsia="宋体" w:cs="宋体"/>
          <w:kern w:val="0"/>
          <w:sz w:val="24"/>
          <w:szCs w:val="24"/>
        </w:rPr>
      </w:pPr>
    </w:p>
    <w:p w14:paraId="0B66A11D">
      <w:pPr>
        <w:autoSpaceDE w:val="0"/>
        <w:autoSpaceDN w:val="0"/>
        <w:adjustRightInd w:val="0"/>
        <w:ind w:left="315" w:leftChars="150"/>
        <w:jc w:val="left"/>
        <w:rPr>
          <w:rFonts w:ascii="宋体" w:eastAsia="宋体" w:cs="宋体"/>
          <w:kern w:val="0"/>
          <w:sz w:val="24"/>
          <w:szCs w:val="24"/>
        </w:rPr>
      </w:pPr>
    </w:p>
    <w:p w14:paraId="3F6BC52B">
      <w:pPr>
        <w:autoSpaceDE w:val="0"/>
        <w:autoSpaceDN w:val="0"/>
        <w:adjustRightInd w:val="0"/>
        <w:ind w:left="315" w:leftChars="150"/>
        <w:jc w:val="left"/>
        <w:rPr>
          <w:rFonts w:ascii="宋体" w:eastAsia="宋体" w:cs="宋体"/>
          <w:kern w:val="0"/>
          <w:sz w:val="24"/>
          <w:szCs w:val="24"/>
        </w:rPr>
      </w:pPr>
    </w:p>
    <w:p w14:paraId="3B73C7E8">
      <w:pPr>
        <w:autoSpaceDE w:val="0"/>
        <w:autoSpaceDN w:val="0"/>
        <w:adjustRightInd w:val="0"/>
        <w:ind w:left="315" w:leftChars="150"/>
        <w:jc w:val="left"/>
        <w:rPr>
          <w:rFonts w:ascii="宋体" w:eastAsia="宋体" w:cs="宋体"/>
          <w:kern w:val="0"/>
          <w:sz w:val="24"/>
          <w:szCs w:val="24"/>
        </w:rPr>
      </w:pPr>
    </w:p>
    <w:p w14:paraId="396EAD88">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5D16FD8">
      <w:pPr>
        <w:pStyle w:val="14"/>
        <w:rPr>
          <w:sz w:val="72"/>
          <w:szCs w:val="72"/>
        </w:rPr>
      </w:pPr>
    </w:p>
    <w:p w14:paraId="2970C67E">
      <w:pPr>
        <w:pStyle w:val="14"/>
        <w:rPr>
          <w:sz w:val="72"/>
          <w:szCs w:val="72"/>
        </w:rPr>
      </w:pPr>
    </w:p>
    <w:p w14:paraId="21BB9600">
      <w:pPr>
        <w:pStyle w:val="14"/>
        <w:rPr>
          <w:sz w:val="72"/>
          <w:szCs w:val="72"/>
        </w:rPr>
      </w:pPr>
    </w:p>
    <w:p w14:paraId="24B59435">
      <w:pPr>
        <w:pStyle w:val="14"/>
        <w:rPr>
          <w:sz w:val="72"/>
          <w:szCs w:val="72"/>
        </w:rPr>
      </w:pPr>
    </w:p>
    <w:p w14:paraId="79A196C7">
      <w:pPr>
        <w:pStyle w:val="14"/>
        <w:jc w:val="center"/>
        <w:rPr>
          <w:sz w:val="72"/>
          <w:szCs w:val="72"/>
        </w:rPr>
      </w:pPr>
    </w:p>
    <w:p w14:paraId="1A4108D3">
      <w:pPr>
        <w:pStyle w:val="14"/>
        <w:jc w:val="center"/>
        <w:rPr>
          <w:rFonts w:hint="eastAsia" w:ascii="方正小标宋_GBK" w:hAnsi="方正小标宋_GBK" w:eastAsia="方正小标宋_GBK" w:cs="方正小标宋_GBK"/>
          <w:sz w:val="72"/>
          <w:szCs w:val="72"/>
        </w:rPr>
      </w:pPr>
    </w:p>
    <w:p w14:paraId="41C3BAE6">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B81E296">
      <w:pPr>
        <w:pStyle w:val="14"/>
        <w:jc w:val="center"/>
        <w:rPr>
          <w:rFonts w:hint="eastAsia" w:ascii="方正小标宋_GBK" w:hAnsi="方正小标宋_GBK" w:eastAsia="方正小标宋_GBK" w:cs="方正小标宋_GBK"/>
          <w:sz w:val="70"/>
          <w:szCs w:val="70"/>
        </w:rPr>
      </w:pPr>
    </w:p>
    <w:p w14:paraId="521559B2">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3205FBE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2C8FEA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750E9D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6978.99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897.08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14.75</w:t>
      </w:r>
      <w:r>
        <w:rPr>
          <w:rFonts w:hint="eastAsia" w:ascii="Times New Roman" w:hAnsi="Times New Roman" w:eastAsia="仿宋_GB2312"/>
          <w:sz w:val="32"/>
          <w:szCs w:val="32"/>
        </w:rPr>
        <w:t>%，主要是因为高中教育和中等职业教育经费</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w:t>
      </w:r>
    </w:p>
    <w:p w14:paraId="35C6F82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4F9AC1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6978.99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5511.4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78.97</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1467.59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21.03</w:t>
      </w:r>
      <w:r>
        <w:rPr>
          <w:rFonts w:hint="eastAsia" w:ascii="Times New Roman" w:hAnsi="Times New Roman" w:eastAsia="仿宋_GB2312"/>
          <w:sz w:val="32"/>
          <w:szCs w:val="32"/>
        </w:rPr>
        <w:t>%。</w:t>
      </w:r>
    </w:p>
    <w:p w14:paraId="7682794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789A96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6978.99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3507.87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50.26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3471.12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49.74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9AFD64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1106B2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5511.4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353.62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6.86</w:t>
      </w:r>
      <w:r>
        <w:rPr>
          <w:rFonts w:hint="eastAsia" w:ascii="Times New Roman" w:hAnsi="Times New Roman" w:eastAsia="仿宋_GB2312"/>
          <w:sz w:val="32"/>
          <w:szCs w:val="32"/>
        </w:rPr>
        <w:t>%，主要是因为高中教育和中等职业教育经费</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w:t>
      </w:r>
    </w:p>
    <w:p w14:paraId="10FE588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1DFF7A5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823C56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5511.4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78.97</w:t>
      </w:r>
      <w:r>
        <w:rPr>
          <w:rFonts w:hint="eastAsia" w:ascii="Times New Roman" w:hAnsi="Times New Roman" w:eastAsia="仿宋_GB2312"/>
          <w:sz w:val="32"/>
          <w:szCs w:val="32"/>
        </w:rPr>
        <w:t>%，与上年相比，财政拨款支</w:t>
      </w:r>
      <w:r>
        <w:rPr>
          <w:rFonts w:hint="eastAsia" w:ascii="Times New Roman" w:hAnsi="Times New Roman" w:eastAsia="仿宋_GB2312"/>
          <w:color w:val="auto"/>
          <w:sz w:val="32"/>
          <w:szCs w:val="32"/>
        </w:rPr>
        <w:t>出增加</w:t>
      </w:r>
      <w:r>
        <w:rPr>
          <w:rFonts w:hint="eastAsia" w:ascii="Times New Roman" w:hAnsi="Times New Roman" w:eastAsia="仿宋_GB2312"/>
          <w:color w:val="auto"/>
          <w:sz w:val="32"/>
          <w:szCs w:val="32"/>
          <w:lang w:val="en-US" w:eastAsia="zh-CN"/>
        </w:rPr>
        <w:t>353.62</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6.86</w:t>
      </w:r>
      <w:r>
        <w:rPr>
          <w:rFonts w:hint="eastAsia" w:ascii="Times New Roman" w:hAnsi="Times New Roman" w:eastAsia="仿宋_GB2312"/>
          <w:color w:val="auto"/>
          <w:sz w:val="32"/>
          <w:szCs w:val="32"/>
        </w:rPr>
        <w:t>%，</w:t>
      </w:r>
      <w:r>
        <w:rPr>
          <w:rFonts w:hint="eastAsia" w:ascii="Times New Roman" w:hAnsi="Times New Roman" w:eastAsia="仿宋_GB2312"/>
          <w:sz w:val="32"/>
          <w:szCs w:val="32"/>
        </w:rPr>
        <w:t>主要是因为高中教育和中等职业教育经费</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w:t>
      </w:r>
    </w:p>
    <w:p w14:paraId="64C4BA0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69217FC">
      <w:pPr>
        <w:pStyle w:val="14"/>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5511.4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0.01</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5076.05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92.1</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340.27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6.17</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94.77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FFB860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5155FA4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2415.15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5511.4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228.2</w:t>
      </w:r>
      <w:r>
        <w:rPr>
          <w:rFonts w:hint="eastAsia" w:ascii="Times New Roman" w:hAnsi="Times New Roman" w:eastAsia="仿宋_GB2312"/>
          <w:sz w:val="32"/>
          <w:szCs w:val="32"/>
        </w:rPr>
        <w:t>%，其中：</w:t>
      </w:r>
    </w:p>
    <w:p w14:paraId="42048EF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rPr>
        <w:t>（项）。</w:t>
      </w:r>
    </w:p>
    <w:p w14:paraId="117243D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增加个人记功奖。</w:t>
      </w:r>
    </w:p>
    <w:p w14:paraId="2B81933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2、教育支出（类）教育管理事</w:t>
      </w:r>
      <w:r>
        <w:rPr>
          <w:rFonts w:hint="eastAsia" w:ascii="Times New Roman" w:hAnsi="Times New Roman" w:eastAsia="仿宋_GB2312"/>
          <w:sz w:val="32"/>
          <w:szCs w:val="32"/>
          <w:lang w:eastAsia="zh-CN"/>
        </w:rPr>
        <w:t>务</w:t>
      </w:r>
      <w:r>
        <w:rPr>
          <w:rFonts w:hint="eastAsia" w:ascii="Times New Roman" w:hAnsi="Times New Roman" w:eastAsia="仿宋_GB2312"/>
          <w:sz w:val="32"/>
          <w:szCs w:val="32"/>
        </w:rPr>
        <w:t>（款）</w:t>
      </w:r>
      <w:r>
        <w:rPr>
          <w:rFonts w:hint="eastAsia" w:ascii="仿宋" w:hAnsi="仿宋" w:eastAsia="仿宋" w:cs="仿宋"/>
          <w:i w:val="0"/>
          <w:iCs w:val="0"/>
          <w:caps w:val="0"/>
          <w:color w:val="auto"/>
          <w:spacing w:val="0"/>
          <w:sz w:val="32"/>
          <w:szCs w:val="32"/>
          <w:shd w:val="clear" w:color="auto" w:fill="FFFFFF"/>
        </w:rPr>
        <w:t>行政运行</w:t>
      </w:r>
      <w:r>
        <w:rPr>
          <w:rFonts w:hint="eastAsia" w:ascii="Times New Roman" w:hAnsi="Times New Roman" w:eastAsia="仿宋_GB2312"/>
          <w:sz w:val="32"/>
          <w:szCs w:val="32"/>
        </w:rPr>
        <w:t>（项）。</w:t>
      </w:r>
    </w:p>
    <w:p w14:paraId="3DFEF2B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2414.15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1823.49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75.53</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预算中的社会保障缴费在决算时列入</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eastAsia="zh-CN"/>
        </w:rPr>
        <w:t>和卫生健康支出（类）中支出。</w:t>
      </w:r>
    </w:p>
    <w:p w14:paraId="39B125F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教育支出（类）教育管理事</w:t>
      </w:r>
      <w:r>
        <w:rPr>
          <w:rFonts w:hint="eastAsia" w:ascii="Times New Roman" w:hAnsi="Times New Roman" w:eastAsia="仿宋_GB2312"/>
          <w:sz w:val="32"/>
          <w:szCs w:val="32"/>
          <w:lang w:eastAsia="zh-CN"/>
        </w:rPr>
        <w:t>务</w:t>
      </w:r>
      <w:r>
        <w:rPr>
          <w:rFonts w:hint="eastAsia" w:ascii="Times New Roman" w:hAnsi="Times New Roman" w:eastAsia="仿宋_GB2312"/>
          <w:sz w:val="32"/>
          <w:szCs w:val="32"/>
        </w:rPr>
        <w:t>（款）其他教育管理事</w:t>
      </w:r>
      <w:r>
        <w:rPr>
          <w:rFonts w:hint="eastAsia" w:ascii="Times New Roman" w:hAnsi="Times New Roman" w:eastAsia="仿宋_GB2312"/>
          <w:sz w:val="32"/>
          <w:szCs w:val="32"/>
          <w:lang w:eastAsia="zh-CN"/>
        </w:rPr>
        <w:t>务</w:t>
      </w:r>
      <w:r>
        <w:rPr>
          <w:rFonts w:hint="eastAsia" w:ascii="Times New Roman" w:hAnsi="Times New Roman" w:eastAsia="仿宋_GB2312"/>
          <w:sz w:val="32"/>
          <w:szCs w:val="32"/>
        </w:rPr>
        <w:t>支出（项）。</w:t>
      </w:r>
    </w:p>
    <w:p w14:paraId="358896A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150.42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仿宋" w:hAnsi="仿宋" w:eastAsia="仿宋" w:cs="仿宋"/>
          <w:i w:val="0"/>
          <w:iCs w:val="0"/>
          <w:caps w:val="0"/>
          <w:color w:val="auto"/>
          <w:spacing w:val="0"/>
          <w:sz w:val="32"/>
          <w:szCs w:val="32"/>
          <w:shd w:val="clear" w:color="auto" w:fill="FFFFFF"/>
          <w:lang w:eastAsia="zh-CN"/>
        </w:rPr>
        <w:t>追加的绩效奖金；</w:t>
      </w:r>
      <w:r>
        <w:rPr>
          <w:rFonts w:hint="eastAsia" w:ascii="Times New Roman" w:hAnsi="Times New Roman" w:eastAsia="仿宋_GB2312"/>
          <w:sz w:val="32"/>
          <w:szCs w:val="32"/>
          <w:lang w:eastAsia="zh-CN"/>
        </w:rPr>
        <w:t>教师资格面试开支、委托业务费、劳务费、印刷费等的增加。</w:t>
      </w:r>
    </w:p>
    <w:p w14:paraId="6F98281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教育支出（类）普通教育（款）</w:t>
      </w:r>
      <w:r>
        <w:rPr>
          <w:rFonts w:hint="eastAsia" w:ascii="Times New Roman" w:hAnsi="Times New Roman" w:eastAsia="仿宋_GB2312"/>
          <w:sz w:val="32"/>
          <w:szCs w:val="32"/>
          <w:lang w:eastAsia="zh-CN"/>
        </w:rPr>
        <w:t>小学</w:t>
      </w:r>
      <w:r>
        <w:rPr>
          <w:rFonts w:hint="eastAsia" w:ascii="Times New Roman" w:hAnsi="Times New Roman" w:eastAsia="仿宋_GB2312"/>
          <w:sz w:val="32"/>
          <w:szCs w:val="32"/>
        </w:rPr>
        <w:t>教育（项）。</w:t>
      </w:r>
    </w:p>
    <w:p w14:paraId="00D5CD9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校车、校园安全检测云平台经费的增加。</w:t>
      </w:r>
    </w:p>
    <w:p w14:paraId="2E73118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教育支出（类）普通教育（款）</w:t>
      </w:r>
      <w:r>
        <w:rPr>
          <w:rFonts w:hint="eastAsia" w:ascii="Times New Roman" w:hAnsi="Times New Roman" w:eastAsia="仿宋_GB2312"/>
          <w:sz w:val="32"/>
          <w:szCs w:val="32"/>
          <w:lang w:eastAsia="zh-CN"/>
        </w:rPr>
        <w:t>初中</w:t>
      </w:r>
      <w:r>
        <w:rPr>
          <w:rFonts w:hint="eastAsia" w:ascii="Times New Roman" w:hAnsi="Times New Roman" w:eastAsia="仿宋_GB2312"/>
          <w:sz w:val="32"/>
          <w:szCs w:val="32"/>
        </w:rPr>
        <w:t>教育（项）。</w:t>
      </w:r>
    </w:p>
    <w:p w14:paraId="23614D5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校车、校园安全检测云平台经费的增加。</w:t>
      </w:r>
    </w:p>
    <w:p w14:paraId="6AA4B7E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教育支出（类）普通教育（款）高中教育（项）。</w:t>
      </w:r>
    </w:p>
    <w:p w14:paraId="6DB8DB7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2481.3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普通高中资助经费的增加。</w:t>
      </w:r>
    </w:p>
    <w:p w14:paraId="58C4A3F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教育支出（类）普通教育（款）其他普通教育支出（项）。</w:t>
      </w:r>
    </w:p>
    <w:p w14:paraId="706BA1D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98.91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劳务费、培训费、书籍费的增加。</w:t>
      </w:r>
    </w:p>
    <w:p w14:paraId="2FCF32E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教育支出（类）职业教育（款）中等职业教育（项）。</w:t>
      </w:r>
    </w:p>
    <w:p w14:paraId="273B64C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370.9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中职高中资助经费的增加。</w:t>
      </w:r>
    </w:p>
    <w:p w14:paraId="3E9D35E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教育支出（类）其他教育支出（款）其他教育支出（项）。</w:t>
      </w:r>
    </w:p>
    <w:p w14:paraId="7568E0F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135.41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其他商品和服务支出费用、业务委托费、培训费、差旅费的增加。</w:t>
      </w:r>
    </w:p>
    <w:p w14:paraId="030E7F2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社会保障和就业支出（类）行政事业单位养老支出（款）机关事业单位基本养老保险缴费支出（项）。</w:t>
      </w:r>
    </w:p>
    <w:p w14:paraId="265C3C6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194.68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职工机关事业单位基本养老保险缴费的增加。</w:t>
      </w:r>
    </w:p>
    <w:p w14:paraId="19672B5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社会保障和就业支出（类）行政事业单位养老支出（款）其他行政事业单位养老支出（项）。</w:t>
      </w:r>
    </w:p>
    <w:p w14:paraId="6F9101C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w:t>
      </w:r>
      <w:r>
        <w:rPr>
          <w:rFonts w:hint="eastAsia" w:ascii="Times New Roman" w:hAnsi="Times New Roman" w:eastAsia="仿宋_GB2312"/>
          <w:sz w:val="32"/>
          <w:szCs w:val="32"/>
          <w:lang w:val="en-US" w:eastAsia="zh-CN"/>
        </w:rPr>
        <w:t>45.59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退休人员生活补助费用的增加。</w:t>
      </w:r>
    </w:p>
    <w:p w14:paraId="6A86ABC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484DA37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94.77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职工基本医疗保险缴费的增加。</w:t>
      </w:r>
    </w:p>
    <w:p w14:paraId="2DD553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DE1688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2040.28</w:t>
      </w:r>
      <w:r>
        <w:rPr>
          <w:rFonts w:hint="eastAsia" w:ascii="Times New Roman" w:hAnsi="Times New Roman" w:eastAsia="仿宋_GB2312"/>
          <w:sz w:val="32"/>
          <w:szCs w:val="32"/>
        </w:rPr>
        <w:t>万元，其中：</w:t>
      </w:r>
    </w:p>
    <w:p w14:paraId="2537C6C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1835.28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89.95</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绩效工资</w:t>
      </w:r>
      <w:r>
        <w:rPr>
          <w:rFonts w:hint="eastAsia" w:ascii="仿宋" w:hAnsi="仿宋" w:eastAsia="仿宋" w:cs="仿宋"/>
          <w:sz w:val="32"/>
          <w:szCs w:val="32"/>
          <w:lang w:eastAsia="zh-CN"/>
        </w:rPr>
        <w:t>、</w:t>
      </w:r>
      <w:r>
        <w:rPr>
          <w:rFonts w:hint="eastAsia" w:ascii="仿宋" w:hAnsi="仿宋" w:eastAsia="仿宋" w:cs="仿宋"/>
          <w:i w:val="0"/>
          <w:iCs w:val="0"/>
          <w:caps w:val="0"/>
          <w:color w:val="auto"/>
          <w:spacing w:val="0"/>
          <w:sz w:val="32"/>
          <w:szCs w:val="32"/>
          <w:shd w:val="clear" w:color="auto" w:fill="FFFFFF"/>
        </w:rPr>
        <w:t>机关事业单位基本养老保险缴费、职业年金缴费、职工基本医疗保险缴费、</w:t>
      </w:r>
      <w:r>
        <w:rPr>
          <w:rFonts w:hint="eastAsia" w:ascii="仿宋" w:hAnsi="仿宋" w:eastAsia="仿宋" w:cs="仿宋"/>
          <w:i w:val="0"/>
          <w:iCs w:val="0"/>
          <w:caps w:val="0"/>
          <w:color w:val="auto"/>
          <w:spacing w:val="0"/>
          <w:sz w:val="32"/>
          <w:szCs w:val="32"/>
          <w:shd w:val="clear" w:color="auto" w:fill="FFFFFF"/>
          <w:lang w:eastAsia="zh-CN"/>
        </w:rPr>
        <w:t>其他社会保障缴费、</w:t>
      </w:r>
      <w:r>
        <w:rPr>
          <w:rFonts w:hint="eastAsia" w:ascii="仿宋" w:hAnsi="仿宋" w:eastAsia="仿宋" w:cs="仿宋"/>
          <w:i w:val="0"/>
          <w:iCs w:val="0"/>
          <w:caps w:val="0"/>
          <w:color w:val="auto"/>
          <w:spacing w:val="0"/>
          <w:sz w:val="32"/>
          <w:szCs w:val="32"/>
          <w:shd w:val="clear" w:color="auto" w:fill="FFFFFF"/>
        </w:rPr>
        <w:t>退休费、</w:t>
      </w:r>
      <w:r>
        <w:rPr>
          <w:rFonts w:hint="eastAsia" w:ascii="仿宋" w:hAnsi="仿宋" w:eastAsia="仿宋" w:cs="仿宋"/>
          <w:i w:val="0"/>
          <w:iCs w:val="0"/>
          <w:caps w:val="0"/>
          <w:color w:val="auto"/>
          <w:spacing w:val="0"/>
          <w:sz w:val="32"/>
          <w:szCs w:val="32"/>
          <w:shd w:val="clear" w:color="auto" w:fill="FFFFFF"/>
          <w:lang w:eastAsia="zh-CN"/>
        </w:rPr>
        <w:t>抚恤金、</w:t>
      </w:r>
      <w:r>
        <w:rPr>
          <w:rFonts w:hint="eastAsia" w:ascii="仿宋" w:hAnsi="仿宋" w:eastAsia="仿宋" w:cs="仿宋"/>
          <w:i w:val="0"/>
          <w:iCs w:val="0"/>
          <w:caps w:val="0"/>
          <w:color w:val="auto"/>
          <w:spacing w:val="0"/>
          <w:sz w:val="32"/>
          <w:szCs w:val="32"/>
          <w:shd w:val="clear" w:color="auto" w:fill="FFFFFF"/>
        </w:rPr>
        <w:t>生活补助</w:t>
      </w:r>
      <w:r>
        <w:rPr>
          <w:rFonts w:hint="eastAsia" w:ascii="仿宋" w:hAnsi="仿宋" w:eastAsia="仿宋" w:cs="仿宋"/>
          <w:i w:val="0"/>
          <w:iCs w:val="0"/>
          <w:caps w:val="0"/>
          <w:color w:val="auto"/>
          <w:spacing w:val="0"/>
          <w:sz w:val="32"/>
          <w:szCs w:val="32"/>
          <w:shd w:val="clear" w:color="auto" w:fill="FFFFFF"/>
          <w:lang w:eastAsia="zh-CN"/>
        </w:rPr>
        <w:t>、奖励金、其他对个人和家庭的补助</w:t>
      </w:r>
      <w:r>
        <w:rPr>
          <w:rFonts w:hint="eastAsia" w:ascii="仿宋" w:hAnsi="仿宋" w:eastAsia="仿宋" w:cs="仿宋"/>
          <w:sz w:val="32"/>
          <w:szCs w:val="32"/>
          <w:lang w:eastAsia="zh-CN"/>
        </w:rPr>
        <w:t>。</w:t>
      </w:r>
    </w:p>
    <w:p w14:paraId="61BC31D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205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10.05</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eastAsia="zh-CN"/>
        </w:rPr>
        <w:t>水费、电费、邮电费、物业管理费、差旅费、维修（护）费、公务接待费、劳务费、福利费、其他交通费用、其他商品服务支出</w:t>
      </w:r>
      <w:r>
        <w:rPr>
          <w:rFonts w:hint="eastAsia" w:ascii="Times New Roman" w:hAnsi="Times New Roman" w:eastAsia="仿宋_GB2312"/>
          <w:sz w:val="32"/>
          <w:szCs w:val="32"/>
        </w:rPr>
        <w:t>。</w:t>
      </w:r>
    </w:p>
    <w:p w14:paraId="156DA79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5E4187E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AA8E2D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5.57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63.3</w:t>
      </w:r>
      <w:r>
        <w:rPr>
          <w:rFonts w:hint="eastAsia" w:ascii="Times New Roman" w:hAnsi="Times New Roman" w:eastAsia="仿宋_GB2312"/>
          <w:sz w:val="32"/>
          <w:szCs w:val="32"/>
        </w:rPr>
        <w:t>%，决算数小于预算数的主要原因是厉行节约，树立过"紧日子"的思想，落实市委市政府压减一般公用支出的要求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31.78</w:t>
      </w:r>
      <w:r>
        <w:rPr>
          <w:rFonts w:hint="eastAsia" w:ascii="Times New Roman" w:hAnsi="Times New Roman" w:eastAsia="仿宋_GB2312"/>
          <w:sz w:val="32"/>
          <w:szCs w:val="32"/>
        </w:rPr>
        <w:t>%,减少的主要原因是厉行节约，树立过"紧日子"的思想，落实市委市政府压减一般公用支出的要求。其中：</w:t>
      </w:r>
    </w:p>
    <w:p w14:paraId="31CB76B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按预算执行</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本年度未安排因公出国（境）</w:t>
      </w:r>
      <w:r>
        <w:rPr>
          <w:rFonts w:hint="eastAsia" w:ascii="Times New Roman" w:hAnsi="Times New Roman" w:eastAsia="仿宋_GB2312"/>
          <w:sz w:val="32"/>
          <w:szCs w:val="32"/>
        </w:rPr>
        <w:t>。</w:t>
      </w:r>
    </w:p>
    <w:p w14:paraId="488F9B2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40.33</w:t>
      </w:r>
      <w:r>
        <w:rPr>
          <w:rFonts w:hint="eastAsia" w:ascii="Times New Roman" w:hAnsi="Times New Roman" w:eastAsia="仿宋_GB2312"/>
          <w:sz w:val="32"/>
          <w:szCs w:val="32"/>
        </w:rPr>
        <w:t>%，决算数小于预算数的主要原因是厉行节约，树立过"紧日子"的思想，落实市委市政府压减一般公用支出的要求，与上年相比增加</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380</w:t>
      </w:r>
      <w:r>
        <w:rPr>
          <w:rFonts w:hint="eastAsia" w:ascii="Times New Roman" w:hAnsi="Times New Roman" w:eastAsia="仿宋_GB2312"/>
          <w:sz w:val="32"/>
          <w:szCs w:val="32"/>
        </w:rPr>
        <w:t>%,增长的主要原因是本年度市外单位来我局交流较多，接待费较上年增加。</w:t>
      </w:r>
    </w:p>
    <w:p w14:paraId="1CFCAB2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按预算执行</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%,主要原因是厉行节约，减少开支。</w:t>
      </w:r>
    </w:p>
    <w:p w14:paraId="707C502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p>
    <w:p w14:paraId="49621BE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75.34</w:t>
      </w:r>
      <w:r>
        <w:rPr>
          <w:rFonts w:hint="eastAsia" w:ascii="Times New Roman" w:hAnsi="Times New Roman" w:eastAsia="仿宋_GB2312"/>
          <w:sz w:val="32"/>
          <w:szCs w:val="32"/>
        </w:rPr>
        <w:t>%，决算数小于预算数的主要原因是厉行节约，树立过"紧日子"的思想，落实市委市政府压减一般公用支出的要求，与上年相比减少</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44.82</w:t>
      </w:r>
      <w:r>
        <w:rPr>
          <w:rFonts w:hint="eastAsia" w:ascii="Times New Roman" w:hAnsi="Times New Roman" w:eastAsia="仿宋_GB2312"/>
          <w:sz w:val="32"/>
          <w:szCs w:val="32"/>
        </w:rPr>
        <w:t>%,减少的主要原因是厉行节约，树立过"紧日子"的思想，落实市委市政府压减一般公用支出的要求。</w:t>
      </w:r>
    </w:p>
    <w:p w14:paraId="1DA9F8C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E38B2F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21.54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78.46</w:t>
      </w:r>
      <w:r>
        <w:rPr>
          <w:rFonts w:hint="eastAsia" w:ascii="Times New Roman" w:hAnsi="Times New Roman" w:eastAsia="仿宋_GB2312"/>
          <w:sz w:val="32"/>
          <w:szCs w:val="32"/>
        </w:rPr>
        <w:t>%。其中：</w:t>
      </w:r>
    </w:p>
    <w:p w14:paraId="43054EC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9F55FB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万元，全年共接待来访团组</w:t>
      </w:r>
      <w:r>
        <w:rPr>
          <w:rFonts w:hint="eastAsia" w:ascii="Times New Roman" w:hAnsi="Times New Roman" w:eastAsia="仿宋_GB2312"/>
          <w:color w:val="auto"/>
          <w:sz w:val="32"/>
          <w:szCs w:val="32"/>
          <w:lang w:val="en-US" w:eastAsia="zh-CN"/>
        </w:rPr>
        <w:t>11</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63</w:t>
      </w:r>
      <w:r>
        <w:rPr>
          <w:rFonts w:hint="eastAsia" w:ascii="Times New Roman" w:hAnsi="Times New Roman" w:eastAsia="仿宋_GB2312"/>
          <w:color w:val="auto"/>
          <w:sz w:val="32"/>
          <w:szCs w:val="32"/>
        </w:rPr>
        <w:t>人次，主要是</w:t>
      </w:r>
      <w:r>
        <w:rPr>
          <w:rFonts w:hint="eastAsia" w:ascii="仿宋" w:hAnsi="仿宋" w:eastAsia="仿宋" w:cs="仿宋"/>
          <w:i w:val="0"/>
          <w:iCs w:val="0"/>
          <w:caps w:val="0"/>
          <w:color w:val="auto"/>
          <w:spacing w:val="0"/>
          <w:sz w:val="32"/>
          <w:szCs w:val="32"/>
          <w:shd w:val="clear" w:color="auto" w:fill="FFFFFF"/>
        </w:rPr>
        <w:t>工作业务联系发生的</w:t>
      </w:r>
      <w:r>
        <w:rPr>
          <w:rFonts w:hint="eastAsia" w:ascii="Times New Roman" w:hAnsi="Times New Roman" w:eastAsia="仿宋_GB2312"/>
          <w:color w:val="auto"/>
          <w:sz w:val="32"/>
          <w:szCs w:val="32"/>
        </w:rPr>
        <w:t>接待支出。</w:t>
      </w:r>
    </w:p>
    <w:p w14:paraId="2496165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4.37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4.37</w:t>
      </w:r>
      <w:r>
        <w:rPr>
          <w:rFonts w:hint="eastAsia" w:ascii="Times New Roman" w:hAnsi="Times New Roman" w:eastAsia="仿宋_GB2312"/>
          <w:sz w:val="32"/>
          <w:szCs w:val="32"/>
        </w:rPr>
        <w:t>万元，主要是公车过路过桥、燃料、保险维修支出，截止202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60B60CA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BFB89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仿宋" w:hAnsi="仿宋" w:eastAsia="仿宋" w:cs="仿宋"/>
          <w:i w:val="0"/>
          <w:iCs w:val="0"/>
          <w:caps w:val="0"/>
          <w:color w:val="auto"/>
          <w:spacing w:val="0"/>
          <w:sz w:val="32"/>
          <w:szCs w:val="32"/>
          <w:shd w:val="clear" w:color="auto" w:fill="FFFFFF"/>
        </w:rPr>
        <w:t>本单位无政府性基金收支</w:t>
      </w:r>
      <w:r>
        <w:rPr>
          <w:rFonts w:hint="eastAsia" w:ascii="仿宋" w:hAnsi="仿宋" w:eastAsia="仿宋" w:cs="仿宋"/>
          <w:i w:val="0"/>
          <w:iCs w:val="0"/>
          <w:caps w:val="0"/>
          <w:color w:val="auto"/>
          <w:spacing w:val="0"/>
          <w:sz w:val="32"/>
          <w:szCs w:val="32"/>
          <w:shd w:val="clear" w:color="auto" w:fill="FFFFFF"/>
          <w:lang w:eastAsia="zh-CN"/>
        </w:rPr>
        <w:t>。</w:t>
      </w:r>
    </w:p>
    <w:p w14:paraId="36C5607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rPr>
        <w:t>九、</w:t>
      </w:r>
      <w:r>
        <w:rPr>
          <w:rFonts w:hint="eastAsia" w:ascii="Times New Roman" w:hAnsi="Times New Roman" w:eastAsia="仿宋_GB2312"/>
          <w:b/>
          <w:color w:val="auto"/>
          <w:sz w:val="32"/>
          <w:szCs w:val="32"/>
          <w:lang w:eastAsia="zh-CN"/>
        </w:rPr>
        <w:t>国有资本经营预算</w:t>
      </w:r>
      <w:r>
        <w:rPr>
          <w:rFonts w:hint="eastAsia" w:ascii="黑体" w:hAnsi="黑体" w:eastAsia="黑体" w:cs="黑体"/>
          <w:b w:val="0"/>
          <w:bCs/>
          <w:sz w:val="32"/>
          <w:szCs w:val="32"/>
          <w:lang w:val="en-US" w:eastAsia="zh-CN"/>
        </w:rPr>
        <w:t>财政拨款支出</w:t>
      </w:r>
      <w:r>
        <w:rPr>
          <w:rFonts w:hint="eastAsia" w:ascii="黑体" w:hAnsi="黑体" w:eastAsia="黑体" w:cs="黑体"/>
          <w:b w:val="0"/>
          <w:bCs/>
          <w:sz w:val="32"/>
          <w:szCs w:val="32"/>
        </w:rPr>
        <w:t>情况</w:t>
      </w:r>
    </w:p>
    <w:p w14:paraId="704D2379">
      <w:pPr>
        <w:pStyle w:val="14"/>
        <w:keepNext w:val="0"/>
        <w:keepLines w:val="0"/>
        <w:pageBreakBefore w:val="0"/>
        <w:numPr>
          <w:ilvl w:val="0"/>
          <w:numId w:val="0"/>
        </w:numPr>
        <w:kinsoku/>
        <w:wordWrap/>
        <w:overflowPunct/>
        <w:topLinePunct w:val="0"/>
        <w:bidi w:val="0"/>
        <w:snapToGrid/>
        <w:spacing w:line="240" w:lineRule="auto"/>
        <w:ind w:firstLine="1280" w:firstLineChars="400"/>
        <w:textAlignment w:val="auto"/>
        <w:rPr>
          <w:rFonts w:hint="eastAsia" w:ascii="Times New Roman" w:hAnsi="Times New Roman" w:eastAsia="仿宋_GB2312"/>
          <w:b/>
          <w:color w:val="auto"/>
          <w:sz w:val="32"/>
          <w:szCs w:val="32"/>
        </w:rPr>
      </w:pPr>
      <w:r>
        <w:rPr>
          <w:rFonts w:hint="eastAsia" w:ascii="仿宋" w:hAnsi="仿宋" w:eastAsia="仿宋" w:cs="仿宋"/>
          <w:b w:val="0"/>
          <w:bCs w:val="0"/>
          <w:color w:val="auto"/>
          <w:sz w:val="32"/>
          <w:szCs w:val="32"/>
          <w:highlight w:val="none"/>
        </w:rPr>
        <w:t>本单位无</w:t>
      </w:r>
      <w:r>
        <w:rPr>
          <w:rFonts w:hint="eastAsia" w:ascii="仿宋" w:hAnsi="仿宋" w:eastAsia="仿宋" w:cs="仿宋"/>
          <w:b w:val="0"/>
          <w:bCs w:val="0"/>
          <w:color w:val="auto"/>
          <w:sz w:val="32"/>
          <w:szCs w:val="32"/>
          <w:highlight w:val="none"/>
          <w:lang w:val="en-US" w:eastAsia="zh-CN"/>
        </w:rPr>
        <w:t>国有资本经营预算财政拨款支出。</w:t>
      </w:r>
    </w:p>
    <w:p w14:paraId="60737C0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07F42F3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205</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17.83</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9.53</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水费、电费、物业管理费等增加。</w:t>
      </w:r>
    </w:p>
    <w:p w14:paraId="35B756D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05AEC1F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auto"/>
          <w:sz w:val="32"/>
          <w:szCs w:val="32"/>
        </w:rPr>
        <w:t>202</w:t>
      </w:r>
      <w:r>
        <w:rPr>
          <w:rFonts w:hint="eastAsia" w:ascii="方正仿宋_GB2312" w:hAnsi="方正仿宋_GB2312" w:eastAsia="方正仿宋_GB2312" w:cs="方正仿宋_GB2312"/>
          <w:color w:val="auto"/>
          <w:sz w:val="32"/>
          <w:szCs w:val="32"/>
          <w:lang w:val="en-US" w:eastAsia="zh-CN"/>
        </w:rPr>
        <w:t>3</w:t>
      </w:r>
      <w:r>
        <w:rPr>
          <w:rFonts w:hint="eastAsia" w:ascii="方正仿宋_GB2312" w:hAnsi="方正仿宋_GB2312" w:eastAsia="方正仿宋_GB2312" w:cs="方正仿宋_GB2312"/>
          <w:color w:val="auto"/>
          <w:sz w:val="32"/>
          <w:szCs w:val="32"/>
        </w:rPr>
        <w:t>年本部门开支</w:t>
      </w:r>
      <w:r>
        <w:rPr>
          <w:rFonts w:hint="eastAsia" w:ascii="方正仿宋_GB2312" w:hAnsi="方正仿宋_GB2312" w:eastAsia="方正仿宋_GB2312" w:cs="方正仿宋_GB2312"/>
          <w:sz w:val="32"/>
          <w:szCs w:val="32"/>
        </w:rPr>
        <w:t>会议费0.12万元,用于召开全市教育装备工作会议,人数47人,内容为全市教育装备工作；开支会议费0.15万元,用于召开全市校外培训治理工作动员部署会议,人数31人,内容为全市校外培训治理工作动员部署；开支会议费0.08万元,用于召开职业教育工作会议,人数59人,内容为加强中职学校校风学风建设专项行动部署；开支会议费0.08万元,用于召开中等职业普测工作会议,人数34人,内容为中职学校公共基础课普测；开支会议费0.17万元,用于召开市语委工作会议,人数34人,内容为市语委工作会议；开支会议费2.55万元,用于召开中职学校文明风采会议,人数62人,内容为中职学校“技能成才强国有我”文明采风活动；开支会议费0.63万元,用于召开教育系统安全稳定工作会议,人数58人,内容为全市教育系统安全稳定工作会暨二季度研判会议；开支会议费0.17万元,用于召开教育系统安全稳定工作会议,人数67人,内容为全市教育系统安全稳定工作一季度研判会；开支会议费0.</w:t>
      </w:r>
      <w:r>
        <w:rPr>
          <w:rFonts w:hint="eastAsia" w:ascii="方正仿宋_GB2312" w:hAnsi="方正仿宋_GB2312" w:eastAsia="方正仿宋_GB2312" w:cs="方正仿宋_GB2312"/>
          <w:sz w:val="32"/>
          <w:szCs w:val="32"/>
          <w:lang w:val="en-US" w:eastAsia="zh-CN"/>
        </w:rPr>
        <w:t>65</w:t>
      </w:r>
      <w:r>
        <w:rPr>
          <w:rFonts w:hint="eastAsia" w:ascii="方正仿宋_GB2312" w:hAnsi="方正仿宋_GB2312" w:eastAsia="方正仿宋_GB2312" w:cs="方正仿宋_GB2312"/>
          <w:sz w:val="32"/>
          <w:szCs w:val="32"/>
        </w:rPr>
        <w:t>万元,用于召开怀化市中学生三独比赛会议,人数45人,内容为怀化市中学生三独比赛；开支会议费0.13万元,用于召开2023年座谈会议,人数29人,内容为退役军人八一建军节座谈会；开支会议费0.2万元,用于召开学生资助工作会议,人数43人,内容为学生资助工作暨资助系统操作会议；开支会议费0.12万元,用于召开质量检测会议,人数32人,内容为全市国家普通高中教育质量监测部署培训会；开支会议费0.09万元,用于召开国培计划调整会议,人数19人,内容为国培计划项目统筹优化调整会议。</w:t>
      </w:r>
    </w:p>
    <w:p w14:paraId="5C2636A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开支培训费0.1万元，用于开展校园疫情防控培训，人数80人，内容为校园疫情防控培训；开支培训费0.99万元，用于开展全市义务教育质量培训，人数53人，内容为全市义务教育质量培训；开支培训费0.22万元，用于开展怀化市中等职业学校管理信息系统数据质量提升培训，人数55人，内容为中职学校信息质量提升培训；开支培训费0.09万元，用于开展学前教育管理信息系统常态化应用业务培训，人数26人，内容为学前教育管理信息系统常态化应用业务培训；开支培训费0.95万元，用于开展全市心理健康和精神卫生业务培训，人数4000人，内容为全市心理健康和精神卫生业务培训；开支培训费5.21万元，用于开展怀化市教师培训管理者及部分市级教师培训师培训，人数73人，内容为教师培训；开支培训费7.56万元，用于开展教育系统管理干部培训，人数85人，内容为教育系统管理干部培训。</w:t>
      </w:r>
    </w:p>
    <w:p w14:paraId="71F096C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7769A36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85.74</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85.74</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85.74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85.74</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0288965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0C04C98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辆，其他用车主要是国考及各种考试试卷接送；单位价值100万元以上设备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1FF20D3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AAC841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2F30AB3">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2023 年，我局严格按照预算法和相关财务制度的要求，强化预算执行、使用和管理工作，以确保教育经费的合理、高效运用。</w:t>
      </w:r>
    </w:p>
    <w:p w14:paraId="6137EA39">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在预算执行方面，建立了动态监控机制，定期对预算执行情况进行跟踪分析。每月初对上月的预算执行进度进行详细梳理，针对执行进度缓慢的项目，及时查找原因并采取有效措施加以推进，确保各项预算按计划有序执行。</w:t>
      </w:r>
    </w:p>
    <w:p w14:paraId="465619DA">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在资金使用上，始终坚持“专款专用、合理支出”的原则，严格把控资金流向，确保每一笔资金都能精准投入到教育教学相关工作中。对于重大项目资金的使用，实行严格的审批制度和监督机制，确保资金使用的安全性和有效性。</w:t>
      </w:r>
    </w:p>
    <w:p w14:paraId="0F62DAF7">
      <w:pPr>
        <w:ind w:firstLine="646" w:firstLineChars="202"/>
        <w:rPr>
          <w:rFonts w:hint="eastAsia" w:ascii="方正仿宋_GB2312" w:hAnsi="方正仿宋_GB2312" w:eastAsia="方正仿宋_GB2312" w:cs="方正仿宋_GB2312"/>
          <w:b/>
          <w:bCs/>
          <w:sz w:val="32"/>
          <w:szCs w:val="32"/>
          <w:lang w:eastAsia="zh-CN"/>
        </w:rPr>
      </w:pPr>
      <w:r>
        <w:rPr>
          <w:rFonts w:hint="eastAsia" w:ascii="方正仿宋_GB2312" w:hAnsi="方正仿宋_GB2312" w:eastAsia="方正仿宋_GB2312" w:cs="方正仿宋_GB2312"/>
          <w:w w:val="100"/>
          <w:sz w:val="32"/>
          <w:szCs w:val="32"/>
        </w:rPr>
        <w:t>在预算管理方面，进一步完善了预算管理制度，明确了各部门在预算编制、执行和监督过程中的职责分工。同时，加强了预算管理的信息化建设，通过运用财务管理软件，实现了预算编制、执行、监控和分析的信息化、规范化管理，提高了预算管理的效率和精度。</w:t>
      </w:r>
    </w:p>
    <w:p w14:paraId="1F7EC78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D4287B3">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（一）综合评价结论。反映自评得分及评价等级。</w:t>
      </w:r>
    </w:p>
    <w:p w14:paraId="7C91C60D">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2023 年，我局在整体支出绩效方面取得了显著的成绩，但也清晰地认识到存在的问题和不足。在未来的工作中，将继续坚定不移地加强管理，不断优化预算编制和执行，提高资产使用效率，完善教学资源配置，持续提升教育教学质量和办学水平，为学生的成长和发展创造更加优越的条件。通过严谨认真地分析和评价，我局自评得分98.50分，评价等级“优”。</w:t>
      </w:r>
    </w:p>
    <w:p w14:paraId="4BF92DE7">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（二）评价指标分析(或综合评价情况)。</w:t>
      </w:r>
    </w:p>
    <w:p w14:paraId="60F5EF51">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bCs/>
          <w:w w:val="100"/>
          <w:sz w:val="32"/>
          <w:szCs w:val="32"/>
        </w:rPr>
        <w:t>今年来，全市教育工作深入学习贯彻党的二十大精神和习近平总书记关于教育的重要论述，落实落地全国全省教育工作会议精神，聚焦落实立德树人根本任务，突出抓好教育教学质量提升和校园安全两件大事，统筹推进城乡、县域和校际教育优质均衡发展，奋力建设大湘西区域性教育中心，各项工作取得了一定成效。</w:t>
      </w:r>
    </w:p>
    <w:p w14:paraId="0251D72A">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1.从行业发展规划方面分析</w:t>
      </w:r>
    </w:p>
    <w:p w14:paraId="58AF97C0">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依据国家与省级教育发展规划，紧密结合怀化市经济社会发展的需求以及教育实际状况，我局制定了一系列发展规划：</w:t>
      </w:r>
    </w:p>
    <w:p w14:paraId="728EA077">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推进基础教育优质均衡发展。拓展普惠性学前教育资源，增进学前教育普及程度，提升保教质量；助推义务教育朝着优质均衡的方向发展，减小城乡、区域以及校际之间的差距；强化普通高中的多样化与特色化发展，提高普通高中的教育教学品质。</w:t>
      </w:r>
    </w:p>
    <w:p w14:paraId="6311BCC2">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(2)加快职业教育创新发展。优化职业教育的布局架构，夯实职业教育基础能力建设，深度推进产教融合、校企合作，培育契合经济社会发展需求的技术技能型人才。</w:t>
      </w:r>
    </w:p>
    <w:p w14:paraId="22E84B89">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(3)加强教师队伍建设。健全教师培养培训体系，提升教师队伍的整体素养，大力加强师德师风建设，吸引并留住优秀人才投身于教育事业。</w:t>
      </w:r>
    </w:p>
    <w:p w14:paraId="200AFB47">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(4)推进教育信息化建设。加强教育信息化基础设施的建设工作，推动信息技术与教育教学实现深度融合，提高教育信息化的应用水准。</w:t>
      </w:r>
    </w:p>
    <w:p w14:paraId="173E1312">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2.整体绩效目标设定分析</w:t>
      </w:r>
    </w:p>
    <w:p w14:paraId="0630D79A">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2023 年初，根据我市教育事业发展规划和年度工作重点，结合本市教育发展的实际需求和长远目标，我局精心设定了整体绩效目标，旨在全面提升我市教育发展水平，为经济社会发展提供坚实的人才支撑和智力保障。</w:t>
      </w:r>
    </w:p>
    <w:p w14:paraId="426D8BBA">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(1)提高教育教学质量，推动各级各类教育协调发展</w:t>
      </w:r>
    </w:p>
    <w:p w14:paraId="7551672F">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优化教育资源配置，促进学前教育普及普惠发展，确保学前三年毛入园率达到90%，普惠性幼儿园覆盖率保持在92%以上。推动义务教育优质均衡发展，巩固义务教育基本均衡成果，确保小学、初中入学率分别保持在100%和96%以上，九年义务教育巩固率达到96%。推进普通高中多样化有特色发展，提高普通高中教育教学质量，高考本科上线率较上年提高3个百分点。加快发展现代职业教育，提高职业教育人才培养质量，中职毕业生就业率达到95%以上。</w:t>
      </w:r>
    </w:p>
    <w:p w14:paraId="3911B161">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(2)加强师资队伍建设，提高教师整体素质</w:t>
      </w:r>
    </w:p>
    <w:p w14:paraId="78C73BB2">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加强师德师风建设，建立健全师德师风建设长效机制，确保教师师德师风良好。加大教师培训力度，组织开展各级各类教师培训活动，培训教师400人次以上，提高教师的教育教学能力和专业素养。补充教师队伍，通过公开招聘、特岗计划、公费师范生培养等途径，招聘补充教师，优化教师队伍结构。</w:t>
      </w:r>
    </w:p>
    <w:p w14:paraId="300B3F0A">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(3)推进教育公平，改善办学条件，缩小城乡、区域教育差距</w:t>
      </w:r>
    </w:p>
    <w:p w14:paraId="04352F9C">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加大教育投入，改善农村学校和薄弱学校办学条件，推进义务教育学校标准化建设，确保农村义务教育学校办学条件基本达标。加强教育信息化建设，推进“互联网+教育”发展，实现优质教育资源共建共享，缩小城乡、区域、校际之间的教育差距。落实教育资助政策，确保家庭经济困难学生应助尽助，不让一个学生因家庭经济困难而失学。</w:t>
      </w:r>
    </w:p>
    <w:p w14:paraId="22E977F7">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(4)加强教育信息化建设，提高教育现代化水平</w:t>
      </w:r>
    </w:p>
    <w:p w14:paraId="3D7CF671">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加强教育信息化基础设施建设，推进校园网络升级改造，实现中小学宽带网络接入率达到100%，多媒体教室覆盖率达到98%以上。推进教育信息化应用，开展信息化教学应用培训和竞赛活动，提高教师信息化教学应用能力和水平，促进信息技术与教育教学深度融合。</w:t>
      </w:r>
    </w:p>
    <w:p w14:paraId="7255A64B">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 xml:space="preserve"> 3.预算配置分析</w:t>
      </w:r>
    </w:p>
    <w:p w14:paraId="0B7B2DB4">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（1）人员经费</w:t>
      </w:r>
    </w:p>
    <w:p w14:paraId="39FBAA84">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严格依据编制内实有人员数量和相关政策标准，精准核算人员经费。2023 年，人员经费预算为2021.85万元，实际支出1967.34万元，主要用于支付教职工的工资、津贴补贴、奖金、社会保险缴费、住房公积金等，切实保障了全体职工的合法权益和基本生活需求，为教育教学工作的稳定开展奠定了坚实基础。</w:t>
      </w:r>
    </w:p>
    <w:p w14:paraId="4F4F6923">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(2)公用经费</w:t>
      </w:r>
    </w:p>
    <w:p w14:paraId="6B30C7D0">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按照单位职能和工作任务，综合考量各项因素，科学合理地核定公用经费预算。2023 年，公用经费预算为917.50万元，实际支出1540.53万元，主要用于办公费、印刷费、水电费、邮电费、差旅费、会议费、培训费、公务接待费、公务用车运行维护费、劳务费、委托业务费、其他商品和服务支出等，有效维持了机关正常运转和各项业务工作的顺利推进。</w:t>
      </w:r>
    </w:p>
    <w:p w14:paraId="60D0B04F">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(3)项目经费</w:t>
      </w:r>
    </w:p>
    <w:p w14:paraId="0345E6E0">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紧密围绕教育事业发展重点，精心谋划、合理安排项目经费预算。2023 年，项目经费预算为378.30万元，实际支出3471.12万元，主要用于教育基础设施建设、教育教学改革、师资培训、教育信息化建设、教育质量提升工程、教育扶贫等项目。通过项目实施，有力地推动了我市教育事业的发展，提高了教育教学质量和办学水平。</w:t>
      </w:r>
    </w:p>
    <w:p w14:paraId="7D4C4CAC">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 xml:space="preserve"> 4.预算执行分析</w:t>
      </w:r>
    </w:p>
    <w:p w14:paraId="02C7A228">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收入预算执行：严格遵循各项财政法规和政策要求，精心策划并组织实施各项收入预算的执行工作。对于财政拨款，密切与财政部门沟通协调，确保按时、足额到位，为单位正常运转和发展提供稳定的资金支持。在非税收入方面，加强管理与监督，规范收费行为，做到应收尽收，同时确保所收款项及时、全额上缴财政专户，并按照规定程序和用途申请回拨使用，实现非税收入的规范化管理与有效利用。通过严谨细致的工作，各项收入预算均按照预定计划精准到位，为我局的资金来源提供了坚实保障，有力地支持了教育事业的持续发展。</w:t>
      </w:r>
    </w:p>
    <w:p w14:paraId="1D4355A2">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支出预算执行：秉持严谨、规范、高效的原则，严格按照批准的预算方案精心组织各项支出。人员经费支出严格遵循工资福利政策和人事管理制度，确保职工的薪酬待遇及时、准确发放，保障队伍的稳定和积极性。公用经费支出依据单位的日常运行，合理安排办公用品采购、设备维护、水电消耗等费用，确保各项工作的正常开展。项目经费支出紧密围绕预定的项目目标和任务，按照项目进度和合同约定，有序支付工程建设款、设备购置款等，保障项目的顺利实施和预期目标的达成。在支出过程中，严格控制预算调整和追加，对于确需调整的事项，按照规定程序进行审批。通过严格的预算执行管理，确保了资金使用的合法性、规范性和有效性，为教育事业发展提供了有力的财务支撑。</w:t>
      </w:r>
    </w:p>
    <w:p w14:paraId="5EFBA640">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 xml:space="preserve"> 5.预算管理分析</w:t>
      </w:r>
    </w:p>
    <w:p w14:paraId="241A5FF4">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制度建设：构建了一套全面、系统、科学的财务管理制度体系，涵盖预算编制、执行、监督、评价等全流程管理环节。在预算编制方面，制定了详细的工作指南和规范，明确了预算编制的原则、方法、程序和时间要求，确保预算编制的科学性和准确性。在预算执行环节，建立了严格的支出审批制度和流程，明确了各级审批权限和责任，保障资金使用的合规性和合理性。在预算监督方面，设立了专门的监督机制和岗位，定期对预算执行情况进行检查和分析，及时发现并纠正问题。在预算评价方面，制定了完善的绩效评价指标体系和评价方法，对预算执行效果进行全面、客观、公正的评价，为改进预算管理提供依据。</w:t>
      </w:r>
    </w:p>
    <w:p w14:paraId="3DFEEA4F">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内部控制：高度重视财务内部控制体系的建设与完善，通过制定并严格执行一系列内部控制制度和流程，有效防范财务风险。在财务管理方面，建立健全了财务核算制度、资金管理制度、资产管理制度等，规范财务收支行为，确保财务信息的真实、准确、完整。在风险评估方面，定期对面临的财务风险进行识别、分析和评估，制定相应的风险应对策略，降低风险发生的可能性和影响程度。在内部审计方面，加强内部审计工作的独立性和权威性，定期对财务收支、资产管理、项目实施等进行审计监督，及时发现问题并提出整改建议，保障财务管理的规范和安全。</w:t>
      </w:r>
    </w:p>
    <w:p w14:paraId="2F08AC3D">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3）绩效监控：建立了动态、实时、有效的绩效监控机制，对预算执行进度和绩效目标实现情况进行全程跟踪和监控。通过定期收集、整理和分析相关数据和信息，及时掌握预算执行的实际情况和绩效目标的完成进度。对于监控中发现的预算执行偏差和绩效目标偏离情况，迅速进行原因分析，并采取针对性的措施加以纠正和改进。同时，根据监控结果，及时调整预算执行策略和资源配置方案，确保预算执行和绩效目标的实现始终保持在正确的轨道上，为教育事业发展提供有力的保障。</w:t>
      </w:r>
    </w:p>
    <w:p w14:paraId="7D1D13EE">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6.资产管理分析</w:t>
      </w:r>
    </w:p>
    <w:p w14:paraId="51521C7C">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资产购置：遵循科学规划、合理配置、严格审批的原则，按照我局的发展战略和教学实际需求，精心制定资产购置计划。在购置过程中，严格执行政府采购制度和招投标程序，确保资产购置的合法性、公正性和透明度。充分开展市场调研和价格比较，选择性价比高、质量可靠的资产供应商，实现资产购置的效益最大化。同时，建立健全资产购置的合同管理制度，明确双方权利义务，保障合法权益。</w:t>
      </w:r>
    </w:p>
    <w:p w14:paraId="190A6725">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资产使用与维护：遵循《政府会计准则第3号-固定资产》有关规定，全部资产均纳入“湖南省预算管理一体化系统资产管理板块”系统管理核算，构建了完善的资产使用登记和责任制度，对各类资产的使用进行详细记录和跟踪，明确使用部门和人员的责任，确保资产的合理使用和安全保管。制定了定期的资产维护保养计划和制度，按照资产的类别和特点，采取相应的维护措施，延长资产的使用寿命，提高资产的使用效率。加强对资产使用和维护情况的监督检查，及时发现和解决存在的问题，防止资产的闲置、浪费和损坏。</w:t>
      </w:r>
    </w:p>
    <w:p w14:paraId="478A56FC">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3）资产处置：严格依照国家法律法规和单位内部管理制度，规范资产处置的程序和行为。对于达到报废年限或因技术更新等原因需要处置的资产，经过专业鉴定和审批程序后，按照公开、公平、公正的原则进行处置。通过拍卖、转让、报废等方式，实现资产的合理退出和价值回收。加强对资产处置收益的管理，确保全部收益纳入预算统一核算和管理，防止国有资产流失。</w:t>
      </w:r>
    </w:p>
    <w:p w14:paraId="3BEED7DE">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 xml:space="preserve"> 7.职责履行分析</w:t>
      </w:r>
    </w:p>
    <w:p w14:paraId="209E6FBB">
      <w:pPr>
        <w:spacing w:line="640" w:lineRule="exact"/>
        <w:ind w:firstLine="640" w:firstLineChars="200"/>
        <w:rPr>
          <w:rFonts w:hint="eastAsia" w:ascii="方正仿宋_GB2312" w:hAnsi="方正仿宋_GB2312" w:eastAsia="方正仿宋_GB2312" w:cs="方正仿宋_GB2312"/>
          <w:bCs/>
          <w:w w:val="100"/>
          <w:kern w:val="0"/>
          <w:sz w:val="32"/>
          <w:szCs w:val="32"/>
        </w:rPr>
      </w:pPr>
      <w:r>
        <w:rPr>
          <w:rFonts w:hint="eastAsia" w:ascii="方正仿宋_GB2312" w:hAnsi="方正仿宋_GB2312" w:eastAsia="方正仿宋_GB2312" w:cs="方正仿宋_GB2312"/>
          <w:b/>
          <w:bCs/>
          <w:w w:val="100"/>
          <w:sz w:val="32"/>
          <w:szCs w:val="32"/>
        </w:rPr>
        <w:t>（1）抓教育优先发展，出台2个重磅文件。</w:t>
      </w:r>
      <w:r>
        <w:rPr>
          <w:rFonts w:hint="eastAsia" w:ascii="方正仿宋_GB2312" w:hAnsi="方正仿宋_GB2312" w:eastAsia="方正仿宋_GB2312" w:cs="方正仿宋_GB2312"/>
          <w:bCs/>
          <w:w w:val="100"/>
          <w:sz w:val="32"/>
          <w:szCs w:val="32"/>
        </w:rPr>
        <w:t>市委市政府把教</w:t>
      </w:r>
      <w:r>
        <w:rPr>
          <w:rFonts w:hint="eastAsia" w:ascii="方正仿宋_GB2312" w:hAnsi="方正仿宋_GB2312" w:eastAsia="方正仿宋_GB2312" w:cs="方正仿宋_GB2312"/>
          <w:bCs/>
          <w:w w:val="100"/>
          <w:kern w:val="0"/>
          <w:sz w:val="32"/>
          <w:szCs w:val="32"/>
        </w:rPr>
        <w:t>育事业放在党委、政府工作全局重点推进</w:t>
      </w:r>
      <w:r>
        <w:rPr>
          <w:rFonts w:hint="eastAsia" w:ascii="方正仿宋_GB2312" w:hAnsi="方正仿宋_GB2312" w:eastAsia="方正仿宋_GB2312" w:cs="方正仿宋_GB2312"/>
          <w:bCs/>
          <w:w w:val="100"/>
          <w:sz w:val="32"/>
          <w:szCs w:val="32"/>
        </w:rPr>
        <w:t>，</w:t>
      </w:r>
      <w:r>
        <w:rPr>
          <w:rFonts w:hint="eastAsia" w:ascii="方正仿宋_GB2312" w:hAnsi="方正仿宋_GB2312" w:eastAsia="方正仿宋_GB2312" w:cs="方正仿宋_GB2312"/>
          <w:bCs/>
          <w:w w:val="100"/>
          <w:kern w:val="0"/>
          <w:sz w:val="32"/>
          <w:szCs w:val="32"/>
        </w:rPr>
        <w:t>主要领导8次调研教育工作，分管领导每周调度一次教育重点工作，持续完善教育优先发展机制和政策措施。</w:t>
      </w:r>
      <w:r>
        <w:rPr>
          <w:rFonts w:hint="eastAsia" w:ascii="方正仿宋_GB2312" w:hAnsi="方正仿宋_GB2312" w:eastAsia="方正仿宋_GB2312" w:cs="方正仿宋_GB2312"/>
          <w:b/>
          <w:w w:val="100"/>
          <w:kern w:val="0"/>
          <w:sz w:val="32"/>
          <w:szCs w:val="32"/>
        </w:rPr>
        <w:t>一是</w:t>
      </w:r>
      <w:r>
        <w:rPr>
          <w:rFonts w:hint="eastAsia" w:ascii="方正仿宋_GB2312" w:hAnsi="方正仿宋_GB2312" w:eastAsia="方正仿宋_GB2312" w:cs="方正仿宋_GB2312"/>
          <w:bCs/>
          <w:w w:val="100"/>
          <w:kern w:val="0"/>
          <w:sz w:val="32"/>
          <w:szCs w:val="32"/>
        </w:rPr>
        <w:t>出台怀化市建设大湘西区域性教育中心实施方案。重点抓好优化教育布局，建强教育体系和师资队伍，提升教育质量、治理能力和辐射能力（“一优化、二建强、三提升”）六大工程，力争通过5年左右时间努力，办学条件和教育教学质量显著提升，基本建成大湘西区域基础教育、职业教育和高等教育三大高地。</w:t>
      </w:r>
      <w:r>
        <w:rPr>
          <w:rFonts w:hint="eastAsia" w:ascii="方正仿宋_GB2312" w:hAnsi="方正仿宋_GB2312" w:eastAsia="方正仿宋_GB2312" w:cs="方正仿宋_GB2312"/>
          <w:b/>
          <w:w w:val="100"/>
          <w:kern w:val="0"/>
          <w:sz w:val="32"/>
          <w:szCs w:val="32"/>
        </w:rPr>
        <w:t>二是</w:t>
      </w:r>
      <w:r>
        <w:rPr>
          <w:rFonts w:hint="eastAsia" w:ascii="方正仿宋_GB2312" w:hAnsi="方正仿宋_GB2312" w:eastAsia="方正仿宋_GB2312" w:cs="方正仿宋_GB2312"/>
          <w:bCs/>
          <w:w w:val="100"/>
          <w:kern w:val="0"/>
          <w:sz w:val="32"/>
          <w:szCs w:val="32"/>
        </w:rPr>
        <w:t>编制完成怀化市鹤中一体化教育设施规划（2023—2027）。着眼2027年中心城区100万人教育需求，按照教育先行、鹤中一体、适度超前、组团实施、分步推进、切实可行的工作思路，规划范围涵盖中心城区和中方县城区139.9平方公里。规划期限近期至2027年，远期展望到2035年。近期（2023-2027）鹤中教育建设项目共59个，其中新建项目39个，改扩建项目20个，总投资66.9亿元。</w:t>
      </w:r>
    </w:p>
    <w:p w14:paraId="6058385C">
      <w:pPr>
        <w:ind w:firstLine="640" w:firstLineChars="200"/>
        <w:rPr>
          <w:rFonts w:hint="eastAsia" w:ascii="方正仿宋_GB2312" w:hAnsi="方正仿宋_GB2312" w:eastAsia="方正仿宋_GB2312" w:cs="方正仿宋_GB2312"/>
          <w:bCs/>
          <w:w w:val="100"/>
          <w:sz w:val="32"/>
          <w:szCs w:val="32"/>
        </w:rPr>
      </w:pPr>
      <w:r>
        <w:rPr>
          <w:rFonts w:hint="eastAsia" w:ascii="方正仿宋_GB2312" w:hAnsi="方正仿宋_GB2312" w:eastAsia="方正仿宋_GB2312" w:cs="方正仿宋_GB2312"/>
          <w:b/>
          <w:bCs/>
          <w:w w:val="100"/>
          <w:sz w:val="32"/>
          <w:szCs w:val="32"/>
        </w:rPr>
        <w:t>（2）抓办学条件改善，推进5大项目建设。</w:t>
      </w:r>
      <w:r>
        <w:rPr>
          <w:rFonts w:hint="eastAsia" w:ascii="方正仿宋_GB2312" w:hAnsi="方正仿宋_GB2312" w:eastAsia="方正仿宋_GB2312" w:cs="方正仿宋_GB2312"/>
          <w:bCs/>
          <w:w w:val="100"/>
          <w:kern w:val="0"/>
          <w:sz w:val="32"/>
          <w:szCs w:val="32"/>
        </w:rPr>
        <w:t>统筹经费21.02亿元，开工建设188个项目，新增公办学位27410个。</w:t>
      </w:r>
      <w:r>
        <w:rPr>
          <w:rFonts w:hint="eastAsia" w:ascii="方正仿宋_GB2312" w:hAnsi="方正仿宋_GB2312" w:eastAsia="方正仿宋_GB2312" w:cs="方正仿宋_GB2312"/>
          <w:b/>
          <w:w w:val="100"/>
          <w:sz w:val="32"/>
          <w:szCs w:val="32"/>
        </w:rPr>
        <w:t>一是启动实施鹤中一体化教育项目。</w:t>
      </w:r>
      <w:r>
        <w:rPr>
          <w:rFonts w:hint="eastAsia" w:ascii="方正仿宋_GB2312" w:hAnsi="方正仿宋_GB2312" w:eastAsia="方正仿宋_GB2312" w:cs="方正仿宋_GB2312"/>
          <w:w w:val="100"/>
          <w:sz w:val="32"/>
          <w:szCs w:val="32"/>
        </w:rPr>
        <w:t>实施6个</w:t>
      </w:r>
      <w:r>
        <w:rPr>
          <w:rFonts w:hint="eastAsia" w:ascii="方正仿宋_GB2312" w:hAnsi="方正仿宋_GB2312" w:eastAsia="方正仿宋_GB2312" w:cs="方正仿宋_GB2312"/>
          <w:bCs/>
          <w:w w:val="100"/>
          <w:kern w:val="0"/>
          <w:sz w:val="32"/>
          <w:szCs w:val="32"/>
        </w:rPr>
        <w:t>基</w:t>
      </w:r>
      <w:r>
        <w:rPr>
          <w:rFonts w:hint="eastAsia" w:ascii="方正仿宋_GB2312" w:hAnsi="方正仿宋_GB2312" w:eastAsia="方正仿宋_GB2312" w:cs="方正仿宋_GB2312"/>
          <w:w w:val="100"/>
          <w:kern w:val="0"/>
          <w:sz w:val="32"/>
          <w:szCs w:val="32"/>
        </w:rPr>
        <w:t>础教</w:t>
      </w:r>
      <w:r>
        <w:rPr>
          <w:rFonts w:hint="eastAsia" w:ascii="方正仿宋_GB2312" w:hAnsi="方正仿宋_GB2312" w:eastAsia="方正仿宋_GB2312" w:cs="方正仿宋_GB2312"/>
          <w:bCs/>
          <w:w w:val="100"/>
          <w:kern w:val="0"/>
          <w:sz w:val="32"/>
          <w:szCs w:val="32"/>
        </w:rPr>
        <w:t>育提升工程，完成投资</w:t>
      </w:r>
      <w:r>
        <w:rPr>
          <w:rFonts w:hint="eastAsia" w:ascii="方正仿宋_GB2312" w:hAnsi="方正仿宋_GB2312" w:eastAsia="方正仿宋_GB2312" w:cs="方正仿宋_GB2312"/>
          <w:bCs/>
          <w:w w:val="100"/>
          <w:sz w:val="32"/>
          <w:szCs w:val="32"/>
        </w:rPr>
        <w:t>8.16亿元，完成率139.5%。实施怀化科教新城项目8个，累计完成投资6.37亿元，完成率75.4%。</w:t>
      </w:r>
      <w:r>
        <w:rPr>
          <w:rFonts w:hint="eastAsia" w:ascii="方正仿宋_GB2312" w:hAnsi="方正仿宋_GB2312" w:eastAsia="方正仿宋_GB2312" w:cs="方正仿宋_GB2312"/>
          <w:b/>
          <w:w w:val="100"/>
          <w:sz w:val="32"/>
          <w:szCs w:val="32"/>
        </w:rPr>
        <w:t>二是高标准完成公办幼儿园项目。</w:t>
      </w:r>
      <w:r>
        <w:rPr>
          <w:rFonts w:hint="eastAsia" w:ascii="方正仿宋_GB2312" w:hAnsi="方正仿宋_GB2312" w:eastAsia="方正仿宋_GB2312" w:cs="方正仿宋_GB2312"/>
          <w:bCs/>
          <w:w w:val="100"/>
          <w:sz w:val="32"/>
          <w:szCs w:val="32"/>
        </w:rPr>
        <w:t>全市新建、改扩建幼儿园6所，已完成投资4438万元，完成率100%。</w:t>
      </w:r>
      <w:r>
        <w:rPr>
          <w:rFonts w:hint="eastAsia" w:ascii="方正仿宋_GB2312" w:hAnsi="方正仿宋_GB2312" w:eastAsia="方正仿宋_GB2312" w:cs="方正仿宋_GB2312"/>
          <w:b/>
          <w:w w:val="100"/>
          <w:sz w:val="32"/>
          <w:szCs w:val="32"/>
        </w:rPr>
        <w:t>三是全力推进中职学校达标工程项目。</w:t>
      </w:r>
      <w:r>
        <w:rPr>
          <w:rFonts w:hint="eastAsia" w:ascii="方正仿宋_GB2312" w:hAnsi="方正仿宋_GB2312" w:eastAsia="方正仿宋_GB2312" w:cs="方正仿宋_GB2312"/>
          <w:bCs/>
          <w:w w:val="100"/>
          <w:sz w:val="32"/>
          <w:szCs w:val="32"/>
        </w:rPr>
        <w:t>7所年度达标任务校整体完成92%。</w:t>
      </w:r>
      <w:r>
        <w:rPr>
          <w:rFonts w:hint="eastAsia" w:ascii="方正仿宋_GB2312" w:hAnsi="方正仿宋_GB2312" w:eastAsia="方正仿宋_GB2312" w:cs="方正仿宋_GB2312"/>
          <w:b/>
          <w:w w:val="100"/>
          <w:sz w:val="32"/>
          <w:szCs w:val="32"/>
        </w:rPr>
        <w:t>四是加快建设徐特立项目。</w:t>
      </w:r>
      <w:r>
        <w:rPr>
          <w:rFonts w:hint="eastAsia" w:ascii="方正仿宋_GB2312" w:hAnsi="方正仿宋_GB2312" w:eastAsia="方正仿宋_GB2312" w:cs="方正仿宋_GB2312"/>
          <w:bCs/>
          <w:w w:val="100"/>
          <w:sz w:val="32"/>
          <w:szCs w:val="32"/>
        </w:rPr>
        <w:t>已完成年度任务，预计明年秋季可全部投入使用。</w:t>
      </w:r>
      <w:r>
        <w:rPr>
          <w:rFonts w:hint="eastAsia" w:ascii="方正仿宋_GB2312" w:hAnsi="方正仿宋_GB2312" w:eastAsia="方正仿宋_GB2312" w:cs="方正仿宋_GB2312"/>
          <w:b/>
          <w:w w:val="100"/>
          <w:sz w:val="32"/>
          <w:szCs w:val="32"/>
        </w:rPr>
        <w:t>五是乡镇寄宿制学校改扩建项目。</w:t>
      </w:r>
      <w:r>
        <w:rPr>
          <w:rFonts w:hint="eastAsia" w:ascii="方正仿宋_GB2312" w:hAnsi="方正仿宋_GB2312" w:eastAsia="方正仿宋_GB2312" w:cs="方正仿宋_GB2312"/>
          <w:bCs/>
          <w:w w:val="100"/>
          <w:sz w:val="32"/>
          <w:szCs w:val="32"/>
        </w:rPr>
        <w:t>全市25所乡镇寄宿制学校改扩建年度任务已完成投资8026.5万元，完成率100.02%。</w:t>
      </w:r>
    </w:p>
    <w:p w14:paraId="3FB46F5C">
      <w:pPr>
        <w:pStyle w:val="2"/>
        <w:ind w:left="18" w:firstLine="726" w:firstLineChars="227"/>
        <w:rPr>
          <w:rFonts w:hint="eastAsia" w:ascii="方正仿宋_GB2312" w:hAnsi="方正仿宋_GB2312" w:eastAsia="方正仿宋_GB2312" w:cs="方正仿宋_GB2312"/>
          <w:w w:val="100"/>
          <w:kern w:val="0"/>
          <w:sz w:val="32"/>
          <w:szCs w:val="32"/>
        </w:rPr>
      </w:pPr>
      <w:r>
        <w:rPr>
          <w:rFonts w:hint="eastAsia" w:ascii="方正仿宋_GB2312" w:hAnsi="方正仿宋_GB2312" w:eastAsia="方正仿宋_GB2312" w:cs="方正仿宋_GB2312"/>
          <w:b/>
          <w:bCs/>
          <w:w w:val="100"/>
          <w:sz w:val="32"/>
          <w:szCs w:val="32"/>
        </w:rPr>
        <w:t>（3）抓教育教学质量，开展4大提升行动。</w:t>
      </w:r>
      <w:r>
        <w:rPr>
          <w:rFonts w:hint="eastAsia" w:ascii="方正仿宋_GB2312" w:hAnsi="方正仿宋_GB2312" w:eastAsia="方正仿宋_GB2312" w:cs="方正仿宋_GB2312"/>
          <w:bCs/>
          <w:w w:val="100"/>
          <w:sz w:val="32"/>
          <w:szCs w:val="32"/>
        </w:rPr>
        <w:t>围绕落实立德树人根本任务，始终把教育教学质量作为教育工作的中心任务，认真贯彻省厅关于基础教育质量提升系列会议精神，将2023年作为教育教学质量提升年，出台了《怀化市提升普通中小学教育质量实施方案》，全力打好提升教育教学质量翻身仗。</w:t>
      </w:r>
      <w:r>
        <w:rPr>
          <w:rFonts w:hint="eastAsia" w:ascii="方正仿宋_GB2312" w:hAnsi="方正仿宋_GB2312" w:eastAsia="方正仿宋_GB2312" w:cs="方正仿宋_GB2312"/>
          <w:b/>
          <w:w w:val="100"/>
          <w:sz w:val="32"/>
          <w:szCs w:val="32"/>
        </w:rPr>
        <w:t>一是开展集团化办学。</w:t>
      </w:r>
      <w:r>
        <w:rPr>
          <w:rFonts w:hint="eastAsia" w:ascii="方正仿宋_GB2312" w:hAnsi="方正仿宋_GB2312" w:eastAsia="方正仿宋_GB2312" w:cs="方正仿宋_GB2312"/>
          <w:bCs/>
          <w:w w:val="100"/>
          <w:sz w:val="32"/>
          <w:szCs w:val="32"/>
        </w:rPr>
        <w:t>计划逐步成立3—5个教育集团，每个集团包含3—5所加盟校，做到文化标识、课程设置、师资培训、教研活动、活动设计、质量检测“六统一”。目前，市锦溪小学已经先行试点，组建锦溪教育集团，建成3—5所小学加盟的优质教育集团。</w:t>
      </w:r>
      <w:r>
        <w:rPr>
          <w:rFonts w:hint="eastAsia" w:ascii="方正仿宋_GB2312" w:hAnsi="方正仿宋_GB2312" w:eastAsia="方正仿宋_GB2312" w:cs="方正仿宋_GB2312"/>
          <w:b/>
          <w:w w:val="100"/>
          <w:sz w:val="32"/>
          <w:szCs w:val="32"/>
        </w:rPr>
        <w:t>二是开展优秀教师走教。</w:t>
      </w:r>
      <w:r>
        <w:rPr>
          <w:rFonts w:hint="eastAsia" w:ascii="方正仿宋_GB2312" w:hAnsi="方正仿宋_GB2312" w:eastAsia="方正仿宋_GB2312" w:cs="方正仿宋_GB2312"/>
          <w:bCs/>
          <w:w w:val="100"/>
          <w:sz w:val="32"/>
          <w:szCs w:val="32"/>
        </w:rPr>
        <w:t>为逐步化解师资城乡、校际配置不均衡问题，市委市政府推动开展优秀教师跨地域、跨学段走教，教师走教期间给予每节不低于50元的补助。目前，全市累计124名参与走教。</w:t>
      </w:r>
      <w:r>
        <w:rPr>
          <w:rFonts w:hint="eastAsia" w:ascii="方正仿宋_GB2312" w:hAnsi="方正仿宋_GB2312" w:eastAsia="方正仿宋_GB2312" w:cs="方正仿宋_GB2312"/>
          <w:b/>
          <w:w w:val="100"/>
          <w:sz w:val="32"/>
          <w:szCs w:val="32"/>
        </w:rPr>
        <w:t>三是开展党政领导和局长推门听课。</w:t>
      </w:r>
      <w:r>
        <w:rPr>
          <w:rFonts w:hint="eastAsia" w:ascii="方正仿宋_GB2312" w:hAnsi="方正仿宋_GB2312" w:eastAsia="方正仿宋_GB2312" w:cs="方正仿宋_GB2312"/>
          <w:bCs/>
          <w:w w:val="100"/>
          <w:sz w:val="32"/>
          <w:szCs w:val="32"/>
        </w:rPr>
        <w:t>制定了怀化市党政领导干部推门听课制度，各县市区党委政府分管教育工作领导、教育行政部门主要负责人每学期分别听课1次、2次以上。今年市县两级教育局长推门听课均超过2次以上。</w:t>
      </w:r>
      <w:r>
        <w:rPr>
          <w:rFonts w:hint="eastAsia" w:ascii="方正仿宋_GB2312" w:hAnsi="方正仿宋_GB2312" w:eastAsia="方正仿宋_GB2312" w:cs="方正仿宋_GB2312"/>
          <w:b/>
          <w:w w:val="100"/>
          <w:sz w:val="32"/>
          <w:szCs w:val="32"/>
        </w:rPr>
        <w:t>四是开展长怀教育合作。</w:t>
      </w:r>
      <w:r>
        <w:rPr>
          <w:rFonts w:hint="eastAsia" w:ascii="方正仿宋_GB2312" w:hAnsi="方正仿宋_GB2312" w:eastAsia="方正仿宋_GB2312" w:cs="方正仿宋_GB2312"/>
          <w:bCs/>
          <w:w w:val="100"/>
          <w:sz w:val="32"/>
          <w:szCs w:val="32"/>
        </w:rPr>
        <w:t>在长沙怀化两地党委政府高度重视和大力推动下，长沙市教育局与怀化市教育局签订了教育合作协议，长沙7所基础教育名校对口帮扶（托管）怀化7所基础教育学校。目前，两地学校线下交流29次，派来支援教师14名，派往学习教师34名。</w:t>
      </w:r>
    </w:p>
    <w:p w14:paraId="3517DBD5">
      <w:pPr>
        <w:ind w:firstLine="640" w:firstLineChars="200"/>
        <w:rPr>
          <w:rFonts w:hint="eastAsia" w:ascii="方正仿宋_GB2312" w:hAnsi="方正仿宋_GB2312" w:eastAsia="方正仿宋_GB2312" w:cs="方正仿宋_GB2312"/>
          <w:b/>
          <w:bCs/>
          <w:w w:val="100"/>
          <w:sz w:val="32"/>
          <w:szCs w:val="32"/>
        </w:rPr>
      </w:pPr>
      <w:r>
        <w:rPr>
          <w:rFonts w:hint="eastAsia" w:ascii="方正仿宋_GB2312" w:hAnsi="方正仿宋_GB2312" w:eastAsia="方正仿宋_GB2312" w:cs="方正仿宋_GB2312"/>
          <w:b/>
          <w:bCs/>
          <w:w w:val="100"/>
          <w:sz w:val="32"/>
          <w:szCs w:val="32"/>
        </w:rPr>
        <w:t>（4）抓师资素质提升，打造“三高”队伍。</w:t>
      </w:r>
      <w:r>
        <w:rPr>
          <w:rFonts w:hint="eastAsia" w:ascii="方正仿宋_GB2312" w:hAnsi="方正仿宋_GB2312" w:eastAsia="方正仿宋_GB2312" w:cs="方正仿宋_GB2312"/>
          <w:b/>
          <w:bCs/>
          <w:w w:val="100"/>
          <w:kern w:val="0"/>
          <w:sz w:val="32"/>
          <w:szCs w:val="32"/>
        </w:rPr>
        <w:t>一是锤炼高品质管理队伍。</w:t>
      </w:r>
      <w:r>
        <w:rPr>
          <w:rFonts w:hint="eastAsia" w:ascii="方正仿宋_GB2312" w:hAnsi="方正仿宋_GB2312" w:eastAsia="方正仿宋_GB2312" w:cs="方正仿宋_GB2312"/>
          <w:w w:val="100"/>
          <w:kern w:val="0"/>
          <w:sz w:val="32"/>
          <w:szCs w:val="32"/>
        </w:rPr>
        <w:t>打造专业化教育行政管理队伍，市委常委会专门部署，原则上市县两级教育局班子成员要具有2年以上教育教学经历。目前，13个县市区教育局领导班子成员基本按要求落实到位。</w:t>
      </w:r>
      <w:r>
        <w:rPr>
          <w:rFonts w:hint="eastAsia" w:ascii="方正仿宋_GB2312" w:hAnsi="方正仿宋_GB2312" w:eastAsia="方正仿宋_GB2312" w:cs="方正仿宋_GB2312"/>
          <w:b/>
          <w:bCs/>
          <w:w w:val="100"/>
          <w:kern w:val="0"/>
          <w:sz w:val="32"/>
          <w:szCs w:val="32"/>
        </w:rPr>
        <w:t>二是培育高水平校长队伍。</w:t>
      </w:r>
      <w:r>
        <w:rPr>
          <w:rFonts w:hint="eastAsia" w:ascii="方正仿宋_GB2312" w:hAnsi="方正仿宋_GB2312" w:eastAsia="方正仿宋_GB2312" w:cs="方正仿宋_GB2312"/>
          <w:w w:val="100"/>
          <w:kern w:val="0"/>
          <w:sz w:val="32"/>
          <w:szCs w:val="32"/>
        </w:rPr>
        <w:t>以推进党组织领导的校长负责制改革为契机，全力加强书记、校长队伍建设，举办了“学习贯彻党的二十大精神市直教育系统管理干部培训班”，全市100%的中小学校建立了党组织领导的校长负责制，成立了第二批16个市级名师名校长工作室。</w:t>
      </w:r>
      <w:r>
        <w:rPr>
          <w:rFonts w:hint="eastAsia" w:ascii="方正仿宋_GB2312" w:hAnsi="方正仿宋_GB2312" w:eastAsia="方正仿宋_GB2312" w:cs="方正仿宋_GB2312"/>
          <w:b/>
          <w:bCs/>
          <w:w w:val="100"/>
          <w:kern w:val="0"/>
          <w:sz w:val="32"/>
          <w:szCs w:val="32"/>
        </w:rPr>
        <w:t>三是锻造高素质教师队伍。</w:t>
      </w:r>
      <w:r>
        <w:rPr>
          <w:rFonts w:hint="eastAsia" w:ascii="方正仿宋_GB2312" w:hAnsi="方正仿宋_GB2312" w:eastAsia="方正仿宋_GB2312" w:cs="方正仿宋_GB2312"/>
          <w:w w:val="100"/>
          <w:kern w:val="0"/>
          <w:sz w:val="32"/>
          <w:szCs w:val="32"/>
          <w:lang w:val="zh-CN"/>
        </w:rPr>
        <w:t>录取公费定向师范生100</w:t>
      </w:r>
      <w:r>
        <w:rPr>
          <w:rFonts w:hint="eastAsia" w:ascii="方正仿宋_GB2312" w:hAnsi="方正仿宋_GB2312" w:eastAsia="方正仿宋_GB2312" w:cs="方正仿宋_GB2312"/>
          <w:w w:val="100"/>
          <w:kern w:val="0"/>
          <w:sz w:val="32"/>
          <w:szCs w:val="32"/>
        </w:rPr>
        <w:t>3</w:t>
      </w:r>
      <w:r>
        <w:rPr>
          <w:rFonts w:hint="eastAsia" w:ascii="方正仿宋_GB2312" w:hAnsi="方正仿宋_GB2312" w:eastAsia="方正仿宋_GB2312" w:cs="方正仿宋_GB2312"/>
          <w:w w:val="100"/>
          <w:kern w:val="0"/>
          <w:sz w:val="32"/>
          <w:szCs w:val="32"/>
          <w:lang w:val="zh-CN"/>
        </w:rPr>
        <w:t>人，实施市级以上各级各类教师培训1万余人次。</w:t>
      </w:r>
      <w:r>
        <w:rPr>
          <w:rFonts w:hint="eastAsia" w:ascii="方正仿宋_GB2312" w:hAnsi="方正仿宋_GB2312" w:eastAsia="方正仿宋_GB2312" w:cs="方正仿宋_GB2312"/>
          <w:w w:val="100"/>
          <w:kern w:val="0"/>
          <w:sz w:val="32"/>
          <w:szCs w:val="32"/>
        </w:rPr>
        <w:t>制定完善三年一周期全覆盖的中小学教师水平测试和教学比武方案，</w:t>
      </w:r>
      <w:r>
        <w:rPr>
          <w:rFonts w:hint="eastAsia" w:ascii="方正仿宋_GB2312" w:hAnsi="方正仿宋_GB2312" w:eastAsia="方正仿宋_GB2312" w:cs="方正仿宋_GB2312"/>
          <w:bCs/>
          <w:w w:val="100"/>
          <w:sz w:val="32"/>
          <w:szCs w:val="32"/>
        </w:rPr>
        <w:t>每年定期开展1次全市性中小学教师课堂教学比武和2次中小学教师业务水平测试。</w:t>
      </w:r>
    </w:p>
    <w:p w14:paraId="4164109D">
      <w:pPr>
        <w:pStyle w:val="2"/>
        <w:ind w:firstLine="640" w:firstLineChars="200"/>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b/>
          <w:bCs/>
          <w:w w:val="100"/>
          <w:sz w:val="32"/>
          <w:szCs w:val="32"/>
        </w:rPr>
        <w:t>（5）抓教育领域综合改革，实施4大创新举措。</w:t>
      </w:r>
      <w:r>
        <w:rPr>
          <w:rFonts w:hint="eastAsia" w:ascii="方正仿宋_GB2312" w:hAnsi="方正仿宋_GB2312" w:eastAsia="方正仿宋_GB2312" w:cs="方正仿宋_GB2312"/>
          <w:b/>
          <w:bCs/>
          <w:w w:val="100"/>
          <w:kern w:val="0"/>
          <w:sz w:val="32"/>
          <w:szCs w:val="32"/>
        </w:rPr>
        <w:t>一是理顺民办学校管理机制。</w:t>
      </w:r>
      <w:r>
        <w:rPr>
          <w:rFonts w:hint="eastAsia" w:ascii="方正仿宋_GB2312" w:hAnsi="方正仿宋_GB2312" w:eastAsia="方正仿宋_GB2312" w:cs="方正仿宋_GB2312"/>
          <w:w w:val="100"/>
          <w:kern w:val="0"/>
          <w:sz w:val="32"/>
          <w:szCs w:val="32"/>
        </w:rPr>
        <w:t>根据省教育厅简政放权有关要求，今年我们将原市直36所民办高中学校日常工作管理权责移交给属地县市区，增强了属地教育部门对民办高中学校的管理能力，同时，也有利于市教育局进一步集中精力抓全市教育工作的统筹指导。</w:t>
      </w:r>
      <w:r>
        <w:rPr>
          <w:rFonts w:hint="eastAsia" w:ascii="方正仿宋_GB2312" w:hAnsi="方正仿宋_GB2312" w:eastAsia="方正仿宋_GB2312" w:cs="方正仿宋_GB2312"/>
          <w:b/>
          <w:bCs/>
          <w:w w:val="100"/>
          <w:sz w:val="32"/>
          <w:szCs w:val="32"/>
        </w:rPr>
        <w:t>二是落实中小学教师减负要求。</w:t>
      </w:r>
      <w:r>
        <w:rPr>
          <w:rFonts w:hint="eastAsia" w:ascii="方正仿宋_GB2312" w:hAnsi="方正仿宋_GB2312" w:eastAsia="方正仿宋_GB2312" w:cs="方正仿宋_GB2312"/>
          <w:w w:val="100"/>
          <w:kern w:val="0"/>
          <w:sz w:val="32"/>
          <w:szCs w:val="32"/>
        </w:rPr>
        <w:t>市委市政府主要领导亲自部署安排教师减负工作相关调研，责成纪检监察部门牵头督促教师减负政策落实工作，市委教育工作领导小组印发《2023年度中小学校、教师督查检查考核评比和社会事务进校园“白名单”》，全市检查考核评比及社会事务进校园事项由100余项压减为18项。</w:t>
      </w:r>
      <w:r>
        <w:rPr>
          <w:rFonts w:hint="eastAsia" w:ascii="方正仿宋_GB2312" w:hAnsi="方正仿宋_GB2312" w:eastAsia="方正仿宋_GB2312" w:cs="方正仿宋_GB2312"/>
          <w:b/>
          <w:bCs/>
          <w:w w:val="100"/>
          <w:kern w:val="0"/>
          <w:sz w:val="32"/>
          <w:szCs w:val="32"/>
        </w:rPr>
        <w:t>三是创建家长夜校新模式。</w:t>
      </w:r>
      <w:r>
        <w:rPr>
          <w:rFonts w:hint="eastAsia" w:ascii="方正仿宋_GB2312" w:hAnsi="方正仿宋_GB2312" w:eastAsia="方正仿宋_GB2312" w:cs="方正仿宋_GB2312"/>
          <w:w w:val="100"/>
          <w:kern w:val="0"/>
          <w:sz w:val="32"/>
          <w:szCs w:val="32"/>
        </w:rPr>
        <w:t>深入开展教师大家访活动，暑假期间对所有学生实现全覆盖家访。</w:t>
      </w:r>
      <w:r>
        <w:rPr>
          <w:rFonts w:hint="eastAsia" w:ascii="方正仿宋_GB2312" w:hAnsi="方正仿宋_GB2312" w:eastAsia="方正仿宋_GB2312" w:cs="方正仿宋_GB2312"/>
          <w:w w:val="100"/>
          <w:sz w:val="32"/>
          <w:szCs w:val="32"/>
        </w:rPr>
        <w:t>全市900余所中心校以上学校普遍建立家长夜校，</w:t>
      </w:r>
      <w:r>
        <w:rPr>
          <w:rFonts w:hint="eastAsia" w:ascii="方正仿宋_GB2312" w:hAnsi="方正仿宋_GB2312" w:eastAsia="方正仿宋_GB2312" w:cs="方正仿宋_GB2312"/>
          <w:w w:val="100"/>
          <w:kern w:val="0"/>
          <w:sz w:val="32"/>
          <w:szCs w:val="32"/>
        </w:rPr>
        <w:t>参与“线下＋直播＋录播”家长夜校教育家长近300万人次，《中国教育报》区域版头条推介我市经验。</w:t>
      </w:r>
      <w:r>
        <w:rPr>
          <w:rFonts w:hint="eastAsia" w:ascii="方正仿宋_GB2312" w:hAnsi="方正仿宋_GB2312" w:eastAsia="方正仿宋_GB2312" w:cs="方正仿宋_GB2312"/>
          <w:b/>
          <w:bCs/>
          <w:w w:val="100"/>
          <w:kern w:val="0"/>
          <w:sz w:val="32"/>
          <w:szCs w:val="32"/>
        </w:rPr>
        <w:t>四是探索建立心理健康医校联盟。</w:t>
      </w:r>
      <w:r>
        <w:rPr>
          <w:rFonts w:hint="eastAsia" w:ascii="方正仿宋_GB2312" w:hAnsi="方正仿宋_GB2312" w:eastAsia="方正仿宋_GB2312" w:cs="方正仿宋_GB2312"/>
          <w:w w:val="100"/>
          <w:sz w:val="32"/>
          <w:szCs w:val="32"/>
        </w:rPr>
        <w:t>市教育局</w:t>
      </w:r>
      <w:r>
        <w:rPr>
          <w:rFonts w:hint="eastAsia" w:ascii="方正仿宋_GB2312" w:hAnsi="方正仿宋_GB2312" w:eastAsia="方正仿宋_GB2312" w:cs="方正仿宋_GB2312"/>
          <w:w w:val="100"/>
          <w:kern w:val="0"/>
          <w:sz w:val="32"/>
          <w:szCs w:val="32"/>
        </w:rPr>
        <w:t>与市第四人民医院签订心理健康医校联盟合作协议，确保每一所学校都有一名第四人民医院专职心理医生负责技术指导，确保每学期至少对所有师生开展1次以上心理健康专家讲座。</w:t>
      </w:r>
    </w:p>
    <w:p w14:paraId="0AB830A6">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b/>
          <w:bCs/>
          <w:w w:val="100"/>
          <w:sz w:val="32"/>
          <w:szCs w:val="32"/>
        </w:rPr>
        <w:t>（6）抓5大领域专项治理。</w:t>
      </w:r>
      <w:r>
        <w:rPr>
          <w:rFonts w:hint="eastAsia" w:ascii="方正仿宋_GB2312" w:hAnsi="方正仿宋_GB2312" w:eastAsia="方正仿宋_GB2312" w:cs="方正仿宋_GB2312"/>
          <w:b/>
          <w:bCs/>
          <w:w w:val="100"/>
          <w:kern w:val="0"/>
          <w:sz w:val="32"/>
          <w:szCs w:val="32"/>
        </w:rPr>
        <w:t>一是强化校外培训机构专项整治。</w:t>
      </w:r>
      <w:r>
        <w:rPr>
          <w:rFonts w:hint="eastAsia" w:ascii="方正仿宋_GB2312" w:hAnsi="方正仿宋_GB2312" w:eastAsia="方正仿宋_GB2312" w:cs="方正仿宋_GB2312"/>
          <w:bCs/>
          <w:w w:val="100"/>
          <w:sz w:val="32"/>
          <w:szCs w:val="32"/>
        </w:rPr>
        <w:t>全年开展联合执法80余次，出动执法人员2598人次，共查处违规培训的在职教师数8人，查处违规广告数89处，下发整改通知书134份。</w:t>
      </w:r>
      <w:r>
        <w:rPr>
          <w:rFonts w:hint="eastAsia" w:ascii="方正仿宋_GB2312" w:hAnsi="方正仿宋_GB2312" w:eastAsia="方正仿宋_GB2312" w:cs="方正仿宋_GB2312"/>
          <w:b/>
          <w:w w:val="100"/>
          <w:sz w:val="32"/>
          <w:szCs w:val="32"/>
        </w:rPr>
        <w:t>二是强化校园安全专项整治。</w:t>
      </w:r>
      <w:r>
        <w:rPr>
          <w:rFonts w:hint="eastAsia" w:ascii="方正仿宋_GB2312" w:hAnsi="方正仿宋_GB2312" w:eastAsia="方正仿宋_GB2312" w:cs="方正仿宋_GB2312"/>
          <w:bCs/>
          <w:w w:val="100"/>
          <w:sz w:val="32"/>
          <w:szCs w:val="32"/>
        </w:rPr>
        <w:t>投入校园安防建设资金6950万元，651所乡镇中心完小以上学校完成双重预防体系建设，排查整治校园重大隐患19条，一般隐患287条。</w:t>
      </w:r>
      <w:r>
        <w:rPr>
          <w:rFonts w:hint="eastAsia" w:ascii="方正仿宋_GB2312" w:hAnsi="方正仿宋_GB2312" w:eastAsia="方正仿宋_GB2312" w:cs="方正仿宋_GB2312"/>
          <w:b/>
          <w:w w:val="100"/>
          <w:sz w:val="32"/>
          <w:szCs w:val="32"/>
        </w:rPr>
        <w:t>三是强化教育乱收费问题专项整治。</w:t>
      </w:r>
      <w:r>
        <w:rPr>
          <w:rFonts w:hint="eastAsia" w:ascii="方正仿宋_GB2312" w:hAnsi="方正仿宋_GB2312" w:eastAsia="方正仿宋_GB2312" w:cs="方正仿宋_GB2312"/>
          <w:bCs/>
          <w:w w:val="100"/>
          <w:sz w:val="32"/>
          <w:szCs w:val="32"/>
        </w:rPr>
        <w:t>市场监督管理、发改、教育部门联合检查教育机构249家，其中中职院校（中专、职业高中）12家、中小学144家、校外培训机构93家，已立案4起，结案3起，处理金额7.48万元。</w:t>
      </w:r>
      <w:r>
        <w:rPr>
          <w:rFonts w:hint="eastAsia" w:ascii="方正仿宋_GB2312" w:hAnsi="方正仿宋_GB2312" w:eastAsia="方正仿宋_GB2312" w:cs="方正仿宋_GB2312"/>
          <w:b/>
          <w:w w:val="100"/>
          <w:sz w:val="32"/>
          <w:szCs w:val="32"/>
        </w:rPr>
        <w:t>四是强化“以学谋私”问题专项整治。</w:t>
      </w:r>
      <w:r>
        <w:rPr>
          <w:rFonts w:hint="eastAsia" w:ascii="方正仿宋_GB2312" w:hAnsi="方正仿宋_GB2312" w:eastAsia="方正仿宋_GB2312" w:cs="方正仿宋_GB2312"/>
          <w:bCs/>
          <w:w w:val="100"/>
          <w:sz w:val="32"/>
          <w:szCs w:val="32"/>
        </w:rPr>
        <w:t>配合市纪委重点整治招生考试、基建后勤、选人用人、师德师风、“四风”等5个方面突出问题，目前已排查学校1500余所、教师5.3万余人。</w:t>
      </w:r>
    </w:p>
    <w:p w14:paraId="4433CAC2">
      <w:pPr>
        <w:ind w:firstLine="969" w:firstLineChars="30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8.履职效益</w:t>
      </w:r>
    </w:p>
    <w:p w14:paraId="78305D20">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（1）经济效益</w:t>
      </w:r>
    </w:p>
    <w:p w14:paraId="2EA988B8">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通过合理规划和使用教育经费，优化教育资源配置，提高了教育资源的利用效率，为社会培养了大量高素质的人才，为经济社会发展提供了有力的人才支撑和智力支持，间接促进了经济的增长。一方面，教育投入的增加带动了教育相关产业的发展，如教材出版、教育培训等行业，创造了一定的经济效益和就业机会。另一方面，高素质人才的培养为本市企业的创新发展和产业升级提供了动力，提高了企业的生产效率和竞争力，促进了经济的可持续发展。通过职业教育培养的技能型人才，能够快速适应企业的岗位需求，为企业创造更多的价值。</w:t>
      </w:r>
    </w:p>
    <w:p w14:paraId="5DA4BFB4">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（2）社会效益</w:t>
      </w:r>
    </w:p>
    <w:p w14:paraId="3A50AA88">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教育公平得到进一步推进。加大了对农村地区、贫困地区和薄弱学校的支持力度，在教育资源配置、师资队伍建设、教育教学质量提升等方面给予政策倾斜和资金支持。通过实施农村义务教育薄弱学校改造计划、教育扶贫工程、城乡学校结对帮扶等项目，改善了农村学校和薄弱学校的办学条件，提高了农村教师的待遇和素质，缩小了城乡、区域和校际之间的教育差距，让更多的孩子享受到了优质教育资源，促进了教育公平。在农村义务教育薄弱学校改造计划中，为农村学校新建和改造了教学楼、食堂、宿舍等基础设施，配备了多媒体教学设备、图书、实验仪器等教学设备，使农村学校的办学条件得到了显著改善；通过开展城乡学校结对帮扶活动，城市优质学校与农村薄弱学校建立了长期稳定的帮扶关系，城市学校通过派出骨干教师支教、开展教学交流活动、共享教学资源等方式，帮助农村学校提高了教育教学质量。</w:t>
      </w:r>
    </w:p>
    <w:p w14:paraId="4FDB1375">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教育质量得到进一步提高。通过加强教师队伍建设、推进教育教学改革、完善教育评价体系等措施，提高了教育教学质量，培养了学生的创新精神和实践能力。积极推进素质教育，注重学生的全面发展，加强了德育、智育、体育、美育和劳动教育，促进了学生身心健康和综合素质的提升。加强了教师培训工作，组织教师参加国家级、省级、市级培训项目，提高了教师的业务水平和教学能力；推进了课程改革，优化了课程设置，丰富了课程内容，提高了课程的针对性和实效性；完善了教育评价体系，建立了多元化的评价指标，注重对学生的过程性评价和发展性评价，促进了学生的全面发展。</w:t>
      </w:r>
    </w:p>
    <w:p w14:paraId="5CCC13F4">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教育服务能力得到进一步提升。加强了教育信息化建设，搭建了教育资源公共服务平台和教育管理公共服务平台，实现了优质教育资源共享和教育管理信息化。积极推进教育领域“放管服”改革，简化了办事流程，提高了服务效率，为学校、教师和学生提供了更加便捷、高效的服务。通过教育资源公共服务平台，教师可以方便地获取优质教学资源，开展网络备课、网络教学和网络教研活动；学生可以在线学习课程、查阅资料、完成作业和参加测试；家长可以及时了解学生的学习情况和在校表现，加强与学校和教师的沟通交流。通过推进教育领域“放管服”改革，简化了学校办学审批手续，优化了教师招聘和职称评审流程，提高了教育服务水平，赢得了社会的广泛赞誉。</w:t>
      </w:r>
    </w:p>
    <w:p w14:paraId="1EDFE596">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（3）生态效益</w:t>
      </w:r>
    </w:p>
    <w:p w14:paraId="1D93425C">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积极开展绿色校园建设活动，加强生态文明教育，将生态文明理念融入教育教学全过程，提高了师生的生态文明意识，促进了校园环境的美化和优化。通过开展植树造林、垃圾分类、节能减排等活动，营造了绿色、低碳、环保的校园环境。加强了校园绿化工作，增加了校园绿地面积，提高了校园绿化覆盖率；推广使用节能环保设备和材料，降低了能源消耗和污染物排放；加强了对校园环境的日常管理和维护，保持了校园环境的整洁和卫生。部分学校结合本市资源开展乡村研学活动，让学生亲身体验种植、养殖等农业生产活动，培养了学生的劳动意识和环保意识；开展了“环保小卫士”评选活动，鼓励学生积极参与环保实践活动，养成良好的环保习惯，增强了学生对环境保护的认识和责任感。</w:t>
      </w:r>
    </w:p>
    <w:p w14:paraId="386ABF5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eastAsia="zh-CN"/>
        </w:rPr>
        <w:t>（三）</w:t>
      </w:r>
      <w:r>
        <w:rPr>
          <w:rFonts w:hint="eastAsia" w:ascii="方正仿宋_GB2312" w:hAnsi="方正仿宋_GB2312" w:eastAsia="方正仿宋_GB2312" w:cs="方正仿宋_GB2312"/>
          <w:b/>
          <w:bCs/>
          <w:sz w:val="32"/>
          <w:szCs w:val="32"/>
        </w:rPr>
        <w:t>存在的问题及原因分析</w:t>
      </w:r>
    </w:p>
    <w:p w14:paraId="48616607">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（一）存在的问题</w:t>
      </w:r>
    </w:p>
    <w:p w14:paraId="56BE306D">
      <w:pPr>
        <w:spacing w:line="640" w:lineRule="exact"/>
        <w:ind w:firstLine="640" w:firstLineChars="200"/>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b/>
          <w:bCs/>
          <w:w w:val="100"/>
          <w:sz w:val="32"/>
          <w:szCs w:val="32"/>
        </w:rPr>
        <w:t>一是</w:t>
      </w:r>
      <w:r>
        <w:rPr>
          <w:rFonts w:hint="eastAsia" w:ascii="方正仿宋_GB2312" w:hAnsi="方正仿宋_GB2312" w:eastAsia="方正仿宋_GB2312" w:cs="方正仿宋_GB2312"/>
          <w:w w:val="100"/>
          <w:sz w:val="32"/>
          <w:szCs w:val="32"/>
        </w:rPr>
        <w:t>有学上的问题基本解决了，上好学的问题还没有解决。去年全国义务教育质量监测排名全省倒数，高考本科录取率全省靠后。</w:t>
      </w:r>
      <w:r>
        <w:rPr>
          <w:rFonts w:hint="eastAsia" w:ascii="方正仿宋_GB2312" w:hAnsi="方正仿宋_GB2312" w:eastAsia="方正仿宋_GB2312" w:cs="方正仿宋_GB2312"/>
          <w:b/>
          <w:bCs/>
          <w:w w:val="100"/>
          <w:sz w:val="32"/>
          <w:szCs w:val="32"/>
        </w:rPr>
        <w:t>二是</w:t>
      </w:r>
      <w:r>
        <w:rPr>
          <w:rFonts w:hint="eastAsia" w:ascii="方正仿宋_GB2312" w:hAnsi="方正仿宋_GB2312" w:eastAsia="方正仿宋_GB2312" w:cs="方正仿宋_GB2312"/>
          <w:w w:val="100"/>
          <w:sz w:val="32"/>
          <w:szCs w:val="32"/>
        </w:rPr>
        <w:t>可教书的问题基本解决了，教好书的问题还没有解决。城乡教师编制结构失衡，全市中小学教师编制基本达标，但随着城市化和出生人口下降，乡村教师编制基本满足需要甚至有所富余，城市教师编制严重不足，教师队伍整体素质与教育强市相比仍有差距。</w:t>
      </w:r>
      <w:r>
        <w:rPr>
          <w:rFonts w:hint="eastAsia" w:ascii="方正仿宋_GB2312" w:hAnsi="方正仿宋_GB2312" w:eastAsia="方正仿宋_GB2312" w:cs="方正仿宋_GB2312"/>
          <w:b/>
          <w:bCs/>
          <w:w w:val="100"/>
          <w:sz w:val="32"/>
          <w:szCs w:val="32"/>
        </w:rPr>
        <w:t>三是</w:t>
      </w:r>
      <w:r>
        <w:rPr>
          <w:rFonts w:hint="eastAsia" w:ascii="方正仿宋_GB2312" w:hAnsi="方正仿宋_GB2312" w:eastAsia="方正仿宋_GB2312" w:cs="方正仿宋_GB2312"/>
          <w:w w:val="100"/>
          <w:sz w:val="32"/>
          <w:szCs w:val="32"/>
        </w:rPr>
        <w:t>职责治校的问题基本解决了，能人治校的问题还没有解决。与先进地区相比，我市中小学校书记校长在办学理念、管理水平等方面还有较大差距，突出表现在思想不解放，学校行政化严重。党风廉政案发情况虽然得到了一定程度的遏制，但仍然易发多发。</w:t>
      </w:r>
      <w:r>
        <w:rPr>
          <w:rFonts w:hint="eastAsia" w:ascii="方正仿宋_GB2312" w:hAnsi="方正仿宋_GB2312" w:eastAsia="方正仿宋_GB2312" w:cs="方正仿宋_GB2312"/>
          <w:b/>
          <w:bCs/>
          <w:w w:val="100"/>
          <w:sz w:val="32"/>
          <w:szCs w:val="32"/>
        </w:rPr>
        <w:t>四是</w:t>
      </w:r>
      <w:r>
        <w:rPr>
          <w:rFonts w:hint="eastAsia" w:ascii="方正仿宋_GB2312" w:hAnsi="方正仿宋_GB2312" w:eastAsia="方正仿宋_GB2312" w:cs="方正仿宋_GB2312"/>
          <w:w w:val="100"/>
          <w:sz w:val="32"/>
          <w:szCs w:val="32"/>
        </w:rPr>
        <w:t>家校同向的问题基本解决了，家校同心的问题还没有解决。梳理近年来家长投诉信访问题，大多数是家长对教育工作和对家庭教育知识了解掌握不够造成的，部分家长家庭教育责任缺失，片面认为教育仅仅是学校的事情。有的家长过分溺爱孩子，学校老师骂不得、讲不得，上体育课破了点皮都会到学校大吵大闹。</w:t>
      </w:r>
      <w:r>
        <w:rPr>
          <w:rFonts w:hint="eastAsia" w:ascii="方正仿宋_GB2312" w:hAnsi="方正仿宋_GB2312" w:eastAsia="方正仿宋_GB2312" w:cs="方正仿宋_GB2312"/>
          <w:b/>
          <w:bCs/>
          <w:w w:val="100"/>
          <w:sz w:val="32"/>
          <w:szCs w:val="32"/>
        </w:rPr>
        <w:t>五是</w:t>
      </w:r>
      <w:r>
        <w:rPr>
          <w:rFonts w:hint="eastAsia" w:ascii="方正仿宋_GB2312" w:hAnsi="方正仿宋_GB2312" w:eastAsia="方正仿宋_GB2312" w:cs="方正仿宋_GB2312"/>
          <w:w w:val="100"/>
          <w:sz w:val="32"/>
          <w:szCs w:val="32"/>
        </w:rPr>
        <w:t>上下协同的问题基本解决了，左右协力的问题还没有解决。调研了近期教师减负工作，社会事物进校园问题未得到有效解决，如医保缴费、家长头盔佩戴等工作依旧让学校苦不堪言。</w:t>
      </w:r>
    </w:p>
    <w:p w14:paraId="286A5B86">
      <w:pPr>
        <w:ind w:firstLine="809" w:firstLineChars="253"/>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（二）改进措施</w:t>
      </w:r>
    </w:p>
    <w:p w14:paraId="00E0D109">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1）提升教育教学质量：针对义务教育质量监测排名落后和高考本科录取率靠后的问题，深入研究分析监测数据和高考情况，制定专项提升计划。加强教育教学改革，引进先进的教学理念和方法，优化课程设置和教学内容。建立教育质量监测和评估长效机制，定期对学校教育教学质量进行监测和评估，及时发现问题并整改。</w:t>
      </w:r>
    </w:p>
    <w:p w14:paraId="5DF396B9">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2）优化教师队伍结构与素质：科学调整城乡教师编制，根据城市化进程和学生流动情况，合理调配教师资源，将乡村富余教师向城市短缺地区流动。加大城市教师招聘力度，拓宽招聘渠道，吸引优秀人才投身城市教育。制定系统的教师培训计划，加强师德师风建设，提高教师的专业素养和教育教学能力，定期组织教师参加培训、研修和学术交流活动。建立教师考核评价机制，将教学成果、学生发展等纳入考核内容，激励教师不断提升自己。</w:t>
      </w:r>
    </w:p>
    <w:p w14:paraId="0130FFAA">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3）提升学校管理水平：加强中小学校书记校长培训，组织到教育先进地区学习交流，拓宽办学理念，提升管理水平。推动学校管理体制改革，减少行政化干预，赋予学校更多的自主办学权，激发学校办学活力。加强党风廉政建设，完善监督管理机制，加强廉政教育，定期进行廉政检查和风险排查，严肃处理违纪违法行为。</w:t>
      </w:r>
    </w:p>
    <w:p w14:paraId="4290FE1E">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四）加强家校合作：加强家庭教育宣传和指导，通过举办家长讲座、家长课堂等活动，普及家庭教育知识，提高家长对教育工作的认识和家庭教育责任意识。建立家校沟通机制，定期组织家长会、家校联谊会等活动，加强学校与家长的沟通与交流，促进家校同心。引导家长树立正确的教育观念，理性对待学校教育教学工作，营造尊师重教的良好氛围。</w:t>
      </w:r>
    </w:p>
    <w:p w14:paraId="40DD7B12">
      <w:pPr>
        <w:ind w:firstLine="646" w:firstLineChars="202"/>
        <w:rPr>
          <w:rFonts w:hint="eastAsia" w:ascii="方正仿宋_GB2312" w:hAnsi="方正仿宋_GB2312" w:eastAsia="方正仿宋_GB2312" w:cs="方正仿宋_GB2312"/>
          <w:w w:val="100"/>
          <w:sz w:val="32"/>
          <w:szCs w:val="32"/>
        </w:rPr>
      </w:pPr>
      <w:r>
        <w:rPr>
          <w:rFonts w:hint="eastAsia" w:ascii="方正仿宋_GB2312" w:hAnsi="方正仿宋_GB2312" w:eastAsia="方正仿宋_GB2312" w:cs="方正仿宋_GB2312"/>
          <w:w w:val="100"/>
          <w:sz w:val="32"/>
          <w:szCs w:val="32"/>
        </w:rPr>
        <w:t>（五）为学校减负：教育部门联合其他相关部门，建立规范的社会事务进校园审核机制，严格控制非教育教学相关事务进入校园。加强与社会各界的沟通协调，明确各部门职责，避免将与学校教育教学无关的工作强加给学校。对已进入校园的社会事务进行整合和优化，减轻学校和教师的工作负担，让学校和教师能够专注于教育教学核心工作。</w:t>
      </w:r>
    </w:p>
    <w:p w14:paraId="70B72535">
      <w:pPr>
        <w:pStyle w:val="14"/>
        <w:jc w:val="center"/>
        <w:rPr>
          <w:sz w:val="72"/>
          <w:szCs w:val="72"/>
        </w:rPr>
      </w:pPr>
    </w:p>
    <w:p w14:paraId="19253625">
      <w:pPr>
        <w:pStyle w:val="14"/>
        <w:jc w:val="center"/>
        <w:rPr>
          <w:sz w:val="72"/>
          <w:szCs w:val="72"/>
        </w:rPr>
      </w:pPr>
    </w:p>
    <w:p w14:paraId="2FADF82C">
      <w:pPr>
        <w:pStyle w:val="14"/>
        <w:jc w:val="both"/>
        <w:rPr>
          <w:rFonts w:hint="eastAsia" w:ascii="方正小标宋_GBK" w:hAnsi="方正小标宋_GBK" w:eastAsia="方正小标宋_GBK" w:cs="方正小标宋_GBK"/>
          <w:sz w:val="72"/>
          <w:szCs w:val="72"/>
        </w:rPr>
      </w:pPr>
    </w:p>
    <w:p w14:paraId="30EE6B1D">
      <w:pPr>
        <w:pStyle w:val="14"/>
        <w:jc w:val="center"/>
        <w:rPr>
          <w:rFonts w:hint="eastAsia" w:ascii="方正小标宋_GBK" w:hAnsi="方正小标宋_GBK" w:eastAsia="方正小标宋_GBK" w:cs="方正小标宋_GBK"/>
          <w:sz w:val="72"/>
          <w:szCs w:val="72"/>
        </w:rPr>
      </w:pPr>
    </w:p>
    <w:p w14:paraId="7B450A3B">
      <w:pPr>
        <w:pStyle w:val="14"/>
        <w:jc w:val="center"/>
        <w:rPr>
          <w:rFonts w:hint="eastAsia" w:ascii="方正小标宋_GBK" w:hAnsi="方正小标宋_GBK" w:eastAsia="方正小标宋_GBK" w:cs="方正小标宋_GBK"/>
          <w:sz w:val="72"/>
          <w:szCs w:val="72"/>
        </w:rPr>
      </w:pPr>
    </w:p>
    <w:p w14:paraId="6C2549FE">
      <w:pPr>
        <w:pStyle w:val="14"/>
        <w:jc w:val="center"/>
        <w:rPr>
          <w:rFonts w:hint="eastAsia" w:ascii="方正小标宋_GBK" w:hAnsi="方正小标宋_GBK" w:eastAsia="方正小标宋_GBK" w:cs="方正小标宋_GBK"/>
          <w:sz w:val="72"/>
          <w:szCs w:val="72"/>
        </w:rPr>
      </w:pPr>
    </w:p>
    <w:p w14:paraId="50C20CB6">
      <w:pPr>
        <w:pStyle w:val="14"/>
        <w:jc w:val="center"/>
        <w:rPr>
          <w:rFonts w:hint="eastAsia" w:ascii="方正小标宋_GBK" w:hAnsi="方正小标宋_GBK" w:eastAsia="方正小标宋_GBK" w:cs="方正小标宋_GBK"/>
          <w:sz w:val="72"/>
          <w:szCs w:val="72"/>
        </w:rPr>
      </w:pPr>
    </w:p>
    <w:p w14:paraId="43B358E5">
      <w:pPr>
        <w:pStyle w:val="14"/>
        <w:jc w:val="center"/>
        <w:rPr>
          <w:rFonts w:hint="eastAsia" w:ascii="方正小标宋_GBK" w:hAnsi="方正小标宋_GBK" w:eastAsia="方正小标宋_GBK" w:cs="方正小标宋_GBK"/>
          <w:sz w:val="72"/>
          <w:szCs w:val="72"/>
        </w:rPr>
      </w:pPr>
    </w:p>
    <w:p w14:paraId="155924E3">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EB91B7A">
      <w:pPr>
        <w:jc w:val="center"/>
        <w:rPr>
          <w:rFonts w:hint="eastAsia" w:ascii="方正小标宋_GBK" w:hAnsi="方正小标宋_GBK" w:eastAsia="方正小标宋_GBK" w:cs="方正小标宋_GBK"/>
          <w:color w:val="000000"/>
          <w:kern w:val="0"/>
          <w:sz w:val="70"/>
          <w:szCs w:val="70"/>
        </w:rPr>
      </w:pPr>
    </w:p>
    <w:p w14:paraId="0A5EF097">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EA9AA6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8C442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val="0"/>
          <w:iCs/>
          <w:color w:val="auto"/>
          <w:kern w:val="0"/>
          <w:sz w:val="32"/>
          <w:szCs w:val="32"/>
          <w:lang w:val="en-US" w:eastAsia="zh-CN" w:bidi="ar-SA"/>
        </w:rPr>
      </w:pPr>
      <w:r>
        <w:rPr>
          <w:rFonts w:hint="eastAsia" w:ascii="仿宋" w:hAnsi="仿宋" w:eastAsia="仿宋" w:cs="仿宋"/>
          <w:b w:val="0"/>
          <w:bCs w:val="0"/>
          <w:i w:val="0"/>
          <w:iCs/>
          <w:color w:val="auto"/>
          <w:kern w:val="0"/>
          <w:sz w:val="32"/>
          <w:szCs w:val="32"/>
          <w:lang w:val="en-US" w:eastAsia="zh-CN" w:bidi="ar-SA"/>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4E8CBE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val="0"/>
          <w:iCs/>
          <w:color w:val="auto"/>
          <w:kern w:val="0"/>
          <w:sz w:val="32"/>
          <w:szCs w:val="32"/>
          <w:lang w:val="en-US" w:eastAsia="zh-CN" w:bidi="ar-SA"/>
        </w:rPr>
      </w:pPr>
      <w:r>
        <w:rPr>
          <w:rFonts w:hint="eastAsia" w:ascii="仿宋" w:hAnsi="仿宋" w:eastAsia="仿宋" w:cs="仿宋"/>
          <w:b w:val="0"/>
          <w:bCs w:val="0"/>
          <w:i w:val="0"/>
          <w:iCs/>
          <w:color w:val="auto"/>
          <w:kern w:val="0"/>
          <w:sz w:val="32"/>
          <w:szCs w:val="32"/>
          <w:lang w:val="en-US" w:eastAsia="zh-CN" w:bidi="ar-SA"/>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0612418">
      <w:pPr>
        <w:pStyle w:val="14"/>
        <w:jc w:val="center"/>
        <w:rPr>
          <w:sz w:val="72"/>
          <w:szCs w:val="72"/>
        </w:rPr>
      </w:pPr>
    </w:p>
    <w:p w14:paraId="6D62E1EE">
      <w:pPr>
        <w:pStyle w:val="14"/>
        <w:jc w:val="center"/>
        <w:rPr>
          <w:sz w:val="72"/>
          <w:szCs w:val="72"/>
        </w:rPr>
      </w:pPr>
    </w:p>
    <w:p w14:paraId="0781AB03">
      <w:pPr>
        <w:pStyle w:val="14"/>
        <w:jc w:val="center"/>
        <w:rPr>
          <w:sz w:val="72"/>
          <w:szCs w:val="72"/>
        </w:rPr>
      </w:pPr>
    </w:p>
    <w:p w14:paraId="7F0F952A">
      <w:pPr>
        <w:pStyle w:val="14"/>
        <w:jc w:val="center"/>
        <w:rPr>
          <w:sz w:val="72"/>
          <w:szCs w:val="72"/>
        </w:rPr>
      </w:pPr>
    </w:p>
    <w:p w14:paraId="674189FF">
      <w:pPr>
        <w:pStyle w:val="14"/>
        <w:jc w:val="center"/>
        <w:rPr>
          <w:sz w:val="72"/>
          <w:szCs w:val="72"/>
        </w:rPr>
      </w:pPr>
    </w:p>
    <w:p w14:paraId="0E7C7345">
      <w:pPr>
        <w:pStyle w:val="14"/>
        <w:jc w:val="center"/>
        <w:rPr>
          <w:sz w:val="72"/>
          <w:szCs w:val="72"/>
        </w:rPr>
      </w:pPr>
    </w:p>
    <w:p w14:paraId="68857ACC">
      <w:pPr>
        <w:pStyle w:val="14"/>
        <w:jc w:val="center"/>
        <w:rPr>
          <w:sz w:val="72"/>
          <w:szCs w:val="72"/>
        </w:rPr>
      </w:pPr>
    </w:p>
    <w:p w14:paraId="11D811EB">
      <w:pPr>
        <w:pStyle w:val="14"/>
        <w:jc w:val="center"/>
        <w:rPr>
          <w:sz w:val="72"/>
          <w:szCs w:val="72"/>
        </w:rPr>
      </w:pPr>
    </w:p>
    <w:p w14:paraId="235B3DC6">
      <w:pPr>
        <w:rPr>
          <w:sz w:val="72"/>
          <w:szCs w:val="72"/>
        </w:rPr>
      </w:pPr>
      <w:r>
        <w:rPr>
          <w:sz w:val="72"/>
          <w:szCs w:val="72"/>
        </w:rPr>
        <w:br w:type="page"/>
      </w:r>
    </w:p>
    <w:p w14:paraId="0806D8F7">
      <w:pPr>
        <w:pStyle w:val="14"/>
        <w:jc w:val="center"/>
        <w:rPr>
          <w:rFonts w:hint="eastAsia" w:ascii="方正小标宋_GBK" w:hAnsi="方正小标宋_GBK" w:eastAsia="方正小标宋_GBK" w:cs="方正小标宋_GBK"/>
          <w:sz w:val="72"/>
          <w:szCs w:val="72"/>
        </w:rPr>
      </w:pPr>
    </w:p>
    <w:p w14:paraId="1888A95C">
      <w:pPr>
        <w:pStyle w:val="14"/>
        <w:jc w:val="center"/>
        <w:rPr>
          <w:rFonts w:hint="eastAsia" w:ascii="方正小标宋_GBK" w:hAnsi="方正小标宋_GBK" w:eastAsia="方正小标宋_GBK" w:cs="方正小标宋_GBK"/>
          <w:sz w:val="72"/>
          <w:szCs w:val="72"/>
        </w:rPr>
      </w:pPr>
    </w:p>
    <w:p w14:paraId="7DAF9A97">
      <w:pPr>
        <w:pStyle w:val="14"/>
        <w:jc w:val="center"/>
        <w:rPr>
          <w:rFonts w:hint="eastAsia" w:ascii="方正小标宋_GBK" w:hAnsi="方正小标宋_GBK" w:eastAsia="方正小标宋_GBK" w:cs="方正小标宋_GBK"/>
          <w:sz w:val="72"/>
          <w:szCs w:val="72"/>
        </w:rPr>
      </w:pPr>
    </w:p>
    <w:p w14:paraId="1F2F0D77">
      <w:pPr>
        <w:pStyle w:val="14"/>
        <w:jc w:val="center"/>
        <w:rPr>
          <w:rFonts w:hint="eastAsia" w:ascii="方正小标宋_GBK" w:hAnsi="方正小标宋_GBK" w:eastAsia="方正小标宋_GBK" w:cs="方正小标宋_GBK"/>
          <w:sz w:val="72"/>
          <w:szCs w:val="72"/>
        </w:rPr>
      </w:pPr>
    </w:p>
    <w:p w14:paraId="17EC0948">
      <w:pPr>
        <w:pStyle w:val="14"/>
        <w:jc w:val="center"/>
        <w:rPr>
          <w:rFonts w:hint="eastAsia" w:ascii="方正小标宋_GBK" w:hAnsi="方正小标宋_GBK" w:eastAsia="方正小标宋_GBK" w:cs="方正小标宋_GBK"/>
          <w:sz w:val="72"/>
          <w:szCs w:val="72"/>
        </w:rPr>
      </w:pPr>
    </w:p>
    <w:p w14:paraId="2AC24882">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8EBCB9B">
      <w:pPr>
        <w:pStyle w:val="14"/>
        <w:jc w:val="center"/>
        <w:rPr>
          <w:rFonts w:hint="eastAsia" w:ascii="方正小标宋_GBK" w:hAnsi="方正小标宋_GBK" w:eastAsia="方正小标宋_GBK" w:cs="方正小标宋_GBK"/>
          <w:sz w:val="70"/>
          <w:szCs w:val="70"/>
        </w:rPr>
      </w:pPr>
    </w:p>
    <w:p w14:paraId="5C9992DE">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5E60961">
      <w:pPr>
        <w:rPr>
          <w:sz w:val="72"/>
          <w:szCs w:val="72"/>
        </w:rPr>
      </w:pPr>
      <w:r>
        <w:rPr>
          <w:sz w:val="72"/>
          <w:szCs w:val="72"/>
        </w:rPr>
        <w:br w:type="page"/>
      </w:r>
    </w:p>
    <w:p w14:paraId="47191E33">
      <w:pPr>
        <w:jc w:val="center"/>
        <w:rPr>
          <w:rFonts w:asciiTheme="minorEastAsia" w:hAnsiTheme="minorEastAsia" w:eastAsiaTheme="minorEastAsia"/>
          <w:b/>
          <w:w w:val="100"/>
          <w:sz w:val="36"/>
          <w:szCs w:val="36"/>
        </w:rPr>
      </w:pPr>
      <w:r>
        <w:rPr>
          <w:rFonts w:hint="eastAsia" w:asciiTheme="minorEastAsia" w:hAnsiTheme="minorEastAsia" w:eastAsiaTheme="minorEastAsia"/>
          <w:b/>
          <w:w w:val="100"/>
          <w:sz w:val="36"/>
          <w:szCs w:val="36"/>
          <w:lang w:val="en-US" w:eastAsia="zh-CN"/>
        </w:rPr>
        <w:t>2023年度</w:t>
      </w:r>
      <w:r>
        <w:rPr>
          <w:rFonts w:hint="eastAsia" w:asciiTheme="minorEastAsia" w:hAnsiTheme="minorEastAsia" w:eastAsiaTheme="minorEastAsia"/>
          <w:b/>
          <w:w w:val="100"/>
          <w:sz w:val="36"/>
          <w:szCs w:val="36"/>
        </w:rPr>
        <w:t>部门整体支出绩效自评报告</w:t>
      </w:r>
    </w:p>
    <w:p w14:paraId="1B1C1DAB">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55610F9B">
      <w:pPr>
        <w:ind w:firstLine="565" w:firstLineChars="202"/>
        <w:rPr>
          <w:w w:val="100"/>
          <w:sz w:val="28"/>
          <w:szCs w:val="28"/>
        </w:rPr>
      </w:pPr>
      <w:r>
        <w:rPr>
          <w:rFonts w:hint="eastAsia"/>
          <w:w w:val="100"/>
          <w:sz w:val="28"/>
          <w:szCs w:val="28"/>
        </w:rPr>
        <w:t>一、部门、单位基本情况</w:t>
      </w:r>
    </w:p>
    <w:p w14:paraId="2AD68724">
      <w:pPr>
        <w:ind w:firstLine="565" w:firstLineChars="202"/>
        <w:rPr>
          <w:rFonts w:ascii="楷体" w:hAnsi="楷体" w:eastAsia="楷体"/>
          <w:w w:val="100"/>
          <w:sz w:val="28"/>
          <w:szCs w:val="28"/>
        </w:rPr>
      </w:pPr>
      <w:r>
        <w:rPr>
          <w:rFonts w:ascii="楷体" w:hAnsi="楷体" w:eastAsia="楷体"/>
          <w:w w:val="100"/>
          <w:sz w:val="28"/>
          <w:szCs w:val="28"/>
        </w:rPr>
        <w:t>（一）机构设置情况</w:t>
      </w:r>
    </w:p>
    <w:p w14:paraId="777C39FF">
      <w:pPr>
        <w:pStyle w:val="9"/>
        <w:spacing w:beforeAutospacing="0" w:afterAutospacing="0" w:line="23" w:lineRule="atLeast"/>
        <w:ind w:firstLine="645"/>
        <w:rPr>
          <w:rFonts w:ascii="楷体" w:hAnsi="楷体" w:eastAsia="楷体"/>
          <w:kern w:val="2"/>
          <w:sz w:val="28"/>
        </w:rPr>
      </w:pPr>
      <w:r>
        <w:rPr>
          <w:rFonts w:ascii="楷体" w:hAnsi="楷体" w:eastAsia="楷体"/>
          <w:kern w:val="2"/>
          <w:sz w:val="28"/>
        </w:rPr>
        <w:t>怀化市教育局</w:t>
      </w:r>
      <w:r>
        <w:rPr>
          <w:rFonts w:hint="eastAsia" w:ascii="楷体" w:hAnsi="楷体" w:eastAsia="楷体"/>
          <w:kern w:val="2"/>
          <w:sz w:val="28"/>
        </w:rPr>
        <w:t>作为一级部门预算单位，内设科室为：办公室、基础教育科（民族教育科）、发展规划与财务建设科（审计科）、机关党委、人事科、师资教育科（怀化市语言文字工作委员会办公室）、职业教育与成人教育科、行政审批服务科（政策法规科）、体育卫生与艺术教育科、大中专毕业生就业指导办公室、教育督导科、市委教育工作领导小组秘书组秘书科。二级机构：怀化市教育考试院、怀化市教育科学研究院、怀化市教师培训中心、怀化市勤工俭学管理站、怀化市学校安全监督管理办公室、怀化市电化教育馆、怀化市农村教育综合改革办公室、怀化市教育宣传信息中心、怀化市普通话培训测试站、怀化市高校工作管理办公室、怀化市民办教育管理办公室、怀化市教学仪器管理站、怀化市学生资助管理中心（怀化市教育捐赠中心）、中国教育工会怀化市委员会、怀化市高等学校函授教育管理站。</w:t>
      </w:r>
    </w:p>
    <w:p w14:paraId="7DB3A064">
      <w:pPr>
        <w:ind w:firstLine="565" w:firstLineChars="202"/>
        <w:rPr>
          <w:rFonts w:ascii="楷体" w:hAnsi="楷体" w:eastAsia="楷体"/>
          <w:w w:val="100"/>
          <w:sz w:val="28"/>
          <w:szCs w:val="28"/>
        </w:rPr>
      </w:pPr>
      <w:r>
        <w:rPr>
          <w:rFonts w:ascii="楷体" w:hAnsi="楷体" w:eastAsia="楷体"/>
          <w:w w:val="100"/>
          <w:sz w:val="28"/>
          <w:szCs w:val="28"/>
        </w:rPr>
        <w:t>（二）人员编制情况</w:t>
      </w:r>
    </w:p>
    <w:p w14:paraId="6AF52B18">
      <w:pPr>
        <w:widowControl/>
        <w:shd w:val="clear" w:color="auto" w:fill="FFFFFF"/>
        <w:ind w:firstLine="640"/>
        <w:rPr>
          <w:rFonts w:ascii="楷体" w:hAnsi="楷体" w:eastAsia="楷体"/>
          <w:w w:val="100"/>
          <w:sz w:val="28"/>
          <w:szCs w:val="28"/>
        </w:rPr>
      </w:pPr>
      <w:r>
        <w:rPr>
          <w:rFonts w:hint="eastAsia" w:ascii="楷体" w:hAnsi="楷体" w:eastAsia="楷体"/>
          <w:w w:val="100"/>
          <w:sz w:val="28"/>
          <w:szCs w:val="28"/>
        </w:rPr>
        <w:t>根据编委核定，截至2023年12月31日，怀化市教育局编制共120人，年末在职人数105人。</w:t>
      </w:r>
    </w:p>
    <w:p w14:paraId="3099972D">
      <w:pPr>
        <w:ind w:firstLine="565" w:firstLineChars="202"/>
        <w:rPr>
          <w:rFonts w:ascii="楷体" w:hAnsi="楷体" w:eastAsia="楷体"/>
          <w:w w:val="100"/>
          <w:sz w:val="28"/>
          <w:szCs w:val="28"/>
        </w:rPr>
      </w:pPr>
      <w:r>
        <w:rPr>
          <w:rFonts w:ascii="楷体" w:hAnsi="楷体" w:eastAsia="楷体"/>
          <w:w w:val="100"/>
          <w:sz w:val="28"/>
          <w:szCs w:val="28"/>
        </w:rPr>
        <w:t>（三）主要职能职责</w:t>
      </w:r>
    </w:p>
    <w:p w14:paraId="1150B110">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1.贯彻落实国家教育工作的方针、政策和法律、法规，拟定全市教育改革与发展战略、方针、政策和规划，并组织实施。</w:t>
      </w:r>
    </w:p>
    <w:p w14:paraId="39F65A22">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2.负责各级各类教育的统筹规划和协调管理，会同有关部门制订各级各类学校的设置标准，指导各级各类学校的教育教学改革，负责教育基本信息的统计、分析和发布。</w:t>
      </w:r>
    </w:p>
    <w:p w14:paraId="0CA74A6F">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3.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16185548">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4.指导以就业为导向的职业教育的发展与改革，落实教学指导文件和教学评估标准，指导中等职业教育教材建设和职业指导工作。</w:t>
      </w:r>
    </w:p>
    <w:p w14:paraId="4E761FAA">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5.统筹指导全市基础教育、普通高等教育、职业技术教育、成人高等教育、高等教育自学考试以及民办教育等工作；指导、协调各县（市、区）和各部门有关教育工作；组织对普及九年义务教育的督导与评估。</w:t>
      </w:r>
    </w:p>
    <w:p w14:paraId="5AF1FCEC">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6.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01ECCAB7">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7.统筹和指导少数民族教育工作，协调对少数民族地区和贫困地区的教育援助。</w:t>
      </w:r>
    </w:p>
    <w:p w14:paraId="3E692C42">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8.指导各级各类学校精神文明建设工作（增加的职责），指导各级各类学校的思想政治工作、德育工作、体育卫生、艺术教育和国防教育工作，指导和协调教育系统的稳定工作。</w:t>
      </w:r>
    </w:p>
    <w:p w14:paraId="3DFC1627">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9.依据《教师法》规定，在职责范围内，主管全市师工作；组织指导中小学教师的资格认定、招聘录用、职务评聘、培养培训、调配交流、档案管理和考核奖惩等工作；会同有关部门研究制定市内各级各类学校编制标准，并监督执行；指导教育系统人才队伍建设。</w:t>
      </w:r>
    </w:p>
    <w:p w14:paraId="00DE420D">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10.统筹管理各类高等、中等学历教育的招生考试工作；负责高校毕业生和中专毕业生的就业指工作；参与高等学校、中等专业学校毕业生就业制度改革，指导高等学校、中等专业学校毕业生就业创业工作。</w:t>
      </w:r>
    </w:p>
    <w:p w14:paraId="6DBA12EA">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11.组织指导教育方面的国际交流与合作，统筹管理出国留学、来怀留学、中外合作办学，开展与香港、澳门特别行政区和台湾地区的教育合作与交沈，会同有关部门依法监督管理自费留学中介服务机构。</w:t>
      </w:r>
    </w:p>
    <w:p w14:paraId="7F8058BB">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12.组织、指导全市教育督导工作。</w:t>
      </w:r>
    </w:p>
    <w:p w14:paraId="6159C636">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13.统筹管理全市语言文字工作，制定全市语言文字规划并组织实施，指导推广普通话和规范字及普通话师资培训工作。</w:t>
      </w:r>
    </w:p>
    <w:p w14:paraId="3E1E18C8">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14.协助市委织组织部考察和管理学校领导班子和领导干部。</w:t>
      </w:r>
    </w:p>
    <w:p w14:paraId="09DB3D85">
      <w:pPr>
        <w:pStyle w:val="9"/>
        <w:spacing w:beforeAutospacing="0" w:afterAutospacing="0" w:line="23" w:lineRule="atLeast"/>
        <w:ind w:firstLine="645"/>
        <w:rPr>
          <w:rFonts w:ascii="楷体" w:hAnsi="楷体" w:eastAsia="楷体" w:cs="仿宋"/>
          <w:sz w:val="28"/>
          <w:szCs w:val="28"/>
          <w:shd w:val="clear" w:color="auto" w:fill="FFFFFF"/>
        </w:rPr>
      </w:pPr>
      <w:r>
        <w:rPr>
          <w:rFonts w:hint="eastAsia" w:ascii="楷体" w:hAnsi="楷体" w:eastAsia="楷体" w:cs="仿宋"/>
          <w:sz w:val="28"/>
          <w:szCs w:val="28"/>
          <w:shd w:val="clear" w:color="auto" w:fill="FFFFFF"/>
        </w:rPr>
        <w:t>15.行政审批事项：取消、下放、调整、增加由市人民政府公布予以变动的行政审批事项。</w:t>
      </w:r>
    </w:p>
    <w:p w14:paraId="279B2BC9">
      <w:pPr>
        <w:ind w:firstLine="708" w:firstLineChars="253"/>
        <w:rPr>
          <w:rFonts w:ascii="仿宋" w:hAnsi="仿宋" w:eastAsia="仿宋" w:cs="仿宋"/>
          <w:w w:val="100"/>
          <w:kern w:val="0"/>
          <w:sz w:val="28"/>
          <w:szCs w:val="28"/>
          <w:shd w:val="clear" w:color="auto" w:fill="FFFFFF"/>
        </w:rPr>
      </w:pPr>
      <w:r>
        <w:rPr>
          <w:rFonts w:hint="eastAsia" w:ascii="楷体" w:hAnsi="楷体" w:eastAsia="楷体" w:cs="仿宋"/>
          <w:w w:val="100"/>
          <w:kern w:val="0"/>
          <w:sz w:val="28"/>
          <w:szCs w:val="28"/>
          <w:shd w:val="clear" w:color="auto" w:fill="FFFFFF"/>
        </w:rPr>
        <w:t>16.承办市人民政府交办的其他事项。</w:t>
      </w:r>
    </w:p>
    <w:p w14:paraId="1BEEDBA9">
      <w:pPr>
        <w:ind w:firstLine="565" w:firstLineChars="202"/>
        <w:rPr>
          <w:rFonts w:ascii="楷体" w:hAnsi="楷体" w:eastAsia="楷体"/>
          <w:w w:val="100"/>
          <w:sz w:val="28"/>
          <w:szCs w:val="28"/>
        </w:rPr>
      </w:pPr>
      <w:r>
        <w:rPr>
          <w:rFonts w:ascii="楷体" w:hAnsi="楷体" w:eastAsia="楷体"/>
          <w:w w:val="100"/>
          <w:sz w:val="28"/>
          <w:szCs w:val="28"/>
        </w:rPr>
        <w:t>（四）绩效目标设定情况</w:t>
      </w:r>
    </w:p>
    <w:p w14:paraId="00F93FE4">
      <w:pPr>
        <w:ind w:firstLine="565" w:firstLineChars="202"/>
        <w:rPr>
          <w:rFonts w:ascii="楷体" w:hAnsi="楷体" w:eastAsia="楷体"/>
          <w:w w:val="100"/>
          <w:sz w:val="28"/>
          <w:szCs w:val="28"/>
        </w:rPr>
      </w:pPr>
      <w:r>
        <w:rPr>
          <w:rFonts w:hint="eastAsia" w:ascii="楷体" w:hAnsi="楷体" w:eastAsia="楷体"/>
          <w:w w:val="100"/>
          <w:sz w:val="28"/>
          <w:szCs w:val="28"/>
        </w:rPr>
        <w:t>1.</w:t>
      </w:r>
      <w:r>
        <w:rPr>
          <w:rFonts w:ascii="楷体" w:hAnsi="楷体" w:eastAsia="楷体"/>
          <w:w w:val="100"/>
          <w:sz w:val="28"/>
          <w:szCs w:val="28"/>
        </w:rPr>
        <w:t xml:space="preserve"> 总体目标</w:t>
      </w:r>
    </w:p>
    <w:p w14:paraId="72313AAA">
      <w:pPr>
        <w:ind w:firstLine="565" w:firstLineChars="202"/>
        <w:rPr>
          <w:rFonts w:ascii="楷体" w:hAnsi="楷体" w:eastAsia="楷体"/>
          <w:w w:val="100"/>
          <w:sz w:val="28"/>
          <w:szCs w:val="28"/>
        </w:rPr>
      </w:pPr>
      <w:r>
        <w:rPr>
          <w:rFonts w:ascii="楷体" w:hAnsi="楷体" w:eastAsia="楷体"/>
          <w:w w:val="100"/>
          <w:sz w:val="28"/>
          <w:szCs w:val="28"/>
        </w:rPr>
        <w:t>贯彻落实国家教育方针政策，坚持立德树人根本任务，以提高教育质量为核心，以促进教育公平为重点，以改革创新为动力，推动怀化市教育事业高质量发展，努力办好人民满意的教育。</w:t>
      </w:r>
    </w:p>
    <w:p w14:paraId="3870FAF8">
      <w:pPr>
        <w:ind w:firstLine="565" w:firstLineChars="202"/>
        <w:rPr>
          <w:rFonts w:ascii="楷体" w:hAnsi="楷体" w:eastAsia="楷体"/>
          <w:w w:val="100"/>
          <w:sz w:val="28"/>
          <w:szCs w:val="28"/>
        </w:rPr>
      </w:pPr>
      <w:r>
        <w:rPr>
          <w:rFonts w:hint="eastAsia" w:ascii="楷体" w:hAnsi="楷体" w:eastAsia="楷体"/>
          <w:w w:val="100"/>
          <w:sz w:val="28"/>
          <w:szCs w:val="28"/>
        </w:rPr>
        <w:t>2.具体目标</w:t>
      </w:r>
    </w:p>
    <w:p w14:paraId="5C48DE3D">
      <w:pPr>
        <w:ind w:firstLine="565" w:firstLineChars="202"/>
        <w:rPr>
          <w:rFonts w:ascii="楷体" w:hAnsi="楷体" w:eastAsia="楷体"/>
          <w:w w:val="100"/>
          <w:sz w:val="28"/>
          <w:szCs w:val="28"/>
        </w:rPr>
      </w:pPr>
      <w:r>
        <w:rPr>
          <w:rFonts w:hint="eastAsia" w:ascii="楷体" w:hAnsi="楷体" w:eastAsia="楷体"/>
          <w:w w:val="100"/>
          <w:sz w:val="28"/>
          <w:szCs w:val="28"/>
        </w:rPr>
        <w:t>(1)</w:t>
      </w:r>
      <w:r>
        <w:rPr>
          <w:rFonts w:ascii="楷体" w:hAnsi="楷体" w:eastAsia="楷体"/>
          <w:w w:val="100"/>
          <w:sz w:val="28"/>
          <w:szCs w:val="28"/>
        </w:rPr>
        <w:t>深入学习贯彻党的二十大精神和习近平总书记关于教育的重要论述，坚定不移地将党的教育方针政策融入到实际工作</w:t>
      </w:r>
      <w:r>
        <w:rPr>
          <w:rFonts w:hint="eastAsia" w:ascii="楷体" w:hAnsi="楷体" w:eastAsia="楷体"/>
          <w:w w:val="100"/>
          <w:sz w:val="28"/>
          <w:szCs w:val="28"/>
        </w:rPr>
        <w:t>中</w:t>
      </w:r>
      <w:r>
        <w:rPr>
          <w:rFonts w:ascii="楷体" w:hAnsi="楷体" w:eastAsia="楷体"/>
          <w:w w:val="100"/>
          <w:sz w:val="28"/>
          <w:szCs w:val="28"/>
        </w:rPr>
        <w:t>。积极落实落地全国全省教育工作会议精神，以高度的责任感和使命感，推动教育事业的发展与进步。</w:t>
      </w:r>
    </w:p>
    <w:p w14:paraId="4FAA4B46">
      <w:pPr>
        <w:ind w:firstLine="565" w:firstLineChars="202"/>
        <w:rPr>
          <w:rFonts w:ascii="楷体" w:hAnsi="楷体" w:eastAsia="楷体"/>
          <w:w w:val="100"/>
          <w:sz w:val="28"/>
          <w:szCs w:val="28"/>
        </w:rPr>
      </w:pPr>
      <w:r>
        <w:rPr>
          <w:rFonts w:hint="eastAsia" w:ascii="楷体" w:hAnsi="楷体" w:eastAsia="楷体"/>
          <w:w w:val="100"/>
          <w:sz w:val="28"/>
          <w:szCs w:val="28"/>
        </w:rPr>
        <w:t>(2)</w:t>
      </w:r>
      <w:r>
        <w:rPr>
          <w:rFonts w:ascii="楷体" w:hAnsi="楷体" w:eastAsia="楷体"/>
          <w:w w:val="100"/>
          <w:sz w:val="28"/>
          <w:szCs w:val="28"/>
        </w:rPr>
        <w:t>聚焦落实立德树人根本任务，培养德智体美劳全面发展的社会主义建设者和接班人的重要性。通过不断优化课程设置，丰富教学内容，将思想政治教育、品德教育、法治教育等有机融入日常教学活动，培养学生正确的世界观、人生观和价值观，激发学生的爱国情怀和社会责任感。</w:t>
      </w:r>
    </w:p>
    <w:p w14:paraId="1C711B10">
      <w:pPr>
        <w:ind w:firstLine="565" w:firstLineChars="202"/>
        <w:rPr>
          <w:rFonts w:ascii="楷体" w:hAnsi="楷体" w:eastAsia="楷体"/>
          <w:w w:val="100"/>
          <w:sz w:val="28"/>
          <w:szCs w:val="28"/>
        </w:rPr>
      </w:pPr>
      <w:r>
        <w:rPr>
          <w:rFonts w:hint="eastAsia" w:ascii="楷体" w:hAnsi="楷体" w:eastAsia="楷体"/>
          <w:w w:val="100"/>
          <w:sz w:val="28"/>
          <w:szCs w:val="28"/>
        </w:rPr>
        <w:t>(3)</w:t>
      </w:r>
      <w:r>
        <w:rPr>
          <w:rFonts w:ascii="楷体" w:hAnsi="楷体" w:eastAsia="楷体"/>
          <w:w w:val="100"/>
          <w:sz w:val="28"/>
          <w:szCs w:val="28"/>
        </w:rPr>
        <w:t>在教育教学质量提升方面，积极推动教育教学改革，鼓励教师创新教学方法和手段，运用现代信息技术，开展线上线下融合教学。加强教师培训与交流，提高教师的专业素养和教学水平。同时，加大对教育教学资源的投入，改善教学设施和条件，为学生创造更加优质的学习环境。例如，开展优质课评选活动，促进教师之间的相互学习与借鉴；建设智慧校园，为教学提供数字化支持。</w:t>
      </w:r>
    </w:p>
    <w:p w14:paraId="48B8C7FA">
      <w:pPr>
        <w:ind w:firstLine="565" w:firstLineChars="202"/>
        <w:rPr>
          <w:rFonts w:ascii="楷体" w:hAnsi="楷体" w:eastAsia="楷体"/>
          <w:w w:val="100"/>
          <w:sz w:val="28"/>
          <w:szCs w:val="28"/>
        </w:rPr>
      </w:pPr>
      <w:r>
        <w:rPr>
          <w:rFonts w:hint="eastAsia" w:ascii="楷体" w:hAnsi="楷体" w:eastAsia="楷体"/>
          <w:w w:val="100"/>
          <w:sz w:val="28"/>
          <w:szCs w:val="28"/>
        </w:rPr>
        <w:t>(4)</w:t>
      </w:r>
      <w:r>
        <w:rPr>
          <w:rFonts w:ascii="楷体" w:hAnsi="楷体" w:eastAsia="楷体"/>
          <w:w w:val="100"/>
          <w:sz w:val="28"/>
          <w:szCs w:val="28"/>
        </w:rPr>
        <w:t>突出抓好校园安全这件大事，建立健全校园安全管理制度，加强校园安全隐患排查与整治，强化校园安全宣传教育，提高师生的安全意识和自我保护能力。定期组织应急演练，提升学校应对突发事件的能力，确保校园安全稳定。比如，制定严格的校园出入管理制度，加强对校园周边环境的综合治理，为学生的学习和生活提供安全保障。</w:t>
      </w:r>
    </w:p>
    <w:p w14:paraId="4261E67D">
      <w:pPr>
        <w:ind w:firstLine="565" w:firstLineChars="202"/>
        <w:rPr>
          <w:rFonts w:ascii="楷体" w:hAnsi="楷体" w:eastAsia="楷体"/>
          <w:w w:val="100"/>
          <w:sz w:val="28"/>
          <w:szCs w:val="28"/>
        </w:rPr>
      </w:pPr>
      <w:r>
        <w:rPr>
          <w:rFonts w:hint="eastAsia" w:ascii="楷体" w:hAnsi="楷体" w:eastAsia="楷体"/>
          <w:w w:val="100"/>
          <w:sz w:val="28"/>
          <w:szCs w:val="28"/>
        </w:rPr>
        <w:t>(5)</w:t>
      </w:r>
      <w:r>
        <w:rPr>
          <w:rFonts w:ascii="楷体" w:hAnsi="楷体" w:eastAsia="楷体"/>
          <w:w w:val="100"/>
          <w:sz w:val="28"/>
          <w:szCs w:val="28"/>
        </w:rPr>
        <w:t>在统筹推进城乡、县域和校际教育优质均衡发展方面，加大对农村和贫困地区教育的支持力度，优化教育资源配置，缩小城乡教育差距。通过实施教师交流轮岗、教育信息化建设等措施，促进优质教育资源共享。加强县域内教育统筹规划，推动学校之间的合作与交流，实现共同发展。例如，开展城乡学校结对帮扶活动，组织城市优秀教师到农村学校支教，提升农村学校的教育教学水平。</w:t>
      </w:r>
    </w:p>
    <w:p w14:paraId="2D5A91D0">
      <w:pPr>
        <w:ind w:firstLine="565" w:firstLineChars="202"/>
        <w:rPr>
          <w:rFonts w:ascii="楷体" w:hAnsi="楷体" w:eastAsia="楷体"/>
          <w:w w:val="100"/>
          <w:sz w:val="28"/>
          <w:szCs w:val="28"/>
        </w:rPr>
      </w:pPr>
      <w:r>
        <w:rPr>
          <w:rFonts w:hint="eastAsia" w:ascii="楷体" w:hAnsi="楷体" w:eastAsia="楷体"/>
          <w:w w:val="100"/>
          <w:sz w:val="28"/>
          <w:szCs w:val="28"/>
        </w:rPr>
        <w:t>(6)</w:t>
      </w:r>
      <w:r>
        <w:rPr>
          <w:rFonts w:ascii="楷体" w:hAnsi="楷体" w:eastAsia="楷体"/>
          <w:w w:val="100"/>
          <w:sz w:val="28"/>
          <w:szCs w:val="28"/>
        </w:rPr>
        <w:t>奋力建设大湘西区域性教育中心，是我局的宏伟目标和不懈追求。通过不断努力，提升怀化教育的影响力和竞争力，吸引更多优质教育资源汇聚，为大湘西地区的经济社会发展提供强有力的人才支撑和智力支持。</w:t>
      </w:r>
    </w:p>
    <w:p w14:paraId="08EE0EF6">
      <w:pPr>
        <w:ind w:firstLine="565" w:firstLineChars="202"/>
        <w:rPr>
          <w:w w:val="100"/>
          <w:sz w:val="28"/>
          <w:szCs w:val="28"/>
        </w:rPr>
      </w:pPr>
      <w:r>
        <w:rPr>
          <w:rFonts w:hint="eastAsia"/>
          <w:w w:val="100"/>
          <w:sz w:val="28"/>
          <w:szCs w:val="28"/>
        </w:rPr>
        <w:t>二、部门整体支出管理及使用情况</w:t>
      </w:r>
    </w:p>
    <w:p w14:paraId="23C20434">
      <w:pPr>
        <w:ind w:firstLine="565" w:firstLineChars="202"/>
        <w:rPr>
          <w:rFonts w:ascii="楷体" w:hAnsi="楷体" w:eastAsia="楷体"/>
          <w:w w:val="100"/>
          <w:sz w:val="28"/>
          <w:szCs w:val="28"/>
        </w:rPr>
      </w:pPr>
      <w:r>
        <w:rPr>
          <w:rFonts w:ascii="楷体" w:hAnsi="楷体" w:eastAsia="楷体"/>
          <w:w w:val="100"/>
          <w:sz w:val="28"/>
          <w:szCs w:val="28"/>
        </w:rPr>
        <w:t>（一）预算执行、使用、管理总体情况。</w:t>
      </w:r>
    </w:p>
    <w:p w14:paraId="4F22A88D">
      <w:pPr>
        <w:ind w:firstLine="565" w:firstLineChars="202"/>
        <w:rPr>
          <w:rFonts w:ascii="楷体" w:hAnsi="楷体" w:eastAsia="楷体"/>
          <w:w w:val="100"/>
          <w:sz w:val="28"/>
          <w:szCs w:val="28"/>
        </w:rPr>
      </w:pPr>
      <w:r>
        <w:rPr>
          <w:rFonts w:ascii="楷体" w:hAnsi="楷体" w:eastAsia="楷体"/>
          <w:w w:val="100"/>
          <w:sz w:val="28"/>
          <w:szCs w:val="28"/>
        </w:rPr>
        <w:t>2023 年，</w:t>
      </w:r>
      <w:r>
        <w:rPr>
          <w:rFonts w:hint="eastAsia" w:ascii="楷体" w:hAnsi="楷体" w:eastAsia="楷体"/>
          <w:w w:val="100"/>
          <w:sz w:val="28"/>
          <w:szCs w:val="28"/>
        </w:rPr>
        <w:t>我</w:t>
      </w:r>
      <w:r>
        <w:rPr>
          <w:rFonts w:ascii="楷体" w:hAnsi="楷体" w:eastAsia="楷体"/>
          <w:w w:val="100"/>
          <w:sz w:val="28"/>
          <w:szCs w:val="28"/>
        </w:rPr>
        <w:t>局严格按照预算法和相关财务制度的要求，强化预算执行、使用和管理工作，以确保教育经费的合理、高效运用。</w:t>
      </w:r>
    </w:p>
    <w:p w14:paraId="7FC86BD6">
      <w:pPr>
        <w:ind w:firstLine="565" w:firstLineChars="202"/>
        <w:rPr>
          <w:rFonts w:ascii="楷体" w:hAnsi="楷体" w:eastAsia="楷体"/>
          <w:w w:val="100"/>
          <w:sz w:val="28"/>
          <w:szCs w:val="28"/>
        </w:rPr>
      </w:pPr>
      <w:r>
        <w:rPr>
          <w:rFonts w:ascii="楷体" w:hAnsi="楷体" w:eastAsia="楷体"/>
          <w:w w:val="100"/>
          <w:sz w:val="28"/>
          <w:szCs w:val="28"/>
        </w:rPr>
        <w:t>在预算执行方面，建立了动态监控机制，定期对预算执行情况进行跟踪分析。每月初对上月的预算执行进度进行详细梳理，针对执行进度缓慢的项目，及时查找原因并采取有效措施加以推进，确保各项预算按计划有序执行。</w:t>
      </w:r>
    </w:p>
    <w:p w14:paraId="534D9E65">
      <w:pPr>
        <w:ind w:firstLine="565" w:firstLineChars="202"/>
        <w:rPr>
          <w:rFonts w:ascii="楷体" w:hAnsi="楷体" w:eastAsia="楷体"/>
          <w:w w:val="100"/>
          <w:sz w:val="28"/>
          <w:szCs w:val="28"/>
        </w:rPr>
      </w:pPr>
      <w:r>
        <w:rPr>
          <w:rFonts w:ascii="楷体" w:hAnsi="楷体" w:eastAsia="楷体"/>
          <w:w w:val="100"/>
          <w:sz w:val="28"/>
          <w:szCs w:val="28"/>
        </w:rPr>
        <w:t>在资金使用上，始终坚持“专款专用、合理支出”的原则，严格把控资金流向，确保每一笔资金都能精准投入到教育教学相关工作中。对于重大项目资金的使用，实行严格的审批制度和监督机制，确保资金使用的安全性和有效性。</w:t>
      </w:r>
    </w:p>
    <w:p w14:paraId="264C9F06">
      <w:pPr>
        <w:ind w:firstLine="565" w:firstLineChars="202"/>
        <w:rPr>
          <w:rFonts w:ascii="楷体" w:hAnsi="楷体" w:eastAsia="楷体"/>
          <w:w w:val="100"/>
          <w:sz w:val="28"/>
          <w:szCs w:val="28"/>
        </w:rPr>
      </w:pPr>
      <w:r>
        <w:rPr>
          <w:rFonts w:ascii="楷体" w:hAnsi="楷体" w:eastAsia="楷体"/>
          <w:w w:val="100"/>
          <w:sz w:val="28"/>
          <w:szCs w:val="28"/>
        </w:rPr>
        <w:t>在预算管理方面，进一步完善了预算管理制度，明确了各部门在预算编制、执行和监督过程中的职责分工。同时，加强了预算管理的信息化建设，通过运用财务管理软件，实现了预算编制、执行、监控和分析的信息化、规范化管理，提高了预算管理的效率和精度。</w:t>
      </w:r>
    </w:p>
    <w:p w14:paraId="0DB63366">
      <w:pPr>
        <w:pStyle w:val="9"/>
        <w:widowControl/>
        <w:spacing w:beforeAutospacing="0" w:after="50" w:afterAutospacing="0"/>
        <w:ind w:firstLine="565" w:firstLineChars="202"/>
        <w:jc w:val="both"/>
        <w:rPr>
          <w:rFonts w:ascii="楷体" w:hAnsi="楷体" w:eastAsia="楷体"/>
          <w:sz w:val="28"/>
          <w:szCs w:val="28"/>
        </w:rPr>
      </w:pPr>
      <w:r>
        <w:rPr>
          <w:rFonts w:hint="eastAsia" w:ascii="楷体" w:hAnsi="楷体" w:eastAsia="楷体" w:cstheme="minorBidi"/>
          <w:kern w:val="2"/>
          <w:sz w:val="28"/>
          <w:szCs w:val="28"/>
        </w:rPr>
        <w:t>2023年，我局部门年初预算支出</w:t>
      </w:r>
      <w:r>
        <w:rPr>
          <w:rFonts w:ascii="楷体" w:hAnsi="楷体" w:eastAsia="楷体" w:cstheme="minorBidi"/>
          <w:kern w:val="2"/>
          <w:sz w:val="28"/>
          <w:szCs w:val="28"/>
        </w:rPr>
        <w:t>3317</w:t>
      </w:r>
      <w:r>
        <w:rPr>
          <w:rFonts w:hint="eastAsia" w:ascii="楷体" w:hAnsi="楷体" w:eastAsia="楷体" w:cstheme="minorBidi"/>
          <w:kern w:val="2"/>
          <w:sz w:val="28"/>
          <w:szCs w:val="28"/>
        </w:rPr>
        <w:t>.</w:t>
      </w:r>
      <w:r>
        <w:rPr>
          <w:rFonts w:ascii="楷体" w:hAnsi="楷体" w:eastAsia="楷体" w:cstheme="minorBidi"/>
          <w:kern w:val="2"/>
          <w:sz w:val="28"/>
          <w:szCs w:val="28"/>
        </w:rPr>
        <w:t>6</w:t>
      </w:r>
      <w:r>
        <w:rPr>
          <w:rFonts w:hint="eastAsia" w:ascii="楷体" w:hAnsi="楷体" w:eastAsia="楷体" w:cstheme="minorBidi"/>
          <w:kern w:val="2"/>
          <w:sz w:val="28"/>
          <w:szCs w:val="28"/>
        </w:rPr>
        <w:t>5万元，其中基本支出</w:t>
      </w:r>
      <w:r>
        <w:rPr>
          <w:rFonts w:ascii="楷体" w:hAnsi="楷体" w:eastAsia="楷体" w:cstheme="minorBidi"/>
          <w:kern w:val="2"/>
          <w:sz w:val="28"/>
          <w:szCs w:val="28"/>
        </w:rPr>
        <w:t>2939</w:t>
      </w:r>
      <w:r>
        <w:rPr>
          <w:rFonts w:hint="eastAsia" w:ascii="楷体" w:hAnsi="楷体" w:eastAsia="楷体" w:cstheme="minorBidi"/>
          <w:kern w:val="2"/>
          <w:sz w:val="28"/>
          <w:szCs w:val="28"/>
        </w:rPr>
        <w:t>.</w:t>
      </w:r>
      <w:r>
        <w:rPr>
          <w:rFonts w:ascii="楷体" w:hAnsi="楷体" w:eastAsia="楷体" w:cstheme="minorBidi"/>
          <w:kern w:val="2"/>
          <w:sz w:val="28"/>
          <w:szCs w:val="28"/>
        </w:rPr>
        <w:t>3</w:t>
      </w:r>
      <w:r>
        <w:rPr>
          <w:rFonts w:hint="eastAsia" w:ascii="楷体" w:hAnsi="楷体" w:eastAsia="楷体" w:cstheme="minorBidi"/>
          <w:kern w:val="2"/>
          <w:sz w:val="28"/>
          <w:szCs w:val="28"/>
        </w:rPr>
        <w:t>5万元，项目支出</w:t>
      </w:r>
      <w:r>
        <w:rPr>
          <w:rFonts w:ascii="楷体" w:hAnsi="楷体" w:eastAsia="楷体" w:cstheme="minorBidi"/>
          <w:kern w:val="2"/>
          <w:sz w:val="28"/>
          <w:szCs w:val="28"/>
        </w:rPr>
        <w:t>378</w:t>
      </w:r>
      <w:r>
        <w:rPr>
          <w:rFonts w:hint="eastAsia" w:ascii="楷体" w:hAnsi="楷体" w:eastAsia="楷体" w:cstheme="minorBidi"/>
          <w:kern w:val="2"/>
          <w:sz w:val="28"/>
          <w:szCs w:val="28"/>
        </w:rPr>
        <w:t>.</w:t>
      </w:r>
      <w:r>
        <w:rPr>
          <w:rFonts w:ascii="楷体" w:hAnsi="楷体" w:eastAsia="楷体" w:cstheme="minorBidi"/>
          <w:kern w:val="2"/>
          <w:sz w:val="28"/>
          <w:szCs w:val="28"/>
        </w:rPr>
        <w:t>30</w:t>
      </w:r>
      <w:r>
        <w:rPr>
          <w:rFonts w:hint="eastAsia" w:ascii="楷体" w:hAnsi="楷体" w:eastAsia="楷体" w:cstheme="minorBidi"/>
          <w:kern w:val="2"/>
          <w:sz w:val="28"/>
          <w:szCs w:val="28"/>
        </w:rPr>
        <w:t>万元。全年预算数</w:t>
      </w:r>
      <w:r>
        <w:rPr>
          <w:rFonts w:ascii="楷体" w:hAnsi="楷体" w:eastAsia="楷体" w:cstheme="minorBidi"/>
          <w:kern w:val="2"/>
          <w:sz w:val="28"/>
          <w:szCs w:val="28"/>
        </w:rPr>
        <w:t>6978</w:t>
      </w:r>
      <w:r>
        <w:rPr>
          <w:rFonts w:hint="eastAsia" w:ascii="楷体" w:hAnsi="楷体" w:eastAsia="楷体" w:cstheme="minorBidi"/>
          <w:kern w:val="2"/>
          <w:sz w:val="28"/>
          <w:szCs w:val="28"/>
        </w:rPr>
        <w:t>.</w:t>
      </w:r>
      <w:r>
        <w:rPr>
          <w:rFonts w:ascii="楷体" w:hAnsi="楷体" w:eastAsia="楷体" w:cstheme="minorBidi"/>
          <w:kern w:val="2"/>
          <w:sz w:val="28"/>
          <w:szCs w:val="28"/>
        </w:rPr>
        <w:t>9</w:t>
      </w:r>
      <w:r>
        <w:rPr>
          <w:rFonts w:hint="eastAsia" w:ascii="楷体" w:hAnsi="楷体" w:eastAsia="楷体" w:cstheme="minorBidi"/>
          <w:kern w:val="2"/>
          <w:sz w:val="28"/>
          <w:szCs w:val="28"/>
        </w:rPr>
        <w:t>9万元。部门年度总支出</w:t>
      </w:r>
      <w:r>
        <w:rPr>
          <w:rFonts w:ascii="楷体" w:hAnsi="楷体" w:eastAsia="楷体" w:cstheme="minorBidi"/>
          <w:kern w:val="2"/>
          <w:sz w:val="28"/>
          <w:szCs w:val="28"/>
        </w:rPr>
        <w:t>6978</w:t>
      </w:r>
      <w:r>
        <w:rPr>
          <w:rFonts w:hint="eastAsia" w:ascii="楷体" w:hAnsi="楷体" w:eastAsia="楷体" w:cstheme="minorBidi"/>
          <w:kern w:val="2"/>
          <w:sz w:val="28"/>
          <w:szCs w:val="28"/>
        </w:rPr>
        <w:t>.</w:t>
      </w:r>
      <w:r>
        <w:rPr>
          <w:rFonts w:ascii="楷体" w:hAnsi="楷体" w:eastAsia="楷体" w:cstheme="minorBidi"/>
          <w:kern w:val="2"/>
          <w:sz w:val="28"/>
          <w:szCs w:val="28"/>
        </w:rPr>
        <w:t>9</w:t>
      </w:r>
      <w:r>
        <w:rPr>
          <w:rFonts w:hint="eastAsia" w:ascii="楷体" w:hAnsi="楷体" w:eastAsia="楷体" w:cstheme="minorBidi"/>
          <w:kern w:val="2"/>
          <w:sz w:val="28"/>
          <w:szCs w:val="28"/>
        </w:rPr>
        <w:t>9万元，其中基本支出</w:t>
      </w:r>
      <w:r>
        <w:rPr>
          <w:rFonts w:ascii="楷体" w:hAnsi="楷体" w:eastAsia="楷体" w:cstheme="minorBidi"/>
          <w:kern w:val="2"/>
          <w:sz w:val="28"/>
          <w:szCs w:val="28"/>
        </w:rPr>
        <w:t>3507</w:t>
      </w:r>
      <w:r>
        <w:rPr>
          <w:rFonts w:hint="eastAsia" w:ascii="楷体" w:hAnsi="楷体" w:eastAsia="楷体" w:cstheme="minorBidi"/>
          <w:kern w:val="2"/>
          <w:sz w:val="28"/>
          <w:szCs w:val="28"/>
        </w:rPr>
        <w:t>.</w:t>
      </w:r>
      <w:r>
        <w:rPr>
          <w:rFonts w:ascii="楷体" w:hAnsi="楷体" w:eastAsia="楷体" w:cstheme="minorBidi"/>
          <w:kern w:val="2"/>
          <w:sz w:val="28"/>
          <w:szCs w:val="28"/>
        </w:rPr>
        <w:t>8</w:t>
      </w:r>
      <w:r>
        <w:rPr>
          <w:rFonts w:hint="eastAsia" w:ascii="楷体" w:hAnsi="楷体" w:eastAsia="楷体" w:cstheme="minorBidi"/>
          <w:kern w:val="2"/>
          <w:sz w:val="28"/>
          <w:szCs w:val="28"/>
        </w:rPr>
        <w:t>7万元，项目支出</w:t>
      </w:r>
      <w:r>
        <w:rPr>
          <w:rFonts w:ascii="楷体" w:hAnsi="楷体" w:eastAsia="楷体" w:cstheme="minorBidi"/>
          <w:kern w:val="2"/>
          <w:sz w:val="28"/>
          <w:szCs w:val="28"/>
        </w:rPr>
        <w:t>3471</w:t>
      </w:r>
      <w:r>
        <w:rPr>
          <w:rFonts w:hint="eastAsia" w:ascii="楷体" w:hAnsi="楷体" w:eastAsia="楷体" w:cstheme="minorBidi"/>
          <w:kern w:val="2"/>
          <w:sz w:val="28"/>
          <w:szCs w:val="28"/>
        </w:rPr>
        <w:t>.</w:t>
      </w:r>
      <w:r>
        <w:rPr>
          <w:rFonts w:ascii="楷体" w:hAnsi="楷体" w:eastAsia="楷体" w:cstheme="minorBidi"/>
          <w:kern w:val="2"/>
          <w:sz w:val="28"/>
          <w:szCs w:val="28"/>
        </w:rPr>
        <w:t>1</w:t>
      </w:r>
      <w:r>
        <w:rPr>
          <w:rFonts w:hint="eastAsia" w:ascii="楷体" w:hAnsi="楷体" w:eastAsia="楷体" w:cstheme="minorBidi"/>
          <w:kern w:val="2"/>
          <w:sz w:val="28"/>
          <w:szCs w:val="28"/>
        </w:rPr>
        <w:t>2万元。基本支出中用于工资福利的支出</w:t>
      </w:r>
      <w:r>
        <w:rPr>
          <w:rFonts w:ascii="楷体" w:hAnsi="楷体" w:eastAsia="楷体" w:cstheme="minorBidi"/>
          <w:kern w:val="2"/>
          <w:sz w:val="28"/>
          <w:szCs w:val="28"/>
        </w:rPr>
        <w:t>1733</w:t>
      </w:r>
      <w:r>
        <w:rPr>
          <w:rFonts w:hint="eastAsia" w:ascii="楷体" w:hAnsi="楷体" w:eastAsia="楷体" w:cstheme="minorBidi"/>
          <w:kern w:val="2"/>
          <w:sz w:val="28"/>
          <w:szCs w:val="28"/>
        </w:rPr>
        <w:t>.</w:t>
      </w:r>
      <w:r>
        <w:rPr>
          <w:rFonts w:ascii="楷体" w:hAnsi="楷体" w:eastAsia="楷体" w:cstheme="minorBidi"/>
          <w:kern w:val="2"/>
          <w:sz w:val="28"/>
          <w:szCs w:val="28"/>
        </w:rPr>
        <w:t>8</w:t>
      </w:r>
      <w:r>
        <w:rPr>
          <w:rFonts w:hint="eastAsia" w:ascii="楷体" w:hAnsi="楷体" w:eastAsia="楷体" w:cstheme="minorBidi"/>
          <w:kern w:val="2"/>
          <w:sz w:val="28"/>
          <w:szCs w:val="28"/>
        </w:rPr>
        <w:t>2万元，商品和服务支出</w:t>
      </w:r>
      <w:r>
        <w:rPr>
          <w:rFonts w:ascii="楷体" w:hAnsi="楷体" w:eastAsia="楷体" w:cstheme="minorBidi"/>
          <w:kern w:val="2"/>
          <w:sz w:val="28"/>
          <w:szCs w:val="28"/>
        </w:rPr>
        <w:t>1480</w:t>
      </w:r>
      <w:r>
        <w:rPr>
          <w:rFonts w:hint="eastAsia" w:ascii="楷体" w:hAnsi="楷体" w:eastAsia="楷体" w:cstheme="minorBidi"/>
          <w:kern w:val="2"/>
          <w:sz w:val="28"/>
          <w:szCs w:val="28"/>
        </w:rPr>
        <w:t>.</w:t>
      </w:r>
      <w:r>
        <w:rPr>
          <w:rFonts w:ascii="楷体" w:hAnsi="楷体" w:eastAsia="楷体" w:cstheme="minorBidi"/>
          <w:kern w:val="2"/>
          <w:sz w:val="28"/>
          <w:szCs w:val="28"/>
        </w:rPr>
        <w:t>94</w:t>
      </w:r>
      <w:r>
        <w:rPr>
          <w:rFonts w:hint="eastAsia" w:ascii="楷体" w:hAnsi="楷体" w:eastAsia="楷体" w:cstheme="minorBidi"/>
          <w:kern w:val="2"/>
          <w:sz w:val="28"/>
          <w:szCs w:val="28"/>
        </w:rPr>
        <w:t>万元，对个人和家庭的补助支出</w:t>
      </w:r>
      <w:r>
        <w:rPr>
          <w:rFonts w:ascii="楷体" w:hAnsi="楷体" w:eastAsia="楷体" w:cstheme="minorBidi"/>
          <w:kern w:val="2"/>
          <w:sz w:val="28"/>
          <w:szCs w:val="28"/>
        </w:rPr>
        <w:t>233</w:t>
      </w:r>
      <w:r>
        <w:rPr>
          <w:rFonts w:hint="eastAsia" w:ascii="楷体" w:hAnsi="楷体" w:eastAsia="楷体" w:cstheme="minorBidi"/>
          <w:kern w:val="2"/>
          <w:sz w:val="28"/>
          <w:szCs w:val="28"/>
        </w:rPr>
        <w:t>.</w:t>
      </w:r>
      <w:r>
        <w:rPr>
          <w:rFonts w:ascii="楷体" w:hAnsi="楷体" w:eastAsia="楷体" w:cstheme="minorBidi"/>
          <w:kern w:val="2"/>
          <w:sz w:val="28"/>
          <w:szCs w:val="28"/>
        </w:rPr>
        <w:t>5</w:t>
      </w:r>
      <w:r>
        <w:rPr>
          <w:rFonts w:hint="eastAsia" w:ascii="楷体" w:hAnsi="楷体" w:eastAsia="楷体" w:cstheme="minorBidi"/>
          <w:kern w:val="2"/>
          <w:sz w:val="28"/>
          <w:szCs w:val="28"/>
        </w:rPr>
        <w:t>2万元，资本性支出59.59万元。项目支出中用于工资福利支出</w:t>
      </w:r>
      <w:r>
        <w:rPr>
          <w:rFonts w:ascii="楷体" w:hAnsi="楷体" w:eastAsia="楷体" w:cstheme="minorBidi"/>
          <w:kern w:val="2"/>
          <w:sz w:val="28"/>
          <w:szCs w:val="28"/>
        </w:rPr>
        <w:t>15</w:t>
      </w:r>
      <w:r>
        <w:rPr>
          <w:rFonts w:hint="eastAsia" w:ascii="楷体" w:hAnsi="楷体" w:eastAsia="楷体" w:cstheme="minorBidi"/>
          <w:kern w:val="2"/>
          <w:sz w:val="28"/>
          <w:szCs w:val="28"/>
        </w:rPr>
        <w:t>.</w:t>
      </w:r>
      <w:r>
        <w:rPr>
          <w:rFonts w:ascii="楷体" w:hAnsi="楷体" w:eastAsia="楷体" w:cstheme="minorBidi"/>
          <w:kern w:val="2"/>
          <w:sz w:val="28"/>
          <w:szCs w:val="28"/>
        </w:rPr>
        <w:t>94</w:t>
      </w:r>
      <w:r>
        <w:rPr>
          <w:rFonts w:hint="eastAsia" w:ascii="楷体" w:hAnsi="楷体" w:eastAsia="楷体" w:cstheme="minorBidi"/>
          <w:kern w:val="2"/>
          <w:sz w:val="28"/>
          <w:szCs w:val="28"/>
        </w:rPr>
        <w:t>万元，商品和服务支出</w:t>
      </w:r>
      <w:r>
        <w:rPr>
          <w:rFonts w:ascii="楷体" w:hAnsi="楷体" w:eastAsia="楷体" w:cstheme="minorBidi"/>
          <w:kern w:val="2"/>
          <w:sz w:val="28"/>
          <w:szCs w:val="28"/>
        </w:rPr>
        <w:t>566</w:t>
      </w:r>
      <w:r>
        <w:rPr>
          <w:rFonts w:hint="eastAsia" w:ascii="楷体" w:hAnsi="楷体" w:eastAsia="楷体" w:cstheme="minorBidi"/>
          <w:kern w:val="2"/>
          <w:sz w:val="28"/>
          <w:szCs w:val="28"/>
        </w:rPr>
        <w:t>.</w:t>
      </w:r>
      <w:r>
        <w:rPr>
          <w:rFonts w:ascii="楷体" w:hAnsi="楷体" w:eastAsia="楷体" w:cstheme="minorBidi"/>
          <w:kern w:val="2"/>
          <w:sz w:val="28"/>
          <w:szCs w:val="28"/>
        </w:rPr>
        <w:t>4</w:t>
      </w:r>
      <w:r>
        <w:rPr>
          <w:rFonts w:hint="eastAsia" w:ascii="楷体" w:hAnsi="楷体" w:eastAsia="楷体" w:cstheme="minorBidi"/>
          <w:kern w:val="2"/>
          <w:sz w:val="28"/>
          <w:szCs w:val="28"/>
        </w:rPr>
        <w:t>3万元，对个人和家庭的补助支出</w:t>
      </w:r>
      <w:r>
        <w:rPr>
          <w:rFonts w:ascii="楷体" w:hAnsi="楷体" w:eastAsia="楷体" w:cstheme="minorBidi"/>
          <w:kern w:val="2"/>
          <w:sz w:val="28"/>
          <w:szCs w:val="28"/>
        </w:rPr>
        <w:t>2862</w:t>
      </w:r>
      <w:r>
        <w:rPr>
          <w:rFonts w:hint="eastAsia" w:ascii="楷体" w:hAnsi="楷体" w:eastAsia="楷体" w:cstheme="minorBidi"/>
          <w:kern w:val="2"/>
          <w:sz w:val="28"/>
          <w:szCs w:val="28"/>
        </w:rPr>
        <w:t>.60万元，资本性支出</w:t>
      </w:r>
      <w:r>
        <w:rPr>
          <w:rFonts w:ascii="楷体" w:hAnsi="楷体" w:eastAsia="楷体" w:cstheme="minorBidi"/>
          <w:kern w:val="2"/>
          <w:sz w:val="28"/>
          <w:szCs w:val="28"/>
        </w:rPr>
        <w:t>26</w:t>
      </w:r>
      <w:r>
        <w:rPr>
          <w:rFonts w:hint="eastAsia" w:ascii="楷体" w:hAnsi="楷体" w:eastAsia="楷体" w:cstheme="minorBidi"/>
          <w:kern w:val="2"/>
          <w:sz w:val="28"/>
          <w:szCs w:val="28"/>
        </w:rPr>
        <w:t>.</w:t>
      </w:r>
      <w:r>
        <w:rPr>
          <w:rFonts w:ascii="楷体" w:hAnsi="楷体" w:eastAsia="楷体" w:cstheme="minorBidi"/>
          <w:kern w:val="2"/>
          <w:sz w:val="28"/>
          <w:szCs w:val="28"/>
        </w:rPr>
        <w:t>15</w:t>
      </w:r>
      <w:r>
        <w:rPr>
          <w:rFonts w:hint="eastAsia" w:ascii="楷体" w:hAnsi="楷体" w:eastAsia="楷体" w:cstheme="minorBidi"/>
          <w:kern w:val="2"/>
          <w:sz w:val="28"/>
          <w:szCs w:val="28"/>
        </w:rPr>
        <w:t>万元。</w:t>
      </w:r>
    </w:p>
    <w:p w14:paraId="604A0A6B">
      <w:pPr>
        <w:ind w:firstLine="565" w:firstLineChars="202"/>
        <w:rPr>
          <w:rFonts w:ascii="楷体" w:hAnsi="楷体" w:eastAsia="楷体"/>
          <w:w w:val="100"/>
          <w:sz w:val="28"/>
          <w:szCs w:val="28"/>
        </w:rPr>
      </w:pPr>
      <w:r>
        <w:rPr>
          <w:rFonts w:ascii="楷体" w:hAnsi="楷体" w:eastAsia="楷体"/>
          <w:w w:val="100"/>
          <w:sz w:val="28"/>
          <w:szCs w:val="28"/>
        </w:rPr>
        <w:t>（二）部门预算执行情况</w:t>
      </w:r>
    </w:p>
    <w:p w14:paraId="1877D03D">
      <w:pPr>
        <w:ind w:firstLine="565" w:firstLineChars="202"/>
        <w:rPr>
          <w:rFonts w:ascii="仿宋" w:hAnsi="仿宋" w:eastAsia="仿宋"/>
          <w:w w:val="100"/>
          <w:sz w:val="28"/>
          <w:szCs w:val="28"/>
        </w:rPr>
      </w:pPr>
      <w:r>
        <w:rPr>
          <w:rFonts w:ascii="仿宋" w:hAnsi="仿宋" w:eastAsia="仿宋"/>
          <w:w w:val="100"/>
          <w:sz w:val="28"/>
          <w:szCs w:val="28"/>
        </w:rPr>
        <w:t>1.基本支出情况</w:t>
      </w:r>
    </w:p>
    <w:p w14:paraId="29EEA3C4">
      <w:pPr>
        <w:widowControl/>
        <w:shd w:val="clear" w:color="auto" w:fill="FFFFFF"/>
        <w:ind w:firstLine="643"/>
        <w:rPr>
          <w:rFonts w:ascii="仿宋" w:hAnsi="仿宋" w:eastAsia="仿宋"/>
          <w:w w:val="100"/>
          <w:sz w:val="28"/>
          <w:szCs w:val="28"/>
        </w:rPr>
      </w:pPr>
      <w:r>
        <w:rPr>
          <w:rFonts w:hint="eastAsia" w:ascii="仿宋" w:hAnsi="仿宋" w:eastAsia="仿宋"/>
          <w:w w:val="100"/>
          <w:sz w:val="28"/>
          <w:szCs w:val="28"/>
        </w:rPr>
        <w:t>2023年，部门基本支出</w:t>
      </w:r>
      <w:r>
        <w:rPr>
          <w:rFonts w:ascii="仿宋" w:hAnsi="仿宋" w:eastAsia="仿宋"/>
          <w:w w:val="100"/>
          <w:sz w:val="28"/>
          <w:szCs w:val="28"/>
        </w:rPr>
        <w:t>3507</w:t>
      </w:r>
      <w:r>
        <w:rPr>
          <w:rFonts w:hint="eastAsia" w:ascii="仿宋" w:hAnsi="仿宋" w:eastAsia="仿宋"/>
          <w:w w:val="100"/>
          <w:sz w:val="28"/>
          <w:szCs w:val="28"/>
        </w:rPr>
        <w:t>.</w:t>
      </w:r>
      <w:r>
        <w:rPr>
          <w:rFonts w:ascii="仿宋" w:hAnsi="仿宋" w:eastAsia="仿宋"/>
          <w:w w:val="100"/>
          <w:sz w:val="28"/>
          <w:szCs w:val="28"/>
        </w:rPr>
        <w:t>8</w:t>
      </w:r>
      <w:r>
        <w:rPr>
          <w:rFonts w:hint="eastAsia" w:ascii="仿宋" w:hAnsi="仿宋" w:eastAsia="仿宋"/>
          <w:w w:val="100"/>
          <w:sz w:val="28"/>
          <w:szCs w:val="28"/>
        </w:rPr>
        <w:t>7万元，包括：①人员经费</w:t>
      </w:r>
      <w:r>
        <w:rPr>
          <w:rFonts w:ascii="仿宋" w:hAnsi="仿宋" w:eastAsia="仿宋"/>
          <w:w w:val="100"/>
          <w:sz w:val="28"/>
          <w:szCs w:val="28"/>
        </w:rPr>
        <w:t>1733</w:t>
      </w:r>
      <w:r>
        <w:rPr>
          <w:rFonts w:hint="eastAsia" w:ascii="仿宋" w:hAnsi="仿宋" w:eastAsia="仿宋"/>
          <w:w w:val="100"/>
          <w:sz w:val="28"/>
          <w:szCs w:val="28"/>
        </w:rPr>
        <w:t>.</w:t>
      </w:r>
      <w:r>
        <w:rPr>
          <w:rFonts w:ascii="仿宋" w:hAnsi="仿宋" w:eastAsia="仿宋"/>
          <w:w w:val="100"/>
          <w:sz w:val="28"/>
          <w:szCs w:val="28"/>
        </w:rPr>
        <w:t>8</w:t>
      </w:r>
      <w:r>
        <w:rPr>
          <w:rFonts w:hint="eastAsia" w:ascii="仿宋" w:hAnsi="仿宋" w:eastAsia="仿宋"/>
          <w:w w:val="100"/>
          <w:sz w:val="28"/>
          <w:szCs w:val="28"/>
        </w:rPr>
        <w:t>2万元，其中基本工资</w:t>
      </w:r>
      <w:r>
        <w:rPr>
          <w:rFonts w:ascii="仿宋" w:hAnsi="仿宋" w:eastAsia="仿宋"/>
          <w:w w:val="100"/>
          <w:sz w:val="28"/>
          <w:szCs w:val="28"/>
        </w:rPr>
        <w:t>651.08万元、</w:t>
      </w:r>
      <w:r>
        <w:rPr>
          <w:rFonts w:hint="eastAsia" w:ascii="仿宋" w:hAnsi="仿宋" w:eastAsia="仿宋"/>
          <w:w w:val="100"/>
          <w:sz w:val="28"/>
          <w:szCs w:val="28"/>
        </w:rPr>
        <w:t>津贴补贴</w:t>
      </w:r>
      <w:r>
        <w:rPr>
          <w:rFonts w:ascii="仿宋" w:hAnsi="仿宋" w:eastAsia="仿宋"/>
          <w:w w:val="100"/>
          <w:sz w:val="28"/>
          <w:szCs w:val="28"/>
        </w:rPr>
        <w:t>593.19万元、</w:t>
      </w:r>
      <w:r>
        <w:rPr>
          <w:rFonts w:hint="eastAsia" w:ascii="仿宋" w:hAnsi="仿宋" w:eastAsia="仿宋"/>
          <w:w w:val="100"/>
          <w:sz w:val="28"/>
          <w:szCs w:val="28"/>
        </w:rPr>
        <w:t>奖金</w:t>
      </w:r>
      <w:r>
        <w:rPr>
          <w:rFonts w:ascii="仿宋" w:hAnsi="仿宋" w:eastAsia="仿宋"/>
          <w:w w:val="100"/>
          <w:sz w:val="28"/>
          <w:szCs w:val="28"/>
        </w:rPr>
        <w:t>93.12万元、</w:t>
      </w:r>
      <w:r>
        <w:rPr>
          <w:rFonts w:hint="eastAsia" w:ascii="仿宋" w:hAnsi="仿宋" w:eastAsia="仿宋"/>
          <w:w w:val="100"/>
          <w:sz w:val="28"/>
          <w:szCs w:val="28"/>
        </w:rPr>
        <w:t>机关事业单位基本养老保险缴费</w:t>
      </w:r>
      <w:r>
        <w:rPr>
          <w:rFonts w:ascii="仿宋" w:hAnsi="仿宋" w:eastAsia="仿宋"/>
          <w:w w:val="100"/>
          <w:sz w:val="28"/>
          <w:szCs w:val="28"/>
        </w:rPr>
        <w:t>189.77万元、</w:t>
      </w:r>
      <w:r>
        <w:rPr>
          <w:rFonts w:hint="eastAsia" w:ascii="仿宋" w:hAnsi="仿宋" w:eastAsia="仿宋"/>
          <w:w w:val="100"/>
          <w:sz w:val="28"/>
          <w:szCs w:val="28"/>
        </w:rPr>
        <w:t>职业年金缴费</w:t>
      </w:r>
      <w:r>
        <w:rPr>
          <w:rFonts w:ascii="仿宋" w:hAnsi="仿宋" w:eastAsia="仿宋"/>
          <w:w w:val="100"/>
          <w:sz w:val="28"/>
          <w:szCs w:val="28"/>
        </w:rPr>
        <w:t>0.22万元、</w:t>
      </w:r>
      <w:r>
        <w:rPr>
          <w:rFonts w:hint="eastAsia" w:ascii="仿宋" w:hAnsi="仿宋" w:eastAsia="仿宋"/>
          <w:w w:val="100"/>
          <w:sz w:val="28"/>
          <w:szCs w:val="28"/>
        </w:rPr>
        <w:t>职工基本医疗保险缴费</w:t>
      </w:r>
      <w:r>
        <w:rPr>
          <w:rFonts w:ascii="仿宋" w:hAnsi="仿宋" w:eastAsia="仿宋"/>
          <w:w w:val="100"/>
          <w:sz w:val="28"/>
          <w:szCs w:val="28"/>
        </w:rPr>
        <w:t>185.37万元、</w:t>
      </w:r>
      <w:r>
        <w:rPr>
          <w:rFonts w:hint="eastAsia" w:ascii="仿宋" w:hAnsi="仿宋" w:eastAsia="仿宋"/>
          <w:w w:val="100"/>
          <w:sz w:val="28"/>
          <w:szCs w:val="28"/>
        </w:rPr>
        <w:t>其他社会保障缴费</w:t>
      </w:r>
      <w:r>
        <w:rPr>
          <w:rFonts w:ascii="仿宋" w:hAnsi="仿宋" w:eastAsia="仿宋"/>
          <w:w w:val="100"/>
          <w:sz w:val="28"/>
          <w:szCs w:val="28"/>
        </w:rPr>
        <w:t>15.11万元、</w:t>
      </w:r>
      <w:r>
        <w:rPr>
          <w:rFonts w:hint="eastAsia" w:ascii="仿宋" w:hAnsi="仿宋" w:eastAsia="仿宋"/>
          <w:w w:val="100"/>
          <w:sz w:val="28"/>
          <w:szCs w:val="28"/>
        </w:rPr>
        <w:t>其他工资福利支出</w:t>
      </w:r>
      <w:r>
        <w:rPr>
          <w:rFonts w:ascii="仿宋" w:hAnsi="仿宋" w:eastAsia="仿宋"/>
          <w:w w:val="100"/>
          <w:sz w:val="28"/>
          <w:szCs w:val="28"/>
        </w:rPr>
        <w:t>5.96万元</w:t>
      </w:r>
      <w:r>
        <w:rPr>
          <w:rFonts w:hint="eastAsia" w:ascii="仿宋" w:hAnsi="仿宋" w:eastAsia="仿宋"/>
          <w:w w:val="100"/>
          <w:sz w:val="28"/>
          <w:szCs w:val="28"/>
        </w:rPr>
        <w:t>。②公用经费</w:t>
      </w:r>
      <w:r>
        <w:rPr>
          <w:rFonts w:ascii="仿宋" w:hAnsi="仿宋" w:eastAsia="仿宋"/>
          <w:w w:val="100"/>
          <w:sz w:val="28"/>
          <w:szCs w:val="28"/>
        </w:rPr>
        <w:t>1480.94</w:t>
      </w:r>
      <w:r>
        <w:rPr>
          <w:rFonts w:hint="eastAsia" w:ascii="仿宋" w:hAnsi="仿宋" w:eastAsia="仿宋"/>
          <w:w w:val="100"/>
          <w:sz w:val="28"/>
          <w:szCs w:val="28"/>
        </w:rPr>
        <w:t>万元，其中办公费</w:t>
      </w:r>
      <w:r>
        <w:rPr>
          <w:rFonts w:ascii="仿宋" w:hAnsi="仿宋" w:eastAsia="仿宋"/>
          <w:w w:val="100"/>
          <w:sz w:val="28"/>
          <w:szCs w:val="28"/>
        </w:rPr>
        <w:t>27.01万元、</w:t>
      </w:r>
      <w:r>
        <w:rPr>
          <w:rFonts w:hint="eastAsia" w:ascii="仿宋" w:hAnsi="仿宋" w:eastAsia="仿宋"/>
          <w:w w:val="100"/>
          <w:sz w:val="28"/>
          <w:szCs w:val="28"/>
        </w:rPr>
        <w:t>印刷费</w:t>
      </w:r>
      <w:r>
        <w:rPr>
          <w:rFonts w:ascii="仿宋" w:hAnsi="仿宋" w:eastAsia="仿宋"/>
          <w:w w:val="100"/>
          <w:sz w:val="28"/>
          <w:szCs w:val="28"/>
        </w:rPr>
        <w:t>93.33万元、</w:t>
      </w:r>
      <w:r>
        <w:rPr>
          <w:rFonts w:hint="eastAsia" w:ascii="仿宋" w:hAnsi="仿宋" w:eastAsia="仿宋"/>
          <w:w w:val="100"/>
          <w:sz w:val="28"/>
          <w:szCs w:val="28"/>
        </w:rPr>
        <w:t>水费</w:t>
      </w:r>
      <w:r>
        <w:rPr>
          <w:rFonts w:ascii="仿宋" w:hAnsi="仿宋" w:eastAsia="仿宋"/>
          <w:w w:val="100"/>
          <w:sz w:val="28"/>
          <w:szCs w:val="28"/>
        </w:rPr>
        <w:t>6.23万元、</w:t>
      </w:r>
      <w:r>
        <w:rPr>
          <w:rFonts w:hint="eastAsia" w:ascii="仿宋" w:hAnsi="仿宋" w:eastAsia="仿宋"/>
          <w:w w:val="100"/>
          <w:sz w:val="28"/>
          <w:szCs w:val="28"/>
        </w:rPr>
        <w:t>电费</w:t>
      </w:r>
      <w:r>
        <w:rPr>
          <w:rFonts w:ascii="仿宋" w:hAnsi="仿宋" w:eastAsia="仿宋"/>
          <w:w w:val="100"/>
          <w:sz w:val="28"/>
          <w:szCs w:val="28"/>
        </w:rPr>
        <w:t>25.15万元、</w:t>
      </w:r>
      <w:r>
        <w:rPr>
          <w:rFonts w:hint="eastAsia" w:ascii="仿宋" w:hAnsi="仿宋" w:eastAsia="仿宋"/>
          <w:w w:val="100"/>
          <w:sz w:val="28"/>
          <w:szCs w:val="28"/>
        </w:rPr>
        <w:t>邮电费</w:t>
      </w:r>
      <w:r>
        <w:rPr>
          <w:rFonts w:ascii="仿宋" w:hAnsi="仿宋" w:eastAsia="仿宋"/>
          <w:w w:val="100"/>
          <w:sz w:val="28"/>
          <w:szCs w:val="28"/>
        </w:rPr>
        <w:t>10.30万元、</w:t>
      </w:r>
      <w:r>
        <w:rPr>
          <w:rFonts w:hint="eastAsia" w:ascii="仿宋" w:hAnsi="仿宋" w:eastAsia="仿宋"/>
          <w:w w:val="100"/>
          <w:sz w:val="28"/>
          <w:szCs w:val="28"/>
        </w:rPr>
        <w:t>物业管理费</w:t>
      </w:r>
      <w:r>
        <w:rPr>
          <w:rFonts w:ascii="仿宋" w:hAnsi="仿宋" w:eastAsia="仿宋"/>
          <w:w w:val="100"/>
          <w:sz w:val="28"/>
          <w:szCs w:val="28"/>
        </w:rPr>
        <w:t>20.20万元、</w:t>
      </w:r>
      <w:r>
        <w:rPr>
          <w:rFonts w:hint="eastAsia" w:ascii="仿宋" w:hAnsi="仿宋" w:eastAsia="仿宋"/>
          <w:w w:val="100"/>
          <w:sz w:val="28"/>
          <w:szCs w:val="28"/>
        </w:rPr>
        <w:t>差旅费</w:t>
      </w:r>
      <w:r>
        <w:rPr>
          <w:rFonts w:ascii="仿宋" w:hAnsi="仿宋" w:eastAsia="仿宋"/>
          <w:w w:val="100"/>
          <w:sz w:val="28"/>
          <w:szCs w:val="28"/>
        </w:rPr>
        <w:t>96.90万元、</w:t>
      </w:r>
      <w:r>
        <w:rPr>
          <w:rFonts w:hint="eastAsia" w:ascii="仿宋" w:hAnsi="仿宋" w:eastAsia="仿宋"/>
          <w:w w:val="100"/>
          <w:sz w:val="28"/>
          <w:szCs w:val="28"/>
        </w:rPr>
        <w:t>维修（护）费</w:t>
      </w:r>
      <w:r>
        <w:rPr>
          <w:rFonts w:ascii="仿宋" w:hAnsi="仿宋" w:eastAsia="仿宋"/>
          <w:w w:val="100"/>
          <w:sz w:val="28"/>
          <w:szCs w:val="28"/>
        </w:rPr>
        <w:t>75.23万元、</w:t>
      </w:r>
      <w:r>
        <w:rPr>
          <w:rFonts w:hint="eastAsia" w:ascii="仿宋" w:hAnsi="仿宋" w:eastAsia="仿宋"/>
          <w:w w:val="100"/>
          <w:sz w:val="28"/>
          <w:szCs w:val="28"/>
        </w:rPr>
        <w:t>租赁费</w:t>
      </w:r>
      <w:r>
        <w:rPr>
          <w:rFonts w:ascii="仿宋" w:hAnsi="仿宋" w:eastAsia="仿宋"/>
          <w:w w:val="100"/>
          <w:sz w:val="28"/>
          <w:szCs w:val="28"/>
        </w:rPr>
        <w:t>4.03万元、</w:t>
      </w:r>
      <w:r>
        <w:rPr>
          <w:rFonts w:hint="eastAsia" w:ascii="仿宋" w:hAnsi="仿宋" w:eastAsia="仿宋"/>
          <w:w w:val="100"/>
          <w:sz w:val="28"/>
          <w:szCs w:val="28"/>
        </w:rPr>
        <w:t>会议费</w:t>
      </w:r>
      <w:r>
        <w:rPr>
          <w:rFonts w:ascii="仿宋" w:hAnsi="仿宋" w:eastAsia="仿宋"/>
          <w:w w:val="100"/>
          <w:sz w:val="28"/>
          <w:szCs w:val="28"/>
        </w:rPr>
        <w:t>12.63万元、</w:t>
      </w:r>
      <w:r>
        <w:rPr>
          <w:rFonts w:hint="eastAsia" w:ascii="仿宋" w:hAnsi="仿宋" w:eastAsia="仿宋"/>
          <w:w w:val="100"/>
          <w:sz w:val="28"/>
          <w:szCs w:val="28"/>
        </w:rPr>
        <w:t>培训费</w:t>
      </w:r>
      <w:r>
        <w:rPr>
          <w:rFonts w:ascii="仿宋" w:hAnsi="仿宋" w:eastAsia="仿宋"/>
          <w:w w:val="100"/>
          <w:sz w:val="28"/>
          <w:szCs w:val="28"/>
        </w:rPr>
        <w:t>10.57万元、</w:t>
      </w:r>
      <w:r>
        <w:rPr>
          <w:rFonts w:hint="eastAsia" w:ascii="仿宋" w:hAnsi="仿宋" w:eastAsia="仿宋"/>
          <w:w w:val="100"/>
          <w:sz w:val="28"/>
          <w:szCs w:val="28"/>
        </w:rPr>
        <w:t>公务接待费</w:t>
      </w:r>
      <w:r>
        <w:rPr>
          <w:rFonts w:ascii="仿宋" w:hAnsi="仿宋" w:eastAsia="仿宋"/>
          <w:w w:val="100"/>
          <w:sz w:val="28"/>
          <w:szCs w:val="28"/>
        </w:rPr>
        <w:t>1.21万元、</w:t>
      </w:r>
      <w:r>
        <w:rPr>
          <w:rFonts w:hint="eastAsia" w:ascii="仿宋" w:hAnsi="仿宋" w:eastAsia="仿宋"/>
          <w:w w:val="100"/>
          <w:sz w:val="28"/>
          <w:szCs w:val="28"/>
        </w:rPr>
        <w:t>劳务费</w:t>
      </w:r>
      <w:r>
        <w:rPr>
          <w:rFonts w:ascii="仿宋" w:hAnsi="仿宋" w:eastAsia="仿宋"/>
          <w:w w:val="100"/>
          <w:sz w:val="28"/>
          <w:szCs w:val="28"/>
        </w:rPr>
        <w:t>312.13万元、</w:t>
      </w:r>
      <w:r>
        <w:rPr>
          <w:rFonts w:hint="eastAsia" w:ascii="仿宋" w:hAnsi="仿宋" w:eastAsia="仿宋"/>
          <w:w w:val="100"/>
          <w:sz w:val="28"/>
          <w:szCs w:val="28"/>
        </w:rPr>
        <w:t>委托业务费</w:t>
      </w:r>
      <w:r>
        <w:rPr>
          <w:rFonts w:ascii="仿宋" w:hAnsi="仿宋" w:eastAsia="仿宋"/>
          <w:w w:val="100"/>
          <w:sz w:val="28"/>
          <w:szCs w:val="28"/>
        </w:rPr>
        <w:t>364.77万元、</w:t>
      </w:r>
      <w:r>
        <w:rPr>
          <w:rFonts w:hint="eastAsia" w:ascii="仿宋" w:hAnsi="仿宋" w:eastAsia="仿宋"/>
          <w:w w:val="100"/>
          <w:sz w:val="28"/>
          <w:szCs w:val="28"/>
        </w:rPr>
        <w:t>福利费</w:t>
      </w:r>
      <w:r>
        <w:rPr>
          <w:rFonts w:ascii="仿宋" w:hAnsi="仿宋" w:eastAsia="仿宋"/>
          <w:w w:val="100"/>
          <w:sz w:val="28"/>
          <w:szCs w:val="28"/>
        </w:rPr>
        <w:t>59.27万元、</w:t>
      </w:r>
      <w:r>
        <w:rPr>
          <w:rFonts w:hint="eastAsia" w:ascii="仿宋" w:hAnsi="仿宋" w:eastAsia="仿宋"/>
          <w:w w:val="100"/>
          <w:sz w:val="28"/>
          <w:szCs w:val="28"/>
        </w:rPr>
        <w:t>其他交通费用</w:t>
      </w:r>
      <w:r>
        <w:rPr>
          <w:rFonts w:ascii="仿宋" w:hAnsi="仿宋" w:eastAsia="仿宋"/>
          <w:w w:val="100"/>
          <w:sz w:val="28"/>
          <w:szCs w:val="28"/>
        </w:rPr>
        <w:t>77.01万元、</w:t>
      </w:r>
      <w:r>
        <w:rPr>
          <w:rFonts w:hint="eastAsia" w:ascii="仿宋" w:hAnsi="仿宋" w:eastAsia="仿宋"/>
          <w:w w:val="100"/>
          <w:sz w:val="28"/>
          <w:szCs w:val="28"/>
        </w:rPr>
        <w:t>其他商品和服务支出</w:t>
      </w:r>
      <w:r>
        <w:rPr>
          <w:rFonts w:ascii="仿宋" w:hAnsi="仿宋" w:eastAsia="仿宋"/>
          <w:w w:val="100"/>
          <w:sz w:val="28"/>
          <w:szCs w:val="28"/>
        </w:rPr>
        <w:t>284.99万元</w:t>
      </w:r>
      <w:r>
        <w:rPr>
          <w:rFonts w:hint="eastAsia" w:ascii="仿宋" w:hAnsi="仿宋" w:eastAsia="仿宋"/>
          <w:w w:val="100"/>
          <w:sz w:val="28"/>
          <w:szCs w:val="28"/>
        </w:rPr>
        <w:t>。</w:t>
      </w:r>
      <w:r>
        <w:rPr>
          <w:rFonts w:ascii="仿宋" w:hAnsi="仿宋" w:eastAsia="仿宋"/>
          <w:w w:val="100"/>
          <w:sz w:val="28"/>
          <w:szCs w:val="28"/>
        </w:rPr>
        <w:fldChar w:fldCharType="begin"/>
      </w:r>
      <w:r>
        <w:rPr>
          <w:rFonts w:ascii="仿宋" w:hAnsi="仿宋" w:eastAsia="仿宋"/>
          <w:w w:val="100"/>
          <w:sz w:val="28"/>
          <w:szCs w:val="28"/>
        </w:rPr>
        <w:instrText xml:space="preserve"> </w:instrText>
      </w:r>
      <w:r>
        <w:rPr>
          <w:rFonts w:hint="eastAsia" w:ascii="仿宋" w:hAnsi="仿宋" w:eastAsia="仿宋"/>
          <w:w w:val="100"/>
          <w:sz w:val="28"/>
          <w:szCs w:val="28"/>
        </w:rPr>
        <w:instrText xml:space="preserve">eq \o\ac(</w:instrText>
      </w:r>
      <w:r>
        <w:rPr>
          <w:rFonts w:hint="eastAsia" w:ascii="仿宋" w:hAnsi="仿宋" w:eastAsia="仿宋"/>
          <w:w w:val="100"/>
          <w:position w:val="-5"/>
          <w:sz w:val="42"/>
          <w:szCs w:val="28"/>
        </w:rPr>
        <w:instrText xml:space="preserve">○</w:instrText>
      </w:r>
      <w:r>
        <w:rPr>
          <w:rFonts w:hint="eastAsia" w:ascii="仿宋" w:hAnsi="仿宋" w:eastAsia="仿宋"/>
          <w:w w:val="100"/>
          <w:sz w:val="28"/>
          <w:szCs w:val="28"/>
        </w:rPr>
        <w:instrText xml:space="preserve">,3)</w:instrText>
      </w:r>
      <w:r>
        <w:rPr>
          <w:rFonts w:ascii="仿宋" w:hAnsi="仿宋" w:eastAsia="仿宋"/>
          <w:w w:val="100"/>
          <w:sz w:val="28"/>
          <w:szCs w:val="28"/>
        </w:rPr>
        <w:fldChar w:fldCharType="end"/>
      </w:r>
      <w:r>
        <w:rPr>
          <w:rFonts w:hint="eastAsia" w:ascii="仿宋" w:hAnsi="仿宋" w:eastAsia="仿宋"/>
          <w:w w:val="100"/>
          <w:sz w:val="28"/>
          <w:szCs w:val="28"/>
        </w:rPr>
        <w:t>对个人和家庭的补助</w:t>
      </w:r>
      <w:r>
        <w:rPr>
          <w:rFonts w:ascii="仿宋" w:hAnsi="仿宋" w:eastAsia="仿宋"/>
          <w:w w:val="100"/>
          <w:sz w:val="28"/>
          <w:szCs w:val="28"/>
        </w:rPr>
        <w:t>233.5</w:t>
      </w:r>
      <w:r>
        <w:rPr>
          <w:rFonts w:hint="eastAsia" w:ascii="仿宋" w:hAnsi="仿宋" w:eastAsia="仿宋"/>
          <w:w w:val="100"/>
          <w:sz w:val="28"/>
          <w:szCs w:val="28"/>
        </w:rPr>
        <w:t>2</w:t>
      </w:r>
      <w:r>
        <w:rPr>
          <w:rFonts w:ascii="仿宋" w:hAnsi="仿宋" w:eastAsia="仿宋"/>
          <w:w w:val="100"/>
          <w:sz w:val="28"/>
          <w:szCs w:val="28"/>
        </w:rPr>
        <w:t>万元</w:t>
      </w:r>
      <w:r>
        <w:rPr>
          <w:rFonts w:hint="eastAsia" w:ascii="仿宋" w:hAnsi="仿宋" w:eastAsia="仿宋"/>
          <w:w w:val="100"/>
          <w:sz w:val="28"/>
          <w:szCs w:val="28"/>
        </w:rPr>
        <w:t>，其中离休费</w:t>
      </w:r>
      <w:r>
        <w:rPr>
          <w:rFonts w:ascii="仿宋" w:hAnsi="仿宋" w:eastAsia="仿宋"/>
          <w:w w:val="100"/>
          <w:sz w:val="28"/>
          <w:szCs w:val="28"/>
        </w:rPr>
        <w:t>12.98万元、</w:t>
      </w:r>
      <w:r>
        <w:rPr>
          <w:rFonts w:hint="eastAsia" w:ascii="仿宋" w:hAnsi="仿宋" w:eastAsia="仿宋"/>
          <w:w w:val="100"/>
          <w:sz w:val="28"/>
          <w:szCs w:val="28"/>
        </w:rPr>
        <w:t>退休费</w:t>
      </w:r>
      <w:r>
        <w:rPr>
          <w:rFonts w:ascii="仿宋" w:hAnsi="仿宋" w:eastAsia="仿宋"/>
          <w:w w:val="100"/>
          <w:sz w:val="28"/>
          <w:szCs w:val="28"/>
        </w:rPr>
        <w:t>176.82万元、</w:t>
      </w:r>
      <w:r>
        <w:rPr>
          <w:rFonts w:hint="eastAsia" w:ascii="仿宋" w:hAnsi="仿宋" w:eastAsia="仿宋"/>
          <w:w w:val="100"/>
          <w:sz w:val="28"/>
          <w:szCs w:val="28"/>
        </w:rPr>
        <w:t>抚恤金</w:t>
      </w:r>
      <w:r>
        <w:rPr>
          <w:rFonts w:ascii="仿宋" w:hAnsi="仿宋" w:eastAsia="仿宋"/>
          <w:w w:val="100"/>
          <w:sz w:val="28"/>
          <w:szCs w:val="28"/>
        </w:rPr>
        <w:t>2.38万元、</w:t>
      </w:r>
      <w:r>
        <w:rPr>
          <w:rFonts w:hint="eastAsia" w:ascii="仿宋" w:hAnsi="仿宋" w:eastAsia="仿宋"/>
          <w:w w:val="100"/>
          <w:sz w:val="28"/>
          <w:szCs w:val="28"/>
        </w:rPr>
        <w:t>生活补助</w:t>
      </w:r>
      <w:r>
        <w:rPr>
          <w:rFonts w:ascii="仿宋" w:hAnsi="仿宋" w:eastAsia="仿宋"/>
          <w:w w:val="100"/>
          <w:sz w:val="28"/>
          <w:szCs w:val="28"/>
        </w:rPr>
        <w:t>11.93万元、</w:t>
      </w:r>
      <w:r>
        <w:rPr>
          <w:rFonts w:hint="eastAsia" w:ascii="仿宋" w:hAnsi="仿宋" w:eastAsia="仿宋"/>
          <w:w w:val="100"/>
          <w:sz w:val="28"/>
          <w:szCs w:val="28"/>
        </w:rPr>
        <w:t>奖励金</w:t>
      </w:r>
      <w:r>
        <w:rPr>
          <w:rFonts w:ascii="仿宋" w:hAnsi="仿宋" w:eastAsia="仿宋"/>
          <w:w w:val="100"/>
          <w:sz w:val="28"/>
          <w:szCs w:val="28"/>
        </w:rPr>
        <w:t>5.74万元、</w:t>
      </w:r>
      <w:r>
        <w:rPr>
          <w:rFonts w:hint="eastAsia" w:ascii="仿宋" w:hAnsi="仿宋" w:eastAsia="仿宋"/>
          <w:w w:val="100"/>
          <w:sz w:val="28"/>
          <w:szCs w:val="28"/>
        </w:rPr>
        <w:t>其他对个人和家庭的补助</w:t>
      </w:r>
      <w:r>
        <w:rPr>
          <w:rFonts w:ascii="仿宋" w:hAnsi="仿宋" w:eastAsia="仿宋"/>
          <w:w w:val="100"/>
          <w:sz w:val="28"/>
          <w:szCs w:val="28"/>
        </w:rPr>
        <w:t>23.67万元</w:t>
      </w:r>
      <w:r>
        <w:rPr>
          <w:rFonts w:hint="eastAsia" w:ascii="仿宋" w:hAnsi="仿宋" w:eastAsia="仿宋"/>
          <w:w w:val="100"/>
          <w:sz w:val="28"/>
          <w:szCs w:val="28"/>
        </w:rPr>
        <w:t>。</w:t>
      </w:r>
      <w:r>
        <w:rPr>
          <w:rFonts w:ascii="仿宋" w:hAnsi="仿宋" w:eastAsia="仿宋"/>
          <w:w w:val="100"/>
          <w:sz w:val="28"/>
          <w:szCs w:val="28"/>
        </w:rPr>
        <w:fldChar w:fldCharType="begin"/>
      </w:r>
      <w:r>
        <w:rPr>
          <w:rFonts w:ascii="仿宋" w:hAnsi="仿宋" w:eastAsia="仿宋"/>
          <w:w w:val="100"/>
          <w:sz w:val="28"/>
          <w:szCs w:val="28"/>
        </w:rPr>
        <w:instrText xml:space="preserve"> </w:instrText>
      </w:r>
      <w:r>
        <w:rPr>
          <w:rFonts w:hint="eastAsia" w:ascii="仿宋" w:hAnsi="仿宋" w:eastAsia="仿宋"/>
          <w:w w:val="100"/>
          <w:sz w:val="28"/>
          <w:szCs w:val="28"/>
        </w:rPr>
        <w:instrText xml:space="preserve">eq \o\ac(</w:instrText>
      </w:r>
      <w:r>
        <w:rPr>
          <w:rFonts w:hint="eastAsia" w:ascii="仿宋" w:hAnsi="仿宋" w:eastAsia="仿宋"/>
          <w:w w:val="100"/>
          <w:position w:val="-5"/>
          <w:sz w:val="42"/>
          <w:szCs w:val="28"/>
        </w:rPr>
        <w:instrText xml:space="preserve">○</w:instrText>
      </w:r>
      <w:r>
        <w:rPr>
          <w:rFonts w:hint="eastAsia" w:ascii="仿宋" w:hAnsi="仿宋" w:eastAsia="仿宋"/>
          <w:w w:val="100"/>
          <w:sz w:val="28"/>
          <w:szCs w:val="28"/>
        </w:rPr>
        <w:instrText xml:space="preserve">,4)</w:instrText>
      </w:r>
      <w:r>
        <w:rPr>
          <w:rFonts w:ascii="仿宋" w:hAnsi="仿宋" w:eastAsia="仿宋"/>
          <w:w w:val="100"/>
          <w:sz w:val="28"/>
          <w:szCs w:val="28"/>
        </w:rPr>
        <w:fldChar w:fldCharType="end"/>
      </w:r>
      <w:r>
        <w:rPr>
          <w:rFonts w:hint="eastAsia" w:ascii="仿宋" w:hAnsi="仿宋" w:eastAsia="仿宋"/>
          <w:w w:val="100"/>
          <w:sz w:val="28"/>
          <w:szCs w:val="28"/>
        </w:rPr>
        <w:t>资本性支出</w:t>
      </w:r>
      <w:r>
        <w:rPr>
          <w:rFonts w:ascii="仿宋" w:hAnsi="仿宋" w:eastAsia="仿宋"/>
          <w:w w:val="100"/>
          <w:sz w:val="28"/>
          <w:szCs w:val="28"/>
        </w:rPr>
        <w:t>59.5</w:t>
      </w:r>
      <w:r>
        <w:rPr>
          <w:rFonts w:hint="eastAsia" w:ascii="仿宋" w:hAnsi="仿宋" w:eastAsia="仿宋"/>
          <w:w w:val="100"/>
          <w:sz w:val="28"/>
          <w:szCs w:val="28"/>
        </w:rPr>
        <w:t>9</w:t>
      </w:r>
      <w:r>
        <w:rPr>
          <w:rFonts w:ascii="仿宋" w:hAnsi="仿宋" w:eastAsia="仿宋"/>
          <w:w w:val="100"/>
          <w:sz w:val="28"/>
          <w:szCs w:val="28"/>
        </w:rPr>
        <w:t>万元</w:t>
      </w:r>
      <w:r>
        <w:rPr>
          <w:rFonts w:hint="eastAsia" w:ascii="仿宋" w:hAnsi="仿宋" w:eastAsia="仿宋"/>
          <w:w w:val="100"/>
          <w:sz w:val="28"/>
          <w:szCs w:val="28"/>
        </w:rPr>
        <w:t>，其中办公设备购置</w:t>
      </w:r>
      <w:r>
        <w:rPr>
          <w:rFonts w:ascii="仿宋" w:hAnsi="仿宋" w:eastAsia="仿宋"/>
          <w:w w:val="100"/>
          <w:sz w:val="28"/>
          <w:szCs w:val="28"/>
        </w:rPr>
        <w:t>59.5</w:t>
      </w:r>
      <w:r>
        <w:rPr>
          <w:rFonts w:hint="eastAsia" w:ascii="仿宋" w:hAnsi="仿宋" w:eastAsia="仿宋"/>
          <w:w w:val="100"/>
          <w:sz w:val="28"/>
          <w:szCs w:val="28"/>
        </w:rPr>
        <w:t>9</w:t>
      </w:r>
      <w:r>
        <w:rPr>
          <w:rFonts w:ascii="仿宋" w:hAnsi="仿宋" w:eastAsia="仿宋"/>
          <w:w w:val="100"/>
          <w:sz w:val="28"/>
          <w:szCs w:val="28"/>
        </w:rPr>
        <w:t>万元</w:t>
      </w:r>
      <w:r>
        <w:rPr>
          <w:rFonts w:hint="eastAsia" w:ascii="仿宋" w:hAnsi="仿宋" w:eastAsia="仿宋"/>
          <w:w w:val="100"/>
          <w:sz w:val="28"/>
          <w:szCs w:val="28"/>
        </w:rPr>
        <w:t>。</w:t>
      </w:r>
    </w:p>
    <w:p w14:paraId="53A7A97F">
      <w:pPr>
        <w:ind w:firstLine="565" w:firstLineChars="202"/>
        <w:rPr>
          <w:rFonts w:ascii="仿宋" w:hAnsi="仿宋" w:eastAsia="仿宋"/>
          <w:w w:val="100"/>
          <w:sz w:val="28"/>
          <w:szCs w:val="28"/>
        </w:rPr>
      </w:pPr>
      <w:r>
        <w:rPr>
          <w:rFonts w:ascii="仿宋" w:hAnsi="仿宋" w:eastAsia="仿宋"/>
          <w:w w:val="100"/>
          <w:sz w:val="28"/>
          <w:szCs w:val="28"/>
        </w:rPr>
        <w:t>2.项目支出情况</w:t>
      </w:r>
    </w:p>
    <w:p w14:paraId="77A0B199">
      <w:pPr>
        <w:ind w:firstLine="565" w:firstLineChars="202"/>
        <w:rPr>
          <w:rFonts w:ascii="仿宋" w:hAnsi="仿宋" w:eastAsia="仿宋"/>
          <w:w w:val="100"/>
          <w:sz w:val="28"/>
          <w:szCs w:val="28"/>
        </w:rPr>
      </w:pPr>
      <w:r>
        <w:rPr>
          <w:rFonts w:hint="eastAsia" w:ascii="仿宋" w:hAnsi="仿宋" w:eastAsia="仿宋"/>
          <w:w w:val="100"/>
          <w:sz w:val="28"/>
          <w:szCs w:val="28"/>
        </w:rPr>
        <w:t>（1）专项资金安排落实及总投入情况</w:t>
      </w:r>
    </w:p>
    <w:p w14:paraId="6522CC6E">
      <w:pPr>
        <w:ind w:firstLine="708" w:firstLineChars="253"/>
        <w:rPr>
          <w:rFonts w:ascii="仿宋" w:hAnsi="仿宋" w:eastAsia="仿宋"/>
          <w:w w:val="100"/>
          <w:sz w:val="28"/>
          <w:szCs w:val="24"/>
        </w:rPr>
      </w:pPr>
      <w:r>
        <w:rPr>
          <w:rFonts w:ascii="仿宋" w:hAnsi="仿宋" w:eastAsia="仿宋"/>
          <w:w w:val="100"/>
          <w:sz w:val="28"/>
          <w:szCs w:val="24"/>
        </w:rPr>
        <w:t>a.2023年2月13日,市财政局下达</w:t>
      </w:r>
      <w:r>
        <w:rPr>
          <w:rFonts w:ascii="仿宋" w:hAnsi="仿宋" w:eastAsia="仿宋"/>
          <w:w w:val="100"/>
          <w:sz w:val="28"/>
          <w:szCs w:val="24"/>
        </w:rPr>
        <w:tab/>
      </w:r>
      <w:r>
        <w:rPr>
          <w:rFonts w:ascii="仿宋" w:hAnsi="仿宋" w:eastAsia="仿宋"/>
          <w:w w:val="100"/>
          <w:sz w:val="28"/>
          <w:szCs w:val="24"/>
        </w:rPr>
        <w:t>高中助学金,湘财预〔2022〕0291号指标共445.00万元；</w:t>
      </w:r>
    </w:p>
    <w:p w14:paraId="18FF62E3">
      <w:pPr>
        <w:ind w:firstLine="708" w:firstLineChars="253"/>
        <w:rPr>
          <w:rFonts w:ascii="仿宋" w:hAnsi="仿宋" w:eastAsia="仿宋"/>
          <w:w w:val="100"/>
          <w:sz w:val="28"/>
          <w:szCs w:val="24"/>
        </w:rPr>
      </w:pPr>
      <w:r>
        <w:rPr>
          <w:rFonts w:ascii="仿宋" w:hAnsi="仿宋" w:eastAsia="仿宋"/>
          <w:w w:val="100"/>
          <w:sz w:val="28"/>
          <w:szCs w:val="24"/>
        </w:rPr>
        <w:t>b.2023年2月1日,市财政局下达中职奖助学金,湘财预〔2023〕0101号指标共1543.72</w:t>
      </w:r>
      <w:r>
        <w:rPr>
          <w:rFonts w:ascii="仿宋" w:hAnsi="仿宋" w:eastAsia="仿宋"/>
          <w:w w:val="100"/>
          <w:sz w:val="28"/>
          <w:szCs w:val="24"/>
        </w:rPr>
        <w:tab/>
      </w:r>
      <w:r>
        <w:rPr>
          <w:rFonts w:ascii="仿宋" w:hAnsi="仿宋" w:eastAsia="仿宋"/>
          <w:w w:val="100"/>
          <w:sz w:val="28"/>
          <w:szCs w:val="24"/>
        </w:rPr>
        <w:t>万元；</w:t>
      </w:r>
    </w:p>
    <w:p w14:paraId="5293594C">
      <w:pPr>
        <w:ind w:firstLine="708" w:firstLineChars="253"/>
        <w:rPr>
          <w:rFonts w:ascii="仿宋" w:hAnsi="仿宋" w:eastAsia="仿宋"/>
          <w:w w:val="100"/>
          <w:sz w:val="28"/>
          <w:szCs w:val="24"/>
        </w:rPr>
      </w:pPr>
      <w:r>
        <w:rPr>
          <w:rFonts w:ascii="仿宋" w:hAnsi="仿宋" w:eastAsia="仿宋"/>
          <w:w w:val="100"/>
          <w:sz w:val="28"/>
          <w:szCs w:val="24"/>
        </w:rPr>
        <w:t>c.2023年2月1日,市财政局下达高中助学金市级资金,怀财教字〔2023〕9999号指标共6.30万元；</w:t>
      </w:r>
    </w:p>
    <w:p w14:paraId="08E1F69D">
      <w:pPr>
        <w:ind w:firstLine="708" w:firstLineChars="253"/>
        <w:rPr>
          <w:rFonts w:ascii="仿宋" w:hAnsi="仿宋" w:eastAsia="仿宋"/>
          <w:w w:val="100"/>
          <w:sz w:val="28"/>
          <w:szCs w:val="24"/>
        </w:rPr>
      </w:pPr>
      <w:r>
        <w:rPr>
          <w:rFonts w:ascii="仿宋" w:hAnsi="仿宋" w:eastAsia="仿宋"/>
          <w:w w:val="100"/>
          <w:sz w:val="28"/>
          <w:szCs w:val="24"/>
        </w:rPr>
        <w:t>d.2023年2月1日,市财政局下达</w:t>
      </w:r>
      <w:r>
        <w:rPr>
          <w:rFonts w:ascii="仿宋" w:hAnsi="仿宋" w:eastAsia="仿宋"/>
          <w:w w:val="100"/>
          <w:sz w:val="28"/>
          <w:szCs w:val="24"/>
        </w:rPr>
        <w:tab/>
      </w:r>
      <w:r>
        <w:rPr>
          <w:rFonts w:ascii="仿宋" w:hAnsi="仿宋" w:eastAsia="仿宋"/>
          <w:w w:val="100"/>
          <w:sz w:val="28"/>
          <w:szCs w:val="24"/>
        </w:rPr>
        <w:t>普通高中国家助学金,湘财预〔2023〕0101号指标共</w:t>
      </w:r>
      <w:r>
        <w:rPr>
          <w:rFonts w:ascii="仿宋" w:hAnsi="仿宋" w:eastAsia="仿宋"/>
          <w:w w:val="100"/>
          <w:sz w:val="28"/>
          <w:szCs w:val="24"/>
        </w:rPr>
        <w:tab/>
      </w:r>
      <w:r>
        <w:rPr>
          <w:rFonts w:ascii="仿宋" w:hAnsi="仿宋" w:eastAsia="仿宋"/>
          <w:w w:val="100"/>
          <w:sz w:val="28"/>
          <w:szCs w:val="24"/>
        </w:rPr>
        <w:t>645.84万元；</w:t>
      </w:r>
    </w:p>
    <w:p w14:paraId="6E301238">
      <w:pPr>
        <w:ind w:firstLine="708" w:firstLineChars="253"/>
        <w:rPr>
          <w:rFonts w:ascii="仿宋" w:hAnsi="仿宋" w:eastAsia="仿宋"/>
          <w:w w:val="100"/>
          <w:sz w:val="28"/>
          <w:szCs w:val="24"/>
        </w:rPr>
      </w:pPr>
      <w:r>
        <w:rPr>
          <w:rFonts w:ascii="仿宋" w:hAnsi="仿宋" w:eastAsia="仿宋"/>
          <w:w w:val="100"/>
          <w:sz w:val="28"/>
          <w:szCs w:val="24"/>
        </w:rPr>
        <w:t>e.2023年12月21日</w:t>
      </w:r>
      <w:r>
        <w:rPr>
          <w:rFonts w:ascii="仿宋" w:hAnsi="仿宋" w:eastAsia="仿宋"/>
          <w:w w:val="100"/>
          <w:sz w:val="28"/>
          <w:szCs w:val="24"/>
        </w:rPr>
        <w:tab/>
      </w:r>
      <w:r>
        <w:rPr>
          <w:rFonts w:ascii="仿宋" w:hAnsi="仿宋" w:eastAsia="仿宋"/>
          <w:w w:val="100"/>
          <w:sz w:val="28"/>
          <w:szCs w:val="24"/>
        </w:rPr>
        <w:t>,市财政局下达</w:t>
      </w:r>
      <w:r>
        <w:rPr>
          <w:rFonts w:ascii="仿宋" w:hAnsi="仿宋" w:eastAsia="仿宋"/>
          <w:w w:val="100"/>
          <w:sz w:val="28"/>
          <w:szCs w:val="24"/>
        </w:rPr>
        <w:tab/>
      </w:r>
      <w:r>
        <w:rPr>
          <w:rFonts w:ascii="仿宋" w:hAnsi="仿宋" w:eastAsia="仿宋"/>
          <w:w w:val="100"/>
          <w:sz w:val="28"/>
          <w:szCs w:val="24"/>
        </w:rPr>
        <w:t>中职奖助学金市级资金,湘财预〔2023〕0279号指标共</w:t>
      </w:r>
      <w:r>
        <w:rPr>
          <w:rFonts w:ascii="仿宋" w:hAnsi="仿宋" w:eastAsia="仿宋"/>
          <w:w w:val="100"/>
          <w:sz w:val="28"/>
          <w:szCs w:val="24"/>
        </w:rPr>
        <w:tab/>
      </w:r>
      <w:r>
        <w:rPr>
          <w:rFonts w:ascii="仿宋" w:hAnsi="仿宋" w:eastAsia="仿宋"/>
          <w:w w:val="100"/>
          <w:sz w:val="28"/>
          <w:szCs w:val="24"/>
        </w:rPr>
        <w:t>537.40万元；</w:t>
      </w:r>
    </w:p>
    <w:p w14:paraId="1800275F">
      <w:pPr>
        <w:ind w:firstLine="708" w:firstLineChars="253"/>
        <w:rPr>
          <w:rFonts w:ascii="仿宋" w:hAnsi="仿宋" w:eastAsia="仿宋"/>
          <w:w w:val="100"/>
          <w:sz w:val="28"/>
          <w:szCs w:val="24"/>
        </w:rPr>
      </w:pPr>
      <w:r>
        <w:rPr>
          <w:rFonts w:ascii="仿宋" w:hAnsi="仿宋" w:eastAsia="仿宋"/>
          <w:w w:val="100"/>
          <w:sz w:val="28"/>
          <w:szCs w:val="24"/>
        </w:rPr>
        <w:t>f.2023年9月1日,市财政局下达</w:t>
      </w:r>
      <w:r>
        <w:rPr>
          <w:rFonts w:ascii="仿宋" w:hAnsi="仿宋" w:eastAsia="仿宋"/>
          <w:w w:val="100"/>
          <w:sz w:val="28"/>
          <w:szCs w:val="24"/>
        </w:rPr>
        <w:tab/>
      </w:r>
      <w:r>
        <w:rPr>
          <w:rFonts w:ascii="仿宋" w:hAnsi="仿宋" w:eastAsia="仿宋"/>
          <w:w w:val="100"/>
          <w:sz w:val="28"/>
          <w:szCs w:val="24"/>
        </w:rPr>
        <w:t>2022年第三批教育系统项目建设资金</w:t>
      </w:r>
      <w:r>
        <w:rPr>
          <w:rFonts w:ascii="仿宋" w:hAnsi="仿宋" w:eastAsia="仿宋"/>
          <w:w w:val="100"/>
          <w:sz w:val="28"/>
          <w:szCs w:val="24"/>
        </w:rPr>
        <w:tab/>
      </w:r>
      <w:r>
        <w:rPr>
          <w:rFonts w:ascii="仿宋" w:hAnsi="仿宋" w:eastAsia="仿宋"/>
          <w:w w:val="100"/>
          <w:sz w:val="28"/>
          <w:szCs w:val="24"/>
        </w:rPr>
        <w:t>,怀财结字（2023）11号指标共</w:t>
      </w:r>
      <w:r>
        <w:rPr>
          <w:rFonts w:ascii="仿宋" w:hAnsi="仿宋" w:eastAsia="仿宋"/>
          <w:w w:val="100"/>
          <w:sz w:val="28"/>
          <w:szCs w:val="24"/>
        </w:rPr>
        <w:tab/>
      </w:r>
      <w:r>
        <w:rPr>
          <w:rFonts w:ascii="仿宋" w:hAnsi="仿宋" w:eastAsia="仿宋"/>
          <w:w w:val="100"/>
          <w:sz w:val="28"/>
          <w:szCs w:val="24"/>
        </w:rPr>
        <w:t>29.50</w:t>
      </w:r>
      <w:r>
        <w:rPr>
          <w:rFonts w:ascii="仿宋" w:hAnsi="仿宋" w:eastAsia="仿宋"/>
          <w:w w:val="100"/>
          <w:sz w:val="28"/>
          <w:szCs w:val="24"/>
        </w:rPr>
        <w:tab/>
      </w:r>
      <w:r>
        <w:rPr>
          <w:rFonts w:ascii="仿宋" w:hAnsi="仿宋" w:eastAsia="仿宋"/>
          <w:w w:val="100"/>
          <w:sz w:val="28"/>
          <w:szCs w:val="24"/>
        </w:rPr>
        <w:t>万元；</w:t>
      </w:r>
    </w:p>
    <w:p w14:paraId="53CE7AC6">
      <w:pPr>
        <w:ind w:firstLine="708" w:firstLineChars="253"/>
        <w:rPr>
          <w:rFonts w:ascii="仿宋" w:hAnsi="仿宋" w:eastAsia="仿宋"/>
          <w:w w:val="100"/>
          <w:sz w:val="28"/>
          <w:szCs w:val="24"/>
        </w:rPr>
      </w:pPr>
      <w:r>
        <w:rPr>
          <w:rFonts w:ascii="仿宋" w:hAnsi="仿宋" w:eastAsia="仿宋"/>
          <w:w w:val="100"/>
          <w:sz w:val="28"/>
          <w:szCs w:val="24"/>
        </w:rPr>
        <w:t>g.2023年11月8日,市财政局下达</w:t>
      </w:r>
      <w:r>
        <w:rPr>
          <w:rFonts w:ascii="仿宋" w:hAnsi="仿宋" w:eastAsia="仿宋"/>
          <w:w w:val="100"/>
          <w:sz w:val="28"/>
          <w:szCs w:val="24"/>
        </w:rPr>
        <w:tab/>
      </w:r>
      <w:r>
        <w:rPr>
          <w:rFonts w:ascii="仿宋" w:hAnsi="仿宋" w:eastAsia="仿宋"/>
          <w:w w:val="100"/>
          <w:sz w:val="28"/>
          <w:szCs w:val="24"/>
        </w:rPr>
        <w:t>2023年第九批基础教育发展专项（基础教育教学改革研究课题）资金</w:t>
      </w:r>
      <w:r>
        <w:rPr>
          <w:rFonts w:ascii="仿宋" w:hAnsi="仿宋" w:eastAsia="仿宋"/>
          <w:w w:val="100"/>
          <w:sz w:val="28"/>
          <w:szCs w:val="24"/>
        </w:rPr>
        <w:tab/>
      </w:r>
      <w:r>
        <w:rPr>
          <w:rFonts w:ascii="仿宋" w:hAnsi="仿宋" w:eastAsia="仿宋"/>
          <w:w w:val="100"/>
          <w:sz w:val="28"/>
          <w:szCs w:val="24"/>
        </w:rPr>
        <w:t>,湘财教指〔2023〕0071号指标共</w:t>
      </w:r>
      <w:r>
        <w:rPr>
          <w:rFonts w:ascii="仿宋" w:hAnsi="仿宋" w:eastAsia="仿宋"/>
          <w:w w:val="100"/>
          <w:sz w:val="28"/>
          <w:szCs w:val="24"/>
        </w:rPr>
        <w:tab/>
      </w:r>
      <w:r>
        <w:rPr>
          <w:rFonts w:ascii="仿宋" w:hAnsi="仿宋" w:eastAsia="仿宋"/>
          <w:w w:val="100"/>
          <w:sz w:val="28"/>
          <w:szCs w:val="24"/>
        </w:rPr>
        <w:t>8.00</w:t>
      </w:r>
      <w:r>
        <w:rPr>
          <w:rFonts w:ascii="仿宋" w:hAnsi="仿宋" w:eastAsia="仿宋"/>
          <w:w w:val="100"/>
          <w:sz w:val="28"/>
          <w:szCs w:val="24"/>
        </w:rPr>
        <w:tab/>
      </w:r>
      <w:r>
        <w:rPr>
          <w:rFonts w:ascii="仿宋" w:hAnsi="仿宋" w:eastAsia="仿宋"/>
          <w:w w:val="100"/>
          <w:sz w:val="28"/>
          <w:szCs w:val="24"/>
        </w:rPr>
        <w:t>万元；</w:t>
      </w:r>
    </w:p>
    <w:p w14:paraId="38B56B5C">
      <w:pPr>
        <w:ind w:firstLine="708" w:firstLineChars="253"/>
        <w:rPr>
          <w:rFonts w:ascii="仿宋" w:hAnsi="仿宋" w:eastAsia="仿宋"/>
          <w:w w:val="100"/>
          <w:sz w:val="28"/>
          <w:szCs w:val="24"/>
        </w:rPr>
      </w:pPr>
      <w:r>
        <w:rPr>
          <w:rFonts w:ascii="仿宋" w:hAnsi="仿宋" w:eastAsia="仿宋"/>
          <w:w w:val="100"/>
          <w:sz w:val="28"/>
          <w:szCs w:val="24"/>
        </w:rPr>
        <w:t>h.2023年10月31日</w:t>
      </w:r>
      <w:r>
        <w:rPr>
          <w:rFonts w:ascii="仿宋" w:hAnsi="仿宋" w:eastAsia="仿宋"/>
          <w:w w:val="100"/>
          <w:sz w:val="28"/>
          <w:szCs w:val="24"/>
        </w:rPr>
        <w:tab/>
      </w:r>
      <w:r>
        <w:rPr>
          <w:rFonts w:ascii="仿宋" w:hAnsi="仿宋" w:eastAsia="仿宋"/>
          <w:w w:val="100"/>
          <w:sz w:val="28"/>
          <w:szCs w:val="24"/>
        </w:rPr>
        <w:t>,市财政局下达</w:t>
      </w:r>
      <w:r>
        <w:rPr>
          <w:rFonts w:ascii="仿宋" w:hAnsi="仿宋" w:eastAsia="仿宋"/>
          <w:w w:val="100"/>
          <w:sz w:val="28"/>
          <w:szCs w:val="24"/>
        </w:rPr>
        <w:tab/>
      </w:r>
      <w:r>
        <w:rPr>
          <w:rFonts w:ascii="仿宋" w:hAnsi="仿宋" w:eastAsia="仿宋"/>
          <w:w w:val="100"/>
          <w:sz w:val="28"/>
          <w:szCs w:val="24"/>
        </w:rPr>
        <w:t>2023年怀化市教师培训经费</w:t>
      </w:r>
      <w:r>
        <w:rPr>
          <w:rFonts w:ascii="仿宋" w:hAnsi="仿宋" w:eastAsia="仿宋"/>
          <w:w w:val="100"/>
          <w:sz w:val="28"/>
          <w:szCs w:val="24"/>
        </w:rPr>
        <w:tab/>
      </w:r>
      <w:r>
        <w:rPr>
          <w:rFonts w:ascii="仿宋" w:hAnsi="仿宋" w:eastAsia="仿宋"/>
          <w:w w:val="100"/>
          <w:sz w:val="28"/>
          <w:szCs w:val="24"/>
        </w:rPr>
        <w:t>,怀财教字〔2023〕0526号指标共</w:t>
      </w:r>
      <w:r>
        <w:rPr>
          <w:rFonts w:ascii="仿宋" w:hAnsi="仿宋" w:eastAsia="仿宋"/>
          <w:w w:val="100"/>
          <w:sz w:val="28"/>
          <w:szCs w:val="24"/>
        </w:rPr>
        <w:tab/>
      </w:r>
      <w:r>
        <w:rPr>
          <w:rFonts w:ascii="仿宋" w:hAnsi="仿宋" w:eastAsia="仿宋"/>
          <w:w w:val="100"/>
          <w:sz w:val="28"/>
          <w:szCs w:val="24"/>
        </w:rPr>
        <w:t>22.96</w:t>
      </w:r>
      <w:r>
        <w:rPr>
          <w:rFonts w:ascii="仿宋" w:hAnsi="仿宋" w:eastAsia="仿宋"/>
          <w:w w:val="100"/>
          <w:sz w:val="28"/>
          <w:szCs w:val="24"/>
        </w:rPr>
        <w:tab/>
      </w:r>
      <w:r>
        <w:rPr>
          <w:rFonts w:ascii="仿宋" w:hAnsi="仿宋" w:eastAsia="仿宋"/>
          <w:w w:val="100"/>
          <w:sz w:val="28"/>
          <w:szCs w:val="24"/>
        </w:rPr>
        <w:t>万元；</w:t>
      </w:r>
    </w:p>
    <w:p w14:paraId="1B1570B1">
      <w:pPr>
        <w:ind w:firstLine="708" w:firstLineChars="253"/>
        <w:rPr>
          <w:rFonts w:ascii="仿宋" w:hAnsi="仿宋" w:eastAsia="仿宋"/>
          <w:w w:val="100"/>
          <w:sz w:val="28"/>
          <w:szCs w:val="24"/>
        </w:rPr>
      </w:pPr>
      <w:r>
        <w:rPr>
          <w:rFonts w:ascii="仿宋" w:hAnsi="仿宋" w:eastAsia="仿宋"/>
          <w:w w:val="100"/>
          <w:sz w:val="28"/>
          <w:szCs w:val="24"/>
        </w:rPr>
        <w:t>i.2023年10月8日,市财政局下达</w:t>
      </w:r>
      <w:r>
        <w:rPr>
          <w:rFonts w:ascii="仿宋" w:hAnsi="仿宋" w:eastAsia="仿宋"/>
          <w:w w:val="100"/>
          <w:sz w:val="28"/>
          <w:szCs w:val="24"/>
        </w:rPr>
        <w:tab/>
      </w:r>
      <w:r>
        <w:rPr>
          <w:rFonts w:ascii="仿宋" w:hAnsi="仿宋" w:eastAsia="仿宋"/>
          <w:w w:val="100"/>
          <w:sz w:val="28"/>
          <w:szCs w:val="24"/>
        </w:rPr>
        <w:t>2023年省中学生运动会经费</w:t>
      </w:r>
      <w:r>
        <w:rPr>
          <w:rFonts w:ascii="仿宋" w:hAnsi="仿宋" w:eastAsia="仿宋"/>
          <w:w w:val="100"/>
          <w:sz w:val="28"/>
          <w:szCs w:val="24"/>
        </w:rPr>
        <w:tab/>
      </w:r>
      <w:r>
        <w:rPr>
          <w:rFonts w:ascii="仿宋" w:hAnsi="仿宋" w:eastAsia="仿宋"/>
          <w:w w:val="100"/>
          <w:sz w:val="28"/>
          <w:szCs w:val="24"/>
        </w:rPr>
        <w:t>,湘财教指〔2023〕0048号指标共</w:t>
      </w:r>
      <w:r>
        <w:rPr>
          <w:rFonts w:ascii="仿宋" w:hAnsi="仿宋" w:eastAsia="仿宋"/>
          <w:w w:val="100"/>
          <w:sz w:val="28"/>
          <w:szCs w:val="24"/>
        </w:rPr>
        <w:tab/>
      </w:r>
      <w:r>
        <w:rPr>
          <w:rFonts w:ascii="仿宋" w:hAnsi="仿宋" w:eastAsia="仿宋"/>
          <w:w w:val="100"/>
          <w:sz w:val="28"/>
          <w:szCs w:val="24"/>
        </w:rPr>
        <w:t>49.00</w:t>
      </w:r>
      <w:r>
        <w:rPr>
          <w:rFonts w:ascii="仿宋" w:hAnsi="仿宋" w:eastAsia="仿宋"/>
          <w:w w:val="100"/>
          <w:sz w:val="28"/>
          <w:szCs w:val="24"/>
        </w:rPr>
        <w:tab/>
      </w:r>
      <w:r>
        <w:rPr>
          <w:rFonts w:ascii="仿宋" w:hAnsi="仿宋" w:eastAsia="仿宋"/>
          <w:w w:val="100"/>
          <w:sz w:val="28"/>
          <w:szCs w:val="24"/>
        </w:rPr>
        <w:t>万元；</w:t>
      </w:r>
    </w:p>
    <w:p w14:paraId="37E6D1F3">
      <w:pPr>
        <w:ind w:firstLine="708" w:firstLineChars="253"/>
        <w:rPr>
          <w:rFonts w:ascii="仿宋" w:hAnsi="仿宋" w:eastAsia="仿宋"/>
          <w:w w:val="100"/>
          <w:sz w:val="28"/>
          <w:szCs w:val="24"/>
        </w:rPr>
      </w:pPr>
      <w:r>
        <w:rPr>
          <w:rFonts w:ascii="仿宋" w:hAnsi="仿宋" w:eastAsia="仿宋"/>
          <w:w w:val="100"/>
          <w:sz w:val="28"/>
          <w:szCs w:val="24"/>
        </w:rPr>
        <w:t>j.2023年9月7日,市财政局下达第五批教育发展专项资金</w:t>
      </w:r>
      <w:r>
        <w:rPr>
          <w:rFonts w:ascii="仿宋" w:hAnsi="仿宋" w:eastAsia="仿宋"/>
          <w:w w:val="100"/>
          <w:sz w:val="28"/>
          <w:szCs w:val="24"/>
        </w:rPr>
        <w:tab/>
      </w:r>
      <w:r>
        <w:rPr>
          <w:rFonts w:ascii="仿宋" w:hAnsi="仿宋" w:eastAsia="仿宋"/>
          <w:w w:val="100"/>
          <w:sz w:val="28"/>
          <w:szCs w:val="24"/>
        </w:rPr>
        <w:t>,怀财结字（2023）11号指标共5.50万元；</w:t>
      </w:r>
    </w:p>
    <w:p w14:paraId="012A4B30">
      <w:pPr>
        <w:ind w:firstLine="708" w:firstLineChars="253"/>
        <w:rPr>
          <w:rFonts w:ascii="仿宋" w:hAnsi="仿宋" w:eastAsia="仿宋"/>
          <w:w w:val="100"/>
          <w:sz w:val="28"/>
          <w:szCs w:val="24"/>
        </w:rPr>
      </w:pPr>
      <w:r>
        <w:rPr>
          <w:rFonts w:ascii="仿宋" w:hAnsi="仿宋" w:eastAsia="仿宋"/>
          <w:w w:val="100"/>
          <w:sz w:val="28"/>
          <w:szCs w:val="24"/>
        </w:rPr>
        <w:t>k.2023年11月14日,市财政局下达怀化市2023年国培计划项目,湘财预〔2022〕0320号指标共92.50</w:t>
      </w:r>
      <w:r>
        <w:rPr>
          <w:rFonts w:ascii="仿宋" w:hAnsi="仿宋" w:eastAsia="仿宋"/>
          <w:w w:val="100"/>
          <w:sz w:val="28"/>
          <w:szCs w:val="24"/>
        </w:rPr>
        <w:tab/>
      </w:r>
      <w:r>
        <w:rPr>
          <w:rFonts w:ascii="仿宋" w:hAnsi="仿宋" w:eastAsia="仿宋"/>
          <w:w w:val="100"/>
          <w:sz w:val="28"/>
          <w:szCs w:val="24"/>
        </w:rPr>
        <w:t>万元；</w:t>
      </w:r>
    </w:p>
    <w:p w14:paraId="03E5EC87">
      <w:pPr>
        <w:ind w:firstLine="708" w:firstLineChars="253"/>
        <w:rPr>
          <w:rFonts w:ascii="仿宋" w:hAnsi="仿宋" w:eastAsia="仿宋"/>
          <w:w w:val="100"/>
          <w:sz w:val="28"/>
          <w:szCs w:val="24"/>
        </w:rPr>
      </w:pPr>
      <w:r>
        <w:rPr>
          <w:rFonts w:ascii="仿宋" w:hAnsi="仿宋" w:eastAsia="仿宋"/>
          <w:w w:val="100"/>
          <w:sz w:val="28"/>
          <w:szCs w:val="24"/>
        </w:rPr>
        <w:t>l.2023年3月15日,市财政局下达考试经费,怀财教字〔2023〕9999号指标共39.92万元；</w:t>
      </w:r>
    </w:p>
    <w:p w14:paraId="61EF693A">
      <w:pPr>
        <w:ind w:firstLine="708" w:firstLineChars="253"/>
        <w:rPr>
          <w:rFonts w:ascii="仿宋" w:hAnsi="仿宋" w:eastAsia="仿宋"/>
          <w:w w:val="100"/>
          <w:sz w:val="28"/>
          <w:szCs w:val="24"/>
        </w:rPr>
      </w:pPr>
      <w:r>
        <w:rPr>
          <w:rFonts w:ascii="仿宋" w:hAnsi="仿宋" w:eastAsia="仿宋"/>
          <w:w w:val="100"/>
          <w:sz w:val="28"/>
          <w:szCs w:val="24"/>
        </w:rPr>
        <w:t>m.2023年8月17日,市财政局下达</w:t>
      </w:r>
      <w:r>
        <w:rPr>
          <w:rFonts w:ascii="仿宋" w:hAnsi="仿宋" w:eastAsia="仿宋"/>
          <w:w w:val="100"/>
          <w:sz w:val="28"/>
          <w:szCs w:val="24"/>
        </w:rPr>
        <w:tab/>
      </w:r>
      <w:r>
        <w:rPr>
          <w:rFonts w:ascii="仿宋" w:hAnsi="仿宋" w:eastAsia="仿宋"/>
          <w:w w:val="100"/>
          <w:sz w:val="28"/>
          <w:szCs w:val="24"/>
        </w:rPr>
        <w:t>2023年第二批基础教育发展专项（中小学幼儿园校车奖补）资金,湘财教指〔2022〕0100号指标共16.00</w:t>
      </w:r>
      <w:r>
        <w:rPr>
          <w:rFonts w:ascii="仿宋" w:hAnsi="仿宋" w:eastAsia="仿宋"/>
          <w:w w:val="100"/>
          <w:sz w:val="28"/>
          <w:szCs w:val="24"/>
        </w:rPr>
        <w:tab/>
      </w:r>
      <w:r>
        <w:rPr>
          <w:rFonts w:ascii="仿宋" w:hAnsi="仿宋" w:eastAsia="仿宋"/>
          <w:w w:val="100"/>
          <w:sz w:val="28"/>
          <w:szCs w:val="24"/>
        </w:rPr>
        <w:t>万元；</w:t>
      </w:r>
    </w:p>
    <w:p w14:paraId="5CB177FE">
      <w:pPr>
        <w:ind w:firstLine="708" w:firstLineChars="253"/>
        <w:rPr>
          <w:rFonts w:ascii="仿宋" w:hAnsi="仿宋" w:eastAsia="仿宋"/>
          <w:w w:val="100"/>
          <w:sz w:val="28"/>
          <w:szCs w:val="24"/>
        </w:rPr>
      </w:pPr>
      <w:r>
        <w:rPr>
          <w:rFonts w:ascii="仿宋" w:hAnsi="仿宋" w:eastAsia="仿宋"/>
          <w:w w:val="100"/>
          <w:sz w:val="28"/>
          <w:szCs w:val="24"/>
        </w:rPr>
        <w:t>n.2023年12月20日,市财政局下达各类考试考务、职称评审等工作经费,怀财教字〔2023〕0827号共80.52</w:t>
      </w:r>
      <w:r>
        <w:rPr>
          <w:rFonts w:ascii="仿宋" w:hAnsi="仿宋" w:eastAsia="仿宋"/>
          <w:w w:val="100"/>
          <w:sz w:val="28"/>
          <w:szCs w:val="24"/>
        </w:rPr>
        <w:tab/>
      </w:r>
      <w:r>
        <w:rPr>
          <w:rFonts w:ascii="仿宋" w:hAnsi="仿宋" w:eastAsia="仿宋"/>
          <w:w w:val="100"/>
          <w:sz w:val="28"/>
          <w:szCs w:val="24"/>
        </w:rPr>
        <w:t>万元；</w:t>
      </w:r>
    </w:p>
    <w:p w14:paraId="490092EF">
      <w:pPr>
        <w:ind w:firstLine="708" w:firstLineChars="253"/>
        <w:rPr>
          <w:rFonts w:ascii="仿宋" w:hAnsi="仿宋" w:eastAsia="仿宋"/>
          <w:w w:val="100"/>
          <w:sz w:val="28"/>
          <w:szCs w:val="24"/>
        </w:rPr>
      </w:pPr>
      <w:r>
        <w:rPr>
          <w:rFonts w:ascii="仿宋" w:hAnsi="仿宋" w:eastAsia="仿宋"/>
          <w:w w:val="100"/>
          <w:sz w:val="28"/>
          <w:szCs w:val="24"/>
        </w:rPr>
        <w:t>o.2023年9月4日,市财政局下达怀化市教育局2022年行政事业性收入,怀财教字〔2023〕9999号指标共</w:t>
      </w:r>
      <w:r>
        <w:rPr>
          <w:rFonts w:ascii="仿宋" w:hAnsi="仿宋" w:eastAsia="仿宋"/>
          <w:w w:val="100"/>
          <w:sz w:val="28"/>
          <w:szCs w:val="24"/>
        </w:rPr>
        <w:tab/>
      </w:r>
      <w:r>
        <w:rPr>
          <w:rFonts w:ascii="仿宋" w:hAnsi="仿宋" w:eastAsia="仿宋"/>
          <w:w w:val="100"/>
          <w:sz w:val="28"/>
          <w:szCs w:val="24"/>
        </w:rPr>
        <w:t>61.96</w:t>
      </w:r>
      <w:r>
        <w:rPr>
          <w:rFonts w:ascii="仿宋" w:hAnsi="仿宋" w:eastAsia="仿宋"/>
          <w:w w:val="100"/>
          <w:sz w:val="28"/>
          <w:szCs w:val="24"/>
        </w:rPr>
        <w:tab/>
      </w:r>
      <w:r>
        <w:rPr>
          <w:rFonts w:ascii="仿宋" w:hAnsi="仿宋" w:eastAsia="仿宋"/>
          <w:w w:val="100"/>
          <w:sz w:val="28"/>
          <w:szCs w:val="24"/>
        </w:rPr>
        <w:t>万元；</w:t>
      </w:r>
    </w:p>
    <w:p w14:paraId="290AF5AE">
      <w:pPr>
        <w:ind w:firstLine="708" w:firstLineChars="253"/>
        <w:rPr>
          <w:rFonts w:ascii="仿宋" w:hAnsi="仿宋" w:eastAsia="仿宋"/>
          <w:w w:val="100"/>
          <w:sz w:val="28"/>
          <w:szCs w:val="24"/>
        </w:rPr>
      </w:pPr>
      <w:r>
        <w:rPr>
          <w:rFonts w:ascii="仿宋" w:hAnsi="仿宋" w:eastAsia="仿宋"/>
          <w:w w:val="100"/>
          <w:sz w:val="28"/>
          <w:szCs w:val="24"/>
        </w:rPr>
        <w:t>p.2023年1月13日,市财政局下达</w:t>
      </w:r>
      <w:r>
        <w:rPr>
          <w:rFonts w:ascii="仿宋" w:hAnsi="仿宋" w:eastAsia="仿宋"/>
          <w:w w:val="100"/>
          <w:sz w:val="28"/>
          <w:szCs w:val="24"/>
        </w:rPr>
        <w:tab/>
      </w:r>
      <w:r>
        <w:rPr>
          <w:rFonts w:ascii="仿宋" w:hAnsi="仿宋" w:eastAsia="仿宋"/>
          <w:w w:val="100"/>
          <w:sz w:val="28"/>
          <w:szCs w:val="24"/>
        </w:rPr>
        <w:t>全市语言文字工作经费,怀财预〔2023〕8888号指标共9.00万元；</w:t>
      </w:r>
    </w:p>
    <w:p w14:paraId="7485E8E3">
      <w:pPr>
        <w:ind w:firstLine="708" w:firstLineChars="253"/>
        <w:rPr>
          <w:rFonts w:ascii="仿宋" w:hAnsi="仿宋" w:eastAsia="仿宋"/>
          <w:w w:val="100"/>
          <w:sz w:val="28"/>
          <w:szCs w:val="24"/>
        </w:rPr>
      </w:pPr>
      <w:r>
        <w:rPr>
          <w:rFonts w:ascii="仿宋" w:hAnsi="仿宋" w:eastAsia="仿宋"/>
          <w:w w:val="100"/>
          <w:sz w:val="28"/>
          <w:szCs w:val="24"/>
        </w:rPr>
        <w:t>q.2023年1月13日,市财政局下达专项业务经费,怀财预〔2023〕8888号指标共226.80万元；</w:t>
      </w:r>
    </w:p>
    <w:p w14:paraId="071DEF59">
      <w:pPr>
        <w:ind w:firstLine="708" w:firstLineChars="253"/>
        <w:rPr>
          <w:rFonts w:ascii="仿宋" w:hAnsi="仿宋" w:eastAsia="仿宋"/>
          <w:w w:val="100"/>
          <w:sz w:val="28"/>
          <w:szCs w:val="24"/>
        </w:rPr>
      </w:pPr>
      <w:r>
        <w:rPr>
          <w:rFonts w:ascii="仿宋" w:hAnsi="仿宋" w:eastAsia="仿宋"/>
          <w:w w:val="100"/>
          <w:sz w:val="28"/>
          <w:szCs w:val="24"/>
        </w:rPr>
        <w:t>r.2023年9月20日,市财政局下达</w:t>
      </w:r>
      <w:r>
        <w:rPr>
          <w:rFonts w:ascii="仿宋" w:hAnsi="仿宋" w:eastAsia="仿宋"/>
          <w:w w:val="100"/>
          <w:sz w:val="28"/>
          <w:szCs w:val="24"/>
        </w:rPr>
        <w:tab/>
      </w:r>
      <w:r>
        <w:rPr>
          <w:rFonts w:ascii="仿宋" w:hAnsi="仿宋" w:eastAsia="仿宋"/>
          <w:w w:val="100"/>
          <w:sz w:val="28"/>
          <w:szCs w:val="24"/>
        </w:rPr>
        <w:t>2022年真抓实干督查激励个人奖励金,怀财预〔2023〕8888号指标共0.30万元。</w:t>
      </w:r>
    </w:p>
    <w:p w14:paraId="5BA71F3C">
      <w:pPr>
        <w:ind w:firstLine="708" w:firstLineChars="253"/>
        <w:rPr>
          <w:rFonts w:ascii="仿宋" w:hAnsi="仿宋" w:eastAsia="仿宋"/>
          <w:w w:val="100"/>
          <w:sz w:val="28"/>
          <w:szCs w:val="24"/>
        </w:rPr>
      </w:pPr>
      <w:r>
        <w:rPr>
          <w:rFonts w:hint="eastAsia" w:ascii="仿宋" w:hAnsi="仿宋" w:eastAsia="仿宋"/>
          <w:w w:val="100"/>
          <w:sz w:val="28"/>
          <w:szCs w:val="24"/>
        </w:rPr>
        <w:t xml:space="preserve">（2）专项资金使用情况分析 </w:t>
      </w:r>
    </w:p>
    <w:p w14:paraId="59A40F81">
      <w:pPr>
        <w:ind w:firstLine="708" w:firstLineChars="253"/>
        <w:rPr>
          <w:rFonts w:ascii="楷体" w:hAnsi="楷体" w:eastAsia="楷体"/>
          <w:b/>
          <w:w w:val="100"/>
          <w:sz w:val="28"/>
          <w:szCs w:val="28"/>
        </w:rPr>
      </w:pPr>
      <w:r>
        <w:rPr>
          <w:rFonts w:ascii="楷体" w:hAnsi="楷体" w:eastAsia="楷体"/>
          <w:b/>
          <w:w w:val="100"/>
          <w:sz w:val="28"/>
          <w:szCs w:val="28"/>
        </w:rPr>
        <w:t>a.2023年2月13日,市财政局下达</w:t>
      </w:r>
      <w:r>
        <w:rPr>
          <w:rFonts w:hint="eastAsia" w:ascii="楷体" w:hAnsi="楷体" w:eastAsia="楷体"/>
          <w:b/>
          <w:w w:val="100"/>
          <w:sz w:val="28"/>
          <w:szCs w:val="28"/>
        </w:rPr>
        <w:t>“</w:t>
      </w:r>
      <w:r>
        <w:rPr>
          <w:rFonts w:ascii="楷体" w:hAnsi="楷体" w:eastAsia="楷体"/>
          <w:b/>
          <w:w w:val="100"/>
          <w:sz w:val="28"/>
          <w:szCs w:val="28"/>
        </w:rPr>
        <w:t>高中助学金</w:t>
      </w:r>
      <w:r>
        <w:rPr>
          <w:rFonts w:hint="eastAsia" w:ascii="楷体" w:hAnsi="楷体" w:eastAsia="楷体"/>
          <w:b/>
          <w:w w:val="100"/>
          <w:sz w:val="28"/>
          <w:szCs w:val="28"/>
        </w:rPr>
        <w:t>”</w:t>
      </w:r>
      <w:r>
        <w:rPr>
          <w:rFonts w:ascii="楷体" w:hAnsi="楷体" w:eastAsia="楷体"/>
          <w:b/>
          <w:w w:val="100"/>
          <w:sz w:val="28"/>
          <w:szCs w:val="28"/>
        </w:rPr>
        <w:t>,湘财预〔2022〕0291号指标共445.00万元，支出436.26万元，其中：</w:t>
      </w:r>
      <w:r>
        <w:rPr>
          <w:rFonts w:hint="eastAsia" w:ascii="楷体" w:hAnsi="楷体" w:eastAsia="楷体"/>
          <w:b/>
          <w:w w:val="100"/>
          <w:sz w:val="28"/>
          <w:szCs w:val="28"/>
        </w:rPr>
        <w:t>助学金</w:t>
      </w:r>
      <w:r>
        <w:rPr>
          <w:rFonts w:ascii="楷体" w:hAnsi="楷体" w:eastAsia="楷体"/>
          <w:b/>
          <w:w w:val="100"/>
          <w:sz w:val="28"/>
          <w:szCs w:val="28"/>
        </w:rPr>
        <w:t>436.26万元</w:t>
      </w:r>
      <w:r>
        <w:rPr>
          <w:rFonts w:hint="eastAsia" w:ascii="楷体" w:hAnsi="楷体" w:eastAsia="楷体"/>
          <w:b/>
          <w:w w:val="100"/>
          <w:sz w:val="28"/>
          <w:szCs w:val="28"/>
        </w:rPr>
        <w:t>；</w:t>
      </w:r>
    </w:p>
    <w:p w14:paraId="027AC11A">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依据现阶段中职、普高的国家资助政策完成符合资助条件</w:t>
      </w:r>
      <w:r>
        <w:rPr>
          <w:rFonts w:hint="eastAsia" w:ascii="仿宋" w:hAnsi="仿宋" w:eastAsia="仿宋"/>
          <w:w w:val="100"/>
          <w:sz w:val="28"/>
          <w:szCs w:val="28"/>
        </w:rPr>
        <w:t>的</w:t>
      </w:r>
      <w:r>
        <w:rPr>
          <w:rFonts w:ascii="仿宋" w:hAnsi="仿宋" w:eastAsia="仿宋"/>
          <w:w w:val="100"/>
          <w:sz w:val="28"/>
          <w:szCs w:val="28"/>
        </w:rPr>
        <w:t>学生资助</w:t>
      </w:r>
      <w:r>
        <w:rPr>
          <w:rFonts w:hint="eastAsia" w:ascii="仿宋" w:hAnsi="仿宋" w:eastAsia="仿宋"/>
          <w:w w:val="100"/>
          <w:sz w:val="28"/>
          <w:szCs w:val="28"/>
        </w:rPr>
        <w:t>，</w:t>
      </w:r>
      <w:r>
        <w:rPr>
          <w:rFonts w:ascii="仿宋" w:hAnsi="仿宋" w:eastAsia="仿宋" w:cs="Segoe UI"/>
          <w:w w:val="100"/>
          <w:sz w:val="28"/>
          <w:szCs w:val="28"/>
          <w:shd w:val="clear" w:color="auto" w:fill="FFFFFF"/>
        </w:rPr>
        <w:t>通过实施高中助学金项目，减轻家庭经济困难高中生的经济负担，确保他们能够顺利完成高中学业，促进教育公平和社会和谐发展。</w:t>
      </w:r>
    </w:p>
    <w:p w14:paraId="525C9F88">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（一）资助人数</w:t>
      </w:r>
      <w:r>
        <w:rPr>
          <w:rFonts w:hint="eastAsia" w:ascii="仿宋" w:hAnsi="仿宋" w:eastAsia="仿宋"/>
          <w:w w:val="100"/>
          <w:sz w:val="28"/>
          <w:szCs w:val="28"/>
        </w:rPr>
        <w:t>：</w:t>
      </w:r>
      <w:r>
        <w:rPr>
          <w:rFonts w:ascii="仿宋" w:hAnsi="仿宋" w:eastAsia="仿宋"/>
          <w:w w:val="100"/>
          <w:sz w:val="28"/>
          <w:szCs w:val="28"/>
        </w:rPr>
        <w:t>2023 年度实际资助家庭经济困难高中生</w:t>
      </w:r>
      <w:r>
        <w:rPr>
          <w:rFonts w:hint="eastAsia" w:ascii="仿宋" w:hAnsi="仿宋" w:eastAsia="仿宋"/>
          <w:w w:val="100"/>
          <w:sz w:val="28"/>
          <w:szCs w:val="28"/>
        </w:rPr>
        <w:t>6790</w:t>
      </w:r>
      <w:r>
        <w:rPr>
          <w:rFonts w:ascii="仿宋" w:hAnsi="仿宋" w:eastAsia="仿宋"/>
          <w:w w:val="100"/>
          <w:sz w:val="28"/>
          <w:szCs w:val="28"/>
        </w:rPr>
        <w:t>名，完成了年初计划的</w:t>
      </w:r>
      <w:r>
        <w:rPr>
          <w:rFonts w:hint="eastAsia" w:ascii="仿宋" w:hAnsi="仿宋" w:eastAsia="仿宋"/>
          <w:w w:val="100"/>
          <w:sz w:val="28"/>
          <w:szCs w:val="28"/>
        </w:rPr>
        <w:t>104.46</w:t>
      </w:r>
      <w:r>
        <w:rPr>
          <w:rFonts w:ascii="仿宋" w:hAnsi="仿宋" w:eastAsia="仿宋"/>
          <w:w w:val="100"/>
          <w:sz w:val="28"/>
          <w:szCs w:val="28"/>
        </w:rPr>
        <w:t>%。</w:t>
      </w:r>
    </w:p>
    <w:p w14:paraId="2BB53609">
      <w:pPr>
        <w:ind w:firstLine="708" w:firstLineChars="253"/>
        <w:rPr>
          <w:rFonts w:ascii="仿宋" w:hAnsi="仿宋" w:eastAsia="仿宋"/>
          <w:w w:val="100"/>
          <w:sz w:val="28"/>
          <w:szCs w:val="28"/>
        </w:rPr>
      </w:pPr>
      <w:r>
        <w:rPr>
          <w:rFonts w:ascii="仿宋" w:hAnsi="仿宋" w:eastAsia="仿宋"/>
          <w:w w:val="100"/>
          <w:sz w:val="28"/>
          <w:szCs w:val="28"/>
        </w:rPr>
        <w:t>（二）精准发放</w:t>
      </w:r>
      <w:r>
        <w:rPr>
          <w:rFonts w:hint="eastAsia" w:ascii="仿宋" w:hAnsi="仿宋" w:eastAsia="仿宋"/>
          <w:w w:val="100"/>
          <w:sz w:val="28"/>
          <w:szCs w:val="28"/>
        </w:rPr>
        <w:t>：</w:t>
      </w:r>
      <w:r>
        <w:rPr>
          <w:rFonts w:ascii="仿宋" w:hAnsi="仿宋" w:eastAsia="仿宋"/>
          <w:w w:val="100"/>
          <w:sz w:val="28"/>
          <w:szCs w:val="28"/>
        </w:rPr>
        <w:t>经严格审核和认定，资助对象准确率达到了</w:t>
      </w:r>
      <w:r>
        <w:rPr>
          <w:rFonts w:hint="eastAsia" w:ascii="仿宋" w:hAnsi="仿宋" w:eastAsia="仿宋"/>
          <w:w w:val="100"/>
          <w:sz w:val="28"/>
          <w:szCs w:val="28"/>
        </w:rPr>
        <w:t>100</w:t>
      </w:r>
      <w:r>
        <w:rPr>
          <w:rFonts w:ascii="仿宋" w:hAnsi="仿宋" w:eastAsia="仿宋"/>
          <w:w w:val="100"/>
          <w:sz w:val="28"/>
          <w:szCs w:val="28"/>
        </w:rPr>
        <w:t>%，实现了精准资助。</w:t>
      </w:r>
    </w:p>
    <w:p w14:paraId="5394AF26">
      <w:pPr>
        <w:ind w:firstLine="708" w:firstLineChars="253"/>
        <w:rPr>
          <w:rFonts w:ascii="仿宋" w:hAnsi="仿宋" w:eastAsia="仿宋"/>
          <w:b/>
          <w:w w:val="100"/>
          <w:sz w:val="28"/>
          <w:szCs w:val="28"/>
        </w:rPr>
      </w:pPr>
      <w:r>
        <w:rPr>
          <w:rFonts w:ascii="仿宋" w:hAnsi="仿宋" w:eastAsia="仿宋"/>
          <w:w w:val="100"/>
          <w:sz w:val="28"/>
          <w:szCs w:val="28"/>
        </w:rPr>
        <w:t>（三）发放时效</w:t>
      </w:r>
      <w:r>
        <w:rPr>
          <w:rFonts w:hint="eastAsia" w:ascii="仿宋" w:hAnsi="仿宋" w:eastAsia="仿宋"/>
          <w:w w:val="100"/>
          <w:sz w:val="28"/>
          <w:szCs w:val="28"/>
        </w:rPr>
        <w:t>：</w:t>
      </w:r>
      <w:r>
        <w:rPr>
          <w:rFonts w:ascii="仿宋" w:hAnsi="仿宋" w:eastAsia="仿宋"/>
          <w:w w:val="100"/>
          <w:sz w:val="28"/>
          <w:szCs w:val="28"/>
        </w:rPr>
        <w:t>春季学期助学金于</w:t>
      </w:r>
      <w:r>
        <w:rPr>
          <w:rFonts w:hint="eastAsia" w:ascii="仿宋" w:hAnsi="仿宋" w:eastAsia="仿宋"/>
          <w:w w:val="100"/>
          <w:sz w:val="28"/>
          <w:szCs w:val="28"/>
        </w:rPr>
        <w:t>6月底</w:t>
      </w:r>
      <w:r>
        <w:rPr>
          <w:rFonts w:ascii="仿宋" w:hAnsi="仿宋" w:eastAsia="仿宋"/>
          <w:w w:val="100"/>
          <w:sz w:val="28"/>
          <w:szCs w:val="28"/>
        </w:rPr>
        <w:t>发放完毕，秋季学期助学金于</w:t>
      </w:r>
      <w:r>
        <w:rPr>
          <w:rFonts w:hint="eastAsia" w:ascii="仿宋" w:hAnsi="仿宋" w:eastAsia="仿宋"/>
          <w:w w:val="100"/>
          <w:sz w:val="28"/>
          <w:szCs w:val="28"/>
        </w:rPr>
        <w:t>年末</w:t>
      </w:r>
      <w:r>
        <w:rPr>
          <w:rFonts w:ascii="仿宋" w:hAnsi="仿宋" w:eastAsia="仿宋"/>
          <w:w w:val="100"/>
          <w:sz w:val="28"/>
          <w:szCs w:val="28"/>
        </w:rPr>
        <w:t>发放到位，均按时完成发放任务。</w:t>
      </w:r>
    </w:p>
    <w:p w14:paraId="051ECEC5">
      <w:pPr>
        <w:ind w:firstLine="708" w:firstLineChars="253"/>
        <w:rPr>
          <w:rFonts w:ascii="楷体" w:hAnsi="楷体" w:eastAsia="楷体"/>
          <w:b/>
          <w:w w:val="100"/>
          <w:sz w:val="28"/>
          <w:szCs w:val="28"/>
        </w:rPr>
      </w:pPr>
      <w:r>
        <w:rPr>
          <w:rFonts w:ascii="楷体" w:hAnsi="楷体" w:eastAsia="楷体"/>
          <w:b/>
          <w:w w:val="100"/>
          <w:sz w:val="28"/>
          <w:szCs w:val="28"/>
        </w:rPr>
        <w:t>b.2023年2月1日,市财政局下达</w:t>
      </w:r>
      <w:r>
        <w:rPr>
          <w:rFonts w:hint="eastAsia" w:ascii="楷体" w:hAnsi="楷体" w:eastAsia="楷体"/>
          <w:b/>
          <w:w w:val="100"/>
          <w:sz w:val="28"/>
          <w:szCs w:val="28"/>
        </w:rPr>
        <w:t>“</w:t>
      </w:r>
      <w:r>
        <w:rPr>
          <w:rFonts w:ascii="楷体" w:hAnsi="楷体" w:eastAsia="楷体"/>
          <w:b/>
          <w:w w:val="100"/>
          <w:sz w:val="28"/>
          <w:szCs w:val="28"/>
        </w:rPr>
        <w:t>中职奖助学金</w:t>
      </w:r>
      <w:r>
        <w:rPr>
          <w:rFonts w:hint="eastAsia" w:ascii="楷体" w:hAnsi="楷体" w:eastAsia="楷体"/>
          <w:b/>
          <w:w w:val="100"/>
          <w:sz w:val="28"/>
          <w:szCs w:val="28"/>
        </w:rPr>
        <w:t>”</w:t>
      </w:r>
      <w:r>
        <w:rPr>
          <w:rFonts w:ascii="楷体" w:hAnsi="楷体" w:eastAsia="楷体"/>
          <w:b/>
          <w:w w:val="100"/>
          <w:sz w:val="28"/>
          <w:szCs w:val="28"/>
        </w:rPr>
        <w:t>,湘财预〔2023〕0101号指标共1543.72万元，</w:t>
      </w:r>
      <w:r>
        <w:rPr>
          <w:rFonts w:ascii="楷体" w:hAnsi="楷体" w:eastAsia="楷体"/>
          <w:b/>
          <w:w w:val="100"/>
          <w:sz w:val="28"/>
          <w:szCs w:val="28"/>
        </w:rPr>
        <w:tab/>
      </w:r>
      <w:r>
        <w:rPr>
          <w:rFonts w:ascii="楷体" w:hAnsi="楷体" w:eastAsia="楷体"/>
          <w:b/>
          <w:w w:val="100"/>
          <w:sz w:val="28"/>
          <w:szCs w:val="28"/>
        </w:rPr>
        <w:t>支出1510.90万元，其中：</w:t>
      </w:r>
      <w:r>
        <w:rPr>
          <w:rFonts w:hint="eastAsia" w:ascii="楷体" w:hAnsi="楷体" w:eastAsia="楷体"/>
          <w:b/>
          <w:w w:val="100"/>
          <w:sz w:val="28"/>
          <w:szCs w:val="28"/>
        </w:rPr>
        <w:t>生活补助</w:t>
      </w:r>
      <w:r>
        <w:rPr>
          <w:rFonts w:ascii="楷体" w:hAnsi="楷体" w:eastAsia="楷体"/>
          <w:b/>
          <w:w w:val="100"/>
          <w:sz w:val="28"/>
          <w:szCs w:val="28"/>
        </w:rPr>
        <w:t>1510.90万元</w:t>
      </w:r>
      <w:r>
        <w:rPr>
          <w:rFonts w:hint="eastAsia" w:ascii="楷体" w:hAnsi="楷体" w:eastAsia="楷体"/>
          <w:b/>
          <w:w w:val="100"/>
          <w:sz w:val="28"/>
          <w:szCs w:val="28"/>
        </w:rPr>
        <w:t>；</w:t>
      </w:r>
    </w:p>
    <w:p w14:paraId="48AF971C">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依据现阶段中职、普高的国家资助政策完成符合资助条件</w:t>
      </w:r>
      <w:r>
        <w:rPr>
          <w:rFonts w:hint="eastAsia" w:ascii="仿宋" w:hAnsi="仿宋" w:eastAsia="仿宋"/>
          <w:w w:val="100"/>
          <w:sz w:val="28"/>
          <w:szCs w:val="28"/>
        </w:rPr>
        <w:t>的</w:t>
      </w:r>
      <w:r>
        <w:rPr>
          <w:rFonts w:ascii="仿宋" w:hAnsi="仿宋" w:eastAsia="仿宋"/>
          <w:w w:val="100"/>
          <w:sz w:val="28"/>
          <w:szCs w:val="28"/>
        </w:rPr>
        <w:t>学生资助</w:t>
      </w:r>
      <w:r>
        <w:rPr>
          <w:rFonts w:hint="eastAsia" w:ascii="仿宋" w:hAnsi="仿宋" w:eastAsia="仿宋"/>
          <w:w w:val="100"/>
          <w:sz w:val="28"/>
          <w:szCs w:val="28"/>
        </w:rPr>
        <w:t>，</w:t>
      </w:r>
      <w:r>
        <w:rPr>
          <w:rFonts w:ascii="仿宋" w:hAnsi="仿宋" w:eastAsia="仿宋" w:cs="Segoe UI"/>
          <w:w w:val="100"/>
          <w:sz w:val="28"/>
          <w:szCs w:val="28"/>
          <w:shd w:val="clear" w:color="auto" w:fill="FFFFFF"/>
        </w:rPr>
        <w:t>通过发放奖助学金，激励中等职业学校学生勤奋学习、积极进取，帮助家庭经济困难学生顺利完成学业，提升中等职业教育人才培养质量，促进中等职业教育健康发展，为社会输送更多技能型人才。</w:t>
      </w:r>
    </w:p>
    <w:p w14:paraId="2C94DA54">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（一）资助人数</w:t>
      </w:r>
      <w:r>
        <w:rPr>
          <w:rFonts w:hint="eastAsia" w:ascii="仿宋" w:hAnsi="仿宋" w:eastAsia="仿宋"/>
          <w:w w:val="100"/>
          <w:sz w:val="28"/>
          <w:szCs w:val="28"/>
        </w:rPr>
        <w:t>：</w:t>
      </w:r>
      <w:r>
        <w:rPr>
          <w:rFonts w:ascii="仿宋" w:hAnsi="仿宋" w:eastAsia="仿宋"/>
          <w:w w:val="100"/>
          <w:sz w:val="28"/>
          <w:szCs w:val="28"/>
        </w:rPr>
        <w:t>2023 年度实际资助家庭经济困难</w:t>
      </w:r>
      <w:r>
        <w:rPr>
          <w:rFonts w:hint="eastAsia" w:ascii="仿宋" w:hAnsi="仿宋" w:eastAsia="仿宋"/>
          <w:w w:val="100"/>
          <w:sz w:val="28"/>
          <w:szCs w:val="28"/>
        </w:rPr>
        <w:t>中职学</w:t>
      </w:r>
      <w:r>
        <w:rPr>
          <w:rFonts w:ascii="仿宋" w:hAnsi="仿宋" w:eastAsia="仿宋"/>
          <w:w w:val="100"/>
          <w:sz w:val="28"/>
          <w:szCs w:val="28"/>
        </w:rPr>
        <w:t>生</w:t>
      </w:r>
      <w:r>
        <w:rPr>
          <w:rFonts w:hint="eastAsia" w:ascii="仿宋" w:hAnsi="仿宋" w:eastAsia="仿宋"/>
          <w:w w:val="100"/>
          <w:sz w:val="28"/>
          <w:szCs w:val="28"/>
        </w:rPr>
        <w:t>22056</w:t>
      </w:r>
      <w:r>
        <w:rPr>
          <w:rFonts w:ascii="仿宋" w:hAnsi="仿宋" w:eastAsia="仿宋"/>
          <w:w w:val="100"/>
          <w:sz w:val="28"/>
          <w:szCs w:val="28"/>
        </w:rPr>
        <w:t>名，完成了年初计划的</w:t>
      </w:r>
      <w:r>
        <w:rPr>
          <w:rFonts w:hint="eastAsia" w:ascii="仿宋" w:hAnsi="仿宋" w:eastAsia="仿宋"/>
          <w:w w:val="100"/>
          <w:sz w:val="28"/>
          <w:szCs w:val="28"/>
        </w:rPr>
        <w:t>105.03</w:t>
      </w:r>
      <w:r>
        <w:rPr>
          <w:rFonts w:ascii="仿宋" w:hAnsi="仿宋" w:eastAsia="仿宋"/>
          <w:w w:val="100"/>
          <w:sz w:val="28"/>
          <w:szCs w:val="28"/>
        </w:rPr>
        <w:t>%。</w:t>
      </w:r>
    </w:p>
    <w:p w14:paraId="6BC8079F">
      <w:pPr>
        <w:ind w:firstLine="708" w:firstLineChars="253"/>
        <w:rPr>
          <w:rFonts w:ascii="仿宋" w:hAnsi="仿宋" w:eastAsia="仿宋"/>
          <w:w w:val="100"/>
          <w:sz w:val="28"/>
          <w:szCs w:val="28"/>
        </w:rPr>
      </w:pPr>
      <w:r>
        <w:rPr>
          <w:rFonts w:ascii="仿宋" w:hAnsi="仿宋" w:eastAsia="仿宋"/>
          <w:w w:val="100"/>
          <w:sz w:val="28"/>
          <w:szCs w:val="28"/>
        </w:rPr>
        <w:t>（二）精准发放</w:t>
      </w:r>
      <w:r>
        <w:rPr>
          <w:rFonts w:hint="eastAsia" w:ascii="仿宋" w:hAnsi="仿宋" w:eastAsia="仿宋"/>
          <w:w w:val="100"/>
          <w:sz w:val="28"/>
          <w:szCs w:val="28"/>
        </w:rPr>
        <w:t>：</w:t>
      </w:r>
      <w:r>
        <w:rPr>
          <w:rFonts w:ascii="仿宋" w:hAnsi="仿宋" w:eastAsia="仿宋"/>
          <w:w w:val="100"/>
          <w:sz w:val="28"/>
          <w:szCs w:val="28"/>
        </w:rPr>
        <w:t>经严格审核和认定，资助对象准确率达到了</w:t>
      </w:r>
      <w:r>
        <w:rPr>
          <w:rFonts w:hint="eastAsia" w:ascii="仿宋" w:hAnsi="仿宋" w:eastAsia="仿宋"/>
          <w:w w:val="100"/>
          <w:sz w:val="28"/>
          <w:szCs w:val="28"/>
        </w:rPr>
        <w:t>100</w:t>
      </w:r>
      <w:r>
        <w:rPr>
          <w:rFonts w:ascii="仿宋" w:hAnsi="仿宋" w:eastAsia="仿宋"/>
          <w:w w:val="100"/>
          <w:sz w:val="28"/>
          <w:szCs w:val="28"/>
        </w:rPr>
        <w:t>%，实现了精准资助。</w:t>
      </w:r>
    </w:p>
    <w:p w14:paraId="4BCB9A15">
      <w:pPr>
        <w:ind w:firstLine="708" w:firstLineChars="253"/>
        <w:rPr>
          <w:rFonts w:ascii="仿宋" w:hAnsi="仿宋" w:eastAsia="仿宋"/>
          <w:w w:val="100"/>
          <w:sz w:val="28"/>
          <w:szCs w:val="28"/>
        </w:rPr>
      </w:pPr>
      <w:r>
        <w:rPr>
          <w:rFonts w:ascii="仿宋" w:hAnsi="仿宋" w:eastAsia="仿宋"/>
          <w:w w:val="100"/>
          <w:sz w:val="28"/>
          <w:szCs w:val="28"/>
        </w:rPr>
        <w:t>（三）发放时效</w:t>
      </w:r>
      <w:r>
        <w:rPr>
          <w:rFonts w:hint="eastAsia" w:ascii="仿宋" w:hAnsi="仿宋" w:eastAsia="仿宋"/>
          <w:w w:val="100"/>
          <w:sz w:val="28"/>
          <w:szCs w:val="28"/>
        </w:rPr>
        <w:t>：</w:t>
      </w:r>
      <w:r>
        <w:rPr>
          <w:rFonts w:ascii="仿宋" w:hAnsi="仿宋" w:eastAsia="仿宋"/>
          <w:w w:val="100"/>
          <w:sz w:val="28"/>
          <w:szCs w:val="28"/>
        </w:rPr>
        <w:t>春季学期助学金于</w:t>
      </w:r>
      <w:r>
        <w:rPr>
          <w:rFonts w:hint="eastAsia" w:ascii="仿宋" w:hAnsi="仿宋" w:eastAsia="仿宋"/>
          <w:w w:val="100"/>
          <w:sz w:val="28"/>
          <w:szCs w:val="28"/>
        </w:rPr>
        <w:t>6月底</w:t>
      </w:r>
      <w:r>
        <w:rPr>
          <w:rFonts w:ascii="仿宋" w:hAnsi="仿宋" w:eastAsia="仿宋"/>
          <w:w w:val="100"/>
          <w:sz w:val="28"/>
          <w:szCs w:val="28"/>
        </w:rPr>
        <w:t>发放完毕，秋季学期助学金于</w:t>
      </w:r>
      <w:r>
        <w:rPr>
          <w:rFonts w:hint="eastAsia" w:ascii="仿宋" w:hAnsi="仿宋" w:eastAsia="仿宋"/>
          <w:w w:val="100"/>
          <w:sz w:val="28"/>
          <w:szCs w:val="28"/>
        </w:rPr>
        <w:t>年末</w:t>
      </w:r>
      <w:r>
        <w:rPr>
          <w:rFonts w:ascii="仿宋" w:hAnsi="仿宋" w:eastAsia="仿宋"/>
          <w:w w:val="100"/>
          <w:sz w:val="28"/>
          <w:szCs w:val="28"/>
        </w:rPr>
        <w:t>发放到位，均按时完成发放任务。</w:t>
      </w:r>
    </w:p>
    <w:p w14:paraId="21714538">
      <w:pPr>
        <w:ind w:firstLine="708" w:firstLineChars="253"/>
        <w:rPr>
          <w:rFonts w:ascii="仿宋" w:hAnsi="仿宋" w:eastAsia="仿宋"/>
          <w:w w:val="100"/>
          <w:sz w:val="28"/>
          <w:szCs w:val="28"/>
        </w:rPr>
      </w:pPr>
      <w:r>
        <w:rPr>
          <w:rFonts w:ascii="仿宋" w:hAnsi="仿宋" w:eastAsia="仿宋"/>
          <w:w w:val="100"/>
          <w:sz w:val="28"/>
          <w:szCs w:val="28"/>
        </w:rPr>
        <w:t>（</w:t>
      </w:r>
      <w:r>
        <w:rPr>
          <w:rFonts w:hint="eastAsia" w:ascii="仿宋" w:hAnsi="仿宋" w:eastAsia="仿宋"/>
          <w:w w:val="100"/>
          <w:sz w:val="28"/>
          <w:szCs w:val="28"/>
        </w:rPr>
        <w:t>四</w:t>
      </w:r>
      <w:r>
        <w:rPr>
          <w:rFonts w:ascii="仿宋" w:hAnsi="仿宋" w:eastAsia="仿宋"/>
          <w:w w:val="100"/>
          <w:sz w:val="28"/>
          <w:szCs w:val="28"/>
        </w:rPr>
        <w:t>）学生学习积极性</w:t>
      </w:r>
      <w:r>
        <w:rPr>
          <w:rFonts w:hint="eastAsia" w:ascii="仿宋" w:hAnsi="仿宋" w:eastAsia="仿宋"/>
          <w:w w:val="100"/>
          <w:sz w:val="28"/>
          <w:szCs w:val="28"/>
        </w:rPr>
        <w:t>：</w:t>
      </w:r>
      <w:r>
        <w:rPr>
          <w:rFonts w:ascii="仿宋" w:hAnsi="仿宋" w:eastAsia="仿宋"/>
          <w:w w:val="100"/>
          <w:sz w:val="28"/>
          <w:szCs w:val="28"/>
        </w:rPr>
        <w:t>通过对受助学生的跟踪调查和学校反馈，受助学生的学习积极性明显提高，学习成绩和专业技能水平有显著提升。</w:t>
      </w:r>
    </w:p>
    <w:p w14:paraId="21766073">
      <w:pPr>
        <w:ind w:firstLine="708" w:firstLineChars="253"/>
        <w:rPr>
          <w:rFonts w:ascii="仿宋" w:hAnsi="仿宋" w:eastAsia="仿宋"/>
          <w:w w:val="100"/>
          <w:sz w:val="28"/>
          <w:szCs w:val="28"/>
        </w:rPr>
      </w:pPr>
      <w:r>
        <w:rPr>
          <w:rFonts w:ascii="仿宋" w:hAnsi="仿宋" w:eastAsia="仿宋"/>
          <w:w w:val="100"/>
          <w:sz w:val="28"/>
          <w:szCs w:val="28"/>
        </w:rPr>
        <w:t>（</w:t>
      </w:r>
      <w:r>
        <w:rPr>
          <w:rFonts w:hint="eastAsia" w:ascii="仿宋" w:hAnsi="仿宋" w:eastAsia="仿宋"/>
          <w:w w:val="100"/>
          <w:sz w:val="28"/>
          <w:szCs w:val="28"/>
        </w:rPr>
        <w:t>五</w:t>
      </w:r>
      <w:r>
        <w:rPr>
          <w:rFonts w:ascii="仿宋" w:hAnsi="仿宋" w:eastAsia="仿宋"/>
          <w:w w:val="100"/>
          <w:sz w:val="28"/>
          <w:szCs w:val="28"/>
        </w:rPr>
        <w:t>）社会认可度</w:t>
      </w:r>
      <w:r>
        <w:rPr>
          <w:rFonts w:hint="eastAsia" w:ascii="仿宋" w:hAnsi="仿宋" w:eastAsia="仿宋"/>
          <w:w w:val="100"/>
          <w:sz w:val="28"/>
          <w:szCs w:val="28"/>
        </w:rPr>
        <w:t>：</w:t>
      </w:r>
      <w:r>
        <w:rPr>
          <w:rFonts w:ascii="仿宋" w:hAnsi="仿宋" w:eastAsia="仿宋"/>
          <w:w w:val="100"/>
          <w:sz w:val="28"/>
          <w:szCs w:val="28"/>
        </w:rPr>
        <w:t>通过对学生家长、用人单位和社会公众的调查了解，社会对中等职业教育的认可度和关注度有所提高，对中职奖助学金政策的满意度较高。</w:t>
      </w:r>
    </w:p>
    <w:p w14:paraId="05E18C7C">
      <w:pPr>
        <w:ind w:firstLine="708" w:firstLineChars="253"/>
        <w:rPr>
          <w:rFonts w:ascii="楷体" w:hAnsi="楷体" w:eastAsia="楷体"/>
          <w:b/>
          <w:w w:val="100"/>
          <w:sz w:val="28"/>
          <w:szCs w:val="28"/>
        </w:rPr>
      </w:pPr>
      <w:r>
        <w:rPr>
          <w:rFonts w:ascii="楷体" w:hAnsi="楷体" w:eastAsia="楷体"/>
          <w:b/>
          <w:w w:val="100"/>
          <w:sz w:val="28"/>
          <w:szCs w:val="28"/>
        </w:rPr>
        <w:t>c.2023年2月1日,市财政局下达</w:t>
      </w:r>
      <w:r>
        <w:rPr>
          <w:rFonts w:hint="eastAsia" w:ascii="楷体" w:hAnsi="楷体" w:eastAsia="楷体"/>
          <w:b/>
          <w:w w:val="100"/>
          <w:sz w:val="28"/>
          <w:szCs w:val="28"/>
        </w:rPr>
        <w:t>“</w:t>
      </w:r>
      <w:r>
        <w:rPr>
          <w:rFonts w:ascii="楷体" w:hAnsi="楷体" w:eastAsia="楷体"/>
          <w:b/>
          <w:w w:val="100"/>
          <w:sz w:val="28"/>
          <w:szCs w:val="28"/>
        </w:rPr>
        <w:t>高中助学金市级资金</w:t>
      </w:r>
      <w:r>
        <w:rPr>
          <w:rFonts w:hint="eastAsia" w:ascii="楷体" w:hAnsi="楷体" w:eastAsia="楷体"/>
          <w:b/>
          <w:w w:val="100"/>
          <w:sz w:val="28"/>
          <w:szCs w:val="28"/>
        </w:rPr>
        <w:t>”</w:t>
      </w:r>
      <w:r>
        <w:rPr>
          <w:rFonts w:ascii="楷体" w:hAnsi="楷体" w:eastAsia="楷体"/>
          <w:b/>
          <w:w w:val="100"/>
          <w:sz w:val="28"/>
          <w:szCs w:val="28"/>
        </w:rPr>
        <w:t>,怀财教字〔2023〕9999号指标共</w:t>
      </w:r>
      <w:r>
        <w:rPr>
          <w:rFonts w:ascii="楷体" w:hAnsi="楷体" w:eastAsia="楷体"/>
          <w:b/>
          <w:w w:val="100"/>
          <w:sz w:val="28"/>
          <w:szCs w:val="28"/>
        </w:rPr>
        <w:tab/>
      </w:r>
      <w:r>
        <w:rPr>
          <w:rFonts w:ascii="楷体" w:hAnsi="楷体" w:eastAsia="楷体"/>
          <w:b/>
          <w:w w:val="100"/>
          <w:sz w:val="28"/>
          <w:szCs w:val="28"/>
        </w:rPr>
        <w:t>6.30万元，支出6.30万元，其中：</w:t>
      </w:r>
      <w:r>
        <w:rPr>
          <w:rFonts w:hint="eastAsia" w:ascii="楷体" w:hAnsi="楷体" w:eastAsia="楷体"/>
          <w:b/>
          <w:w w:val="100"/>
          <w:sz w:val="28"/>
          <w:szCs w:val="28"/>
        </w:rPr>
        <w:t>生活补助6.30</w:t>
      </w:r>
      <w:r>
        <w:rPr>
          <w:rFonts w:ascii="楷体" w:hAnsi="楷体" w:eastAsia="楷体"/>
          <w:b/>
          <w:w w:val="100"/>
          <w:sz w:val="28"/>
          <w:szCs w:val="28"/>
        </w:rPr>
        <w:t>万元</w:t>
      </w:r>
      <w:r>
        <w:rPr>
          <w:rFonts w:hint="eastAsia" w:ascii="楷体" w:hAnsi="楷体" w:eastAsia="楷体"/>
          <w:b/>
          <w:w w:val="100"/>
          <w:sz w:val="28"/>
          <w:szCs w:val="28"/>
        </w:rPr>
        <w:t>；</w:t>
      </w:r>
    </w:p>
    <w:p w14:paraId="511803F2">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依据现阶段中职、普高的国家资助政策完成符合资助条件</w:t>
      </w:r>
      <w:r>
        <w:rPr>
          <w:rFonts w:hint="eastAsia" w:ascii="仿宋" w:hAnsi="仿宋" w:eastAsia="仿宋"/>
          <w:w w:val="100"/>
          <w:sz w:val="28"/>
          <w:szCs w:val="28"/>
        </w:rPr>
        <w:t>的</w:t>
      </w:r>
      <w:r>
        <w:rPr>
          <w:rFonts w:ascii="仿宋" w:hAnsi="仿宋" w:eastAsia="仿宋"/>
          <w:w w:val="100"/>
          <w:sz w:val="28"/>
          <w:szCs w:val="28"/>
        </w:rPr>
        <w:t>学生资助</w:t>
      </w:r>
      <w:r>
        <w:rPr>
          <w:rFonts w:hint="eastAsia" w:ascii="仿宋" w:hAnsi="仿宋" w:eastAsia="仿宋"/>
          <w:w w:val="100"/>
          <w:sz w:val="28"/>
          <w:szCs w:val="28"/>
        </w:rPr>
        <w:t>，</w:t>
      </w:r>
      <w:r>
        <w:rPr>
          <w:rFonts w:ascii="仿宋" w:hAnsi="仿宋" w:eastAsia="仿宋" w:cs="Segoe UI"/>
          <w:w w:val="100"/>
          <w:sz w:val="28"/>
          <w:szCs w:val="28"/>
          <w:shd w:val="clear" w:color="auto" w:fill="FFFFFF"/>
        </w:rPr>
        <w:t>通过实施高中助学金项目，减轻家庭经济困难高中生的经济负担，确保他们能够顺利完成高中学业，促进教育公平和社会和谐发展。</w:t>
      </w:r>
    </w:p>
    <w:p w14:paraId="7C9E11F0">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（一）资助人数</w:t>
      </w:r>
      <w:r>
        <w:rPr>
          <w:rFonts w:hint="eastAsia" w:ascii="仿宋" w:hAnsi="仿宋" w:eastAsia="仿宋"/>
          <w:w w:val="100"/>
          <w:sz w:val="28"/>
          <w:szCs w:val="28"/>
        </w:rPr>
        <w:t>：</w:t>
      </w:r>
      <w:r>
        <w:rPr>
          <w:rFonts w:ascii="仿宋" w:hAnsi="仿宋" w:eastAsia="仿宋"/>
          <w:w w:val="100"/>
          <w:sz w:val="28"/>
          <w:szCs w:val="28"/>
        </w:rPr>
        <w:t>2023 年度实际资助家庭经济困难高中生</w:t>
      </w:r>
      <w:r>
        <w:rPr>
          <w:rFonts w:hint="eastAsia" w:ascii="仿宋" w:hAnsi="仿宋" w:eastAsia="仿宋"/>
          <w:w w:val="100"/>
          <w:sz w:val="28"/>
          <w:szCs w:val="28"/>
        </w:rPr>
        <w:t>6790</w:t>
      </w:r>
      <w:r>
        <w:rPr>
          <w:rFonts w:ascii="仿宋" w:hAnsi="仿宋" w:eastAsia="仿宋"/>
          <w:w w:val="100"/>
          <w:sz w:val="28"/>
          <w:szCs w:val="28"/>
        </w:rPr>
        <w:t>名，完成了年初计划的</w:t>
      </w:r>
      <w:r>
        <w:rPr>
          <w:rFonts w:hint="eastAsia" w:ascii="仿宋" w:hAnsi="仿宋" w:eastAsia="仿宋"/>
          <w:w w:val="100"/>
          <w:sz w:val="28"/>
          <w:szCs w:val="28"/>
        </w:rPr>
        <w:t>104.46</w:t>
      </w:r>
      <w:r>
        <w:rPr>
          <w:rFonts w:ascii="仿宋" w:hAnsi="仿宋" w:eastAsia="仿宋"/>
          <w:w w:val="100"/>
          <w:sz w:val="28"/>
          <w:szCs w:val="28"/>
        </w:rPr>
        <w:t>%。</w:t>
      </w:r>
    </w:p>
    <w:p w14:paraId="7C3A42A0">
      <w:pPr>
        <w:ind w:firstLine="708" w:firstLineChars="253"/>
        <w:rPr>
          <w:rFonts w:ascii="仿宋" w:hAnsi="仿宋" w:eastAsia="仿宋"/>
          <w:w w:val="100"/>
          <w:sz w:val="28"/>
          <w:szCs w:val="28"/>
        </w:rPr>
      </w:pPr>
      <w:r>
        <w:rPr>
          <w:rFonts w:ascii="仿宋" w:hAnsi="仿宋" w:eastAsia="仿宋"/>
          <w:w w:val="100"/>
          <w:sz w:val="28"/>
          <w:szCs w:val="28"/>
        </w:rPr>
        <w:t>（二）精准发放</w:t>
      </w:r>
      <w:r>
        <w:rPr>
          <w:rFonts w:hint="eastAsia" w:ascii="仿宋" w:hAnsi="仿宋" w:eastAsia="仿宋"/>
          <w:w w:val="100"/>
          <w:sz w:val="28"/>
          <w:szCs w:val="28"/>
        </w:rPr>
        <w:t>：</w:t>
      </w:r>
      <w:r>
        <w:rPr>
          <w:rFonts w:ascii="仿宋" w:hAnsi="仿宋" w:eastAsia="仿宋"/>
          <w:w w:val="100"/>
          <w:sz w:val="28"/>
          <w:szCs w:val="28"/>
        </w:rPr>
        <w:t>经严格审核和认定，资助对象准确率达到了</w:t>
      </w:r>
      <w:r>
        <w:rPr>
          <w:rFonts w:hint="eastAsia" w:ascii="仿宋" w:hAnsi="仿宋" w:eastAsia="仿宋"/>
          <w:w w:val="100"/>
          <w:sz w:val="28"/>
          <w:szCs w:val="28"/>
        </w:rPr>
        <w:t>100</w:t>
      </w:r>
      <w:r>
        <w:rPr>
          <w:rFonts w:ascii="仿宋" w:hAnsi="仿宋" w:eastAsia="仿宋"/>
          <w:w w:val="100"/>
          <w:sz w:val="28"/>
          <w:szCs w:val="28"/>
        </w:rPr>
        <w:t>%，实现了精准资助。</w:t>
      </w:r>
    </w:p>
    <w:p w14:paraId="081B5CA3">
      <w:pPr>
        <w:ind w:firstLine="708" w:firstLineChars="253"/>
        <w:rPr>
          <w:rFonts w:ascii="仿宋" w:hAnsi="仿宋" w:eastAsia="仿宋"/>
          <w:w w:val="100"/>
          <w:sz w:val="28"/>
          <w:szCs w:val="28"/>
        </w:rPr>
      </w:pPr>
      <w:r>
        <w:rPr>
          <w:rFonts w:ascii="仿宋" w:hAnsi="仿宋" w:eastAsia="仿宋"/>
          <w:w w:val="100"/>
          <w:sz w:val="28"/>
          <w:szCs w:val="28"/>
        </w:rPr>
        <w:t>（三）发放时效</w:t>
      </w:r>
      <w:r>
        <w:rPr>
          <w:rFonts w:hint="eastAsia" w:ascii="仿宋" w:hAnsi="仿宋" w:eastAsia="仿宋"/>
          <w:w w:val="100"/>
          <w:sz w:val="28"/>
          <w:szCs w:val="28"/>
        </w:rPr>
        <w:t>：</w:t>
      </w:r>
      <w:r>
        <w:rPr>
          <w:rFonts w:ascii="仿宋" w:hAnsi="仿宋" w:eastAsia="仿宋"/>
          <w:w w:val="100"/>
          <w:sz w:val="28"/>
          <w:szCs w:val="28"/>
        </w:rPr>
        <w:t>春季学期助学金于</w:t>
      </w:r>
      <w:r>
        <w:rPr>
          <w:rFonts w:hint="eastAsia" w:ascii="仿宋" w:hAnsi="仿宋" w:eastAsia="仿宋"/>
          <w:w w:val="100"/>
          <w:sz w:val="28"/>
          <w:szCs w:val="28"/>
        </w:rPr>
        <w:t>6月底</w:t>
      </w:r>
      <w:r>
        <w:rPr>
          <w:rFonts w:ascii="仿宋" w:hAnsi="仿宋" w:eastAsia="仿宋"/>
          <w:w w:val="100"/>
          <w:sz w:val="28"/>
          <w:szCs w:val="28"/>
        </w:rPr>
        <w:t>发放完毕，秋季学期助学金于</w:t>
      </w:r>
      <w:r>
        <w:rPr>
          <w:rFonts w:hint="eastAsia" w:ascii="仿宋" w:hAnsi="仿宋" w:eastAsia="仿宋"/>
          <w:w w:val="100"/>
          <w:sz w:val="28"/>
          <w:szCs w:val="28"/>
        </w:rPr>
        <w:t>年末</w:t>
      </w:r>
      <w:r>
        <w:rPr>
          <w:rFonts w:ascii="仿宋" w:hAnsi="仿宋" w:eastAsia="仿宋"/>
          <w:w w:val="100"/>
          <w:sz w:val="28"/>
          <w:szCs w:val="28"/>
        </w:rPr>
        <w:t>发放到位，均按时完成发放任务。</w:t>
      </w:r>
    </w:p>
    <w:p w14:paraId="1F0B78ED">
      <w:pPr>
        <w:ind w:firstLine="708" w:firstLineChars="253"/>
        <w:rPr>
          <w:rFonts w:ascii="楷体" w:hAnsi="楷体" w:eastAsia="楷体"/>
          <w:b/>
          <w:w w:val="100"/>
          <w:sz w:val="28"/>
          <w:szCs w:val="28"/>
        </w:rPr>
      </w:pPr>
      <w:r>
        <w:rPr>
          <w:rFonts w:ascii="楷体" w:hAnsi="楷体" w:eastAsia="楷体"/>
          <w:b/>
          <w:w w:val="100"/>
          <w:sz w:val="28"/>
          <w:szCs w:val="28"/>
        </w:rPr>
        <w:t>d.2023年2月1日,市财政局下达普通高中国家助学金,湘财预〔2023〕0101号指标共</w:t>
      </w:r>
      <w:r>
        <w:rPr>
          <w:rFonts w:ascii="楷体" w:hAnsi="楷体" w:eastAsia="楷体"/>
          <w:b/>
          <w:w w:val="100"/>
          <w:sz w:val="28"/>
          <w:szCs w:val="28"/>
        </w:rPr>
        <w:tab/>
      </w:r>
      <w:r>
        <w:rPr>
          <w:rFonts w:ascii="楷体" w:hAnsi="楷体" w:eastAsia="楷体"/>
          <w:b/>
          <w:w w:val="100"/>
          <w:sz w:val="28"/>
          <w:szCs w:val="28"/>
        </w:rPr>
        <w:t>645.84万元，支出527.84万元，其中：</w:t>
      </w:r>
      <w:r>
        <w:rPr>
          <w:rFonts w:hint="eastAsia" w:ascii="楷体" w:hAnsi="楷体" w:eastAsia="楷体"/>
          <w:b/>
          <w:w w:val="100"/>
          <w:sz w:val="28"/>
          <w:szCs w:val="28"/>
        </w:rPr>
        <w:t>生活补助</w:t>
      </w:r>
      <w:r>
        <w:rPr>
          <w:rFonts w:ascii="楷体" w:hAnsi="楷体" w:eastAsia="楷体"/>
          <w:b/>
          <w:w w:val="100"/>
          <w:sz w:val="28"/>
          <w:szCs w:val="28"/>
        </w:rPr>
        <w:t>165.85万元</w:t>
      </w:r>
      <w:r>
        <w:rPr>
          <w:rFonts w:hint="eastAsia" w:ascii="楷体" w:hAnsi="楷体" w:eastAsia="楷体"/>
          <w:b/>
          <w:w w:val="100"/>
          <w:sz w:val="28"/>
          <w:szCs w:val="28"/>
        </w:rPr>
        <w:t>、助学金</w:t>
      </w:r>
      <w:r>
        <w:rPr>
          <w:rFonts w:ascii="楷体" w:hAnsi="楷体" w:eastAsia="楷体"/>
          <w:b/>
          <w:w w:val="100"/>
          <w:sz w:val="28"/>
          <w:szCs w:val="28"/>
        </w:rPr>
        <w:t>361.99万元</w:t>
      </w:r>
      <w:r>
        <w:rPr>
          <w:rFonts w:hint="eastAsia" w:ascii="楷体" w:hAnsi="楷体" w:eastAsia="楷体"/>
          <w:b/>
          <w:w w:val="100"/>
          <w:sz w:val="28"/>
          <w:szCs w:val="28"/>
        </w:rPr>
        <w:t>；</w:t>
      </w:r>
    </w:p>
    <w:p w14:paraId="79D36387">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依据现阶段中职、普高的国家资助政策完成符合资助条件</w:t>
      </w:r>
      <w:r>
        <w:rPr>
          <w:rFonts w:hint="eastAsia" w:ascii="仿宋" w:hAnsi="仿宋" w:eastAsia="仿宋"/>
          <w:w w:val="100"/>
          <w:sz w:val="28"/>
          <w:szCs w:val="28"/>
        </w:rPr>
        <w:t>的</w:t>
      </w:r>
      <w:r>
        <w:rPr>
          <w:rFonts w:ascii="仿宋" w:hAnsi="仿宋" w:eastAsia="仿宋"/>
          <w:w w:val="100"/>
          <w:sz w:val="28"/>
          <w:szCs w:val="28"/>
        </w:rPr>
        <w:t>学生资助</w:t>
      </w:r>
      <w:r>
        <w:rPr>
          <w:rFonts w:hint="eastAsia" w:ascii="仿宋" w:hAnsi="仿宋" w:eastAsia="仿宋"/>
          <w:w w:val="100"/>
          <w:sz w:val="28"/>
          <w:szCs w:val="28"/>
        </w:rPr>
        <w:t>，</w:t>
      </w:r>
      <w:r>
        <w:rPr>
          <w:rFonts w:ascii="仿宋" w:hAnsi="仿宋" w:eastAsia="仿宋" w:cs="Segoe UI"/>
          <w:w w:val="100"/>
          <w:sz w:val="28"/>
          <w:szCs w:val="28"/>
          <w:shd w:val="clear" w:color="auto" w:fill="FFFFFF"/>
        </w:rPr>
        <w:t>通过实施高中助学金项目，减轻家庭经济困难高中生的经济负担，确保他们能够顺利完成高中学业，促进教育公平和社会和谐发展。</w:t>
      </w:r>
    </w:p>
    <w:p w14:paraId="7BF5190D">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（一）资助人数</w:t>
      </w:r>
      <w:r>
        <w:rPr>
          <w:rFonts w:hint="eastAsia" w:ascii="仿宋" w:hAnsi="仿宋" w:eastAsia="仿宋"/>
          <w:w w:val="100"/>
          <w:sz w:val="28"/>
          <w:szCs w:val="28"/>
        </w:rPr>
        <w:t>：</w:t>
      </w:r>
      <w:r>
        <w:rPr>
          <w:rFonts w:ascii="仿宋" w:hAnsi="仿宋" w:eastAsia="仿宋"/>
          <w:w w:val="100"/>
          <w:sz w:val="28"/>
          <w:szCs w:val="28"/>
        </w:rPr>
        <w:t>2023 年度实际资助家庭经济困难高中生</w:t>
      </w:r>
      <w:r>
        <w:rPr>
          <w:rFonts w:hint="eastAsia" w:ascii="仿宋" w:hAnsi="仿宋" w:eastAsia="仿宋"/>
          <w:w w:val="100"/>
          <w:sz w:val="28"/>
          <w:szCs w:val="28"/>
        </w:rPr>
        <w:t>6790</w:t>
      </w:r>
      <w:r>
        <w:rPr>
          <w:rFonts w:ascii="仿宋" w:hAnsi="仿宋" w:eastAsia="仿宋"/>
          <w:w w:val="100"/>
          <w:sz w:val="28"/>
          <w:szCs w:val="28"/>
        </w:rPr>
        <w:t>名，完成了年初计划的</w:t>
      </w:r>
      <w:r>
        <w:rPr>
          <w:rFonts w:hint="eastAsia" w:ascii="仿宋" w:hAnsi="仿宋" w:eastAsia="仿宋"/>
          <w:w w:val="100"/>
          <w:sz w:val="28"/>
          <w:szCs w:val="28"/>
        </w:rPr>
        <w:t>104.46</w:t>
      </w:r>
      <w:r>
        <w:rPr>
          <w:rFonts w:ascii="仿宋" w:hAnsi="仿宋" w:eastAsia="仿宋"/>
          <w:w w:val="100"/>
          <w:sz w:val="28"/>
          <w:szCs w:val="28"/>
        </w:rPr>
        <w:t>%。</w:t>
      </w:r>
    </w:p>
    <w:p w14:paraId="5C980EDC">
      <w:pPr>
        <w:ind w:firstLine="708" w:firstLineChars="253"/>
        <w:rPr>
          <w:rFonts w:ascii="仿宋" w:hAnsi="仿宋" w:eastAsia="仿宋"/>
          <w:w w:val="100"/>
          <w:sz w:val="28"/>
          <w:szCs w:val="28"/>
        </w:rPr>
      </w:pPr>
      <w:r>
        <w:rPr>
          <w:rFonts w:ascii="仿宋" w:hAnsi="仿宋" w:eastAsia="仿宋"/>
          <w:w w:val="100"/>
          <w:sz w:val="28"/>
          <w:szCs w:val="28"/>
        </w:rPr>
        <w:t>（二）精准发放</w:t>
      </w:r>
      <w:r>
        <w:rPr>
          <w:rFonts w:hint="eastAsia" w:ascii="仿宋" w:hAnsi="仿宋" w:eastAsia="仿宋"/>
          <w:w w:val="100"/>
          <w:sz w:val="28"/>
          <w:szCs w:val="28"/>
        </w:rPr>
        <w:t>：</w:t>
      </w:r>
      <w:r>
        <w:rPr>
          <w:rFonts w:ascii="仿宋" w:hAnsi="仿宋" w:eastAsia="仿宋"/>
          <w:w w:val="100"/>
          <w:sz w:val="28"/>
          <w:szCs w:val="28"/>
        </w:rPr>
        <w:t>经严格审核和认定，资助对象准确率达到了</w:t>
      </w:r>
      <w:r>
        <w:rPr>
          <w:rFonts w:hint="eastAsia" w:ascii="仿宋" w:hAnsi="仿宋" w:eastAsia="仿宋"/>
          <w:w w:val="100"/>
          <w:sz w:val="28"/>
          <w:szCs w:val="28"/>
        </w:rPr>
        <w:t>100</w:t>
      </w:r>
      <w:r>
        <w:rPr>
          <w:rFonts w:ascii="仿宋" w:hAnsi="仿宋" w:eastAsia="仿宋"/>
          <w:w w:val="100"/>
          <w:sz w:val="28"/>
          <w:szCs w:val="28"/>
        </w:rPr>
        <w:t>%，实现了精准资助。</w:t>
      </w:r>
    </w:p>
    <w:p w14:paraId="46BA32C3">
      <w:pPr>
        <w:ind w:firstLine="708" w:firstLineChars="253"/>
        <w:rPr>
          <w:rFonts w:ascii="仿宋" w:hAnsi="仿宋" w:eastAsia="仿宋"/>
          <w:w w:val="100"/>
          <w:sz w:val="28"/>
          <w:szCs w:val="28"/>
        </w:rPr>
      </w:pPr>
      <w:r>
        <w:rPr>
          <w:rFonts w:ascii="仿宋" w:hAnsi="仿宋" w:eastAsia="仿宋"/>
          <w:w w:val="100"/>
          <w:sz w:val="28"/>
          <w:szCs w:val="28"/>
        </w:rPr>
        <w:t>（三）发放时效</w:t>
      </w:r>
      <w:r>
        <w:rPr>
          <w:rFonts w:hint="eastAsia" w:ascii="仿宋" w:hAnsi="仿宋" w:eastAsia="仿宋"/>
          <w:w w:val="100"/>
          <w:sz w:val="28"/>
          <w:szCs w:val="28"/>
        </w:rPr>
        <w:t>：</w:t>
      </w:r>
      <w:r>
        <w:rPr>
          <w:rFonts w:ascii="仿宋" w:hAnsi="仿宋" w:eastAsia="仿宋"/>
          <w:w w:val="100"/>
          <w:sz w:val="28"/>
          <w:szCs w:val="28"/>
        </w:rPr>
        <w:t>春季学期助学金于</w:t>
      </w:r>
      <w:r>
        <w:rPr>
          <w:rFonts w:hint="eastAsia" w:ascii="仿宋" w:hAnsi="仿宋" w:eastAsia="仿宋"/>
          <w:w w:val="100"/>
          <w:sz w:val="28"/>
          <w:szCs w:val="28"/>
        </w:rPr>
        <w:t>6月底</w:t>
      </w:r>
      <w:r>
        <w:rPr>
          <w:rFonts w:ascii="仿宋" w:hAnsi="仿宋" w:eastAsia="仿宋"/>
          <w:w w:val="100"/>
          <w:sz w:val="28"/>
          <w:szCs w:val="28"/>
        </w:rPr>
        <w:t>发放完毕，秋季学期助学金于</w:t>
      </w:r>
      <w:r>
        <w:rPr>
          <w:rFonts w:hint="eastAsia" w:ascii="仿宋" w:hAnsi="仿宋" w:eastAsia="仿宋"/>
          <w:w w:val="100"/>
          <w:sz w:val="28"/>
          <w:szCs w:val="28"/>
        </w:rPr>
        <w:t>年末</w:t>
      </w:r>
      <w:r>
        <w:rPr>
          <w:rFonts w:ascii="仿宋" w:hAnsi="仿宋" w:eastAsia="仿宋"/>
          <w:w w:val="100"/>
          <w:sz w:val="28"/>
          <w:szCs w:val="28"/>
        </w:rPr>
        <w:t>发放到位，均按时完成发放任务。</w:t>
      </w:r>
    </w:p>
    <w:p w14:paraId="55A0F87C">
      <w:pPr>
        <w:ind w:firstLine="708" w:firstLineChars="253"/>
        <w:rPr>
          <w:rFonts w:ascii="楷体" w:hAnsi="楷体" w:eastAsia="楷体"/>
          <w:b/>
          <w:w w:val="100"/>
          <w:sz w:val="28"/>
          <w:szCs w:val="28"/>
        </w:rPr>
      </w:pPr>
      <w:r>
        <w:rPr>
          <w:rFonts w:ascii="楷体" w:hAnsi="楷体" w:eastAsia="楷体"/>
          <w:b/>
          <w:w w:val="100"/>
          <w:sz w:val="28"/>
          <w:szCs w:val="28"/>
        </w:rPr>
        <w:t>e.2023年12月21日</w:t>
      </w:r>
      <w:r>
        <w:rPr>
          <w:rFonts w:ascii="楷体" w:hAnsi="楷体" w:eastAsia="楷体"/>
          <w:b/>
          <w:w w:val="100"/>
          <w:sz w:val="28"/>
          <w:szCs w:val="28"/>
        </w:rPr>
        <w:tab/>
      </w:r>
      <w:r>
        <w:rPr>
          <w:rFonts w:ascii="楷体" w:hAnsi="楷体" w:eastAsia="楷体"/>
          <w:b/>
          <w:w w:val="100"/>
          <w:sz w:val="28"/>
          <w:szCs w:val="28"/>
        </w:rPr>
        <w:t>,市财政局下达</w:t>
      </w:r>
      <w:r>
        <w:rPr>
          <w:rFonts w:hint="eastAsia" w:ascii="楷体" w:hAnsi="楷体" w:eastAsia="楷体"/>
          <w:b/>
          <w:w w:val="100"/>
          <w:sz w:val="28"/>
          <w:szCs w:val="28"/>
        </w:rPr>
        <w:t>“</w:t>
      </w:r>
      <w:r>
        <w:rPr>
          <w:rFonts w:ascii="楷体" w:hAnsi="楷体" w:eastAsia="楷体"/>
          <w:b/>
          <w:w w:val="100"/>
          <w:sz w:val="28"/>
          <w:szCs w:val="28"/>
        </w:rPr>
        <w:t>中职奖助学金市级资金</w:t>
      </w:r>
      <w:r>
        <w:rPr>
          <w:rFonts w:hint="eastAsia" w:ascii="楷体" w:hAnsi="楷体" w:eastAsia="楷体"/>
          <w:b/>
          <w:w w:val="100"/>
          <w:sz w:val="28"/>
          <w:szCs w:val="28"/>
        </w:rPr>
        <w:t>”</w:t>
      </w:r>
      <w:r>
        <w:rPr>
          <w:rFonts w:ascii="楷体" w:hAnsi="楷体" w:eastAsia="楷体"/>
          <w:b/>
          <w:w w:val="100"/>
          <w:sz w:val="28"/>
          <w:szCs w:val="28"/>
        </w:rPr>
        <w:t>,湘财预〔2023〕0279号指标共537.40万元，支出370.90万元，其中：</w:t>
      </w:r>
      <w:r>
        <w:rPr>
          <w:rFonts w:hint="eastAsia" w:ascii="楷体" w:hAnsi="楷体" w:eastAsia="楷体"/>
          <w:b/>
          <w:w w:val="100"/>
          <w:sz w:val="28"/>
          <w:szCs w:val="28"/>
        </w:rPr>
        <w:t>生活补助</w:t>
      </w:r>
      <w:r>
        <w:rPr>
          <w:rFonts w:ascii="楷体" w:hAnsi="楷体" w:eastAsia="楷体"/>
          <w:b/>
          <w:w w:val="100"/>
          <w:sz w:val="28"/>
          <w:szCs w:val="28"/>
        </w:rPr>
        <w:t>200.00万元</w:t>
      </w:r>
      <w:r>
        <w:rPr>
          <w:rFonts w:hint="eastAsia" w:ascii="楷体" w:hAnsi="楷体" w:eastAsia="楷体"/>
          <w:b/>
          <w:w w:val="100"/>
          <w:sz w:val="28"/>
          <w:szCs w:val="28"/>
        </w:rPr>
        <w:t>、助学金</w:t>
      </w:r>
      <w:r>
        <w:rPr>
          <w:rFonts w:ascii="楷体" w:hAnsi="楷体" w:eastAsia="楷体"/>
          <w:b/>
          <w:w w:val="100"/>
          <w:sz w:val="28"/>
          <w:szCs w:val="28"/>
        </w:rPr>
        <w:t>170.90万元</w:t>
      </w:r>
      <w:r>
        <w:rPr>
          <w:rFonts w:hint="eastAsia" w:ascii="楷体" w:hAnsi="楷体" w:eastAsia="楷体"/>
          <w:b/>
          <w:w w:val="100"/>
          <w:sz w:val="28"/>
          <w:szCs w:val="28"/>
        </w:rPr>
        <w:t>；</w:t>
      </w:r>
    </w:p>
    <w:p w14:paraId="19BD4412">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依据现阶段中职、普高的国家资助政策完成符合资助条件</w:t>
      </w:r>
      <w:r>
        <w:rPr>
          <w:rFonts w:hint="eastAsia" w:ascii="仿宋" w:hAnsi="仿宋" w:eastAsia="仿宋"/>
          <w:w w:val="100"/>
          <w:sz w:val="28"/>
          <w:szCs w:val="28"/>
        </w:rPr>
        <w:t>的</w:t>
      </w:r>
      <w:r>
        <w:rPr>
          <w:rFonts w:ascii="仿宋" w:hAnsi="仿宋" w:eastAsia="仿宋"/>
          <w:w w:val="100"/>
          <w:sz w:val="28"/>
          <w:szCs w:val="28"/>
        </w:rPr>
        <w:t>学生资助</w:t>
      </w:r>
      <w:r>
        <w:rPr>
          <w:rFonts w:hint="eastAsia" w:ascii="仿宋" w:hAnsi="仿宋" w:eastAsia="仿宋"/>
          <w:w w:val="100"/>
          <w:sz w:val="28"/>
          <w:szCs w:val="28"/>
        </w:rPr>
        <w:t>，</w:t>
      </w:r>
      <w:r>
        <w:rPr>
          <w:rFonts w:ascii="仿宋" w:hAnsi="仿宋" w:eastAsia="仿宋" w:cs="Segoe UI"/>
          <w:w w:val="100"/>
          <w:sz w:val="28"/>
          <w:szCs w:val="28"/>
          <w:shd w:val="clear" w:color="auto" w:fill="FFFFFF"/>
        </w:rPr>
        <w:t>通过发放奖助学金，激励中等职业学校学生勤奋学习、积极进取，帮助家庭经济困难学生顺利完成学业，提升中等职业教育人才培养质量，促进中等职业教育健康发展，为社会输送更多技能型人才。</w:t>
      </w:r>
    </w:p>
    <w:p w14:paraId="400CEDBB">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（一）资助人数</w:t>
      </w:r>
      <w:r>
        <w:rPr>
          <w:rFonts w:hint="eastAsia" w:ascii="仿宋" w:hAnsi="仿宋" w:eastAsia="仿宋"/>
          <w:w w:val="100"/>
          <w:sz w:val="28"/>
          <w:szCs w:val="28"/>
        </w:rPr>
        <w:t>：</w:t>
      </w:r>
      <w:r>
        <w:rPr>
          <w:rFonts w:ascii="仿宋" w:hAnsi="仿宋" w:eastAsia="仿宋"/>
          <w:w w:val="100"/>
          <w:sz w:val="28"/>
          <w:szCs w:val="28"/>
        </w:rPr>
        <w:t>2023 年度实际资助家庭经济困难</w:t>
      </w:r>
      <w:r>
        <w:rPr>
          <w:rFonts w:hint="eastAsia" w:ascii="仿宋" w:hAnsi="仿宋" w:eastAsia="仿宋"/>
          <w:w w:val="100"/>
          <w:sz w:val="28"/>
          <w:szCs w:val="28"/>
        </w:rPr>
        <w:t>中职学</w:t>
      </w:r>
      <w:r>
        <w:rPr>
          <w:rFonts w:ascii="仿宋" w:hAnsi="仿宋" w:eastAsia="仿宋"/>
          <w:w w:val="100"/>
          <w:sz w:val="28"/>
          <w:szCs w:val="28"/>
        </w:rPr>
        <w:t>生</w:t>
      </w:r>
      <w:r>
        <w:rPr>
          <w:rFonts w:hint="eastAsia" w:ascii="仿宋" w:hAnsi="仿宋" w:eastAsia="仿宋"/>
          <w:w w:val="100"/>
          <w:sz w:val="28"/>
          <w:szCs w:val="28"/>
        </w:rPr>
        <w:t>22056</w:t>
      </w:r>
      <w:r>
        <w:rPr>
          <w:rFonts w:ascii="仿宋" w:hAnsi="仿宋" w:eastAsia="仿宋"/>
          <w:w w:val="100"/>
          <w:sz w:val="28"/>
          <w:szCs w:val="28"/>
        </w:rPr>
        <w:t>名，完成了年初计划的</w:t>
      </w:r>
      <w:r>
        <w:rPr>
          <w:rFonts w:hint="eastAsia" w:ascii="仿宋" w:hAnsi="仿宋" w:eastAsia="仿宋"/>
          <w:w w:val="100"/>
          <w:sz w:val="28"/>
          <w:szCs w:val="28"/>
        </w:rPr>
        <w:t>105.03</w:t>
      </w:r>
      <w:r>
        <w:rPr>
          <w:rFonts w:ascii="仿宋" w:hAnsi="仿宋" w:eastAsia="仿宋"/>
          <w:w w:val="100"/>
          <w:sz w:val="28"/>
          <w:szCs w:val="28"/>
        </w:rPr>
        <w:t>%。</w:t>
      </w:r>
    </w:p>
    <w:p w14:paraId="13CC78B7">
      <w:pPr>
        <w:ind w:firstLine="708" w:firstLineChars="253"/>
        <w:rPr>
          <w:rFonts w:ascii="仿宋" w:hAnsi="仿宋" w:eastAsia="仿宋"/>
          <w:w w:val="100"/>
          <w:sz w:val="28"/>
          <w:szCs w:val="28"/>
        </w:rPr>
      </w:pPr>
      <w:r>
        <w:rPr>
          <w:rFonts w:ascii="仿宋" w:hAnsi="仿宋" w:eastAsia="仿宋"/>
          <w:w w:val="100"/>
          <w:sz w:val="28"/>
          <w:szCs w:val="28"/>
        </w:rPr>
        <w:t>（二）精准发放</w:t>
      </w:r>
      <w:r>
        <w:rPr>
          <w:rFonts w:hint="eastAsia" w:ascii="仿宋" w:hAnsi="仿宋" w:eastAsia="仿宋"/>
          <w:w w:val="100"/>
          <w:sz w:val="28"/>
          <w:szCs w:val="28"/>
        </w:rPr>
        <w:t>：</w:t>
      </w:r>
      <w:r>
        <w:rPr>
          <w:rFonts w:ascii="仿宋" w:hAnsi="仿宋" w:eastAsia="仿宋"/>
          <w:w w:val="100"/>
          <w:sz w:val="28"/>
          <w:szCs w:val="28"/>
        </w:rPr>
        <w:t>经严格审核和认定，资助对象准确率达到了</w:t>
      </w:r>
      <w:r>
        <w:rPr>
          <w:rFonts w:hint="eastAsia" w:ascii="仿宋" w:hAnsi="仿宋" w:eastAsia="仿宋"/>
          <w:w w:val="100"/>
          <w:sz w:val="28"/>
          <w:szCs w:val="28"/>
        </w:rPr>
        <w:t>100</w:t>
      </w:r>
      <w:r>
        <w:rPr>
          <w:rFonts w:ascii="仿宋" w:hAnsi="仿宋" w:eastAsia="仿宋"/>
          <w:w w:val="100"/>
          <w:sz w:val="28"/>
          <w:szCs w:val="28"/>
        </w:rPr>
        <w:t>%，实现了精准资助。</w:t>
      </w:r>
    </w:p>
    <w:p w14:paraId="344BFA99">
      <w:pPr>
        <w:ind w:firstLine="708" w:firstLineChars="253"/>
        <w:rPr>
          <w:rFonts w:ascii="仿宋" w:hAnsi="仿宋" w:eastAsia="仿宋"/>
          <w:w w:val="100"/>
          <w:sz w:val="28"/>
          <w:szCs w:val="28"/>
        </w:rPr>
      </w:pPr>
      <w:r>
        <w:rPr>
          <w:rFonts w:ascii="仿宋" w:hAnsi="仿宋" w:eastAsia="仿宋"/>
          <w:w w:val="100"/>
          <w:sz w:val="28"/>
          <w:szCs w:val="28"/>
        </w:rPr>
        <w:t>（三）发放时效</w:t>
      </w:r>
      <w:r>
        <w:rPr>
          <w:rFonts w:hint="eastAsia" w:ascii="仿宋" w:hAnsi="仿宋" w:eastAsia="仿宋"/>
          <w:w w:val="100"/>
          <w:sz w:val="28"/>
          <w:szCs w:val="28"/>
        </w:rPr>
        <w:t>：</w:t>
      </w:r>
      <w:r>
        <w:rPr>
          <w:rFonts w:ascii="仿宋" w:hAnsi="仿宋" w:eastAsia="仿宋"/>
          <w:w w:val="100"/>
          <w:sz w:val="28"/>
          <w:szCs w:val="28"/>
        </w:rPr>
        <w:t>春季学期助学金于</w:t>
      </w:r>
      <w:r>
        <w:rPr>
          <w:rFonts w:hint="eastAsia" w:ascii="仿宋" w:hAnsi="仿宋" w:eastAsia="仿宋"/>
          <w:w w:val="100"/>
          <w:sz w:val="28"/>
          <w:szCs w:val="28"/>
        </w:rPr>
        <w:t>6月底</w:t>
      </w:r>
      <w:r>
        <w:rPr>
          <w:rFonts w:ascii="仿宋" w:hAnsi="仿宋" w:eastAsia="仿宋"/>
          <w:w w:val="100"/>
          <w:sz w:val="28"/>
          <w:szCs w:val="28"/>
        </w:rPr>
        <w:t>发放完毕，秋季学期助学金于</w:t>
      </w:r>
      <w:r>
        <w:rPr>
          <w:rFonts w:hint="eastAsia" w:ascii="仿宋" w:hAnsi="仿宋" w:eastAsia="仿宋"/>
          <w:w w:val="100"/>
          <w:sz w:val="28"/>
          <w:szCs w:val="28"/>
        </w:rPr>
        <w:t>年末</w:t>
      </w:r>
      <w:r>
        <w:rPr>
          <w:rFonts w:ascii="仿宋" w:hAnsi="仿宋" w:eastAsia="仿宋"/>
          <w:w w:val="100"/>
          <w:sz w:val="28"/>
          <w:szCs w:val="28"/>
        </w:rPr>
        <w:t>发放到位，均按时完成发放任务。</w:t>
      </w:r>
    </w:p>
    <w:p w14:paraId="78636AD2">
      <w:pPr>
        <w:ind w:firstLine="708" w:firstLineChars="253"/>
        <w:rPr>
          <w:rFonts w:ascii="仿宋" w:hAnsi="仿宋" w:eastAsia="仿宋"/>
          <w:w w:val="100"/>
          <w:sz w:val="28"/>
          <w:szCs w:val="28"/>
        </w:rPr>
      </w:pPr>
      <w:r>
        <w:rPr>
          <w:rFonts w:ascii="仿宋" w:hAnsi="仿宋" w:eastAsia="仿宋"/>
          <w:w w:val="100"/>
          <w:sz w:val="28"/>
          <w:szCs w:val="28"/>
        </w:rPr>
        <w:t>（</w:t>
      </w:r>
      <w:r>
        <w:rPr>
          <w:rFonts w:hint="eastAsia" w:ascii="仿宋" w:hAnsi="仿宋" w:eastAsia="仿宋"/>
          <w:w w:val="100"/>
          <w:sz w:val="28"/>
          <w:szCs w:val="28"/>
        </w:rPr>
        <w:t>四</w:t>
      </w:r>
      <w:r>
        <w:rPr>
          <w:rFonts w:ascii="仿宋" w:hAnsi="仿宋" w:eastAsia="仿宋"/>
          <w:w w:val="100"/>
          <w:sz w:val="28"/>
          <w:szCs w:val="28"/>
        </w:rPr>
        <w:t>）学生学习积极性</w:t>
      </w:r>
      <w:r>
        <w:rPr>
          <w:rFonts w:hint="eastAsia" w:ascii="仿宋" w:hAnsi="仿宋" w:eastAsia="仿宋"/>
          <w:w w:val="100"/>
          <w:sz w:val="28"/>
          <w:szCs w:val="28"/>
        </w:rPr>
        <w:t>：</w:t>
      </w:r>
      <w:r>
        <w:rPr>
          <w:rFonts w:ascii="仿宋" w:hAnsi="仿宋" w:eastAsia="仿宋"/>
          <w:w w:val="100"/>
          <w:sz w:val="28"/>
          <w:szCs w:val="28"/>
        </w:rPr>
        <w:t>通过对受助学生的跟踪调查和学校反馈，受助学生的学习积极性明显提高，学习成绩和专业技能水平有显著提升。</w:t>
      </w:r>
    </w:p>
    <w:p w14:paraId="4F81D7E0">
      <w:pPr>
        <w:ind w:firstLine="708" w:firstLineChars="253"/>
        <w:rPr>
          <w:rFonts w:ascii="仿宋" w:hAnsi="仿宋" w:eastAsia="仿宋"/>
          <w:w w:val="100"/>
          <w:sz w:val="28"/>
          <w:szCs w:val="28"/>
        </w:rPr>
      </w:pPr>
      <w:r>
        <w:rPr>
          <w:rFonts w:ascii="仿宋" w:hAnsi="仿宋" w:eastAsia="仿宋"/>
          <w:w w:val="100"/>
          <w:sz w:val="28"/>
          <w:szCs w:val="28"/>
        </w:rPr>
        <w:t>（</w:t>
      </w:r>
      <w:r>
        <w:rPr>
          <w:rFonts w:hint="eastAsia" w:ascii="仿宋" w:hAnsi="仿宋" w:eastAsia="仿宋"/>
          <w:w w:val="100"/>
          <w:sz w:val="28"/>
          <w:szCs w:val="28"/>
        </w:rPr>
        <w:t>五</w:t>
      </w:r>
      <w:r>
        <w:rPr>
          <w:rFonts w:ascii="仿宋" w:hAnsi="仿宋" w:eastAsia="仿宋"/>
          <w:w w:val="100"/>
          <w:sz w:val="28"/>
          <w:szCs w:val="28"/>
        </w:rPr>
        <w:t>）社会认可度</w:t>
      </w:r>
      <w:r>
        <w:rPr>
          <w:rFonts w:hint="eastAsia" w:ascii="仿宋" w:hAnsi="仿宋" w:eastAsia="仿宋"/>
          <w:w w:val="100"/>
          <w:sz w:val="28"/>
          <w:szCs w:val="28"/>
        </w:rPr>
        <w:t>：</w:t>
      </w:r>
      <w:r>
        <w:rPr>
          <w:rFonts w:ascii="仿宋" w:hAnsi="仿宋" w:eastAsia="仿宋"/>
          <w:w w:val="100"/>
          <w:sz w:val="28"/>
          <w:szCs w:val="28"/>
        </w:rPr>
        <w:t>通过对学生家长、用人单位和社会公众的调查了解，社会对中等职业教育的认可度和关注度有所提高，对中职奖助学金政策的满意度较高。</w:t>
      </w:r>
    </w:p>
    <w:p w14:paraId="5E9214CA">
      <w:pPr>
        <w:ind w:firstLine="708" w:firstLineChars="253"/>
        <w:rPr>
          <w:rFonts w:ascii="楷体" w:hAnsi="楷体" w:eastAsia="楷体"/>
          <w:b/>
          <w:w w:val="100"/>
          <w:sz w:val="28"/>
          <w:szCs w:val="28"/>
        </w:rPr>
      </w:pPr>
      <w:r>
        <w:rPr>
          <w:rFonts w:ascii="楷体" w:hAnsi="楷体" w:eastAsia="楷体"/>
          <w:b/>
          <w:w w:val="100"/>
          <w:sz w:val="28"/>
          <w:szCs w:val="28"/>
        </w:rPr>
        <w:t>f.2023年9月1日,市财政局下达</w:t>
      </w:r>
      <w:r>
        <w:rPr>
          <w:rFonts w:hint="eastAsia" w:ascii="楷体" w:hAnsi="楷体" w:eastAsia="楷体"/>
          <w:b/>
          <w:w w:val="100"/>
          <w:sz w:val="28"/>
          <w:szCs w:val="28"/>
        </w:rPr>
        <w:t>“</w:t>
      </w:r>
      <w:r>
        <w:rPr>
          <w:rFonts w:ascii="楷体" w:hAnsi="楷体" w:eastAsia="楷体"/>
          <w:b/>
          <w:w w:val="100"/>
          <w:sz w:val="28"/>
          <w:szCs w:val="28"/>
        </w:rPr>
        <w:t>2022年第三批教育系统项目建设资金</w:t>
      </w:r>
      <w:r>
        <w:rPr>
          <w:rFonts w:hint="eastAsia" w:ascii="楷体" w:hAnsi="楷体" w:eastAsia="楷体"/>
          <w:b/>
          <w:w w:val="100"/>
          <w:sz w:val="28"/>
          <w:szCs w:val="28"/>
        </w:rPr>
        <w:t>”</w:t>
      </w:r>
      <w:r>
        <w:rPr>
          <w:rFonts w:ascii="楷体" w:hAnsi="楷体" w:eastAsia="楷体"/>
          <w:b/>
          <w:w w:val="100"/>
          <w:sz w:val="28"/>
          <w:szCs w:val="28"/>
        </w:rPr>
        <w:t>,怀财结字（2023）11号指标共29.50万元，支出29.50万元，其中：</w:t>
      </w:r>
      <w:r>
        <w:rPr>
          <w:rFonts w:hint="eastAsia" w:ascii="楷体" w:hAnsi="楷体" w:eastAsia="楷体"/>
          <w:b/>
          <w:w w:val="100"/>
          <w:sz w:val="28"/>
          <w:szCs w:val="28"/>
        </w:rPr>
        <w:t>委托业务费</w:t>
      </w:r>
      <w:r>
        <w:rPr>
          <w:rFonts w:ascii="楷体" w:hAnsi="楷体" w:eastAsia="楷体"/>
          <w:b/>
          <w:w w:val="100"/>
          <w:sz w:val="28"/>
          <w:szCs w:val="28"/>
        </w:rPr>
        <w:t>29.50万元</w:t>
      </w:r>
      <w:r>
        <w:rPr>
          <w:rFonts w:hint="eastAsia" w:ascii="楷体" w:hAnsi="楷体" w:eastAsia="楷体"/>
          <w:b/>
          <w:w w:val="100"/>
          <w:sz w:val="28"/>
          <w:szCs w:val="28"/>
        </w:rPr>
        <w:t>；</w:t>
      </w:r>
    </w:p>
    <w:p w14:paraId="669B72CB">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cs="Segoe UI"/>
          <w:w w:val="100"/>
          <w:sz w:val="28"/>
          <w:szCs w:val="28"/>
          <w:shd w:val="clear" w:color="auto" w:fill="FFFFFF"/>
        </w:rPr>
        <w:t>推动怀化市教育基础设施建设，优化教育资源配置，提升教育教学环境和质量，促进教育事业的均衡发展。</w:t>
      </w:r>
    </w:p>
    <w:p w14:paraId="7E73783F">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cs="Segoe UI"/>
          <w:w w:val="100"/>
          <w:sz w:val="28"/>
          <w:szCs w:val="28"/>
        </w:rPr>
        <w:t>编制《怀化市鹤中一体化教育设施布局规划（2023-2027年）》。通过规划的实施，全市教育发展的主要指标达到全省中上水平、区域一流水平。主城区学位问题得到全面解决，鹤中教育实现优先优质发展，建成区域性教育中心和高等教育、职业教育高地，教育的基础性、战略性支撑作用全面显现，人民群众的满意度大幅提升。</w:t>
      </w:r>
    </w:p>
    <w:p w14:paraId="70A5FAFE">
      <w:pPr>
        <w:ind w:firstLine="708" w:firstLineChars="253"/>
        <w:rPr>
          <w:rFonts w:ascii="楷体" w:hAnsi="楷体" w:eastAsia="楷体"/>
          <w:b/>
          <w:w w:val="100"/>
          <w:sz w:val="28"/>
          <w:szCs w:val="28"/>
        </w:rPr>
      </w:pPr>
      <w:r>
        <w:rPr>
          <w:rFonts w:ascii="楷体" w:hAnsi="楷体" w:eastAsia="楷体"/>
          <w:b/>
          <w:w w:val="100"/>
          <w:sz w:val="28"/>
          <w:szCs w:val="28"/>
        </w:rPr>
        <w:t>g.2023年11月8日,市财政局下达</w:t>
      </w:r>
      <w:r>
        <w:rPr>
          <w:rFonts w:hint="eastAsia" w:ascii="楷体" w:hAnsi="楷体" w:eastAsia="楷体"/>
          <w:b/>
          <w:w w:val="100"/>
          <w:sz w:val="28"/>
          <w:szCs w:val="28"/>
        </w:rPr>
        <w:t>“</w:t>
      </w:r>
      <w:r>
        <w:rPr>
          <w:rFonts w:ascii="楷体" w:hAnsi="楷体" w:eastAsia="楷体"/>
          <w:b/>
          <w:w w:val="100"/>
          <w:sz w:val="28"/>
          <w:szCs w:val="28"/>
        </w:rPr>
        <w:tab/>
      </w:r>
      <w:r>
        <w:rPr>
          <w:rFonts w:ascii="楷体" w:hAnsi="楷体" w:eastAsia="楷体"/>
          <w:b/>
          <w:w w:val="100"/>
          <w:sz w:val="28"/>
          <w:szCs w:val="28"/>
        </w:rPr>
        <w:t>2023年第九批基础教育发展专项（基础教育教学改革研究课题）资金</w:t>
      </w:r>
      <w:r>
        <w:rPr>
          <w:rFonts w:hint="eastAsia" w:ascii="楷体" w:hAnsi="楷体" w:eastAsia="楷体"/>
          <w:b/>
          <w:w w:val="100"/>
          <w:sz w:val="28"/>
          <w:szCs w:val="28"/>
        </w:rPr>
        <w:t>”</w:t>
      </w:r>
      <w:r>
        <w:rPr>
          <w:rFonts w:ascii="楷体" w:hAnsi="楷体" w:eastAsia="楷体"/>
          <w:b/>
          <w:w w:val="100"/>
          <w:sz w:val="28"/>
          <w:szCs w:val="28"/>
        </w:rPr>
        <w:t>,湘财教指〔2023〕0071号指标共8.00万元</w:t>
      </w:r>
      <w:r>
        <w:rPr>
          <w:rFonts w:hint="eastAsia" w:ascii="楷体" w:hAnsi="楷体" w:eastAsia="楷体"/>
          <w:b/>
          <w:w w:val="100"/>
          <w:sz w:val="28"/>
          <w:szCs w:val="28"/>
        </w:rPr>
        <w:t>，</w:t>
      </w:r>
      <w:r>
        <w:rPr>
          <w:rFonts w:ascii="楷体" w:hAnsi="楷体" w:eastAsia="楷体"/>
          <w:b/>
          <w:w w:val="100"/>
          <w:sz w:val="28"/>
          <w:szCs w:val="28"/>
        </w:rPr>
        <w:t>支出2.46万元，其中：</w:t>
      </w:r>
      <w:r>
        <w:rPr>
          <w:rFonts w:hint="eastAsia" w:ascii="楷体" w:hAnsi="楷体" w:eastAsia="楷体"/>
          <w:b/>
          <w:w w:val="100"/>
          <w:sz w:val="28"/>
          <w:szCs w:val="28"/>
        </w:rPr>
        <w:t>劳务费0.40</w:t>
      </w:r>
      <w:r>
        <w:rPr>
          <w:rFonts w:ascii="楷体" w:hAnsi="楷体" w:eastAsia="楷体"/>
          <w:b/>
          <w:w w:val="100"/>
          <w:sz w:val="28"/>
          <w:szCs w:val="28"/>
        </w:rPr>
        <w:t>万元</w:t>
      </w:r>
      <w:r>
        <w:rPr>
          <w:rFonts w:hint="eastAsia" w:ascii="楷体" w:hAnsi="楷体" w:eastAsia="楷体"/>
          <w:b/>
          <w:w w:val="100"/>
          <w:sz w:val="28"/>
          <w:szCs w:val="28"/>
        </w:rPr>
        <w:t>、其他商品和服务支出2.06</w:t>
      </w:r>
      <w:r>
        <w:rPr>
          <w:rFonts w:ascii="楷体" w:hAnsi="楷体" w:eastAsia="楷体"/>
          <w:b/>
          <w:w w:val="100"/>
          <w:sz w:val="28"/>
          <w:szCs w:val="28"/>
        </w:rPr>
        <w:t>万元</w:t>
      </w:r>
      <w:r>
        <w:rPr>
          <w:rFonts w:hint="eastAsia" w:ascii="楷体" w:hAnsi="楷体" w:eastAsia="楷体"/>
          <w:b/>
          <w:w w:val="100"/>
          <w:sz w:val="28"/>
          <w:szCs w:val="28"/>
        </w:rPr>
        <w:t>；</w:t>
      </w:r>
    </w:p>
    <w:p w14:paraId="401A7612">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cs="Segoe UI"/>
          <w:w w:val="100"/>
          <w:sz w:val="28"/>
          <w:szCs w:val="28"/>
          <w:shd w:val="clear" w:color="auto" w:fill="FFFFFF"/>
        </w:rPr>
        <w:t>通过设立基础教育教学改革研究课题，推动怀化市基础教育教学改革，提高教育教学质量，培养学生的创新精神和实践能力，促进学生全面发展。</w:t>
      </w:r>
    </w:p>
    <w:p w14:paraId="051DB389">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w w:val="100"/>
          <w:sz w:val="28"/>
          <w:szCs w:val="28"/>
        </w:rPr>
        <w:t>1.</w:t>
      </w:r>
      <w:r>
        <w:rPr>
          <w:rFonts w:ascii="仿宋" w:hAnsi="仿宋" w:eastAsia="仿宋"/>
          <w:w w:val="100"/>
          <w:sz w:val="28"/>
          <w:szCs w:val="28"/>
        </w:rPr>
        <w:t>资助一批具有创新性和实践价值的基础教育教学改革研究课题。</w:t>
      </w:r>
    </w:p>
    <w:p w14:paraId="59B3CF43">
      <w:pPr>
        <w:ind w:firstLine="708" w:firstLineChars="253"/>
        <w:rPr>
          <w:rFonts w:ascii="仿宋" w:hAnsi="仿宋" w:eastAsia="仿宋"/>
          <w:w w:val="100"/>
          <w:sz w:val="28"/>
          <w:szCs w:val="28"/>
        </w:rPr>
      </w:pPr>
      <w:r>
        <w:rPr>
          <w:rFonts w:hint="eastAsia" w:ascii="仿宋" w:hAnsi="仿宋" w:eastAsia="仿宋"/>
          <w:w w:val="100"/>
          <w:sz w:val="28"/>
          <w:szCs w:val="28"/>
        </w:rPr>
        <w:t>2.</w:t>
      </w:r>
      <w:r>
        <w:rPr>
          <w:rFonts w:ascii="仿宋" w:hAnsi="仿宋" w:eastAsia="仿宋"/>
          <w:w w:val="100"/>
          <w:sz w:val="28"/>
          <w:szCs w:val="28"/>
        </w:rPr>
        <w:t>提升课题研究质量，确保课题研究成果能够在一定范围内推广应用，为基础教育教学改革提供理论支持和实践指导。</w:t>
      </w:r>
    </w:p>
    <w:p w14:paraId="315A715D">
      <w:pPr>
        <w:ind w:firstLine="708" w:firstLineChars="253"/>
        <w:rPr>
          <w:rFonts w:ascii="仿宋" w:hAnsi="仿宋" w:eastAsia="仿宋"/>
          <w:w w:val="100"/>
          <w:sz w:val="28"/>
          <w:szCs w:val="28"/>
        </w:rPr>
      </w:pPr>
      <w:r>
        <w:rPr>
          <w:rFonts w:hint="eastAsia" w:ascii="仿宋" w:hAnsi="仿宋" w:eastAsia="仿宋"/>
          <w:w w:val="100"/>
          <w:sz w:val="28"/>
          <w:szCs w:val="28"/>
        </w:rPr>
        <w:t>3.</w:t>
      </w:r>
      <w:r>
        <w:rPr>
          <w:rFonts w:ascii="仿宋" w:hAnsi="仿宋" w:eastAsia="仿宋" w:cs="Segoe UI"/>
          <w:w w:val="100"/>
          <w:sz w:val="28"/>
          <w:szCs w:val="28"/>
          <w:shd w:val="clear" w:color="auto" w:fill="FFFFFF"/>
        </w:rPr>
        <w:t xml:space="preserve"> 已取得了一批具有一定创新性和实践价值的研究成果，包括研究报告、论文、教学案例、教学资源等。部分研究成果已在相关学校和区域进行了推广应用，取得了较好的效果。</w:t>
      </w:r>
    </w:p>
    <w:p w14:paraId="5AE84E1C">
      <w:pPr>
        <w:ind w:firstLine="708" w:firstLineChars="253"/>
        <w:rPr>
          <w:rFonts w:ascii="仿宋" w:hAnsi="仿宋" w:eastAsia="仿宋"/>
          <w:w w:val="100"/>
          <w:sz w:val="28"/>
          <w:szCs w:val="28"/>
        </w:rPr>
      </w:pPr>
      <w:r>
        <w:rPr>
          <w:rFonts w:hint="eastAsia" w:ascii="仿宋" w:hAnsi="仿宋" w:eastAsia="仿宋"/>
          <w:w w:val="100"/>
          <w:sz w:val="28"/>
          <w:szCs w:val="28"/>
        </w:rPr>
        <w:t>4.</w:t>
      </w:r>
      <w:r>
        <w:rPr>
          <w:rFonts w:ascii="仿宋" w:hAnsi="仿宋" w:eastAsia="仿宋"/>
          <w:w w:val="100"/>
          <w:sz w:val="28"/>
          <w:szCs w:val="28"/>
        </w:rPr>
        <w:t>提高课题研究经费使用效益，确保资金使用合规、合理、安全。</w:t>
      </w:r>
    </w:p>
    <w:p w14:paraId="05825EF4">
      <w:pPr>
        <w:ind w:firstLine="708" w:firstLineChars="253"/>
        <w:rPr>
          <w:rFonts w:ascii="楷体" w:hAnsi="楷体" w:eastAsia="楷体"/>
          <w:b/>
          <w:w w:val="100"/>
          <w:sz w:val="28"/>
          <w:szCs w:val="28"/>
        </w:rPr>
      </w:pPr>
      <w:r>
        <w:rPr>
          <w:rFonts w:ascii="楷体" w:hAnsi="楷体" w:eastAsia="楷体"/>
          <w:b/>
          <w:w w:val="100"/>
          <w:sz w:val="28"/>
          <w:szCs w:val="28"/>
        </w:rPr>
        <w:t>h.2023年10月31日</w:t>
      </w:r>
      <w:r>
        <w:rPr>
          <w:rFonts w:ascii="楷体" w:hAnsi="楷体" w:eastAsia="楷体"/>
          <w:b/>
          <w:w w:val="100"/>
          <w:sz w:val="28"/>
          <w:szCs w:val="28"/>
        </w:rPr>
        <w:tab/>
      </w:r>
      <w:r>
        <w:rPr>
          <w:rFonts w:ascii="楷体" w:hAnsi="楷体" w:eastAsia="楷体"/>
          <w:b/>
          <w:w w:val="100"/>
          <w:sz w:val="28"/>
          <w:szCs w:val="28"/>
        </w:rPr>
        <w:t>,市财政局下达</w:t>
      </w:r>
      <w:r>
        <w:rPr>
          <w:rFonts w:hint="eastAsia" w:ascii="楷体" w:hAnsi="楷体" w:eastAsia="楷体"/>
          <w:b/>
          <w:w w:val="100"/>
          <w:sz w:val="28"/>
          <w:szCs w:val="28"/>
        </w:rPr>
        <w:t>“</w:t>
      </w:r>
      <w:r>
        <w:rPr>
          <w:rFonts w:ascii="楷体" w:hAnsi="楷体" w:eastAsia="楷体"/>
          <w:b/>
          <w:w w:val="100"/>
          <w:sz w:val="28"/>
          <w:szCs w:val="28"/>
        </w:rPr>
        <w:t>2023年怀化市教师培训经费</w:t>
      </w:r>
      <w:r>
        <w:rPr>
          <w:rFonts w:hint="eastAsia" w:ascii="楷体" w:hAnsi="楷体" w:eastAsia="楷体"/>
          <w:b/>
          <w:w w:val="100"/>
          <w:sz w:val="28"/>
          <w:szCs w:val="28"/>
        </w:rPr>
        <w:t>”</w:t>
      </w:r>
      <w:r>
        <w:rPr>
          <w:rFonts w:ascii="楷体" w:hAnsi="楷体" w:eastAsia="楷体"/>
          <w:b/>
          <w:w w:val="100"/>
          <w:sz w:val="28"/>
          <w:szCs w:val="28"/>
        </w:rPr>
        <w:t>,怀财教字〔2023〕0526号指标共22.96万元，支出21.44万元，其中：</w:t>
      </w:r>
      <w:r>
        <w:rPr>
          <w:rFonts w:hint="eastAsia" w:ascii="楷体" w:hAnsi="楷体" w:eastAsia="楷体"/>
          <w:b/>
          <w:w w:val="100"/>
          <w:sz w:val="28"/>
          <w:szCs w:val="28"/>
        </w:rPr>
        <w:t>差旅费</w:t>
      </w:r>
      <w:r>
        <w:rPr>
          <w:rFonts w:ascii="楷体" w:hAnsi="楷体" w:eastAsia="楷体"/>
          <w:b/>
          <w:w w:val="100"/>
          <w:sz w:val="28"/>
          <w:szCs w:val="28"/>
        </w:rPr>
        <w:t>1.11万元</w:t>
      </w:r>
      <w:r>
        <w:rPr>
          <w:rFonts w:hint="eastAsia" w:ascii="楷体" w:hAnsi="楷体" w:eastAsia="楷体"/>
          <w:b/>
          <w:w w:val="100"/>
          <w:sz w:val="28"/>
          <w:szCs w:val="28"/>
        </w:rPr>
        <w:t>、培训费</w:t>
      </w:r>
      <w:r>
        <w:rPr>
          <w:rFonts w:ascii="楷体" w:hAnsi="楷体" w:eastAsia="楷体"/>
          <w:b/>
          <w:w w:val="100"/>
          <w:sz w:val="28"/>
          <w:szCs w:val="28"/>
        </w:rPr>
        <w:t>12.78万元</w:t>
      </w:r>
      <w:r>
        <w:rPr>
          <w:rFonts w:hint="eastAsia" w:ascii="楷体" w:hAnsi="楷体" w:eastAsia="楷体"/>
          <w:b/>
          <w:w w:val="100"/>
          <w:sz w:val="28"/>
          <w:szCs w:val="28"/>
        </w:rPr>
        <w:t>、委托业务费</w:t>
      </w:r>
      <w:r>
        <w:rPr>
          <w:rFonts w:ascii="楷体" w:hAnsi="楷体" w:eastAsia="楷体"/>
          <w:b/>
          <w:w w:val="100"/>
          <w:sz w:val="28"/>
          <w:szCs w:val="28"/>
        </w:rPr>
        <w:t>7.56万元</w:t>
      </w:r>
      <w:r>
        <w:rPr>
          <w:rFonts w:hint="eastAsia" w:ascii="楷体" w:hAnsi="楷体" w:eastAsia="楷体"/>
          <w:b/>
          <w:w w:val="100"/>
          <w:sz w:val="28"/>
          <w:szCs w:val="28"/>
        </w:rPr>
        <w:t>；</w:t>
      </w:r>
    </w:p>
    <w:p w14:paraId="391BA1C7">
      <w:pPr>
        <w:ind w:firstLine="708" w:firstLineChars="253"/>
        <w:rPr>
          <w:rFonts w:ascii="仿宋" w:hAnsi="仿宋" w:eastAsia="仿宋"/>
          <w:w w:val="100"/>
          <w:sz w:val="28"/>
          <w:szCs w:val="28"/>
        </w:rPr>
      </w:pPr>
      <w:r>
        <w:rPr>
          <w:rFonts w:hint="eastAsia" w:ascii="仿宋" w:hAnsi="仿宋" w:eastAsia="仿宋"/>
          <w:b/>
          <w:w w:val="100"/>
          <w:sz w:val="28"/>
          <w:szCs w:val="28"/>
        </w:rPr>
        <w:t>年初目标：</w:t>
      </w:r>
      <w:r>
        <w:rPr>
          <w:rFonts w:hint="eastAsia" w:ascii="仿宋" w:hAnsi="仿宋" w:eastAsia="仿宋"/>
          <w:w w:val="100"/>
          <w:sz w:val="28"/>
          <w:szCs w:val="28"/>
        </w:rPr>
        <w:t>促使特殊教育随班就读教师转变观念，全面了解开展特殊教育随班就读工作的重要意义；促使特殊教育随班就读教师不断加强学习，提升专业理论和技能水平；创建特殊教育随班就读区域交流平台，便于训后跟踪指导及工作交流。</w:t>
      </w:r>
    </w:p>
    <w:p w14:paraId="5720435B">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1.教师培训管理者及部分市级教师培训师培训</w:t>
      </w:r>
    </w:p>
    <w:p w14:paraId="36D0D3DD">
      <w:pPr>
        <w:ind w:firstLine="708" w:firstLineChars="253"/>
        <w:rPr>
          <w:rFonts w:ascii="仿宋" w:hAnsi="仿宋" w:eastAsia="仿宋"/>
          <w:w w:val="100"/>
          <w:sz w:val="28"/>
          <w:szCs w:val="28"/>
        </w:rPr>
      </w:pPr>
      <w:r>
        <w:rPr>
          <w:rFonts w:hint="eastAsia" w:ascii="仿宋" w:hAnsi="仿宋" w:eastAsia="仿宋"/>
          <w:w w:val="100"/>
          <w:sz w:val="28"/>
          <w:szCs w:val="28"/>
        </w:rPr>
        <w:t>培训时长累计达到</w:t>
      </w:r>
      <w:r>
        <w:rPr>
          <w:rFonts w:ascii="仿宋" w:hAnsi="仿宋" w:eastAsia="仿宋"/>
          <w:w w:val="100"/>
          <w:sz w:val="28"/>
          <w:szCs w:val="28"/>
        </w:rPr>
        <w:t>40小时，涵盖了教育教学理论、培训项目设计与实施、培训效果评估等内容。参与培训的培训管理者和培训师人数达到70人，超过预期人数20人。通过培训后的跟踪反馈和实践应用观察，大部分培训管理者和培训师在培训方案设计、培训组织实施、培训效果评估等方面的能力有了显著提升，能够将所学知识和技能应用到实际工作中，有效改进了教师培训工作的质量和效率。</w:t>
      </w:r>
    </w:p>
    <w:p w14:paraId="647DD828">
      <w:pPr>
        <w:ind w:firstLine="708" w:firstLineChars="253"/>
        <w:rPr>
          <w:rFonts w:ascii="仿宋" w:hAnsi="仿宋" w:eastAsia="仿宋"/>
          <w:w w:val="100"/>
          <w:sz w:val="28"/>
          <w:szCs w:val="28"/>
        </w:rPr>
      </w:pPr>
      <w:r>
        <w:rPr>
          <w:rFonts w:ascii="仿宋" w:hAnsi="仿宋" w:eastAsia="仿宋"/>
          <w:w w:val="100"/>
          <w:sz w:val="28"/>
          <w:szCs w:val="28"/>
        </w:rPr>
        <w:t>2.全市教育系统管理干部培训</w:t>
      </w:r>
    </w:p>
    <w:p w14:paraId="51A10500">
      <w:pPr>
        <w:ind w:firstLine="708" w:firstLineChars="253"/>
        <w:rPr>
          <w:rFonts w:ascii="仿宋" w:hAnsi="仿宋" w:eastAsia="仿宋"/>
          <w:w w:val="100"/>
          <w:sz w:val="28"/>
          <w:szCs w:val="28"/>
        </w:rPr>
      </w:pPr>
      <w:r>
        <w:rPr>
          <w:rFonts w:hint="eastAsia" w:ascii="仿宋" w:hAnsi="仿宋" w:eastAsia="仿宋"/>
          <w:w w:val="100"/>
          <w:sz w:val="28"/>
          <w:szCs w:val="28"/>
        </w:rPr>
        <w:t>举办了教育系统管理干部培训班，培训内容包括教育政策解读、学校管理创新、教育领导力提升等。全市共有</w:t>
      </w:r>
      <w:r>
        <w:rPr>
          <w:rFonts w:ascii="仿宋" w:hAnsi="仿宋" w:eastAsia="仿宋"/>
          <w:w w:val="100"/>
          <w:sz w:val="28"/>
          <w:szCs w:val="28"/>
        </w:rPr>
        <w:t>84名教育系统管理干部参加了培训，涵盖了各级各类学校和教育行政部门的管理人员。培训结束后，通过问卷调查和实地走访了解到，管理干部们在学校规划、教育资源配置、教师队伍管理等方面的能力得到了明显提升，能够更加科学、有效地开展教育管理工作，推动了学校教育教学质量的提高和教育事业的发展。</w:t>
      </w:r>
    </w:p>
    <w:p w14:paraId="5BD900B8">
      <w:pPr>
        <w:ind w:firstLine="708" w:firstLineChars="253"/>
        <w:rPr>
          <w:rFonts w:ascii="楷体" w:hAnsi="楷体" w:eastAsia="楷体"/>
          <w:b/>
          <w:w w:val="100"/>
          <w:sz w:val="28"/>
          <w:szCs w:val="28"/>
        </w:rPr>
      </w:pPr>
      <w:r>
        <w:rPr>
          <w:rFonts w:ascii="楷体" w:hAnsi="楷体" w:eastAsia="楷体"/>
          <w:b/>
          <w:w w:val="100"/>
          <w:sz w:val="28"/>
          <w:szCs w:val="28"/>
        </w:rPr>
        <w:t>i.2023年10月8日,市财政局下达</w:t>
      </w:r>
      <w:r>
        <w:rPr>
          <w:rFonts w:hint="eastAsia" w:ascii="楷体" w:hAnsi="楷体" w:eastAsia="楷体"/>
          <w:b/>
          <w:w w:val="100"/>
          <w:sz w:val="28"/>
          <w:szCs w:val="28"/>
        </w:rPr>
        <w:t>“</w:t>
      </w:r>
      <w:r>
        <w:rPr>
          <w:rFonts w:ascii="楷体" w:hAnsi="楷体" w:eastAsia="楷体"/>
          <w:b/>
          <w:w w:val="100"/>
          <w:sz w:val="28"/>
          <w:szCs w:val="28"/>
        </w:rPr>
        <w:tab/>
      </w:r>
      <w:r>
        <w:rPr>
          <w:rFonts w:ascii="楷体" w:hAnsi="楷体" w:eastAsia="楷体"/>
          <w:b/>
          <w:w w:val="100"/>
          <w:sz w:val="28"/>
          <w:szCs w:val="28"/>
        </w:rPr>
        <w:t>2023年省中学生运动会经费</w:t>
      </w:r>
      <w:r>
        <w:rPr>
          <w:rFonts w:hint="eastAsia" w:ascii="楷体" w:hAnsi="楷体" w:eastAsia="楷体"/>
          <w:b/>
          <w:w w:val="100"/>
          <w:sz w:val="28"/>
          <w:szCs w:val="28"/>
        </w:rPr>
        <w:t>”</w:t>
      </w:r>
      <w:r>
        <w:rPr>
          <w:rFonts w:ascii="楷体" w:hAnsi="楷体" w:eastAsia="楷体"/>
          <w:b/>
          <w:w w:val="100"/>
          <w:sz w:val="28"/>
          <w:szCs w:val="28"/>
        </w:rPr>
        <w:t>,湘财教指〔2023〕0048号指标共</w:t>
      </w:r>
      <w:r>
        <w:rPr>
          <w:rFonts w:ascii="楷体" w:hAnsi="楷体" w:eastAsia="楷体"/>
          <w:b/>
          <w:w w:val="100"/>
          <w:sz w:val="28"/>
          <w:szCs w:val="28"/>
        </w:rPr>
        <w:tab/>
      </w:r>
      <w:r>
        <w:rPr>
          <w:rFonts w:ascii="楷体" w:hAnsi="楷体" w:eastAsia="楷体"/>
          <w:b/>
          <w:w w:val="100"/>
          <w:sz w:val="28"/>
          <w:szCs w:val="28"/>
        </w:rPr>
        <w:t>49.00</w:t>
      </w:r>
      <w:r>
        <w:rPr>
          <w:rFonts w:ascii="楷体" w:hAnsi="楷体" w:eastAsia="楷体"/>
          <w:b/>
          <w:w w:val="100"/>
          <w:sz w:val="28"/>
          <w:szCs w:val="28"/>
        </w:rPr>
        <w:tab/>
      </w:r>
      <w:r>
        <w:rPr>
          <w:rFonts w:ascii="楷体" w:hAnsi="楷体" w:eastAsia="楷体"/>
          <w:b/>
          <w:w w:val="100"/>
          <w:sz w:val="28"/>
          <w:szCs w:val="28"/>
        </w:rPr>
        <w:t>万元，支出44.55万元，其中：</w:t>
      </w:r>
      <w:r>
        <w:rPr>
          <w:rFonts w:hint="eastAsia" w:ascii="楷体" w:hAnsi="楷体" w:eastAsia="楷体"/>
          <w:b/>
          <w:w w:val="100"/>
          <w:sz w:val="28"/>
          <w:szCs w:val="28"/>
        </w:rPr>
        <w:t>印刷费</w:t>
      </w:r>
      <w:r>
        <w:rPr>
          <w:rFonts w:ascii="楷体" w:hAnsi="楷体" w:eastAsia="楷体"/>
          <w:b/>
          <w:w w:val="100"/>
          <w:sz w:val="28"/>
          <w:szCs w:val="28"/>
        </w:rPr>
        <w:t>0.14万元</w:t>
      </w:r>
      <w:r>
        <w:rPr>
          <w:rFonts w:hint="eastAsia" w:ascii="楷体" w:hAnsi="楷体" w:eastAsia="楷体"/>
          <w:b/>
          <w:w w:val="100"/>
          <w:sz w:val="28"/>
          <w:szCs w:val="28"/>
        </w:rPr>
        <w:t>、差旅费</w:t>
      </w:r>
      <w:r>
        <w:rPr>
          <w:rFonts w:ascii="楷体" w:hAnsi="楷体" w:eastAsia="楷体"/>
          <w:b/>
          <w:w w:val="100"/>
          <w:sz w:val="28"/>
          <w:szCs w:val="28"/>
        </w:rPr>
        <w:t>4.45万元</w:t>
      </w:r>
      <w:r>
        <w:rPr>
          <w:rFonts w:hint="eastAsia" w:ascii="楷体" w:hAnsi="楷体" w:eastAsia="楷体"/>
          <w:b/>
          <w:w w:val="100"/>
          <w:sz w:val="28"/>
          <w:szCs w:val="28"/>
        </w:rPr>
        <w:t>、劳务费</w:t>
      </w:r>
      <w:r>
        <w:rPr>
          <w:rFonts w:ascii="楷体" w:hAnsi="楷体" w:eastAsia="楷体"/>
          <w:b/>
          <w:w w:val="100"/>
          <w:sz w:val="28"/>
          <w:szCs w:val="28"/>
        </w:rPr>
        <w:t>6.84万元</w:t>
      </w:r>
      <w:r>
        <w:rPr>
          <w:rFonts w:hint="eastAsia" w:ascii="楷体" w:hAnsi="楷体" w:eastAsia="楷体"/>
          <w:b/>
          <w:w w:val="100"/>
          <w:sz w:val="28"/>
          <w:szCs w:val="28"/>
        </w:rPr>
        <w:t>、其他商品和服务支出</w:t>
      </w:r>
      <w:r>
        <w:rPr>
          <w:rFonts w:ascii="楷体" w:hAnsi="楷体" w:eastAsia="楷体"/>
          <w:b/>
          <w:w w:val="100"/>
          <w:sz w:val="28"/>
          <w:szCs w:val="28"/>
        </w:rPr>
        <w:t>33.12万元</w:t>
      </w:r>
      <w:r>
        <w:rPr>
          <w:rFonts w:hint="eastAsia" w:ascii="楷体" w:hAnsi="楷体" w:eastAsia="楷体"/>
          <w:b/>
          <w:w w:val="100"/>
          <w:sz w:val="28"/>
          <w:szCs w:val="28"/>
        </w:rPr>
        <w:t>；</w:t>
      </w:r>
    </w:p>
    <w:p w14:paraId="547936C4">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hint="eastAsia" w:ascii="仿宋" w:hAnsi="仿宋" w:eastAsia="仿宋"/>
          <w:w w:val="100"/>
          <w:sz w:val="28"/>
          <w:szCs w:val="28"/>
        </w:rPr>
        <w:t>组织代表团参加省中运比赛。</w:t>
      </w:r>
    </w:p>
    <w:p w14:paraId="66DD2C10">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w w:val="100"/>
          <w:sz w:val="28"/>
          <w:szCs w:val="28"/>
        </w:rPr>
        <w:t>10个大类项目中，6个大类比赛团队总分进入前八。单项科目有36项运动员进入前八，有效激发体育活动参与意愿，以体育人。</w:t>
      </w:r>
    </w:p>
    <w:p w14:paraId="66B76C05">
      <w:pPr>
        <w:ind w:firstLine="708" w:firstLineChars="253"/>
        <w:rPr>
          <w:rFonts w:ascii="楷体" w:hAnsi="楷体" w:eastAsia="楷体"/>
          <w:b/>
          <w:w w:val="100"/>
          <w:sz w:val="28"/>
          <w:szCs w:val="28"/>
        </w:rPr>
      </w:pPr>
      <w:r>
        <w:rPr>
          <w:rFonts w:ascii="楷体" w:hAnsi="楷体" w:eastAsia="楷体"/>
          <w:b/>
          <w:w w:val="100"/>
          <w:sz w:val="28"/>
          <w:szCs w:val="28"/>
        </w:rPr>
        <w:t>j.2023年9月7日,市财政局下达</w:t>
      </w:r>
      <w:r>
        <w:rPr>
          <w:rFonts w:hint="eastAsia" w:ascii="楷体" w:hAnsi="楷体" w:eastAsia="楷体"/>
          <w:b/>
          <w:w w:val="100"/>
          <w:sz w:val="28"/>
          <w:szCs w:val="28"/>
        </w:rPr>
        <w:t>“</w:t>
      </w:r>
      <w:r>
        <w:rPr>
          <w:rFonts w:ascii="楷体" w:hAnsi="楷体" w:eastAsia="楷体"/>
          <w:b/>
          <w:w w:val="100"/>
          <w:sz w:val="28"/>
          <w:szCs w:val="28"/>
        </w:rPr>
        <w:t>第五批教育发展专项资金</w:t>
      </w:r>
      <w:r>
        <w:rPr>
          <w:rFonts w:hint="eastAsia" w:ascii="楷体" w:hAnsi="楷体" w:eastAsia="楷体"/>
          <w:b/>
          <w:w w:val="100"/>
          <w:sz w:val="28"/>
          <w:szCs w:val="28"/>
        </w:rPr>
        <w:t>”</w:t>
      </w:r>
      <w:r>
        <w:rPr>
          <w:rFonts w:ascii="楷体" w:hAnsi="楷体" w:eastAsia="楷体"/>
          <w:b/>
          <w:w w:val="100"/>
          <w:sz w:val="28"/>
          <w:szCs w:val="28"/>
        </w:rPr>
        <w:t>,怀财结字（2023）11号指标共5.50万元，支出3.98万元，其中：</w:t>
      </w:r>
      <w:r>
        <w:rPr>
          <w:rFonts w:hint="eastAsia" w:ascii="楷体" w:hAnsi="楷体" w:eastAsia="楷体"/>
          <w:b/>
          <w:w w:val="100"/>
          <w:sz w:val="28"/>
          <w:szCs w:val="28"/>
        </w:rPr>
        <w:t>劳务费</w:t>
      </w:r>
      <w:r>
        <w:rPr>
          <w:rFonts w:ascii="楷体" w:hAnsi="楷体" w:eastAsia="楷体"/>
          <w:b/>
          <w:w w:val="100"/>
          <w:sz w:val="28"/>
          <w:szCs w:val="28"/>
        </w:rPr>
        <w:t>3.98万元</w:t>
      </w:r>
      <w:r>
        <w:rPr>
          <w:rFonts w:hint="eastAsia" w:ascii="楷体" w:hAnsi="楷体" w:eastAsia="楷体"/>
          <w:b/>
          <w:w w:val="100"/>
          <w:sz w:val="28"/>
          <w:szCs w:val="28"/>
        </w:rPr>
        <w:t>；</w:t>
      </w:r>
    </w:p>
    <w:p w14:paraId="652711FC">
      <w:pPr>
        <w:ind w:firstLine="708" w:firstLineChars="253"/>
        <w:rPr>
          <w:rFonts w:ascii="仿宋" w:hAnsi="仿宋" w:eastAsia="仿宋"/>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1.组织开展普通话水平检测工作。按照省级要求和标准，组织怀化市幼儿园教师参加普通话水平检测，确保检测工作有序进行。</w:t>
      </w:r>
    </w:p>
    <w:p w14:paraId="0D850C9D">
      <w:pPr>
        <w:ind w:firstLine="708" w:firstLineChars="253"/>
        <w:rPr>
          <w:rFonts w:ascii="仿宋" w:hAnsi="仿宋" w:eastAsia="仿宋"/>
          <w:w w:val="100"/>
          <w:sz w:val="28"/>
          <w:szCs w:val="28"/>
        </w:rPr>
      </w:pPr>
      <w:r>
        <w:rPr>
          <w:rFonts w:ascii="仿宋" w:hAnsi="仿宋" w:eastAsia="仿宋"/>
          <w:w w:val="100"/>
          <w:sz w:val="28"/>
          <w:szCs w:val="28"/>
        </w:rPr>
        <w:t>2.提高幼儿园教师普通话水平。通过检测工作，促进幼儿园教师重视普通话学习和应用，提升普通话水平，为幼儿语言教育奠定良好基础。</w:t>
      </w:r>
    </w:p>
    <w:p w14:paraId="64EFDA23">
      <w:pPr>
        <w:ind w:firstLine="708" w:firstLineChars="253"/>
        <w:rPr>
          <w:rFonts w:ascii="仿宋" w:hAnsi="仿宋" w:eastAsia="仿宋"/>
          <w:b/>
          <w:w w:val="100"/>
          <w:sz w:val="28"/>
          <w:szCs w:val="28"/>
        </w:rPr>
      </w:pPr>
      <w:r>
        <w:rPr>
          <w:rFonts w:ascii="仿宋" w:hAnsi="仿宋" w:eastAsia="仿宋"/>
          <w:w w:val="100"/>
          <w:sz w:val="28"/>
          <w:szCs w:val="28"/>
        </w:rPr>
        <w:t>3.确保检测结果准确公正。严格遵循检测流程和标准，保证检测结果能够准确反映教师的普通话实际水平，具有公正性和权威性。</w:t>
      </w:r>
    </w:p>
    <w:p w14:paraId="59818404">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1.检测工作组织实施。2023年，在规定时间内顺利完成了幼儿园教师普通话水平省级检测工作的组织筹备、考试安排、考务管理等各项工作。</w:t>
      </w:r>
    </w:p>
    <w:p w14:paraId="438CECB3">
      <w:pPr>
        <w:ind w:firstLine="708" w:firstLineChars="253"/>
        <w:rPr>
          <w:rFonts w:ascii="仿宋" w:hAnsi="仿宋" w:eastAsia="仿宋"/>
          <w:w w:val="100"/>
          <w:sz w:val="28"/>
          <w:szCs w:val="28"/>
        </w:rPr>
      </w:pPr>
      <w:r>
        <w:rPr>
          <w:rFonts w:ascii="仿宋" w:hAnsi="仿宋" w:eastAsia="仿宋"/>
          <w:w w:val="100"/>
          <w:sz w:val="28"/>
          <w:szCs w:val="28"/>
        </w:rPr>
        <w:t>2.教师普通话水平提升。经过检测及后续分析，参与检测的教师在普通话发音、口语表达等方面有了一定程度的提升，整体普通话水平有所提高。</w:t>
      </w:r>
    </w:p>
    <w:p w14:paraId="50C0F83F">
      <w:pPr>
        <w:ind w:firstLine="708" w:firstLineChars="253"/>
        <w:rPr>
          <w:rFonts w:ascii="仿宋" w:hAnsi="仿宋" w:eastAsia="仿宋"/>
          <w:w w:val="100"/>
          <w:sz w:val="28"/>
          <w:szCs w:val="28"/>
        </w:rPr>
      </w:pPr>
      <w:r>
        <w:rPr>
          <w:rFonts w:ascii="仿宋" w:hAnsi="仿宋" w:eastAsia="仿宋"/>
          <w:w w:val="100"/>
          <w:sz w:val="28"/>
          <w:szCs w:val="28"/>
        </w:rPr>
        <w:t>3.检测结果准确性与公正性。检测过程严格执行相关标准和流程，检测结果准确、公正，得到了教师和相关部门的认可。</w:t>
      </w:r>
    </w:p>
    <w:p w14:paraId="50D9794F">
      <w:pPr>
        <w:ind w:firstLine="708" w:firstLineChars="253"/>
        <w:rPr>
          <w:rFonts w:ascii="楷体" w:hAnsi="楷体" w:eastAsia="楷体"/>
          <w:b/>
          <w:w w:val="100"/>
          <w:sz w:val="28"/>
          <w:szCs w:val="28"/>
        </w:rPr>
      </w:pPr>
      <w:r>
        <w:rPr>
          <w:rFonts w:ascii="楷体" w:hAnsi="楷体" w:eastAsia="楷体"/>
          <w:b/>
          <w:w w:val="100"/>
          <w:sz w:val="28"/>
          <w:szCs w:val="28"/>
        </w:rPr>
        <w:t>k.2023年11月14日,市财政局下达</w:t>
      </w:r>
      <w:r>
        <w:rPr>
          <w:rFonts w:hint="eastAsia" w:ascii="楷体" w:hAnsi="楷体" w:eastAsia="楷体"/>
          <w:b/>
          <w:w w:val="100"/>
          <w:sz w:val="28"/>
          <w:szCs w:val="28"/>
        </w:rPr>
        <w:t>“</w:t>
      </w:r>
      <w:r>
        <w:rPr>
          <w:rFonts w:ascii="楷体" w:hAnsi="楷体" w:eastAsia="楷体"/>
          <w:b/>
          <w:w w:val="100"/>
          <w:sz w:val="28"/>
          <w:szCs w:val="28"/>
        </w:rPr>
        <w:t>怀化市2023年国培计划项目</w:t>
      </w:r>
      <w:r>
        <w:rPr>
          <w:rFonts w:hint="eastAsia" w:ascii="楷体" w:hAnsi="楷体" w:eastAsia="楷体"/>
          <w:b/>
          <w:w w:val="100"/>
          <w:sz w:val="28"/>
          <w:szCs w:val="28"/>
        </w:rPr>
        <w:t>”</w:t>
      </w:r>
      <w:r>
        <w:rPr>
          <w:rFonts w:ascii="楷体" w:hAnsi="楷体" w:eastAsia="楷体"/>
          <w:b/>
          <w:w w:val="100"/>
          <w:sz w:val="28"/>
          <w:szCs w:val="28"/>
        </w:rPr>
        <w:t>,湘财预〔2022〕0320号指标共92.50万元，支出92.48万元，其中：</w:t>
      </w:r>
      <w:r>
        <w:rPr>
          <w:rFonts w:hint="eastAsia" w:ascii="楷体" w:hAnsi="楷体" w:eastAsia="楷体"/>
          <w:b/>
          <w:w w:val="100"/>
          <w:sz w:val="28"/>
          <w:szCs w:val="28"/>
        </w:rPr>
        <w:t>委托业务费</w:t>
      </w:r>
      <w:r>
        <w:rPr>
          <w:rFonts w:ascii="楷体" w:hAnsi="楷体" w:eastAsia="楷体"/>
          <w:b/>
          <w:w w:val="100"/>
          <w:sz w:val="28"/>
          <w:szCs w:val="28"/>
        </w:rPr>
        <w:t>92.48万元</w:t>
      </w:r>
      <w:r>
        <w:rPr>
          <w:rFonts w:hint="eastAsia" w:ascii="楷体" w:hAnsi="楷体" w:eastAsia="楷体"/>
          <w:b/>
          <w:w w:val="100"/>
          <w:sz w:val="28"/>
          <w:szCs w:val="28"/>
        </w:rPr>
        <w:t>；</w:t>
      </w:r>
    </w:p>
    <w:p w14:paraId="08249BDD">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hint="eastAsia" w:ascii="仿宋" w:hAnsi="仿宋" w:eastAsia="仿宋"/>
          <w:w w:val="100"/>
          <w:sz w:val="28"/>
          <w:szCs w:val="28"/>
        </w:rPr>
        <w:t>“国培计划”项目是指由中央财政专项经费支持，教育部、财政部统筹规划和指导，省级教育、财政部门组织实施的教师培训项目。我市“国培计划”项目均遵照《教育部、财政部制定的</w:t>
      </w:r>
      <w:r>
        <w:rPr>
          <w:rFonts w:ascii="仿宋" w:hAnsi="仿宋" w:eastAsia="仿宋"/>
          <w:w w:val="100"/>
          <w:sz w:val="28"/>
          <w:szCs w:val="28"/>
        </w:rPr>
        <w:t>&lt;“国培计划”项目管理指南&gt;》、《湖南省“国培计划”项目管理细则（试行）》执行。</w:t>
      </w:r>
    </w:p>
    <w:p w14:paraId="2FF91631">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w w:val="100"/>
          <w:sz w:val="28"/>
          <w:szCs w:val="28"/>
        </w:rPr>
        <w:t>“国培计划”怀化市紧缺学科骨干教师专项培训</w:t>
      </w:r>
      <w:r>
        <w:rPr>
          <w:rFonts w:ascii="仿宋" w:hAnsi="仿宋" w:eastAsia="仿宋"/>
          <w:w w:val="100"/>
          <w:sz w:val="28"/>
          <w:szCs w:val="28"/>
        </w:rPr>
        <w:t>(家校共育)(A1202-2)项目，共60人，5天，实际参训学员60人，培训5天；</w:t>
      </w:r>
    </w:p>
    <w:p w14:paraId="0A41E863">
      <w:pPr>
        <w:ind w:firstLine="708" w:firstLineChars="253"/>
        <w:rPr>
          <w:rFonts w:ascii="仿宋" w:hAnsi="仿宋" w:eastAsia="仿宋"/>
          <w:w w:val="100"/>
          <w:sz w:val="28"/>
          <w:szCs w:val="28"/>
        </w:rPr>
      </w:pPr>
      <w:r>
        <w:rPr>
          <w:rFonts w:hint="eastAsia" w:ascii="仿宋" w:hAnsi="仿宋" w:eastAsia="仿宋"/>
          <w:w w:val="100"/>
          <w:sz w:val="28"/>
          <w:szCs w:val="28"/>
        </w:rPr>
        <w:t>“国培计划”怀化市教师培训管理者研修（</w:t>
      </w:r>
      <w:r>
        <w:rPr>
          <w:rFonts w:ascii="仿宋" w:hAnsi="仿宋" w:eastAsia="仿宋"/>
          <w:w w:val="100"/>
          <w:sz w:val="28"/>
          <w:szCs w:val="28"/>
        </w:rPr>
        <w:t>C1201）项目, 共 60人，5天，实际参训学员60人，培训5天。</w:t>
      </w:r>
    </w:p>
    <w:p w14:paraId="3478BCC0">
      <w:pPr>
        <w:ind w:firstLine="708" w:firstLineChars="253"/>
        <w:rPr>
          <w:rFonts w:ascii="仿宋" w:hAnsi="仿宋" w:eastAsia="仿宋"/>
          <w:w w:val="100"/>
          <w:sz w:val="28"/>
          <w:szCs w:val="28"/>
        </w:rPr>
      </w:pPr>
      <w:r>
        <w:rPr>
          <w:rFonts w:hint="eastAsia" w:ascii="仿宋" w:hAnsi="仿宋" w:eastAsia="仿宋"/>
          <w:w w:val="100"/>
          <w:sz w:val="28"/>
          <w:szCs w:val="28"/>
        </w:rPr>
        <w:t>“国培计划（</w:t>
      </w:r>
      <w:r>
        <w:rPr>
          <w:rFonts w:ascii="仿宋" w:hAnsi="仿宋" w:eastAsia="仿宋"/>
          <w:w w:val="100"/>
          <w:sz w:val="28"/>
          <w:szCs w:val="28"/>
        </w:rPr>
        <w:t>2023）” 湖南省怀化市农村骨干教师分层分类培训（初中化学）,共65人，7天，实际参训学员65人，培训7天；</w:t>
      </w:r>
    </w:p>
    <w:p w14:paraId="670DFC2F">
      <w:pPr>
        <w:ind w:firstLine="708" w:firstLineChars="253"/>
        <w:rPr>
          <w:rFonts w:ascii="仿宋" w:hAnsi="仿宋" w:eastAsia="仿宋"/>
          <w:w w:val="100"/>
          <w:sz w:val="28"/>
          <w:szCs w:val="28"/>
        </w:rPr>
      </w:pPr>
      <w:r>
        <w:rPr>
          <w:rFonts w:hint="eastAsia" w:ascii="仿宋" w:hAnsi="仿宋" w:eastAsia="仿宋"/>
          <w:w w:val="100"/>
          <w:sz w:val="28"/>
          <w:szCs w:val="28"/>
        </w:rPr>
        <w:t>“国培计划（</w:t>
      </w:r>
      <w:r>
        <w:rPr>
          <w:rFonts w:ascii="仿宋" w:hAnsi="仿宋" w:eastAsia="仿宋"/>
          <w:w w:val="100"/>
          <w:sz w:val="28"/>
          <w:szCs w:val="28"/>
        </w:rPr>
        <w:t>2023）”怀化市第二批教育人才工作室首席教师校长培训班（A1201）培训班根据项目实施要求，共5天，参训学员66人，实际参训学员65人，培训7天；</w:t>
      </w:r>
    </w:p>
    <w:p w14:paraId="155152E9">
      <w:pPr>
        <w:ind w:firstLine="708" w:firstLineChars="253"/>
        <w:rPr>
          <w:rFonts w:ascii="仿宋" w:hAnsi="仿宋" w:eastAsia="仿宋"/>
          <w:w w:val="100"/>
          <w:sz w:val="28"/>
          <w:szCs w:val="28"/>
        </w:rPr>
      </w:pPr>
      <w:r>
        <w:rPr>
          <w:rFonts w:hint="eastAsia" w:ascii="仿宋" w:hAnsi="仿宋" w:eastAsia="仿宋"/>
          <w:w w:val="100"/>
          <w:sz w:val="28"/>
          <w:szCs w:val="28"/>
        </w:rPr>
        <w:t>“国培计划（</w:t>
      </w:r>
      <w:r>
        <w:rPr>
          <w:rFonts w:ascii="仿宋" w:hAnsi="仿宋" w:eastAsia="仿宋"/>
          <w:w w:val="100"/>
          <w:sz w:val="28"/>
          <w:szCs w:val="28"/>
        </w:rPr>
        <w:t>2023）”怀化市聚焦基础教育领域重点改革事项开展专项培训班F1201 , 参训人数： 60 人。实际参训学员60人，培训5天。</w:t>
      </w:r>
    </w:p>
    <w:p w14:paraId="144A31AD">
      <w:pPr>
        <w:ind w:firstLine="708" w:firstLineChars="253"/>
        <w:rPr>
          <w:rFonts w:ascii="仿宋" w:hAnsi="仿宋" w:eastAsia="仿宋"/>
          <w:w w:val="100"/>
          <w:sz w:val="28"/>
          <w:szCs w:val="28"/>
        </w:rPr>
      </w:pPr>
      <w:r>
        <w:rPr>
          <w:rFonts w:hint="eastAsia" w:ascii="仿宋" w:hAnsi="仿宋" w:eastAsia="仿宋"/>
          <w:w w:val="100"/>
          <w:sz w:val="28"/>
          <w:szCs w:val="28"/>
        </w:rPr>
        <w:t>“国培计划（</w:t>
      </w:r>
      <w:r>
        <w:rPr>
          <w:rFonts w:ascii="仿宋" w:hAnsi="仿宋" w:eastAsia="仿宋"/>
          <w:w w:val="100"/>
          <w:sz w:val="28"/>
          <w:szCs w:val="28"/>
        </w:rPr>
        <w:t>2023）”怀化市中小学幼儿园党组织书记研修（D1202) ，共计5天，参训人数：60人；实际参训学员60人，培训5天。</w:t>
      </w:r>
    </w:p>
    <w:p w14:paraId="786C80BD">
      <w:pPr>
        <w:ind w:firstLine="708" w:firstLineChars="253"/>
        <w:rPr>
          <w:rFonts w:ascii="仿宋" w:hAnsi="仿宋" w:eastAsia="仿宋"/>
          <w:w w:val="100"/>
          <w:sz w:val="28"/>
          <w:szCs w:val="28"/>
        </w:rPr>
      </w:pPr>
      <w:r>
        <w:rPr>
          <w:rFonts w:hint="eastAsia" w:ascii="仿宋" w:hAnsi="仿宋" w:eastAsia="仿宋"/>
          <w:w w:val="100"/>
          <w:sz w:val="28"/>
          <w:szCs w:val="28"/>
        </w:rPr>
        <w:t>“国培计划（</w:t>
      </w:r>
      <w:r>
        <w:rPr>
          <w:rFonts w:ascii="仿宋" w:hAnsi="仿宋" w:eastAsia="仿宋"/>
          <w:w w:val="100"/>
          <w:sz w:val="28"/>
          <w:szCs w:val="28"/>
        </w:rPr>
        <w:t>2023）”怀化市学校管理团队信息化领导力提升（E1201)，共计5天，共60人。实际参训学员60人，培训5天。</w:t>
      </w:r>
    </w:p>
    <w:p w14:paraId="34C3E559">
      <w:pPr>
        <w:ind w:firstLine="708" w:firstLineChars="253"/>
        <w:rPr>
          <w:rFonts w:ascii="楷体" w:hAnsi="楷体" w:eastAsia="楷体"/>
          <w:b/>
          <w:w w:val="100"/>
          <w:sz w:val="28"/>
          <w:szCs w:val="28"/>
        </w:rPr>
      </w:pPr>
      <w:r>
        <w:rPr>
          <w:rFonts w:ascii="楷体" w:hAnsi="楷体" w:eastAsia="楷体"/>
          <w:b/>
          <w:w w:val="100"/>
          <w:sz w:val="28"/>
          <w:szCs w:val="28"/>
        </w:rPr>
        <w:t>l.2023年3月15日,市财政局下达</w:t>
      </w:r>
      <w:r>
        <w:rPr>
          <w:rFonts w:hint="eastAsia" w:ascii="楷体" w:hAnsi="楷体" w:eastAsia="楷体"/>
          <w:b/>
          <w:w w:val="100"/>
          <w:sz w:val="28"/>
          <w:szCs w:val="28"/>
        </w:rPr>
        <w:t>“</w:t>
      </w:r>
      <w:r>
        <w:rPr>
          <w:rFonts w:ascii="楷体" w:hAnsi="楷体" w:eastAsia="楷体"/>
          <w:b/>
          <w:w w:val="100"/>
          <w:sz w:val="28"/>
          <w:szCs w:val="28"/>
        </w:rPr>
        <w:t>考试经费</w:t>
      </w:r>
      <w:r>
        <w:rPr>
          <w:rFonts w:hint="eastAsia" w:ascii="楷体" w:hAnsi="楷体" w:eastAsia="楷体"/>
          <w:b/>
          <w:w w:val="100"/>
          <w:sz w:val="28"/>
          <w:szCs w:val="28"/>
        </w:rPr>
        <w:t>”</w:t>
      </w:r>
      <w:r>
        <w:rPr>
          <w:rFonts w:ascii="楷体" w:hAnsi="楷体" w:eastAsia="楷体"/>
          <w:b/>
          <w:w w:val="100"/>
          <w:sz w:val="28"/>
          <w:szCs w:val="28"/>
        </w:rPr>
        <w:t>,怀财教字〔2023〕9999号指标共39.92万元，支出39.92万元，其中：</w:t>
      </w:r>
      <w:r>
        <w:rPr>
          <w:rFonts w:hint="eastAsia" w:ascii="楷体" w:hAnsi="楷体" w:eastAsia="楷体"/>
          <w:b/>
          <w:w w:val="100"/>
          <w:sz w:val="28"/>
          <w:szCs w:val="28"/>
        </w:rPr>
        <w:t>印刷费</w:t>
      </w:r>
      <w:r>
        <w:rPr>
          <w:rFonts w:ascii="楷体" w:hAnsi="楷体" w:eastAsia="楷体"/>
          <w:b/>
          <w:w w:val="100"/>
          <w:sz w:val="28"/>
          <w:szCs w:val="28"/>
        </w:rPr>
        <w:t>2.29万元</w:t>
      </w:r>
      <w:r>
        <w:rPr>
          <w:rFonts w:hint="eastAsia" w:ascii="楷体" w:hAnsi="楷体" w:eastAsia="楷体"/>
          <w:b/>
          <w:w w:val="100"/>
          <w:sz w:val="28"/>
          <w:szCs w:val="28"/>
        </w:rPr>
        <w:t>、咨询费</w:t>
      </w:r>
      <w:r>
        <w:rPr>
          <w:rFonts w:ascii="楷体" w:hAnsi="楷体" w:eastAsia="楷体"/>
          <w:b/>
          <w:w w:val="100"/>
          <w:sz w:val="28"/>
          <w:szCs w:val="28"/>
        </w:rPr>
        <w:t>1.35万元</w:t>
      </w:r>
      <w:r>
        <w:rPr>
          <w:rFonts w:hint="eastAsia" w:ascii="楷体" w:hAnsi="楷体" w:eastAsia="楷体"/>
          <w:b/>
          <w:w w:val="100"/>
          <w:sz w:val="28"/>
          <w:szCs w:val="28"/>
        </w:rPr>
        <w:t>、差旅费</w:t>
      </w:r>
      <w:r>
        <w:rPr>
          <w:rFonts w:ascii="楷体" w:hAnsi="楷体" w:eastAsia="楷体"/>
          <w:b/>
          <w:w w:val="100"/>
          <w:sz w:val="28"/>
          <w:szCs w:val="28"/>
        </w:rPr>
        <w:t>0.77万元</w:t>
      </w:r>
      <w:r>
        <w:rPr>
          <w:rFonts w:hint="eastAsia" w:ascii="楷体" w:hAnsi="楷体" w:eastAsia="楷体"/>
          <w:b/>
          <w:w w:val="100"/>
          <w:sz w:val="28"/>
          <w:szCs w:val="28"/>
        </w:rPr>
        <w:t>、租赁费</w:t>
      </w:r>
      <w:r>
        <w:rPr>
          <w:rFonts w:ascii="楷体" w:hAnsi="楷体" w:eastAsia="楷体"/>
          <w:b/>
          <w:w w:val="100"/>
          <w:sz w:val="28"/>
          <w:szCs w:val="28"/>
        </w:rPr>
        <w:t>0.40万元</w:t>
      </w:r>
      <w:r>
        <w:rPr>
          <w:rFonts w:hint="eastAsia" w:ascii="楷体" w:hAnsi="楷体" w:eastAsia="楷体"/>
          <w:b/>
          <w:w w:val="100"/>
          <w:sz w:val="28"/>
          <w:szCs w:val="28"/>
        </w:rPr>
        <w:t>、劳务费</w:t>
      </w:r>
      <w:r>
        <w:rPr>
          <w:rFonts w:ascii="楷体" w:hAnsi="楷体" w:eastAsia="楷体"/>
          <w:b/>
          <w:w w:val="100"/>
          <w:sz w:val="28"/>
          <w:szCs w:val="28"/>
        </w:rPr>
        <w:t>15.40万元</w:t>
      </w:r>
      <w:r>
        <w:rPr>
          <w:rFonts w:hint="eastAsia" w:ascii="楷体" w:hAnsi="楷体" w:eastAsia="楷体"/>
          <w:b/>
          <w:w w:val="100"/>
          <w:sz w:val="28"/>
          <w:szCs w:val="28"/>
        </w:rPr>
        <w:t>、委托业务费</w:t>
      </w:r>
      <w:r>
        <w:rPr>
          <w:rFonts w:ascii="楷体" w:hAnsi="楷体" w:eastAsia="楷体"/>
          <w:b/>
          <w:w w:val="100"/>
          <w:sz w:val="28"/>
          <w:szCs w:val="28"/>
        </w:rPr>
        <w:t>1.80万元</w:t>
      </w:r>
      <w:r>
        <w:rPr>
          <w:rFonts w:hint="eastAsia" w:ascii="楷体" w:hAnsi="楷体" w:eastAsia="楷体"/>
          <w:b/>
          <w:w w:val="100"/>
          <w:sz w:val="28"/>
          <w:szCs w:val="28"/>
        </w:rPr>
        <w:t>、其他商品和服务支出</w:t>
      </w:r>
      <w:r>
        <w:rPr>
          <w:rFonts w:ascii="楷体" w:hAnsi="楷体" w:eastAsia="楷体"/>
          <w:b/>
          <w:w w:val="100"/>
          <w:sz w:val="28"/>
          <w:szCs w:val="28"/>
        </w:rPr>
        <w:t>9.85万元</w:t>
      </w:r>
      <w:r>
        <w:rPr>
          <w:rFonts w:hint="eastAsia" w:ascii="楷体" w:hAnsi="楷体" w:eastAsia="楷体"/>
          <w:b/>
          <w:w w:val="100"/>
          <w:sz w:val="28"/>
          <w:szCs w:val="28"/>
        </w:rPr>
        <w:t>、抚恤金</w:t>
      </w:r>
      <w:r>
        <w:rPr>
          <w:rFonts w:ascii="楷体" w:hAnsi="楷体" w:eastAsia="楷体"/>
          <w:b/>
          <w:w w:val="100"/>
          <w:sz w:val="28"/>
          <w:szCs w:val="28"/>
        </w:rPr>
        <w:t>8.07万元</w:t>
      </w:r>
      <w:r>
        <w:rPr>
          <w:rFonts w:hint="eastAsia" w:ascii="楷体" w:hAnsi="楷体" w:eastAsia="楷体"/>
          <w:b/>
          <w:w w:val="100"/>
          <w:sz w:val="28"/>
          <w:szCs w:val="28"/>
        </w:rPr>
        <w:t>；</w:t>
      </w:r>
    </w:p>
    <w:p w14:paraId="6BF57D19">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hint="eastAsia" w:ascii="仿宋" w:hAnsi="仿宋" w:eastAsia="仿宋"/>
          <w:w w:val="100"/>
          <w:sz w:val="28"/>
          <w:szCs w:val="28"/>
        </w:rPr>
        <w:t>全面贯彻党的教育方针，引导学校全面实施素质教育，依托信息技术手段，以考促教，促进普通高中学校深化招生考试 改革，全面落实课程计划，改进教学管理，促进学生全面发展和健康成长。</w:t>
      </w:r>
    </w:p>
    <w:p w14:paraId="0FDDDE3C">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w w:val="100"/>
          <w:sz w:val="28"/>
          <w:szCs w:val="28"/>
        </w:rPr>
        <w:t>各县市区教育局负责本辖区组考科目考试的统筹与管</w:t>
      </w:r>
      <w:r>
        <w:rPr>
          <w:rFonts w:ascii="仿宋" w:hAnsi="仿宋" w:eastAsia="仿宋"/>
          <w:w w:val="100"/>
          <w:sz w:val="28"/>
          <w:szCs w:val="28"/>
        </w:rPr>
        <w:t xml:space="preserve"> 理，各教育招考部门负责牵头组织，各高中学校负责具体实 施。考点建设与设施设备配合由各县市区教育局协调各高中</w:t>
      </w:r>
    </w:p>
    <w:p w14:paraId="35871CE1">
      <w:pPr>
        <w:ind w:firstLine="708" w:firstLineChars="253"/>
        <w:rPr>
          <w:rFonts w:ascii="仿宋" w:hAnsi="仿宋" w:eastAsia="仿宋"/>
          <w:w w:val="100"/>
          <w:sz w:val="28"/>
          <w:szCs w:val="28"/>
        </w:rPr>
      </w:pPr>
      <w:r>
        <w:rPr>
          <w:rFonts w:hint="eastAsia" w:ascii="仿宋" w:hAnsi="仿宋" w:eastAsia="仿宋"/>
          <w:w w:val="100"/>
          <w:sz w:val="28"/>
          <w:szCs w:val="28"/>
        </w:rPr>
        <w:t>学校统一推进。</w:t>
      </w:r>
    </w:p>
    <w:p w14:paraId="410F8965">
      <w:pPr>
        <w:ind w:firstLine="708" w:firstLineChars="253"/>
        <w:rPr>
          <w:rFonts w:ascii="仿宋" w:hAnsi="仿宋" w:eastAsia="仿宋"/>
          <w:w w:val="100"/>
          <w:sz w:val="28"/>
          <w:szCs w:val="28"/>
        </w:rPr>
      </w:pPr>
      <w:r>
        <w:rPr>
          <w:rFonts w:hint="eastAsia" w:ascii="仿宋" w:hAnsi="仿宋" w:eastAsia="仿宋"/>
          <w:w w:val="100"/>
          <w:sz w:val="28"/>
          <w:szCs w:val="28"/>
        </w:rPr>
        <w:t>（</w:t>
      </w:r>
      <w:r>
        <w:rPr>
          <w:rFonts w:ascii="仿宋" w:hAnsi="仿宋" w:eastAsia="仿宋"/>
          <w:w w:val="100"/>
          <w:sz w:val="28"/>
          <w:szCs w:val="28"/>
        </w:rPr>
        <w:t>1）考点学校校长担任考点主任，全面负责本考点的各项 考试工作，学校要严格按照《湖南省普通高中学业水平考试考务管理细则》的要求选聘好考务工作人员，精心组织培训，规范考试工作程序。</w:t>
      </w:r>
    </w:p>
    <w:p w14:paraId="001E9370">
      <w:pPr>
        <w:ind w:firstLine="708" w:firstLineChars="253"/>
        <w:rPr>
          <w:rFonts w:ascii="仿宋" w:hAnsi="仿宋" w:eastAsia="仿宋"/>
          <w:w w:val="100"/>
          <w:sz w:val="28"/>
          <w:szCs w:val="28"/>
        </w:rPr>
      </w:pPr>
      <w:r>
        <w:rPr>
          <w:rFonts w:hint="eastAsia" w:ascii="仿宋" w:hAnsi="仿宋" w:eastAsia="仿宋"/>
          <w:w w:val="100"/>
          <w:sz w:val="28"/>
          <w:szCs w:val="28"/>
        </w:rPr>
        <w:t>（</w:t>
      </w:r>
      <w:r>
        <w:rPr>
          <w:rFonts w:ascii="仿宋" w:hAnsi="仿宋" w:eastAsia="仿宋"/>
          <w:w w:val="100"/>
          <w:sz w:val="28"/>
          <w:szCs w:val="28"/>
        </w:rPr>
        <w:t>2）各县市区和考点学校要制定考试工作方案，并将加盖 学校公章的组考方案于10月底前报县市区招考部门审批，各 县市区招考部门统一汇总后于11月10日前上交市教育考试院备案。</w:t>
      </w:r>
    </w:p>
    <w:p w14:paraId="73510B0F">
      <w:pPr>
        <w:ind w:firstLine="708" w:firstLineChars="253"/>
        <w:rPr>
          <w:rFonts w:ascii="仿宋" w:hAnsi="仿宋" w:eastAsia="仿宋"/>
          <w:w w:val="100"/>
          <w:sz w:val="28"/>
          <w:szCs w:val="28"/>
        </w:rPr>
      </w:pPr>
      <w:r>
        <w:rPr>
          <w:rFonts w:hint="eastAsia" w:ascii="仿宋" w:hAnsi="仿宋" w:eastAsia="仿宋"/>
          <w:w w:val="100"/>
          <w:sz w:val="28"/>
          <w:szCs w:val="28"/>
        </w:rPr>
        <w:t>（</w:t>
      </w:r>
      <w:r>
        <w:rPr>
          <w:rFonts w:ascii="仿宋" w:hAnsi="仿宋" w:eastAsia="仿宋"/>
          <w:w w:val="100"/>
          <w:sz w:val="28"/>
          <w:szCs w:val="28"/>
        </w:rPr>
        <w:t>3）领卷时间：理化生实验考试样卷于2023年5月份下发 至各县市区招考部门，各县市区招考部门根据实际印制好考试实验试题卷和评分表下发至各高中学校。</w:t>
      </w:r>
    </w:p>
    <w:p w14:paraId="5D19048C">
      <w:pPr>
        <w:ind w:firstLine="708" w:firstLineChars="253"/>
        <w:rPr>
          <w:rFonts w:ascii="仿宋" w:hAnsi="仿宋" w:eastAsia="仿宋"/>
          <w:w w:val="100"/>
          <w:sz w:val="28"/>
          <w:szCs w:val="28"/>
        </w:rPr>
      </w:pPr>
      <w:r>
        <w:rPr>
          <w:rFonts w:hint="eastAsia" w:ascii="仿宋" w:hAnsi="仿宋" w:eastAsia="仿宋"/>
          <w:w w:val="100"/>
          <w:sz w:val="28"/>
          <w:szCs w:val="28"/>
        </w:rPr>
        <w:t>（</w:t>
      </w:r>
      <w:r>
        <w:rPr>
          <w:rFonts w:ascii="仿宋" w:hAnsi="仿宋" w:eastAsia="仿宋"/>
          <w:w w:val="100"/>
          <w:sz w:val="28"/>
          <w:szCs w:val="28"/>
        </w:rPr>
        <w:t>4）试卷装订：实验操作考试评分表按同一批次分考室装订成一本。所有试卷和评分表由考点学校统一收齐备查。</w:t>
      </w:r>
    </w:p>
    <w:p w14:paraId="30F8D3B3">
      <w:pPr>
        <w:ind w:firstLine="708" w:firstLineChars="253"/>
        <w:rPr>
          <w:rFonts w:ascii="仿宋" w:hAnsi="仿宋" w:eastAsia="仿宋"/>
          <w:w w:val="100"/>
          <w:sz w:val="28"/>
          <w:szCs w:val="28"/>
        </w:rPr>
      </w:pPr>
      <w:r>
        <w:rPr>
          <w:rFonts w:hint="eastAsia" w:ascii="仿宋" w:hAnsi="仿宋" w:eastAsia="仿宋"/>
          <w:w w:val="100"/>
          <w:sz w:val="28"/>
          <w:szCs w:val="28"/>
        </w:rPr>
        <w:t>（</w:t>
      </w:r>
      <w:r>
        <w:rPr>
          <w:rFonts w:ascii="仿宋" w:hAnsi="仿宋" w:eastAsia="仿宋"/>
          <w:w w:val="100"/>
          <w:sz w:val="28"/>
          <w:szCs w:val="28"/>
        </w:rPr>
        <w:t>5）巡视督查。各县市区要对每个考点至少派出一名驻点巡考员，对学校组考工作进行指导、督查和测评。</w:t>
      </w:r>
    </w:p>
    <w:p w14:paraId="3AF4D269">
      <w:pPr>
        <w:ind w:firstLine="708" w:firstLineChars="253"/>
        <w:rPr>
          <w:rFonts w:ascii="楷体" w:hAnsi="楷体" w:eastAsia="楷体"/>
          <w:b/>
          <w:w w:val="100"/>
          <w:sz w:val="28"/>
          <w:szCs w:val="28"/>
        </w:rPr>
      </w:pPr>
      <w:r>
        <w:rPr>
          <w:rFonts w:ascii="楷体" w:hAnsi="楷体" w:eastAsia="楷体"/>
          <w:b/>
          <w:w w:val="100"/>
          <w:sz w:val="28"/>
          <w:szCs w:val="28"/>
        </w:rPr>
        <w:t>m.2023年8月17日,市财政局下达</w:t>
      </w:r>
      <w:r>
        <w:rPr>
          <w:rFonts w:hint="eastAsia" w:ascii="楷体" w:hAnsi="楷体" w:eastAsia="楷体"/>
          <w:b/>
          <w:w w:val="100"/>
          <w:sz w:val="28"/>
          <w:szCs w:val="28"/>
        </w:rPr>
        <w:t>“</w:t>
      </w:r>
      <w:r>
        <w:rPr>
          <w:rFonts w:ascii="楷体" w:hAnsi="楷体" w:eastAsia="楷体"/>
          <w:b/>
          <w:w w:val="100"/>
          <w:sz w:val="28"/>
          <w:szCs w:val="28"/>
        </w:rPr>
        <w:t>2023年第二批基础教育发展专项（中小学幼儿园校车奖补）资金</w:t>
      </w:r>
      <w:r>
        <w:rPr>
          <w:rFonts w:hint="eastAsia" w:ascii="楷体" w:hAnsi="楷体" w:eastAsia="楷体"/>
          <w:b/>
          <w:w w:val="100"/>
          <w:sz w:val="28"/>
          <w:szCs w:val="28"/>
        </w:rPr>
        <w:t>”</w:t>
      </w:r>
      <w:r>
        <w:rPr>
          <w:rFonts w:ascii="楷体" w:hAnsi="楷体" w:eastAsia="楷体"/>
          <w:b/>
          <w:w w:val="100"/>
          <w:sz w:val="28"/>
          <w:szCs w:val="28"/>
        </w:rPr>
        <w:t>,湘财教指〔2022〕0100号指标共16.00万元，支出15.62万元，其中：</w:t>
      </w:r>
      <w:r>
        <w:rPr>
          <w:rFonts w:hint="eastAsia" w:ascii="楷体" w:hAnsi="楷体" w:eastAsia="楷体"/>
          <w:b/>
          <w:w w:val="100"/>
          <w:sz w:val="28"/>
          <w:szCs w:val="28"/>
        </w:rPr>
        <w:t>维修（护）费</w:t>
      </w:r>
      <w:r>
        <w:rPr>
          <w:rFonts w:ascii="楷体" w:hAnsi="楷体" w:eastAsia="楷体"/>
          <w:b/>
          <w:w w:val="100"/>
          <w:sz w:val="28"/>
          <w:szCs w:val="28"/>
        </w:rPr>
        <w:t>15.62万元</w:t>
      </w:r>
      <w:r>
        <w:rPr>
          <w:rFonts w:hint="eastAsia" w:ascii="楷体" w:hAnsi="楷体" w:eastAsia="楷体"/>
          <w:b/>
          <w:w w:val="100"/>
          <w:sz w:val="28"/>
          <w:szCs w:val="28"/>
        </w:rPr>
        <w:t>；</w:t>
      </w:r>
    </w:p>
    <w:p w14:paraId="546802C2">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hint="eastAsia" w:ascii="仿宋" w:hAnsi="仿宋" w:eastAsia="仿宋"/>
          <w:w w:val="100"/>
          <w:sz w:val="28"/>
          <w:szCs w:val="28"/>
        </w:rPr>
        <w:t>鼓励校车运营单位加强安全管理，更新安全设备，降低校车安全事故发生率。激励校车运营单位提升服务水平，保障学生乘车的舒适性和便利性。促进校车运营单位扩大服务区域，让更多偏远地区学生能够享受到校车服务。协助相关部门完善校车监管体系，提高对校车运营的监督管理效率。</w:t>
      </w:r>
    </w:p>
    <w:p w14:paraId="5F8008AC">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w w:val="100"/>
          <w:sz w:val="28"/>
          <w:szCs w:val="28"/>
        </w:rPr>
        <w:t>校车运营单位利用资金对校车进行了安全检查、维修和设备更新，校车安全性能得到显著提升，全年未发生因校车安全问题导致的重大事故。校车运营单位增加了随车照管人员的培训投入，提升了服务意识和服务水平，学生和家长对校车服务的满意度有所提高。部分校车运营单位利用奖补资金购置新校车或增加运营线路，使更多偏远地区和新建学校的学生能够乘坐校车上下学。相关部门利用奖补资金的一部分，完善了校车监管平台，加强了对校车运营的实时监控和数据分析，提高了监管的科学性和准确性。</w:t>
      </w:r>
    </w:p>
    <w:p w14:paraId="2DD8A3C5">
      <w:pPr>
        <w:ind w:firstLine="708" w:firstLineChars="253"/>
        <w:rPr>
          <w:rFonts w:ascii="楷体" w:hAnsi="楷体" w:eastAsia="楷体"/>
          <w:b/>
          <w:w w:val="100"/>
          <w:sz w:val="28"/>
          <w:szCs w:val="28"/>
        </w:rPr>
      </w:pPr>
      <w:r>
        <w:rPr>
          <w:rFonts w:ascii="楷体" w:hAnsi="楷体" w:eastAsia="楷体"/>
          <w:b/>
          <w:w w:val="100"/>
          <w:sz w:val="28"/>
          <w:szCs w:val="28"/>
        </w:rPr>
        <w:t>n.2023年12月20日,市财政局下达</w:t>
      </w:r>
      <w:r>
        <w:rPr>
          <w:rFonts w:hint="eastAsia" w:ascii="楷体" w:hAnsi="楷体" w:eastAsia="楷体"/>
          <w:b/>
          <w:w w:val="100"/>
          <w:sz w:val="28"/>
          <w:szCs w:val="28"/>
        </w:rPr>
        <w:t>“</w:t>
      </w:r>
      <w:r>
        <w:rPr>
          <w:rFonts w:ascii="楷体" w:hAnsi="楷体" w:eastAsia="楷体"/>
          <w:b/>
          <w:w w:val="100"/>
          <w:sz w:val="28"/>
          <w:szCs w:val="28"/>
        </w:rPr>
        <w:t>各类考试考务、职称评审等工作经费</w:t>
      </w:r>
      <w:r>
        <w:rPr>
          <w:rFonts w:hint="eastAsia" w:ascii="楷体" w:hAnsi="楷体" w:eastAsia="楷体"/>
          <w:b/>
          <w:w w:val="100"/>
          <w:sz w:val="28"/>
          <w:szCs w:val="28"/>
        </w:rPr>
        <w:t>”</w:t>
      </w:r>
      <w:r>
        <w:rPr>
          <w:rFonts w:ascii="楷体" w:hAnsi="楷体" w:eastAsia="楷体"/>
          <w:b/>
          <w:w w:val="100"/>
          <w:sz w:val="28"/>
          <w:szCs w:val="28"/>
        </w:rPr>
        <w:t>,怀财教字〔2023〕0827号共80.52万元，支出80.52万元，其中：</w:t>
      </w:r>
      <w:r>
        <w:rPr>
          <w:rFonts w:hint="eastAsia" w:ascii="楷体" w:hAnsi="楷体" w:eastAsia="楷体"/>
          <w:b/>
          <w:w w:val="100"/>
          <w:sz w:val="28"/>
          <w:szCs w:val="28"/>
        </w:rPr>
        <w:t>劳务费</w:t>
      </w:r>
      <w:r>
        <w:rPr>
          <w:rFonts w:ascii="楷体" w:hAnsi="楷体" w:eastAsia="楷体"/>
          <w:b/>
          <w:w w:val="100"/>
          <w:sz w:val="28"/>
          <w:szCs w:val="28"/>
        </w:rPr>
        <w:t>80.52万元</w:t>
      </w:r>
      <w:r>
        <w:rPr>
          <w:rFonts w:hint="eastAsia" w:ascii="楷体" w:hAnsi="楷体" w:eastAsia="楷体"/>
          <w:b/>
          <w:w w:val="100"/>
          <w:sz w:val="28"/>
          <w:szCs w:val="28"/>
        </w:rPr>
        <w:t>；</w:t>
      </w:r>
    </w:p>
    <w:p w14:paraId="77370947">
      <w:pPr>
        <w:ind w:firstLine="708" w:firstLineChars="253"/>
        <w:rPr>
          <w:rFonts w:ascii="仿宋" w:hAnsi="仿宋" w:eastAsia="仿宋"/>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1.考试考务工作</w:t>
      </w:r>
    </w:p>
    <w:p w14:paraId="5D30083D">
      <w:pPr>
        <w:ind w:firstLine="708" w:firstLineChars="253"/>
        <w:rPr>
          <w:rFonts w:ascii="仿宋" w:hAnsi="仿宋" w:eastAsia="仿宋"/>
          <w:w w:val="100"/>
          <w:sz w:val="28"/>
          <w:szCs w:val="28"/>
        </w:rPr>
      </w:pPr>
      <w:r>
        <w:rPr>
          <w:rFonts w:hint="eastAsia" w:ascii="仿宋" w:hAnsi="仿宋" w:eastAsia="仿宋"/>
          <w:w w:val="100"/>
          <w:sz w:val="28"/>
          <w:szCs w:val="28"/>
        </w:rPr>
        <w:t>确保各类考试安全、平稳、顺利进行，实现零事故、零差错、零投诉的目标。保证考试的公平、公正、公开，维护考试的权威性和公信力。提高考试组织管理效率，优化考试流程，为考生提供优质的考试服务。</w:t>
      </w:r>
    </w:p>
    <w:p w14:paraId="35F8D7C7">
      <w:pPr>
        <w:ind w:firstLine="708" w:firstLineChars="253"/>
        <w:rPr>
          <w:rFonts w:ascii="仿宋" w:hAnsi="仿宋" w:eastAsia="仿宋"/>
          <w:w w:val="100"/>
          <w:sz w:val="28"/>
          <w:szCs w:val="28"/>
        </w:rPr>
      </w:pPr>
      <w:r>
        <w:rPr>
          <w:rFonts w:ascii="仿宋" w:hAnsi="仿宋" w:eastAsia="仿宋"/>
          <w:w w:val="100"/>
          <w:sz w:val="28"/>
          <w:szCs w:val="28"/>
        </w:rPr>
        <w:t>2.职称评审工作</w:t>
      </w:r>
    </w:p>
    <w:p w14:paraId="639FCC58">
      <w:pPr>
        <w:ind w:firstLine="708" w:firstLineChars="253"/>
        <w:rPr>
          <w:rFonts w:ascii="仿宋" w:hAnsi="仿宋" w:eastAsia="仿宋"/>
          <w:b/>
          <w:w w:val="100"/>
          <w:sz w:val="28"/>
          <w:szCs w:val="28"/>
        </w:rPr>
      </w:pPr>
      <w:r>
        <w:rPr>
          <w:rFonts w:hint="eastAsia" w:ascii="仿宋" w:hAnsi="仿宋" w:eastAsia="仿宋"/>
          <w:w w:val="100"/>
          <w:sz w:val="28"/>
          <w:szCs w:val="28"/>
        </w:rPr>
        <w:t>按照规定的程序和标准，公正、客观地开展职称评审工作，确保评审结果的准确性和可靠性。促进教师队伍的专业发展，激励教师不断提高教育教学水平和专业素养。增强职称评审工作的透明度和公信力，提高社会满意度。</w:t>
      </w:r>
    </w:p>
    <w:p w14:paraId="1C345BD4">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ascii="仿宋" w:hAnsi="仿宋" w:eastAsia="仿宋"/>
          <w:w w:val="100"/>
          <w:sz w:val="28"/>
          <w:szCs w:val="28"/>
        </w:rPr>
        <w:t>1.在各类考试期间，严格执行考试安全保障措施，加强对试卷的保管、运输、分发等环节的监管，未发生任何安全事故和差错。建立了完善的考试监督机制，对考试全过程进行严格监控，严肃查处作弊行为，确保了考试的公平公正，考试结果得到了社会的广泛认可。优化了考试组织流程，提前发布考试信息，合理安排考点和考场，为考生提供了清晰的考试指引和周到的服务，提高了考试组织管理效率。</w:t>
      </w:r>
    </w:p>
    <w:p w14:paraId="0D05E324">
      <w:pPr>
        <w:ind w:firstLine="708" w:firstLineChars="253"/>
        <w:rPr>
          <w:rFonts w:ascii="仿宋" w:hAnsi="仿宋" w:eastAsia="仿宋"/>
          <w:w w:val="100"/>
          <w:sz w:val="28"/>
          <w:szCs w:val="28"/>
        </w:rPr>
      </w:pPr>
      <w:r>
        <w:rPr>
          <w:rFonts w:ascii="仿宋" w:hAnsi="仿宋" w:eastAsia="仿宋"/>
          <w:w w:val="100"/>
          <w:sz w:val="28"/>
          <w:szCs w:val="28"/>
        </w:rPr>
        <w:t>2.严格按照职称评审的相关政策和程序，组织专家对申报人员的材料进行评审，经过初审、复审、终审等环节，确保了评审结果的准确性和可靠性。通过职称评审，引导教师注重教学实践和教育科研，提高了教师的专业发展动力和教育教学水平。在职称评审过程中，及时公开评审政策、评审程序、评审结果等信息，接受社会监督，增强了职称评审工作的透明度和公信力，提高了社会满意度。</w:t>
      </w:r>
    </w:p>
    <w:p w14:paraId="2F81E574">
      <w:pPr>
        <w:ind w:firstLine="708" w:firstLineChars="253"/>
        <w:rPr>
          <w:rFonts w:ascii="楷体" w:hAnsi="楷体" w:eastAsia="楷体"/>
          <w:b/>
          <w:w w:val="100"/>
          <w:sz w:val="28"/>
          <w:szCs w:val="28"/>
        </w:rPr>
      </w:pPr>
      <w:r>
        <w:rPr>
          <w:rFonts w:ascii="楷体" w:hAnsi="楷体" w:eastAsia="楷体"/>
          <w:b/>
          <w:w w:val="100"/>
          <w:sz w:val="28"/>
          <w:szCs w:val="28"/>
        </w:rPr>
        <w:t>o.2023年9月4日,市财政局下达</w:t>
      </w:r>
      <w:r>
        <w:rPr>
          <w:rFonts w:hint="eastAsia" w:ascii="楷体" w:hAnsi="楷体" w:eastAsia="楷体"/>
          <w:b/>
          <w:w w:val="100"/>
          <w:sz w:val="28"/>
          <w:szCs w:val="28"/>
        </w:rPr>
        <w:t>“</w:t>
      </w:r>
      <w:r>
        <w:rPr>
          <w:rFonts w:ascii="楷体" w:hAnsi="楷体" w:eastAsia="楷体"/>
          <w:b/>
          <w:w w:val="100"/>
          <w:sz w:val="28"/>
          <w:szCs w:val="28"/>
        </w:rPr>
        <w:t>怀化市教育局2022年行政事业性收入</w:t>
      </w:r>
      <w:r>
        <w:rPr>
          <w:rFonts w:hint="eastAsia" w:ascii="楷体" w:hAnsi="楷体" w:eastAsia="楷体"/>
          <w:b/>
          <w:w w:val="100"/>
          <w:sz w:val="28"/>
          <w:szCs w:val="28"/>
        </w:rPr>
        <w:t>”</w:t>
      </w:r>
      <w:r>
        <w:rPr>
          <w:rFonts w:ascii="楷体" w:hAnsi="楷体" w:eastAsia="楷体"/>
          <w:b/>
          <w:w w:val="100"/>
          <w:sz w:val="28"/>
          <w:szCs w:val="28"/>
        </w:rPr>
        <w:t>,怀财教字〔2023〕9999号指标共61.96万元，支出61.96万元，其中：</w:t>
      </w:r>
      <w:r>
        <w:rPr>
          <w:rFonts w:hint="eastAsia" w:ascii="楷体" w:hAnsi="楷体" w:eastAsia="楷体"/>
          <w:b/>
          <w:w w:val="100"/>
          <w:sz w:val="28"/>
          <w:szCs w:val="28"/>
        </w:rPr>
        <w:t>劳务费</w:t>
      </w:r>
      <w:r>
        <w:rPr>
          <w:rFonts w:ascii="楷体" w:hAnsi="楷体" w:eastAsia="楷体"/>
          <w:b/>
          <w:w w:val="100"/>
          <w:sz w:val="28"/>
          <w:szCs w:val="28"/>
        </w:rPr>
        <w:t>34.81万元</w:t>
      </w:r>
      <w:r>
        <w:rPr>
          <w:rFonts w:hint="eastAsia" w:ascii="楷体" w:hAnsi="楷体" w:eastAsia="楷体"/>
          <w:b/>
          <w:w w:val="100"/>
          <w:sz w:val="28"/>
          <w:szCs w:val="28"/>
        </w:rPr>
        <w:t>、委托业务费</w:t>
      </w:r>
      <w:r>
        <w:rPr>
          <w:rFonts w:ascii="楷体" w:hAnsi="楷体" w:eastAsia="楷体"/>
          <w:b/>
          <w:w w:val="100"/>
          <w:sz w:val="28"/>
          <w:szCs w:val="28"/>
        </w:rPr>
        <w:t>21.14万元</w:t>
      </w:r>
      <w:r>
        <w:rPr>
          <w:rFonts w:hint="eastAsia" w:ascii="楷体" w:hAnsi="楷体" w:eastAsia="楷体"/>
          <w:b/>
          <w:w w:val="100"/>
          <w:sz w:val="28"/>
          <w:szCs w:val="28"/>
        </w:rPr>
        <w:t>、其他商品和服务支出</w:t>
      </w:r>
      <w:r>
        <w:rPr>
          <w:rFonts w:ascii="楷体" w:hAnsi="楷体" w:eastAsia="楷体"/>
          <w:b/>
          <w:w w:val="100"/>
          <w:sz w:val="28"/>
          <w:szCs w:val="28"/>
        </w:rPr>
        <w:t>6.00万元</w:t>
      </w:r>
      <w:r>
        <w:rPr>
          <w:rFonts w:hint="eastAsia" w:ascii="楷体" w:hAnsi="楷体" w:eastAsia="楷体"/>
          <w:b/>
          <w:w w:val="100"/>
          <w:sz w:val="28"/>
          <w:szCs w:val="28"/>
        </w:rPr>
        <w:t>；</w:t>
      </w:r>
    </w:p>
    <w:p w14:paraId="08620EBD">
      <w:pPr>
        <w:ind w:firstLine="708" w:firstLineChars="253"/>
        <w:rPr>
          <w:rFonts w:ascii="仿宋" w:hAnsi="仿宋" w:eastAsia="仿宋" w:cs="Segoe UI"/>
          <w:w w:val="100"/>
          <w:sz w:val="28"/>
          <w:szCs w:val="28"/>
          <w:shd w:val="clear" w:color="auto" w:fill="FFFFFF"/>
        </w:rPr>
      </w:pPr>
      <w:r>
        <w:rPr>
          <w:rFonts w:hint="eastAsia" w:ascii="仿宋" w:hAnsi="仿宋" w:eastAsia="仿宋"/>
          <w:b/>
          <w:w w:val="100"/>
          <w:sz w:val="28"/>
          <w:szCs w:val="28"/>
        </w:rPr>
        <w:t>年初目标：</w:t>
      </w:r>
      <w:r>
        <w:rPr>
          <w:rFonts w:ascii="仿宋" w:hAnsi="仿宋" w:eastAsia="仿宋" w:cs="Segoe UI"/>
          <w:w w:val="100"/>
          <w:sz w:val="28"/>
          <w:szCs w:val="28"/>
          <w:shd w:val="clear" w:color="auto" w:fill="FFFFFF"/>
        </w:rPr>
        <w:t>1.高考、学考补助开支项目：保障高考、学考工作的顺利进行，为考生提供安全、公平、有序的考试环境。确保考试组织工作的严谨性和规范性，提高考试管理水平。</w:t>
      </w:r>
    </w:p>
    <w:p w14:paraId="1DE46C6E">
      <w:pPr>
        <w:ind w:firstLine="708" w:firstLineChars="253"/>
        <w:rPr>
          <w:rFonts w:ascii="仿宋" w:hAnsi="仿宋" w:eastAsia="仿宋"/>
          <w:b/>
          <w:w w:val="100"/>
          <w:sz w:val="28"/>
          <w:szCs w:val="28"/>
        </w:rPr>
      </w:pPr>
      <w:r>
        <w:rPr>
          <w:rFonts w:ascii="仿宋" w:hAnsi="仿宋" w:eastAsia="仿宋" w:cs="Segoe UI"/>
          <w:w w:val="100"/>
          <w:sz w:val="28"/>
          <w:szCs w:val="28"/>
          <w:shd w:val="clear" w:color="auto" w:fill="FFFFFF"/>
        </w:rPr>
        <w:t>2.考点教资面试组考项目：顺利完成教师资格面试组考工作，选拔合格的教育人才进入教师队伍。保证面试过程的公平、公正、科学、有效，提高面试质量。</w:t>
      </w:r>
    </w:p>
    <w:p w14:paraId="3427572E">
      <w:pPr>
        <w:ind w:firstLine="708" w:firstLineChars="253"/>
        <w:rPr>
          <w:rFonts w:ascii="仿宋" w:hAnsi="仿宋" w:eastAsia="仿宋" w:cs="Segoe UI"/>
          <w:w w:val="100"/>
          <w:sz w:val="28"/>
          <w:szCs w:val="28"/>
          <w:shd w:val="clear" w:color="auto" w:fill="FFFFFF"/>
        </w:rPr>
      </w:pPr>
      <w:r>
        <w:rPr>
          <w:rFonts w:hint="eastAsia" w:ascii="仿宋" w:hAnsi="仿宋" w:eastAsia="仿宋"/>
          <w:b/>
          <w:w w:val="100"/>
          <w:sz w:val="28"/>
          <w:szCs w:val="28"/>
        </w:rPr>
        <w:t>完成情况：</w:t>
      </w:r>
      <w:r>
        <w:rPr>
          <w:rFonts w:ascii="仿宋" w:hAnsi="仿宋" w:eastAsia="仿宋" w:cs="Segoe UI"/>
          <w:w w:val="100"/>
          <w:sz w:val="28"/>
          <w:szCs w:val="28"/>
          <w:shd w:val="clear" w:color="auto" w:fill="FFFFFF"/>
        </w:rPr>
        <w:t>1.2023 年高考、学考期间，各考点考试工作有序开展，未出现重大安全事故、泄密事件及违规违纪行为，考试过程平稳顺利，达到了预期的安全、公平、有序的目标。严格按照考试组织规范和要求进行操作，在考试报名、试卷保管与运输、考场布置、监考人员培训与安排、考务管理等方面工作严谨规范，考试管理水平得到了有效提升。</w:t>
      </w:r>
    </w:p>
    <w:p w14:paraId="02392AF4">
      <w:pPr>
        <w:ind w:firstLine="708" w:firstLineChars="253"/>
        <w:rPr>
          <w:rFonts w:ascii="仿宋" w:hAnsi="仿宋" w:eastAsia="仿宋"/>
          <w:w w:val="100"/>
          <w:sz w:val="28"/>
          <w:szCs w:val="28"/>
        </w:rPr>
      </w:pPr>
      <w:r>
        <w:rPr>
          <w:rFonts w:ascii="仿宋" w:hAnsi="仿宋" w:eastAsia="仿宋" w:cs="Segoe UI"/>
          <w:w w:val="100"/>
          <w:sz w:val="28"/>
          <w:szCs w:val="28"/>
          <w:shd w:val="clear" w:color="auto" w:fill="FFFFFF"/>
        </w:rPr>
        <w:t>2.按照预定计划圆满完成了教师资格面试组考工作，为教育系统选拔出了一批具备相应教育教学能力和素质的人才。建立了科学的面试流程和评价标准，加强了对面试过程的监督与管理，确保了面试的公平、公正、科学、有效，面试质量得到了保障。</w:t>
      </w:r>
    </w:p>
    <w:p w14:paraId="338E4072">
      <w:pPr>
        <w:ind w:firstLine="708" w:firstLineChars="253"/>
        <w:rPr>
          <w:rFonts w:ascii="楷体" w:hAnsi="楷体" w:eastAsia="楷体"/>
          <w:b/>
          <w:w w:val="100"/>
          <w:sz w:val="28"/>
          <w:szCs w:val="28"/>
        </w:rPr>
      </w:pPr>
      <w:r>
        <w:rPr>
          <w:rFonts w:ascii="楷体" w:hAnsi="楷体" w:eastAsia="楷体"/>
          <w:b/>
          <w:w w:val="100"/>
          <w:sz w:val="28"/>
          <w:szCs w:val="28"/>
        </w:rPr>
        <w:t>p.2023年1月13日,市财政局下达</w:t>
      </w:r>
      <w:r>
        <w:rPr>
          <w:rFonts w:hint="eastAsia" w:ascii="楷体" w:hAnsi="楷体" w:eastAsia="楷体"/>
          <w:b/>
          <w:w w:val="100"/>
          <w:sz w:val="28"/>
          <w:szCs w:val="28"/>
        </w:rPr>
        <w:t>“</w:t>
      </w:r>
      <w:r>
        <w:rPr>
          <w:rFonts w:ascii="楷体" w:hAnsi="楷体" w:eastAsia="楷体"/>
          <w:b/>
          <w:w w:val="100"/>
          <w:sz w:val="28"/>
          <w:szCs w:val="28"/>
        </w:rPr>
        <w:t>全市语言文字工作经费</w:t>
      </w:r>
      <w:r>
        <w:rPr>
          <w:rFonts w:hint="eastAsia" w:ascii="楷体" w:hAnsi="楷体" w:eastAsia="楷体"/>
          <w:b/>
          <w:w w:val="100"/>
          <w:sz w:val="28"/>
          <w:szCs w:val="28"/>
        </w:rPr>
        <w:t>”</w:t>
      </w:r>
      <w:r>
        <w:rPr>
          <w:rFonts w:ascii="楷体" w:hAnsi="楷体" w:eastAsia="楷体"/>
          <w:b/>
          <w:w w:val="100"/>
          <w:sz w:val="28"/>
          <w:szCs w:val="28"/>
        </w:rPr>
        <w:t>,怀财预〔2023〕8888号指标共9.00万元，支出7.34万元，其中：</w:t>
      </w:r>
      <w:r>
        <w:rPr>
          <w:rFonts w:hint="eastAsia" w:ascii="楷体" w:hAnsi="楷体" w:eastAsia="楷体"/>
          <w:b/>
          <w:w w:val="100"/>
          <w:sz w:val="28"/>
          <w:szCs w:val="28"/>
        </w:rPr>
        <w:t>差旅费</w:t>
      </w:r>
      <w:r>
        <w:rPr>
          <w:rFonts w:ascii="楷体" w:hAnsi="楷体" w:eastAsia="楷体"/>
          <w:b/>
          <w:w w:val="100"/>
          <w:sz w:val="28"/>
          <w:szCs w:val="28"/>
        </w:rPr>
        <w:t>0.47万元</w:t>
      </w:r>
      <w:r>
        <w:rPr>
          <w:rFonts w:hint="eastAsia" w:ascii="楷体" w:hAnsi="楷体" w:eastAsia="楷体"/>
          <w:b/>
          <w:w w:val="100"/>
          <w:sz w:val="28"/>
          <w:szCs w:val="28"/>
        </w:rPr>
        <w:t>、租赁费</w:t>
      </w:r>
      <w:r>
        <w:rPr>
          <w:rFonts w:ascii="楷体" w:hAnsi="楷体" w:eastAsia="楷体"/>
          <w:b/>
          <w:w w:val="100"/>
          <w:sz w:val="28"/>
          <w:szCs w:val="28"/>
        </w:rPr>
        <w:t>1.52万元</w:t>
      </w:r>
      <w:r>
        <w:rPr>
          <w:rFonts w:hint="eastAsia" w:ascii="楷体" w:hAnsi="楷体" w:eastAsia="楷体"/>
          <w:b/>
          <w:w w:val="100"/>
          <w:sz w:val="28"/>
          <w:szCs w:val="28"/>
        </w:rPr>
        <w:t>、劳务费</w:t>
      </w:r>
      <w:r>
        <w:rPr>
          <w:rFonts w:ascii="楷体" w:hAnsi="楷体" w:eastAsia="楷体"/>
          <w:b/>
          <w:w w:val="100"/>
          <w:sz w:val="28"/>
          <w:szCs w:val="28"/>
        </w:rPr>
        <w:t>1.26万元</w:t>
      </w:r>
      <w:r>
        <w:rPr>
          <w:rFonts w:hint="eastAsia" w:ascii="楷体" w:hAnsi="楷体" w:eastAsia="楷体"/>
          <w:b/>
          <w:w w:val="100"/>
          <w:sz w:val="28"/>
          <w:szCs w:val="28"/>
        </w:rPr>
        <w:t>、委托业务费</w:t>
      </w:r>
      <w:r>
        <w:rPr>
          <w:rFonts w:ascii="楷体" w:hAnsi="楷体" w:eastAsia="楷体"/>
          <w:b/>
          <w:w w:val="100"/>
          <w:sz w:val="28"/>
          <w:szCs w:val="28"/>
        </w:rPr>
        <w:t>3.98万元</w:t>
      </w:r>
      <w:r>
        <w:rPr>
          <w:rFonts w:hint="eastAsia" w:ascii="楷体" w:hAnsi="楷体" w:eastAsia="楷体"/>
          <w:b/>
          <w:w w:val="100"/>
          <w:sz w:val="28"/>
          <w:szCs w:val="28"/>
        </w:rPr>
        <w:t>、其他商品和服务支出</w:t>
      </w:r>
      <w:r>
        <w:rPr>
          <w:rFonts w:ascii="楷体" w:hAnsi="楷体" w:eastAsia="楷体"/>
          <w:b/>
          <w:w w:val="100"/>
          <w:sz w:val="28"/>
          <w:szCs w:val="28"/>
        </w:rPr>
        <w:t>0.11万元</w:t>
      </w:r>
      <w:r>
        <w:rPr>
          <w:rFonts w:hint="eastAsia" w:ascii="楷体" w:hAnsi="楷体" w:eastAsia="楷体"/>
          <w:b/>
          <w:w w:val="100"/>
          <w:sz w:val="28"/>
          <w:szCs w:val="28"/>
        </w:rPr>
        <w:t>；</w:t>
      </w:r>
    </w:p>
    <w:p w14:paraId="59C45B1A">
      <w:pPr>
        <w:ind w:firstLine="708" w:firstLineChars="253"/>
        <w:rPr>
          <w:rFonts w:ascii="仿宋" w:hAnsi="仿宋" w:eastAsia="仿宋"/>
          <w:w w:val="100"/>
          <w:sz w:val="28"/>
          <w:szCs w:val="28"/>
        </w:rPr>
      </w:pPr>
      <w:r>
        <w:rPr>
          <w:rFonts w:hint="eastAsia" w:ascii="仿宋" w:hAnsi="仿宋" w:eastAsia="仿宋"/>
          <w:b/>
          <w:w w:val="100"/>
          <w:sz w:val="28"/>
          <w:szCs w:val="28"/>
        </w:rPr>
        <w:t>年初目标：</w:t>
      </w:r>
      <w:r>
        <w:rPr>
          <w:rFonts w:ascii="仿宋" w:hAnsi="仿宋" w:eastAsia="仿宋"/>
          <w:w w:val="100"/>
          <w:sz w:val="28"/>
          <w:szCs w:val="28"/>
        </w:rPr>
        <w:t>1.提升学生语言文字应用能力和诵读水平，通过举办诵读大赛活动，激发学生对中华经典诗文的热爱，提高学生的普通话水平、朗诵技巧和语言表达能力。</w:t>
      </w:r>
    </w:p>
    <w:p w14:paraId="3975835D">
      <w:pPr>
        <w:ind w:firstLine="708" w:firstLineChars="253"/>
        <w:rPr>
          <w:rFonts w:ascii="仿宋" w:hAnsi="仿宋" w:eastAsia="仿宋"/>
          <w:w w:val="100"/>
          <w:sz w:val="28"/>
          <w:szCs w:val="28"/>
        </w:rPr>
      </w:pPr>
      <w:r>
        <w:rPr>
          <w:rFonts w:ascii="仿宋" w:hAnsi="仿宋" w:eastAsia="仿宋"/>
          <w:w w:val="100"/>
          <w:sz w:val="28"/>
          <w:szCs w:val="28"/>
        </w:rPr>
        <w:t>2.传承和弘扬中华优秀传统文化，引导学生深入了解和感受中华优秀传统文化的博大精深，增强学生的文化自信和民族自豪感，促进中华优秀传统文化的传承和发展。</w:t>
      </w:r>
    </w:p>
    <w:p w14:paraId="1B4E7349">
      <w:pPr>
        <w:ind w:firstLine="708" w:firstLineChars="253"/>
        <w:rPr>
          <w:rFonts w:ascii="仿宋" w:hAnsi="仿宋" w:eastAsia="仿宋"/>
          <w:w w:val="100"/>
          <w:sz w:val="28"/>
          <w:szCs w:val="28"/>
        </w:rPr>
      </w:pPr>
      <w:r>
        <w:rPr>
          <w:rFonts w:ascii="仿宋" w:hAnsi="仿宋" w:eastAsia="仿宋"/>
          <w:w w:val="100"/>
          <w:sz w:val="28"/>
          <w:szCs w:val="28"/>
        </w:rPr>
        <w:t>3.增强校园文化氛围，以诵读大赛活动为载体，丰富校园文化生活，营造浓厚的书香校园氛围，促进学校文化建设。</w:t>
      </w:r>
    </w:p>
    <w:p w14:paraId="1EC90F2D">
      <w:pPr>
        <w:ind w:firstLine="708" w:firstLineChars="253"/>
        <w:rPr>
          <w:rFonts w:ascii="仿宋" w:hAnsi="仿宋" w:eastAsia="仿宋"/>
          <w:b/>
          <w:w w:val="100"/>
          <w:sz w:val="28"/>
          <w:szCs w:val="28"/>
        </w:rPr>
      </w:pPr>
      <w:r>
        <w:rPr>
          <w:rFonts w:ascii="仿宋" w:hAnsi="仿宋" w:eastAsia="仿宋"/>
          <w:w w:val="100"/>
          <w:sz w:val="28"/>
          <w:szCs w:val="28"/>
        </w:rPr>
        <w:t>4.提高活动的影响力和覆盖面，吸引广大师生积极参与，使活动在全市各级各类学校广泛开展，形成良好的诵读风尚和社会影响力。</w:t>
      </w:r>
    </w:p>
    <w:p w14:paraId="3D3FF4FA">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w w:val="100"/>
          <w:sz w:val="28"/>
          <w:szCs w:val="28"/>
        </w:rPr>
        <w:t>（一）活动组织与开展</w:t>
      </w:r>
    </w:p>
    <w:p w14:paraId="19AF5BB1">
      <w:pPr>
        <w:ind w:firstLine="708" w:firstLineChars="253"/>
        <w:rPr>
          <w:rFonts w:ascii="仿宋" w:hAnsi="仿宋" w:eastAsia="仿宋"/>
          <w:w w:val="100"/>
          <w:sz w:val="28"/>
          <w:szCs w:val="28"/>
        </w:rPr>
      </w:pPr>
      <w:r>
        <w:rPr>
          <w:rFonts w:ascii="仿宋" w:hAnsi="仿宋" w:eastAsia="仿宋"/>
          <w:w w:val="100"/>
          <w:sz w:val="28"/>
          <w:szCs w:val="28"/>
        </w:rPr>
        <w:t>2023 年度“诵读中国”大赛活动在怀化市教育局的精心组织和各级各类学校的积极参与下，按照预定计划顺利开展。活动分为初赛、复赛和决赛三个阶段，经过层层选拔，评选出了一批优秀的诵读作品和选手。</w:t>
      </w:r>
    </w:p>
    <w:p w14:paraId="3C34787A">
      <w:pPr>
        <w:ind w:firstLine="708" w:firstLineChars="253"/>
        <w:rPr>
          <w:rFonts w:ascii="仿宋" w:hAnsi="仿宋" w:eastAsia="仿宋"/>
          <w:w w:val="100"/>
          <w:sz w:val="28"/>
          <w:szCs w:val="28"/>
        </w:rPr>
      </w:pPr>
      <w:r>
        <w:rPr>
          <w:rFonts w:hint="eastAsia" w:ascii="仿宋" w:hAnsi="仿宋" w:eastAsia="仿宋"/>
          <w:w w:val="100"/>
          <w:sz w:val="28"/>
          <w:szCs w:val="28"/>
        </w:rPr>
        <w:t>（二）学生能力提升</w:t>
      </w:r>
    </w:p>
    <w:p w14:paraId="668B0AD3">
      <w:pPr>
        <w:ind w:firstLine="708" w:firstLineChars="253"/>
        <w:rPr>
          <w:rFonts w:ascii="仿宋" w:hAnsi="仿宋" w:eastAsia="仿宋"/>
          <w:w w:val="100"/>
          <w:sz w:val="28"/>
          <w:szCs w:val="28"/>
        </w:rPr>
      </w:pPr>
      <w:r>
        <w:rPr>
          <w:rFonts w:hint="eastAsia" w:ascii="仿宋" w:hAnsi="仿宋" w:eastAsia="仿宋"/>
          <w:w w:val="100"/>
          <w:sz w:val="28"/>
          <w:szCs w:val="28"/>
        </w:rPr>
        <w:t>通过参与此次活动，学生的语言文字应用能力和诵读水平有了显著提高。在比赛中，学生们不仅展示了较高的普通话水平和朗诵技巧，还通过对经典诗文的深入理解和演绎，展现出了较强的语言表达能力和情感传递能力。</w:t>
      </w:r>
    </w:p>
    <w:p w14:paraId="306F74C1">
      <w:pPr>
        <w:ind w:firstLine="708" w:firstLineChars="253"/>
        <w:rPr>
          <w:rFonts w:ascii="仿宋" w:hAnsi="仿宋" w:eastAsia="仿宋"/>
          <w:w w:val="100"/>
          <w:sz w:val="28"/>
          <w:szCs w:val="28"/>
        </w:rPr>
      </w:pPr>
      <w:r>
        <w:rPr>
          <w:rFonts w:hint="eastAsia" w:ascii="仿宋" w:hAnsi="仿宋" w:eastAsia="仿宋"/>
          <w:w w:val="100"/>
          <w:sz w:val="28"/>
          <w:szCs w:val="28"/>
        </w:rPr>
        <w:t>（三）文化传承与弘扬</w:t>
      </w:r>
    </w:p>
    <w:p w14:paraId="2073969E">
      <w:pPr>
        <w:ind w:firstLine="708" w:firstLineChars="253"/>
        <w:rPr>
          <w:rFonts w:ascii="仿宋" w:hAnsi="仿宋" w:eastAsia="仿宋"/>
          <w:w w:val="100"/>
          <w:sz w:val="28"/>
          <w:szCs w:val="28"/>
        </w:rPr>
      </w:pPr>
      <w:r>
        <w:rPr>
          <w:rFonts w:hint="eastAsia" w:ascii="仿宋" w:hAnsi="仿宋" w:eastAsia="仿宋"/>
          <w:w w:val="100"/>
          <w:sz w:val="28"/>
          <w:szCs w:val="28"/>
        </w:rPr>
        <w:t>活动中，学生们通过诵读经典诗文，深入了解了中华优秀传统文化的内涵和价值，增强了文化自信和民族自豪感。同时，活动也吸引了社会各界的关注，进一步促进了中华优秀传统文化的传承和弘扬。</w:t>
      </w:r>
    </w:p>
    <w:p w14:paraId="580CD1CA">
      <w:pPr>
        <w:ind w:firstLine="708" w:firstLineChars="253"/>
        <w:rPr>
          <w:rFonts w:ascii="仿宋" w:hAnsi="仿宋" w:eastAsia="仿宋"/>
          <w:w w:val="100"/>
          <w:sz w:val="28"/>
          <w:szCs w:val="28"/>
        </w:rPr>
      </w:pPr>
      <w:r>
        <w:rPr>
          <w:rFonts w:hint="eastAsia" w:ascii="仿宋" w:hAnsi="仿宋" w:eastAsia="仿宋"/>
          <w:w w:val="100"/>
          <w:sz w:val="28"/>
          <w:szCs w:val="28"/>
        </w:rPr>
        <w:t>（四）校园文化建设</w:t>
      </w:r>
    </w:p>
    <w:p w14:paraId="22DDF8BC">
      <w:pPr>
        <w:ind w:firstLine="708" w:firstLineChars="253"/>
        <w:rPr>
          <w:rFonts w:ascii="仿宋" w:hAnsi="仿宋" w:eastAsia="仿宋"/>
          <w:w w:val="100"/>
          <w:sz w:val="28"/>
          <w:szCs w:val="28"/>
        </w:rPr>
      </w:pPr>
      <w:r>
        <w:rPr>
          <w:rFonts w:hint="eastAsia" w:ascii="仿宋" w:hAnsi="仿宋" w:eastAsia="仿宋"/>
          <w:w w:val="100"/>
          <w:sz w:val="28"/>
          <w:szCs w:val="28"/>
        </w:rPr>
        <w:t>活动在各级各类学校广泛开展，营造了浓厚的书香校园氛围，丰富了校园文化生活。各学校以此次活动为契机，加强了校园文化建设，开展了形式多样的经典诵读活动，推动了学校文化建设的发展。</w:t>
      </w:r>
    </w:p>
    <w:p w14:paraId="76D63A06">
      <w:pPr>
        <w:ind w:firstLine="708" w:firstLineChars="253"/>
        <w:rPr>
          <w:rFonts w:ascii="仿宋" w:hAnsi="仿宋" w:eastAsia="仿宋"/>
          <w:w w:val="100"/>
          <w:sz w:val="28"/>
          <w:szCs w:val="28"/>
        </w:rPr>
      </w:pPr>
      <w:r>
        <w:rPr>
          <w:rFonts w:hint="eastAsia" w:ascii="仿宋" w:hAnsi="仿宋" w:eastAsia="仿宋"/>
          <w:w w:val="100"/>
          <w:sz w:val="28"/>
          <w:szCs w:val="28"/>
        </w:rPr>
        <w:t>（五）活动影响力</w:t>
      </w:r>
    </w:p>
    <w:p w14:paraId="5AD19C23">
      <w:pPr>
        <w:ind w:firstLine="708" w:firstLineChars="253"/>
        <w:rPr>
          <w:rFonts w:ascii="仿宋" w:hAnsi="仿宋" w:eastAsia="仿宋"/>
          <w:w w:val="100"/>
          <w:sz w:val="28"/>
          <w:szCs w:val="28"/>
        </w:rPr>
      </w:pPr>
      <w:r>
        <w:rPr>
          <w:rFonts w:hint="eastAsia" w:ascii="仿宋" w:hAnsi="仿宋" w:eastAsia="仿宋"/>
          <w:w w:val="100"/>
          <w:sz w:val="28"/>
          <w:szCs w:val="28"/>
        </w:rPr>
        <w:t>活动得到了广大师生的积极响应和社会各界的广泛关注，吸引了全市各级各类学校的36</w:t>
      </w:r>
      <w:r>
        <w:rPr>
          <w:rFonts w:ascii="仿宋" w:hAnsi="仿宋" w:eastAsia="仿宋"/>
          <w:w w:val="100"/>
          <w:sz w:val="28"/>
          <w:szCs w:val="28"/>
        </w:rPr>
        <w:t>名学生参与，活动的影响力和覆盖面不断扩大。同时，活动的优秀作品通过网络平台等渠道进行了展示和传播，进一步提高了活动的社会知名度和影响力。</w:t>
      </w:r>
    </w:p>
    <w:p w14:paraId="73E250A8">
      <w:pPr>
        <w:ind w:firstLine="708" w:firstLineChars="253"/>
        <w:rPr>
          <w:rFonts w:ascii="楷体" w:hAnsi="楷体" w:eastAsia="楷体"/>
          <w:b/>
          <w:w w:val="100"/>
          <w:sz w:val="28"/>
          <w:szCs w:val="28"/>
        </w:rPr>
      </w:pPr>
      <w:r>
        <w:rPr>
          <w:rFonts w:ascii="楷体" w:hAnsi="楷体" w:eastAsia="楷体"/>
          <w:b/>
          <w:w w:val="100"/>
          <w:sz w:val="28"/>
          <w:szCs w:val="28"/>
        </w:rPr>
        <w:t>q.2023年1月13日,市财政局下达</w:t>
      </w:r>
      <w:r>
        <w:rPr>
          <w:rFonts w:ascii="楷体" w:hAnsi="楷体" w:eastAsia="楷体"/>
          <w:b/>
          <w:w w:val="100"/>
          <w:sz w:val="28"/>
          <w:szCs w:val="28"/>
        </w:rPr>
        <w:tab/>
      </w:r>
      <w:r>
        <w:rPr>
          <w:rFonts w:hint="eastAsia" w:ascii="楷体" w:hAnsi="楷体" w:eastAsia="楷体"/>
          <w:b/>
          <w:w w:val="100"/>
          <w:sz w:val="28"/>
          <w:szCs w:val="28"/>
        </w:rPr>
        <w:t>“</w:t>
      </w:r>
      <w:r>
        <w:rPr>
          <w:rFonts w:ascii="楷体" w:hAnsi="楷体" w:eastAsia="楷体"/>
          <w:b/>
          <w:w w:val="100"/>
          <w:sz w:val="28"/>
          <w:szCs w:val="28"/>
        </w:rPr>
        <w:t>专项业务经费</w:t>
      </w:r>
      <w:r>
        <w:rPr>
          <w:rFonts w:hint="eastAsia" w:ascii="楷体" w:hAnsi="楷体" w:eastAsia="楷体"/>
          <w:b/>
          <w:w w:val="100"/>
          <w:sz w:val="28"/>
          <w:szCs w:val="28"/>
        </w:rPr>
        <w:t>”</w:t>
      </w:r>
      <w:r>
        <w:rPr>
          <w:rFonts w:ascii="楷体" w:hAnsi="楷体" w:eastAsia="楷体"/>
          <w:b/>
          <w:w w:val="100"/>
          <w:sz w:val="28"/>
          <w:szCs w:val="28"/>
        </w:rPr>
        <w:t>,怀财预〔2023〕8888号指标共226.80万元，支出218.86万元，其中：</w:t>
      </w:r>
      <w:r>
        <w:rPr>
          <w:rFonts w:hint="eastAsia" w:ascii="楷体" w:hAnsi="楷体" w:eastAsia="楷体"/>
          <w:b/>
          <w:w w:val="100"/>
          <w:sz w:val="28"/>
          <w:szCs w:val="28"/>
        </w:rPr>
        <w:t>基本工资</w:t>
      </w:r>
      <w:r>
        <w:rPr>
          <w:rFonts w:ascii="楷体" w:hAnsi="楷体" w:eastAsia="楷体"/>
          <w:b/>
          <w:w w:val="100"/>
          <w:sz w:val="28"/>
          <w:szCs w:val="28"/>
        </w:rPr>
        <w:t>2.01万元、</w:t>
      </w:r>
      <w:r>
        <w:rPr>
          <w:rFonts w:hint="eastAsia" w:ascii="楷体" w:hAnsi="楷体" w:eastAsia="楷体"/>
          <w:b/>
          <w:w w:val="100"/>
          <w:sz w:val="28"/>
          <w:szCs w:val="28"/>
        </w:rPr>
        <w:t>机关事业单位基本养老保险缴费</w:t>
      </w:r>
      <w:r>
        <w:rPr>
          <w:rFonts w:ascii="楷体" w:hAnsi="楷体" w:eastAsia="楷体"/>
          <w:b/>
          <w:w w:val="100"/>
          <w:sz w:val="28"/>
          <w:szCs w:val="28"/>
        </w:rPr>
        <w:t>4.66万元、</w:t>
      </w:r>
      <w:r>
        <w:rPr>
          <w:rFonts w:hint="eastAsia" w:ascii="楷体" w:hAnsi="楷体" w:eastAsia="楷体"/>
          <w:b/>
          <w:w w:val="100"/>
          <w:sz w:val="28"/>
          <w:szCs w:val="28"/>
        </w:rPr>
        <w:t>职业年金缴费</w:t>
      </w:r>
      <w:r>
        <w:rPr>
          <w:rFonts w:ascii="楷体" w:hAnsi="楷体" w:eastAsia="楷体"/>
          <w:b/>
          <w:w w:val="100"/>
          <w:sz w:val="28"/>
          <w:szCs w:val="28"/>
        </w:rPr>
        <w:t>0.03万元、</w:t>
      </w:r>
      <w:r>
        <w:rPr>
          <w:rFonts w:hint="eastAsia" w:ascii="楷体" w:hAnsi="楷体" w:eastAsia="楷体"/>
          <w:b/>
          <w:w w:val="100"/>
          <w:sz w:val="28"/>
          <w:szCs w:val="28"/>
        </w:rPr>
        <w:t>职工基本医疗保险缴费</w:t>
      </w:r>
      <w:r>
        <w:rPr>
          <w:rFonts w:ascii="楷体" w:hAnsi="楷体" w:eastAsia="楷体"/>
          <w:b/>
          <w:w w:val="100"/>
          <w:sz w:val="28"/>
          <w:szCs w:val="28"/>
        </w:rPr>
        <w:t>7.67万元、</w:t>
      </w:r>
      <w:r>
        <w:rPr>
          <w:rFonts w:hint="eastAsia" w:ascii="楷体" w:hAnsi="楷体" w:eastAsia="楷体"/>
          <w:b/>
          <w:w w:val="100"/>
          <w:sz w:val="28"/>
          <w:szCs w:val="28"/>
        </w:rPr>
        <w:t>其他社会保障缴费</w:t>
      </w:r>
      <w:r>
        <w:rPr>
          <w:rFonts w:ascii="楷体" w:hAnsi="楷体" w:eastAsia="楷体"/>
          <w:b/>
          <w:w w:val="100"/>
          <w:sz w:val="28"/>
          <w:szCs w:val="28"/>
        </w:rPr>
        <w:t>1.28万元、</w:t>
      </w:r>
      <w:r>
        <w:rPr>
          <w:rFonts w:hint="eastAsia" w:ascii="楷体" w:hAnsi="楷体" w:eastAsia="楷体"/>
          <w:b/>
          <w:w w:val="100"/>
          <w:sz w:val="28"/>
          <w:szCs w:val="28"/>
        </w:rPr>
        <w:t>办公费</w:t>
      </w:r>
      <w:r>
        <w:rPr>
          <w:rFonts w:ascii="楷体" w:hAnsi="楷体" w:eastAsia="楷体"/>
          <w:b/>
          <w:w w:val="100"/>
          <w:sz w:val="28"/>
          <w:szCs w:val="28"/>
        </w:rPr>
        <w:t>3.60万元、</w:t>
      </w:r>
      <w:r>
        <w:rPr>
          <w:rFonts w:hint="eastAsia" w:ascii="楷体" w:hAnsi="楷体" w:eastAsia="楷体"/>
          <w:b/>
          <w:w w:val="100"/>
          <w:sz w:val="28"/>
          <w:szCs w:val="28"/>
        </w:rPr>
        <w:t>印刷费</w:t>
      </w:r>
      <w:r>
        <w:rPr>
          <w:rFonts w:ascii="楷体" w:hAnsi="楷体" w:eastAsia="楷体"/>
          <w:b/>
          <w:w w:val="100"/>
          <w:sz w:val="28"/>
          <w:szCs w:val="28"/>
        </w:rPr>
        <w:t>2.31万元、</w:t>
      </w:r>
      <w:r>
        <w:rPr>
          <w:rFonts w:hint="eastAsia" w:ascii="楷体" w:hAnsi="楷体" w:eastAsia="楷体"/>
          <w:b/>
          <w:w w:val="100"/>
          <w:sz w:val="28"/>
          <w:szCs w:val="28"/>
        </w:rPr>
        <w:t>邮电费</w:t>
      </w:r>
      <w:r>
        <w:rPr>
          <w:rFonts w:ascii="楷体" w:hAnsi="楷体" w:eastAsia="楷体"/>
          <w:b/>
          <w:w w:val="100"/>
          <w:sz w:val="28"/>
          <w:szCs w:val="28"/>
        </w:rPr>
        <w:t>4.17万元、</w:t>
      </w:r>
      <w:r>
        <w:rPr>
          <w:rFonts w:hint="eastAsia" w:ascii="楷体" w:hAnsi="楷体" w:eastAsia="楷体"/>
          <w:b/>
          <w:w w:val="100"/>
          <w:sz w:val="28"/>
          <w:szCs w:val="28"/>
        </w:rPr>
        <w:t>物业管理费</w:t>
      </w:r>
      <w:r>
        <w:rPr>
          <w:rFonts w:ascii="楷体" w:hAnsi="楷体" w:eastAsia="楷体"/>
          <w:b/>
          <w:w w:val="100"/>
          <w:sz w:val="28"/>
          <w:szCs w:val="28"/>
        </w:rPr>
        <w:t>20.00万元、</w:t>
      </w:r>
      <w:r>
        <w:rPr>
          <w:rFonts w:hint="eastAsia" w:ascii="楷体" w:hAnsi="楷体" w:eastAsia="楷体"/>
          <w:b/>
          <w:w w:val="100"/>
          <w:sz w:val="28"/>
          <w:szCs w:val="28"/>
        </w:rPr>
        <w:t>差旅费</w:t>
      </w:r>
      <w:r>
        <w:rPr>
          <w:rFonts w:ascii="楷体" w:hAnsi="楷体" w:eastAsia="楷体"/>
          <w:b/>
          <w:w w:val="100"/>
          <w:sz w:val="28"/>
          <w:szCs w:val="28"/>
        </w:rPr>
        <w:t>32.06万元、</w:t>
      </w:r>
      <w:r>
        <w:rPr>
          <w:rFonts w:hint="eastAsia" w:ascii="楷体" w:hAnsi="楷体" w:eastAsia="楷体"/>
          <w:b/>
          <w:w w:val="100"/>
          <w:sz w:val="28"/>
          <w:szCs w:val="28"/>
        </w:rPr>
        <w:t>维修（护）费</w:t>
      </w:r>
      <w:r>
        <w:rPr>
          <w:rFonts w:ascii="楷体" w:hAnsi="楷体" w:eastAsia="楷体"/>
          <w:b/>
          <w:w w:val="100"/>
          <w:sz w:val="28"/>
          <w:szCs w:val="28"/>
        </w:rPr>
        <w:t>15.47万元、</w:t>
      </w:r>
      <w:r>
        <w:rPr>
          <w:rFonts w:hint="eastAsia" w:ascii="楷体" w:hAnsi="楷体" w:eastAsia="楷体"/>
          <w:b/>
          <w:w w:val="100"/>
          <w:sz w:val="28"/>
          <w:szCs w:val="28"/>
        </w:rPr>
        <w:t>租赁费</w:t>
      </w:r>
      <w:r>
        <w:rPr>
          <w:rFonts w:ascii="楷体" w:hAnsi="楷体" w:eastAsia="楷体"/>
          <w:b/>
          <w:w w:val="100"/>
          <w:sz w:val="28"/>
          <w:szCs w:val="28"/>
        </w:rPr>
        <w:t>5.26万元、</w:t>
      </w:r>
      <w:r>
        <w:rPr>
          <w:rFonts w:hint="eastAsia" w:ascii="楷体" w:hAnsi="楷体" w:eastAsia="楷体"/>
          <w:b/>
          <w:w w:val="100"/>
          <w:sz w:val="28"/>
          <w:szCs w:val="28"/>
        </w:rPr>
        <w:t>会议费</w:t>
      </w:r>
      <w:r>
        <w:rPr>
          <w:rFonts w:ascii="楷体" w:hAnsi="楷体" w:eastAsia="楷体"/>
          <w:b/>
          <w:w w:val="100"/>
          <w:sz w:val="28"/>
          <w:szCs w:val="28"/>
        </w:rPr>
        <w:t>5.14万元、</w:t>
      </w:r>
      <w:r>
        <w:rPr>
          <w:rFonts w:hint="eastAsia" w:ascii="楷体" w:hAnsi="楷体" w:eastAsia="楷体"/>
          <w:b/>
          <w:w w:val="100"/>
          <w:sz w:val="28"/>
          <w:szCs w:val="28"/>
        </w:rPr>
        <w:t>培训费</w:t>
      </w:r>
      <w:r>
        <w:rPr>
          <w:rFonts w:ascii="楷体" w:hAnsi="楷体" w:eastAsia="楷体"/>
          <w:b/>
          <w:w w:val="100"/>
          <w:sz w:val="28"/>
          <w:szCs w:val="28"/>
        </w:rPr>
        <w:t>2.35万元、</w:t>
      </w:r>
      <w:r>
        <w:rPr>
          <w:rFonts w:hint="eastAsia" w:ascii="楷体" w:hAnsi="楷体" w:eastAsia="楷体"/>
          <w:b/>
          <w:w w:val="100"/>
          <w:sz w:val="28"/>
          <w:szCs w:val="28"/>
        </w:rPr>
        <w:t>公务接待费</w:t>
      </w:r>
      <w:r>
        <w:rPr>
          <w:rFonts w:ascii="楷体" w:hAnsi="楷体" w:eastAsia="楷体"/>
          <w:b/>
          <w:w w:val="100"/>
          <w:sz w:val="28"/>
          <w:szCs w:val="28"/>
        </w:rPr>
        <w:t>0.70万元、</w:t>
      </w:r>
      <w:r>
        <w:rPr>
          <w:rFonts w:hint="eastAsia" w:ascii="楷体" w:hAnsi="楷体" w:eastAsia="楷体"/>
          <w:b/>
          <w:w w:val="100"/>
          <w:sz w:val="28"/>
          <w:szCs w:val="28"/>
        </w:rPr>
        <w:t>劳务费</w:t>
      </w:r>
      <w:r>
        <w:rPr>
          <w:rFonts w:ascii="楷体" w:hAnsi="楷体" w:eastAsia="楷体"/>
          <w:b/>
          <w:w w:val="100"/>
          <w:sz w:val="28"/>
          <w:szCs w:val="28"/>
        </w:rPr>
        <w:t>19.82万元、</w:t>
      </w:r>
      <w:r>
        <w:rPr>
          <w:rFonts w:hint="eastAsia" w:ascii="楷体" w:hAnsi="楷体" w:eastAsia="楷体"/>
          <w:b/>
          <w:w w:val="100"/>
          <w:sz w:val="28"/>
          <w:szCs w:val="28"/>
        </w:rPr>
        <w:t>委托业务费</w:t>
      </w:r>
      <w:r>
        <w:rPr>
          <w:rFonts w:ascii="楷体" w:hAnsi="楷体" w:eastAsia="楷体"/>
          <w:b/>
          <w:w w:val="100"/>
          <w:sz w:val="28"/>
          <w:szCs w:val="28"/>
        </w:rPr>
        <w:t>10.16万元、</w:t>
      </w:r>
      <w:r>
        <w:rPr>
          <w:rFonts w:hint="eastAsia" w:ascii="楷体" w:hAnsi="楷体" w:eastAsia="楷体"/>
          <w:b/>
          <w:w w:val="100"/>
          <w:sz w:val="28"/>
          <w:szCs w:val="28"/>
        </w:rPr>
        <w:t>公务用车运行维护费</w:t>
      </w:r>
      <w:r>
        <w:rPr>
          <w:rFonts w:ascii="楷体" w:hAnsi="楷体" w:eastAsia="楷体"/>
          <w:b/>
          <w:w w:val="100"/>
          <w:sz w:val="28"/>
          <w:szCs w:val="28"/>
        </w:rPr>
        <w:t>4.37万元、</w:t>
      </w:r>
      <w:r>
        <w:rPr>
          <w:rFonts w:hint="eastAsia" w:ascii="楷体" w:hAnsi="楷体" w:eastAsia="楷体"/>
          <w:b/>
          <w:w w:val="100"/>
          <w:sz w:val="28"/>
          <w:szCs w:val="28"/>
        </w:rPr>
        <w:t>其他交通费用</w:t>
      </w:r>
      <w:r>
        <w:rPr>
          <w:rFonts w:ascii="楷体" w:hAnsi="楷体" w:eastAsia="楷体"/>
          <w:b/>
          <w:w w:val="100"/>
          <w:sz w:val="28"/>
          <w:szCs w:val="28"/>
        </w:rPr>
        <w:t>2.05万元、</w:t>
      </w:r>
      <w:r>
        <w:rPr>
          <w:rFonts w:hint="eastAsia" w:ascii="楷体" w:hAnsi="楷体" w:eastAsia="楷体"/>
          <w:b/>
          <w:w w:val="100"/>
          <w:sz w:val="28"/>
          <w:szCs w:val="28"/>
        </w:rPr>
        <w:t>其他商品和服务支出</w:t>
      </w:r>
      <w:r>
        <w:rPr>
          <w:rFonts w:ascii="楷体" w:hAnsi="楷体" w:eastAsia="楷体"/>
          <w:b/>
          <w:w w:val="100"/>
          <w:sz w:val="28"/>
          <w:szCs w:val="28"/>
        </w:rPr>
        <w:t>47.28万元、</w:t>
      </w:r>
      <w:r>
        <w:rPr>
          <w:rFonts w:hint="eastAsia" w:ascii="楷体" w:hAnsi="楷体" w:eastAsia="楷体"/>
          <w:b/>
          <w:w w:val="100"/>
          <w:sz w:val="28"/>
          <w:szCs w:val="28"/>
        </w:rPr>
        <w:t>生活补助</w:t>
      </w:r>
      <w:r>
        <w:rPr>
          <w:rFonts w:ascii="楷体" w:hAnsi="楷体" w:eastAsia="楷体"/>
          <w:b/>
          <w:w w:val="100"/>
          <w:sz w:val="28"/>
          <w:szCs w:val="28"/>
        </w:rPr>
        <w:t>0.70万元、</w:t>
      </w:r>
      <w:r>
        <w:rPr>
          <w:rFonts w:hint="eastAsia" w:ascii="楷体" w:hAnsi="楷体" w:eastAsia="楷体"/>
          <w:b/>
          <w:w w:val="100"/>
          <w:sz w:val="28"/>
          <w:szCs w:val="28"/>
        </w:rPr>
        <w:t>其他对个人和家庭的补助</w:t>
      </w:r>
      <w:r>
        <w:rPr>
          <w:rFonts w:ascii="楷体" w:hAnsi="楷体" w:eastAsia="楷体"/>
          <w:b/>
          <w:w w:val="100"/>
          <w:sz w:val="28"/>
          <w:szCs w:val="28"/>
        </w:rPr>
        <w:t>1.63万元、</w:t>
      </w:r>
      <w:r>
        <w:rPr>
          <w:rFonts w:hint="eastAsia" w:ascii="楷体" w:hAnsi="楷体" w:eastAsia="楷体"/>
          <w:b/>
          <w:w w:val="100"/>
          <w:sz w:val="28"/>
          <w:szCs w:val="28"/>
        </w:rPr>
        <w:t>办公设备购置</w:t>
      </w:r>
      <w:r>
        <w:rPr>
          <w:rFonts w:ascii="楷体" w:hAnsi="楷体" w:eastAsia="楷体"/>
          <w:b/>
          <w:w w:val="100"/>
          <w:sz w:val="28"/>
          <w:szCs w:val="28"/>
        </w:rPr>
        <w:t>26.15万元</w:t>
      </w:r>
      <w:r>
        <w:rPr>
          <w:rFonts w:hint="eastAsia" w:ascii="楷体" w:hAnsi="楷体" w:eastAsia="楷体"/>
          <w:b/>
          <w:w w:val="100"/>
          <w:sz w:val="28"/>
          <w:szCs w:val="28"/>
        </w:rPr>
        <w:t>；</w:t>
      </w:r>
    </w:p>
    <w:p w14:paraId="66B15F76">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hint="eastAsia" w:ascii="仿宋" w:hAnsi="仿宋" w:eastAsia="仿宋"/>
          <w:w w:val="100"/>
          <w:sz w:val="28"/>
          <w:szCs w:val="28"/>
        </w:rPr>
        <w:t>通过开展教学研究、教师培训、课程改革等专项业务活动，推动教育教学方法创新，提升教育教学水平。合理配置教育资源，加大对农村、贫困地区和薄弱学校的支持力度，缩小城乡、区域和校际教育差距。加强教育信息化建设，提高教育管理信息化水平，推动智慧教育发展。开展师德师风建设活动，提高教师专业素养，培养一支高素质、专业化、创新型的教育队伍。</w:t>
      </w:r>
    </w:p>
    <w:p w14:paraId="36A53BED">
      <w:pPr>
        <w:ind w:firstLine="708" w:firstLineChars="253"/>
        <w:rPr>
          <w:rFonts w:ascii="仿宋" w:hAnsi="仿宋" w:eastAsia="仿宋"/>
          <w:w w:val="100"/>
          <w:sz w:val="28"/>
          <w:szCs w:val="28"/>
        </w:rPr>
      </w:pPr>
      <w:r>
        <w:rPr>
          <w:rFonts w:hint="eastAsia" w:ascii="仿宋" w:hAnsi="仿宋" w:eastAsia="仿宋"/>
          <w:b/>
          <w:w w:val="100"/>
          <w:sz w:val="28"/>
          <w:szCs w:val="28"/>
        </w:rPr>
        <w:t>完成情况：</w:t>
      </w:r>
      <w:r>
        <w:rPr>
          <w:rFonts w:hint="eastAsia" w:ascii="仿宋" w:hAnsi="仿宋" w:eastAsia="仿宋"/>
          <w:w w:val="100"/>
          <w:sz w:val="28"/>
          <w:szCs w:val="28"/>
        </w:rPr>
        <w:t>2023年以来，我局</w:t>
      </w:r>
      <w:r>
        <w:rPr>
          <w:rFonts w:ascii="仿宋" w:hAnsi="仿宋" w:eastAsia="仿宋"/>
          <w:w w:val="100"/>
          <w:sz w:val="28"/>
          <w:szCs w:val="28"/>
        </w:rPr>
        <w:t>深入学习贯彻</w:t>
      </w:r>
      <w:r>
        <w:rPr>
          <w:rFonts w:hint="eastAsia" w:ascii="仿宋" w:hAnsi="仿宋" w:eastAsia="仿宋"/>
          <w:w w:val="100"/>
          <w:sz w:val="28"/>
          <w:szCs w:val="28"/>
        </w:rPr>
        <w:t>党的二十大精神和</w:t>
      </w:r>
      <w:r>
        <w:rPr>
          <w:rFonts w:ascii="仿宋" w:hAnsi="仿宋" w:eastAsia="仿宋"/>
          <w:w w:val="100"/>
          <w:sz w:val="28"/>
          <w:szCs w:val="28"/>
        </w:rPr>
        <w:t>习近平总书记关于教育的重要论述，</w:t>
      </w:r>
      <w:r>
        <w:rPr>
          <w:rFonts w:hint="eastAsia" w:ascii="仿宋" w:hAnsi="仿宋" w:eastAsia="仿宋"/>
          <w:w w:val="100"/>
          <w:sz w:val="28"/>
          <w:szCs w:val="28"/>
        </w:rPr>
        <w:t>落实省、市教育大会精神，聚焦立德树人根本任务，加快建设大湘西</w:t>
      </w:r>
      <w:r>
        <w:rPr>
          <w:rFonts w:ascii="仿宋" w:hAnsi="仿宋" w:eastAsia="仿宋"/>
          <w:w w:val="100"/>
          <w:sz w:val="28"/>
          <w:szCs w:val="28"/>
        </w:rPr>
        <w:t>区域性教育中心</w:t>
      </w:r>
      <w:r>
        <w:rPr>
          <w:rFonts w:hint="eastAsia" w:ascii="仿宋" w:hAnsi="仿宋" w:eastAsia="仿宋"/>
          <w:w w:val="100"/>
          <w:sz w:val="28"/>
          <w:szCs w:val="28"/>
        </w:rPr>
        <w:t>和教育强市。</w:t>
      </w:r>
    </w:p>
    <w:p w14:paraId="3280F797">
      <w:pPr>
        <w:ind w:firstLine="708" w:firstLineChars="253"/>
        <w:rPr>
          <w:rFonts w:ascii="楷体" w:hAnsi="楷体" w:eastAsia="楷体"/>
          <w:b/>
          <w:w w:val="100"/>
          <w:sz w:val="28"/>
          <w:szCs w:val="28"/>
        </w:rPr>
      </w:pPr>
      <w:r>
        <w:rPr>
          <w:rFonts w:ascii="楷体" w:hAnsi="楷体" w:eastAsia="楷体"/>
          <w:b/>
          <w:w w:val="100"/>
          <w:sz w:val="28"/>
          <w:szCs w:val="28"/>
        </w:rPr>
        <w:t>r.2023年9月20日,市财政局下达</w:t>
      </w:r>
      <w:r>
        <w:rPr>
          <w:rFonts w:hint="eastAsia" w:ascii="楷体" w:hAnsi="楷体" w:eastAsia="楷体"/>
          <w:b/>
          <w:w w:val="100"/>
          <w:sz w:val="28"/>
          <w:szCs w:val="28"/>
        </w:rPr>
        <w:t>“</w:t>
      </w:r>
      <w:r>
        <w:rPr>
          <w:rFonts w:ascii="楷体" w:hAnsi="楷体" w:eastAsia="楷体"/>
          <w:b/>
          <w:w w:val="100"/>
          <w:sz w:val="28"/>
          <w:szCs w:val="28"/>
        </w:rPr>
        <w:tab/>
      </w:r>
      <w:r>
        <w:rPr>
          <w:rFonts w:ascii="楷体" w:hAnsi="楷体" w:eastAsia="楷体"/>
          <w:b/>
          <w:w w:val="100"/>
          <w:sz w:val="28"/>
          <w:szCs w:val="28"/>
        </w:rPr>
        <w:t>2022年真抓实干督查激励个人奖励金</w:t>
      </w:r>
      <w:r>
        <w:rPr>
          <w:rFonts w:hint="eastAsia" w:ascii="楷体" w:hAnsi="楷体" w:eastAsia="楷体"/>
          <w:b/>
          <w:w w:val="100"/>
          <w:sz w:val="28"/>
          <w:szCs w:val="28"/>
        </w:rPr>
        <w:t>”</w:t>
      </w:r>
      <w:r>
        <w:rPr>
          <w:rFonts w:ascii="楷体" w:hAnsi="楷体" w:eastAsia="楷体"/>
          <w:b/>
          <w:w w:val="100"/>
          <w:sz w:val="28"/>
          <w:szCs w:val="28"/>
        </w:rPr>
        <w:t>,怀财预〔2023〕8888号指标共0.30万元，支出0.30万元，其中：</w:t>
      </w:r>
      <w:r>
        <w:rPr>
          <w:rFonts w:hint="eastAsia" w:ascii="楷体" w:hAnsi="楷体" w:eastAsia="楷体"/>
          <w:b/>
          <w:w w:val="100"/>
          <w:sz w:val="28"/>
          <w:szCs w:val="28"/>
        </w:rPr>
        <w:t>奖金</w:t>
      </w:r>
      <w:r>
        <w:rPr>
          <w:rFonts w:ascii="楷体" w:hAnsi="楷体" w:eastAsia="楷体"/>
          <w:b/>
          <w:w w:val="100"/>
          <w:sz w:val="28"/>
          <w:szCs w:val="28"/>
        </w:rPr>
        <w:t>0.30万元</w:t>
      </w:r>
      <w:r>
        <w:rPr>
          <w:rFonts w:hint="eastAsia" w:ascii="楷体" w:hAnsi="楷体" w:eastAsia="楷体"/>
          <w:b/>
          <w:w w:val="100"/>
          <w:sz w:val="28"/>
          <w:szCs w:val="28"/>
        </w:rPr>
        <w:t>；</w:t>
      </w:r>
    </w:p>
    <w:p w14:paraId="39693303">
      <w:pPr>
        <w:ind w:firstLine="708" w:firstLineChars="253"/>
        <w:rPr>
          <w:rFonts w:ascii="仿宋" w:hAnsi="仿宋" w:eastAsia="仿宋"/>
          <w:b/>
          <w:w w:val="100"/>
          <w:sz w:val="28"/>
          <w:szCs w:val="28"/>
        </w:rPr>
      </w:pPr>
      <w:r>
        <w:rPr>
          <w:rFonts w:hint="eastAsia" w:ascii="仿宋" w:hAnsi="仿宋" w:eastAsia="仿宋"/>
          <w:b/>
          <w:w w:val="100"/>
          <w:sz w:val="28"/>
          <w:szCs w:val="28"/>
        </w:rPr>
        <w:t>年初目标：</w:t>
      </w:r>
      <w:r>
        <w:rPr>
          <w:rFonts w:ascii="仿宋" w:hAnsi="仿宋" w:eastAsia="仿宋" w:cs="Segoe UI"/>
          <w:w w:val="100"/>
          <w:sz w:val="28"/>
          <w:szCs w:val="28"/>
          <w:shd w:val="clear" w:color="auto" w:fill="FFFFFF"/>
        </w:rPr>
        <w:t>通过对在教育领域真抓实干、表现突出的个人进行记功奖励，激发教育工作者的积极性和创造性，树立工作榜样，引领教育系统形成积极向上、勇于担当、真抓实干的良好工作氛围。</w:t>
      </w:r>
    </w:p>
    <w:p w14:paraId="3FB52AB6">
      <w:pPr>
        <w:ind w:firstLine="708" w:firstLineChars="253"/>
        <w:rPr>
          <w:rFonts w:ascii="仿宋" w:hAnsi="仿宋" w:eastAsia="仿宋"/>
          <w:w w:val="100"/>
          <w:sz w:val="28"/>
          <w:szCs w:val="24"/>
        </w:rPr>
      </w:pPr>
      <w:r>
        <w:rPr>
          <w:rFonts w:hint="eastAsia" w:ascii="仿宋" w:hAnsi="仿宋" w:eastAsia="仿宋"/>
          <w:b/>
          <w:w w:val="100"/>
          <w:sz w:val="28"/>
          <w:szCs w:val="28"/>
        </w:rPr>
        <w:t>完成情况：</w:t>
      </w:r>
      <w:r>
        <w:rPr>
          <w:rFonts w:ascii="仿宋" w:hAnsi="仿宋" w:eastAsia="仿宋" w:cs="Segoe UI"/>
          <w:w w:val="100"/>
          <w:sz w:val="28"/>
          <w:szCs w:val="28"/>
          <w:shd w:val="clear" w:color="auto" w:fill="FFFFFF"/>
        </w:rPr>
        <w:t>严格按照评选标准和程序，经过层层筛选和审核，最终确定了</w:t>
      </w:r>
      <w:r>
        <w:rPr>
          <w:rFonts w:hint="eastAsia" w:ascii="仿宋" w:hAnsi="仿宋" w:eastAsia="仿宋" w:cs="Segoe UI"/>
          <w:w w:val="100"/>
          <w:sz w:val="28"/>
          <w:szCs w:val="28"/>
          <w:shd w:val="clear" w:color="auto" w:fill="FFFFFF"/>
        </w:rPr>
        <w:t>本单位刘华明同志</w:t>
      </w:r>
      <w:r>
        <w:rPr>
          <w:rFonts w:ascii="仿宋" w:hAnsi="仿宋" w:eastAsia="仿宋" w:cs="Segoe UI"/>
          <w:w w:val="100"/>
          <w:sz w:val="28"/>
          <w:szCs w:val="28"/>
          <w:shd w:val="clear" w:color="auto" w:fill="FFFFFF"/>
        </w:rPr>
        <w:t>表现突出，并为其颁发了记功奖励。</w:t>
      </w:r>
    </w:p>
    <w:p w14:paraId="673FFA60">
      <w:pPr>
        <w:ind w:firstLine="565" w:firstLineChars="202"/>
        <w:rPr>
          <w:rFonts w:ascii="楷体" w:hAnsi="楷体" w:eastAsia="楷体"/>
          <w:w w:val="100"/>
          <w:sz w:val="28"/>
          <w:szCs w:val="28"/>
        </w:rPr>
      </w:pPr>
      <w:r>
        <w:rPr>
          <w:rFonts w:ascii="楷体" w:hAnsi="楷体" w:eastAsia="楷体"/>
          <w:w w:val="100"/>
          <w:sz w:val="28"/>
          <w:szCs w:val="28"/>
        </w:rPr>
        <w:t>（三）"三公"经费使用和管理情况</w:t>
      </w:r>
    </w:p>
    <w:p w14:paraId="438D7B42">
      <w:pPr>
        <w:widowControl/>
        <w:spacing w:line="360" w:lineRule="auto"/>
        <w:ind w:firstLine="708" w:firstLineChars="253"/>
        <w:rPr>
          <w:rFonts w:ascii="楷体" w:hAnsi="楷体" w:eastAsia="楷体"/>
          <w:w w:val="100"/>
          <w:sz w:val="28"/>
          <w:szCs w:val="28"/>
        </w:rPr>
      </w:pPr>
      <w:r>
        <w:rPr>
          <w:rFonts w:hint="eastAsia" w:ascii="楷体" w:hAnsi="楷体" w:eastAsia="楷体"/>
          <w:w w:val="100"/>
          <w:sz w:val="28"/>
          <w:szCs w:val="28"/>
        </w:rPr>
        <w:t>2023年部门预算“三公”经费年初预算8.80万元，其中公务用车运行费5.80万元，公务接待费3.00万元，实际支出公务用车运行费4.37万元，公务接待费1.21万元。“三公”经费较上年8.17万元减少2.59万元，减少31.78%，主要是厉行节约，树立过</w:t>
      </w:r>
      <w:r>
        <w:rPr>
          <w:rFonts w:ascii="楷体" w:hAnsi="楷体" w:eastAsia="楷体"/>
          <w:w w:val="100"/>
          <w:sz w:val="28"/>
          <w:szCs w:val="28"/>
        </w:rPr>
        <w:t>"紧日子"的思想，落实市委市政府压减一般公用支出的要求</w:t>
      </w:r>
      <w:r>
        <w:rPr>
          <w:rFonts w:hint="eastAsia" w:ascii="楷体" w:hAnsi="楷体" w:eastAsia="楷体"/>
          <w:w w:val="100"/>
          <w:sz w:val="28"/>
          <w:szCs w:val="28"/>
        </w:rPr>
        <w:t>。</w:t>
      </w:r>
    </w:p>
    <w:p w14:paraId="0CF3AFB5">
      <w:pPr>
        <w:ind w:firstLine="565" w:firstLineChars="202"/>
        <w:rPr>
          <w:w w:val="100"/>
          <w:sz w:val="28"/>
          <w:szCs w:val="28"/>
        </w:rPr>
      </w:pPr>
      <w:r>
        <w:rPr>
          <w:rFonts w:hint="eastAsia"/>
          <w:w w:val="100"/>
          <w:sz w:val="28"/>
          <w:szCs w:val="28"/>
        </w:rPr>
        <w:t>三、政府性基金预算支出情况</w:t>
      </w:r>
    </w:p>
    <w:p w14:paraId="32706E67">
      <w:pPr>
        <w:ind w:firstLine="565" w:firstLineChars="202"/>
        <w:rPr>
          <w:w w:val="100"/>
          <w:sz w:val="28"/>
          <w:szCs w:val="28"/>
        </w:rPr>
      </w:pPr>
      <w:r>
        <w:rPr>
          <w:rFonts w:hint="eastAsia"/>
          <w:w w:val="100"/>
          <w:sz w:val="28"/>
          <w:szCs w:val="28"/>
        </w:rPr>
        <w:t>无</w:t>
      </w:r>
    </w:p>
    <w:p w14:paraId="11A13356">
      <w:pPr>
        <w:ind w:firstLine="565" w:firstLineChars="202"/>
        <w:rPr>
          <w:w w:val="100"/>
          <w:sz w:val="28"/>
          <w:szCs w:val="28"/>
        </w:rPr>
      </w:pPr>
      <w:r>
        <w:rPr>
          <w:rFonts w:hint="eastAsia"/>
          <w:w w:val="100"/>
          <w:sz w:val="28"/>
          <w:szCs w:val="28"/>
        </w:rPr>
        <w:t>四、国有资本经营预算支出情况</w:t>
      </w:r>
    </w:p>
    <w:p w14:paraId="68A83544">
      <w:pPr>
        <w:ind w:firstLine="565" w:firstLineChars="202"/>
        <w:rPr>
          <w:w w:val="100"/>
          <w:sz w:val="28"/>
          <w:szCs w:val="28"/>
        </w:rPr>
      </w:pPr>
      <w:r>
        <w:rPr>
          <w:rFonts w:hint="eastAsia"/>
          <w:w w:val="100"/>
          <w:sz w:val="28"/>
          <w:szCs w:val="28"/>
        </w:rPr>
        <w:t>无</w:t>
      </w:r>
    </w:p>
    <w:p w14:paraId="773CBB43">
      <w:pPr>
        <w:ind w:firstLine="565" w:firstLineChars="202"/>
        <w:rPr>
          <w:w w:val="100"/>
          <w:sz w:val="28"/>
          <w:szCs w:val="28"/>
        </w:rPr>
      </w:pPr>
      <w:r>
        <w:rPr>
          <w:rFonts w:hint="eastAsia"/>
          <w:w w:val="100"/>
          <w:sz w:val="28"/>
          <w:szCs w:val="28"/>
        </w:rPr>
        <w:t>五、社会保险基金预算支出情况</w:t>
      </w:r>
    </w:p>
    <w:p w14:paraId="588A774E">
      <w:pPr>
        <w:ind w:firstLine="565" w:firstLineChars="202"/>
        <w:rPr>
          <w:w w:val="100"/>
          <w:sz w:val="28"/>
          <w:szCs w:val="28"/>
        </w:rPr>
      </w:pPr>
      <w:r>
        <w:rPr>
          <w:rFonts w:hint="eastAsia"/>
          <w:w w:val="100"/>
          <w:sz w:val="28"/>
          <w:szCs w:val="28"/>
        </w:rPr>
        <w:t>无</w:t>
      </w:r>
    </w:p>
    <w:p w14:paraId="08750687">
      <w:pPr>
        <w:ind w:firstLine="565" w:firstLineChars="202"/>
        <w:rPr>
          <w:w w:val="100"/>
          <w:sz w:val="28"/>
          <w:szCs w:val="28"/>
        </w:rPr>
      </w:pPr>
      <w:r>
        <w:rPr>
          <w:rFonts w:hint="eastAsia"/>
          <w:w w:val="100"/>
          <w:sz w:val="28"/>
          <w:szCs w:val="28"/>
        </w:rPr>
        <w:t>六、部门整体支出绩效情况</w:t>
      </w:r>
    </w:p>
    <w:p w14:paraId="48A5FC63">
      <w:pPr>
        <w:ind w:firstLine="565" w:firstLineChars="202"/>
        <w:rPr>
          <w:rFonts w:ascii="楷体" w:hAnsi="楷体" w:eastAsia="楷体"/>
          <w:w w:val="100"/>
          <w:sz w:val="28"/>
          <w:szCs w:val="28"/>
        </w:rPr>
      </w:pPr>
      <w:r>
        <w:rPr>
          <w:rFonts w:ascii="楷体" w:hAnsi="楷体" w:eastAsia="楷体"/>
          <w:w w:val="100"/>
          <w:sz w:val="28"/>
          <w:szCs w:val="28"/>
        </w:rPr>
        <w:t>（一）综合评价结论。反映自评得分及评价等级。</w:t>
      </w:r>
    </w:p>
    <w:p w14:paraId="6FD6EF85">
      <w:pPr>
        <w:ind w:firstLine="708" w:firstLineChars="253"/>
        <w:rPr>
          <w:rFonts w:ascii="楷体" w:hAnsi="楷体" w:eastAsia="楷体"/>
          <w:w w:val="100"/>
          <w:sz w:val="28"/>
          <w:szCs w:val="28"/>
        </w:rPr>
      </w:pPr>
      <w:r>
        <w:rPr>
          <w:rFonts w:ascii="楷体" w:hAnsi="楷体" w:eastAsia="楷体"/>
          <w:w w:val="100"/>
          <w:sz w:val="28"/>
          <w:szCs w:val="28"/>
        </w:rPr>
        <w:t>2023 年，</w:t>
      </w:r>
      <w:r>
        <w:rPr>
          <w:rFonts w:hint="eastAsia" w:ascii="楷体" w:hAnsi="楷体" w:eastAsia="楷体"/>
          <w:w w:val="100"/>
          <w:sz w:val="28"/>
          <w:szCs w:val="28"/>
        </w:rPr>
        <w:t>我局</w:t>
      </w:r>
      <w:r>
        <w:rPr>
          <w:rFonts w:ascii="楷体" w:hAnsi="楷体" w:eastAsia="楷体"/>
          <w:w w:val="100"/>
          <w:sz w:val="28"/>
          <w:szCs w:val="28"/>
        </w:rPr>
        <w:t>在整体支出绩效方面取得了显著的成绩，但也清晰地认识到存在的问题和不足。在未来的工作中，将继续坚定不移地加强管理，不断优化预算编制和执行，提高资产使用效率，完善教学资源配置，持续提升教育教学质量和办学水平，为学生的成长和发展创造更加优越的条件。</w:t>
      </w:r>
      <w:r>
        <w:rPr>
          <w:rFonts w:hint="eastAsia" w:ascii="楷体" w:hAnsi="楷体" w:eastAsia="楷体"/>
          <w:w w:val="100"/>
          <w:sz w:val="28"/>
          <w:szCs w:val="28"/>
        </w:rPr>
        <w:t>通过严谨认真地分析和评价，我局自评得分98.50分，评价等级“优”。</w:t>
      </w:r>
    </w:p>
    <w:p w14:paraId="58A7D1F3">
      <w:pPr>
        <w:ind w:firstLine="565" w:firstLineChars="202"/>
        <w:rPr>
          <w:rFonts w:ascii="楷体" w:hAnsi="楷体" w:eastAsia="楷体"/>
          <w:w w:val="100"/>
          <w:sz w:val="28"/>
          <w:szCs w:val="28"/>
        </w:rPr>
      </w:pPr>
      <w:r>
        <w:rPr>
          <w:rFonts w:ascii="楷体" w:hAnsi="楷体" w:eastAsia="楷体"/>
          <w:w w:val="100"/>
          <w:sz w:val="28"/>
          <w:szCs w:val="28"/>
        </w:rPr>
        <w:t>（二</w:t>
      </w:r>
      <w:r>
        <w:rPr>
          <w:rFonts w:hint="eastAsia" w:ascii="楷体" w:hAnsi="楷体" w:eastAsia="楷体"/>
          <w:w w:val="100"/>
          <w:sz w:val="28"/>
          <w:szCs w:val="28"/>
        </w:rPr>
        <w:t>）</w:t>
      </w:r>
      <w:r>
        <w:rPr>
          <w:rFonts w:ascii="楷体" w:hAnsi="楷体" w:eastAsia="楷体"/>
          <w:w w:val="100"/>
          <w:sz w:val="28"/>
          <w:szCs w:val="28"/>
        </w:rPr>
        <w:t>评价指标分析(或综合评价情况)。</w:t>
      </w:r>
    </w:p>
    <w:p w14:paraId="7B9AC5CD">
      <w:pPr>
        <w:ind w:firstLine="708" w:firstLineChars="253"/>
        <w:rPr>
          <w:rFonts w:ascii="楷体" w:hAnsi="楷体" w:eastAsia="楷体"/>
          <w:w w:val="100"/>
          <w:sz w:val="28"/>
          <w:szCs w:val="28"/>
        </w:rPr>
      </w:pPr>
      <w:r>
        <w:rPr>
          <w:rFonts w:ascii="楷体" w:hAnsi="楷体" w:eastAsia="楷体"/>
          <w:bCs/>
          <w:w w:val="100"/>
          <w:sz w:val="28"/>
          <w:szCs w:val="28"/>
        </w:rPr>
        <w:t>今年来，全市教育工作深入学习贯彻党的二十大精神和习近平总书记关于教育的重要论述，落实落地全国全省教育工作会议精神，聚焦落实立德树人根本任务，突出抓好教育教学质量提升和校园安全两件大事，统筹推进城乡、县域和校际教育优质均衡发展，奋力建设大湘西区域性教育中心，</w:t>
      </w:r>
      <w:r>
        <w:rPr>
          <w:rFonts w:hint="eastAsia" w:ascii="楷体" w:hAnsi="楷体" w:eastAsia="楷体"/>
          <w:bCs/>
          <w:w w:val="100"/>
          <w:sz w:val="28"/>
          <w:szCs w:val="28"/>
        </w:rPr>
        <w:t>各项工作取得了</w:t>
      </w:r>
      <w:r>
        <w:rPr>
          <w:rFonts w:ascii="楷体" w:hAnsi="楷体" w:eastAsia="楷体"/>
          <w:bCs/>
          <w:w w:val="100"/>
          <w:sz w:val="28"/>
          <w:szCs w:val="28"/>
        </w:rPr>
        <w:t>一定</w:t>
      </w:r>
      <w:r>
        <w:rPr>
          <w:rFonts w:hint="eastAsia" w:ascii="楷体" w:hAnsi="楷体" w:eastAsia="楷体"/>
          <w:bCs/>
          <w:w w:val="100"/>
          <w:sz w:val="28"/>
          <w:szCs w:val="28"/>
        </w:rPr>
        <w:t>成效。</w:t>
      </w:r>
    </w:p>
    <w:p w14:paraId="6905CA7D">
      <w:pPr>
        <w:ind w:firstLine="708" w:firstLineChars="253"/>
        <w:rPr>
          <w:rFonts w:ascii="楷体" w:hAnsi="楷体" w:eastAsia="楷体"/>
          <w:w w:val="100"/>
          <w:sz w:val="28"/>
          <w:szCs w:val="28"/>
        </w:rPr>
      </w:pPr>
      <w:r>
        <w:rPr>
          <w:rFonts w:hint="eastAsia" w:ascii="楷体" w:hAnsi="楷体" w:eastAsia="楷体"/>
          <w:w w:val="100"/>
          <w:sz w:val="28"/>
          <w:szCs w:val="28"/>
        </w:rPr>
        <w:t>1.从</w:t>
      </w:r>
      <w:r>
        <w:rPr>
          <w:rFonts w:ascii="楷体" w:hAnsi="楷体" w:eastAsia="楷体"/>
          <w:w w:val="100"/>
          <w:sz w:val="28"/>
          <w:szCs w:val="28"/>
        </w:rPr>
        <w:t>行业发展规划</w:t>
      </w:r>
      <w:r>
        <w:rPr>
          <w:rFonts w:hint="eastAsia" w:ascii="楷体" w:hAnsi="楷体" w:eastAsia="楷体"/>
          <w:w w:val="100"/>
          <w:sz w:val="28"/>
          <w:szCs w:val="28"/>
        </w:rPr>
        <w:t>方面分析</w:t>
      </w:r>
    </w:p>
    <w:p w14:paraId="58560EAD">
      <w:pPr>
        <w:ind w:firstLine="708" w:firstLineChars="253"/>
        <w:rPr>
          <w:rFonts w:ascii="楷体" w:hAnsi="楷体" w:eastAsia="楷体"/>
          <w:w w:val="100"/>
          <w:sz w:val="28"/>
          <w:szCs w:val="28"/>
        </w:rPr>
      </w:pPr>
      <w:r>
        <w:rPr>
          <w:rFonts w:hint="eastAsia" w:ascii="楷体" w:hAnsi="楷体" w:eastAsia="楷体"/>
          <w:w w:val="100"/>
          <w:sz w:val="28"/>
          <w:szCs w:val="28"/>
        </w:rPr>
        <w:t>依据国家与省级教育发展规划，紧密结合怀化市经济社会发展的需求以及教育实际状况，我局制定了一系列发展规划：</w:t>
      </w:r>
    </w:p>
    <w:p w14:paraId="5D8EAAF1">
      <w:pPr>
        <w:ind w:firstLine="708" w:firstLineChars="253"/>
        <w:rPr>
          <w:rFonts w:ascii="楷体" w:hAnsi="楷体" w:eastAsia="楷体"/>
          <w:w w:val="100"/>
          <w:sz w:val="28"/>
          <w:szCs w:val="28"/>
        </w:rPr>
      </w:pPr>
      <w:r>
        <w:rPr>
          <w:rFonts w:hint="eastAsia" w:ascii="楷体" w:hAnsi="楷体" w:eastAsia="楷体"/>
          <w:w w:val="100"/>
          <w:sz w:val="28"/>
          <w:szCs w:val="28"/>
        </w:rPr>
        <w:t>(1)推进基础教育优质均衡发展。拓展普惠性学前教育资源，增进学前教育普及程度，提升保教质量；助推义务教育朝着优质均衡的方向发展，减小城乡、区域以及校际之间的差距；强化普通高中的多样化与特色化发展，提高普通高中的教育教学品质。</w:t>
      </w:r>
    </w:p>
    <w:p w14:paraId="113122D7">
      <w:pPr>
        <w:ind w:firstLine="708" w:firstLineChars="253"/>
        <w:rPr>
          <w:rFonts w:ascii="楷体" w:hAnsi="楷体" w:eastAsia="楷体"/>
          <w:w w:val="100"/>
          <w:sz w:val="28"/>
          <w:szCs w:val="28"/>
        </w:rPr>
      </w:pPr>
      <w:r>
        <w:rPr>
          <w:rFonts w:hint="eastAsia" w:ascii="楷体" w:hAnsi="楷体" w:eastAsia="楷体"/>
          <w:w w:val="100"/>
          <w:sz w:val="28"/>
          <w:szCs w:val="28"/>
        </w:rPr>
        <w:t>(2)加快职业教育创新发展。优化职业教育的布局架构，夯实职业教育基础能力建设，深度推进产教融合、校企合作，培育契合经济社会发展需求的技术技能型人才。</w:t>
      </w:r>
    </w:p>
    <w:p w14:paraId="2197F2FD">
      <w:pPr>
        <w:ind w:firstLine="708" w:firstLineChars="253"/>
        <w:rPr>
          <w:rFonts w:ascii="楷体" w:hAnsi="楷体" w:eastAsia="楷体"/>
          <w:w w:val="100"/>
          <w:sz w:val="28"/>
          <w:szCs w:val="28"/>
        </w:rPr>
      </w:pPr>
      <w:r>
        <w:rPr>
          <w:rFonts w:hint="eastAsia" w:ascii="楷体" w:hAnsi="楷体" w:eastAsia="楷体"/>
          <w:w w:val="100"/>
          <w:sz w:val="28"/>
          <w:szCs w:val="28"/>
        </w:rPr>
        <w:t>(3)加强教师队伍建设。健全教师培养培训体系，提升教师队伍的整体素养，大力加强师德师风建设，吸引并留住优秀人才投身于教育事业。</w:t>
      </w:r>
    </w:p>
    <w:p w14:paraId="6F43BDCF">
      <w:pPr>
        <w:ind w:firstLine="708" w:firstLineChars="253"/>
        <w:rPr>
          <w:rFonts w:ascii="楷体" w:hAnsi="楷体" w:eastAsia="楷体"/>
          <w:w w:val="100"/>
          <w:sz w:val="28"/>
          <w:szCs w:val="28"/>
        </w:rPr>
      </w:pPr>
      <w:r>
        <w:rPr>
          <w:rFonts w:hint="eastAsia" w:ascii="楷体" w:hAnsi="楷体" w:eastAsia="楷体"/>
          <w:w w:val="100"/>
          <w:sz w:val="28"/>
          <w:szCs w:val="28"/>
        </w:rPr>
        <w:t>(4)推进教育信息化建设。加强教育信息化基础设施的建设工作，推动信息技术与教育教学实现深度融合，提高教育信息化的应用水准。</w:t>
      </w:r>
    </w:p>
    <w:p w14:paraId="4FAB4271">
      <w:pPr>
        <w:ind w:firstLine="708" w:firstLineChars="253"/>
        <w:rPr>
          <w:rFonts w:ascii="楷体" w:hAnsi="楷体" w:eastAsia="楷体"/>
          <w:w w:val="100"/>
          <w:sz w:val="28"/>
          <w:szCs w:val="28"/>
        </w:rPr>
      </w:pPr>
      <w:r>
        <w:rPr>
          <w:rFonts w:hint="eastAsia" w:ascii="楷体" w:hAnsi="楷体" w:eastAsia="楷体"/>
          <w:w w:val="100"/>
          <w:sz w:val="28"/>
          <w:szCs w:val="28"/>
        </w:rPr>
        <w:t>2.</w:t>
      </w:r>
      <w:r>
        <w:rPr>
          <w:rFonts w:ascii="楷体" w:hAnsi="楷体" w:eastAsia="楷体"/>
          <w:w w:val="100"/>
          <w:sz w:val="28"/>
          <w:szCs w:val="28"/>
        </w:rPr>
        <w:t>整体绩效目标设定</w:t>
      </w:r>
      <w:r>
        <w:rPr>
          <w:rFonts w:hint="eastAsia" w:ascii="楷体" w:hAnsi="楷体" w:eastAsia="楷体"/>
          <w:w w:val="100"/>
          <w:sz w:val="28"/>
          <w:szCs w:val="28"/>
        </w:rPr>
        <w:t>分析</w:t>
      </w:r>
    </w:p>
    <w:p w14:paraId="71896A68">
      <w:pPr>
        <w:ind w:firstLine="708" w:firstLineChars="253"/>
        <w:rPr>
          <w:rFonts w:ascii="楷体" w:hAnsi="楷体" w:eastAsia="楷体"/>
          <w:w w:val="100"/>
          <w:sz w:val="28"/>
          <w:szCs w:val="28"/>
        </w:rPr>
      </w:pPr>
      <w:r>
        <w:rPr>
          <w:rFonts w:ascii="楷体" w:hAnsi="楷体" w:eastAsia="楷体"/>
          <w:w w:val="100"/>
          <w:sz w:val="28"/>
          <w:szCs w:val="28"/>
        </w:rPr>
        <w:t>2023 年初，根据</w:t>
      </w:r>
      <w:r>
        <w:rPr>
          <w:rFonts w:hint="eastAsia" w:ascii="楷体" w:hAnsi="楷体" w:eastAsia="楷体"/>
          <w:w w:val="100"/>
          <w:sz w:val="28"/>
          <w:szCs w:val="28"/>
        </w:rPr>
        <w:t>我</w:t>
      </w:r>
      <w:r>
        <w:rPr>
          <w:rFonts w:ascii="楷体" w:hAnsi="楷体" w:eastAsia="楷体"/>
          <w:w w:val="100"/>
          <w:sz w:val="28"/>
          <w:szCs w:val="28"/>
        </w:rPr>
        <w:t>市教育事业发展规划和年度工作重点，结合本市教育发展的实际需求和长远目标，我局精心设定了整体绩效目标，旨在全面提升</w:t>
      </w:r>
      <w:r>
        <w:rPr>
          <w:rFonts w:hint="eastAsia" w:ascii="楷体" w:hAnsi="楷体" w:eastAsia="楷体"/>
          <w:w w:val="100"/>
          <w:sz w:val="28"/>
          <w:szCs w:val="28"/>
        </w:rPr>
        <w:t>我</w:t>
      </w:r>
      <w:r>
        <w:rPr>
          <w:rFonts w:ascii="楷体" w:hAnsi="楷体" w:eastAsia="楷体"/>
          <w:w w:val="100"/>
          <w:sz w:val="28"/>
          <w:szCs w:val="28"/>
        </w:rPr>
        <w:t>市教育发展水平，为经济社会发展提供坚实的人才支撑和智力保障。</w:t>
      </w:r>
    </w:p>
    <w:p w14:paraId="6B3F7D24">
      <w:pPr>
        <w:ind w:firstLine="708" w:firstLineChars="253"/>
        <w:rPr>
          <w:rFonts w:ascii="楷体" w:hAnsi="楷体" w:eastAsia="楷体"/>
          <w:w w:val="100"/>
          <w:sz w:val="28"/>
          <w:szCs w:val="28"/>
        </w:rPr>
      </w:pPr>
      <w:r>
        <w:rPr>
          <w:rFonts w:hint="eastAsia" w:ascii="楷体" w:hAnsi="楷体" w:eastAsia="楷体"/>
          <w:w w:val="100"/>
          <w:sz w:val="28"/>
          <w:szCs w:val="28"/>
        </w:rPr>
        <w:t>(1)提高教育教学质量，推动各级各类教育协调发展</w:t>
      </w:r>
    </w:p>
    <w:p w14:paraId="632A6BE5">
      <w:pPr>
        <w:ind w:firstLine="708" w:firstLineChars="253"/>
        <w:rPr>
          <w:rFonts w:ascii="楷体" w:hAnsi="楷体" w:eastAsia="楷体"/>
          <w:w w:val="100"/>
          <w:sz w:val="28"/>
          <w:szCs w:val="28"/>
        </w:rPr>
      </w:pPr>
      <w:r>
        <w:rPr>
          <w:rFonts w:hint="eastAsia" w:ascii="楷体" w:hAnsi="楷体" w:eastAsia="楷体"/>
          <w:w w:val="100"/>
          <w:sz w:val="28"/>
          <w:szCs w:val="28"/>
        </w:rPr>
        <w:t>优化教育资源配置，促进学前教育普及普惠发展，确保学前三年毛入园率达到</w:t>
      </w:r>
      <w:r>
        <w:rPr>
          <w:rFonts w:ascii="楷体" w:hAnsi="楷体" w:eastAsia="楷体"/>
          <w:w w:val="100"/>
          <w:sz w:val="28"/>
          <w:szCs w:val="28"/>
        </w:rPr>
        <w:t>90%，普惠性幼儿园覆盖率保持在92%以上。</w:t>
      </w:r>
      <w:r>
        <w:rPr>
          <w:rFonts w:hint="eastAsia" w:ascii="楷体" w:hAnsi="楷体" w:eastAsia="楷体"/>
          <w:w w:val="100"/>
          <w:sz w:val="28"/>
          <w:szCs w:val="28"/>
        </w:rPr>
        <w:t>推动义务教育优质均衡发展，巩固义务教育基本均衡成果，确保小学、初中入学率分别保持在</w:t>
      </w:r>
      <w:r>
        <w:rPr>
          <w:rFonts w:ascii="楷体" w:hAnsi="楷体" w:eastAsia="楷体"/>
          <w:w w:val="100"/>
          <w:sz w:val="28"/>
          <w:szCs w:val="28"/>
        </w:rPr>
        <w:t>100%和96%以上，九年义务教育巩固率达到96%。</w:t>
      </w:r>
      <w:r>
        <w:rPr>
          <w:rFonts w:hint="eastAsia" w:ascii="楷体" w:hAnsi="楷体" w:eastAsia="楷体"/>
          <w:w w:val="100"/>
          <w:sz w:val="28"/>
          <w:szCs w:val="28"/>
        </w:rPr>
        <w:t>推进普通高中多样化有特色发展，提高普通高中教育教学质量，高考本科上线率较上年提高3</w:t>
      </w:r>
      <w:r>
        <w:rPr>
          <w:rFonts w:ascii="楷体" w:hAnsi="楷体" w:eastAsia="楷体"/>
          <w:w w:val="100"/>
          <w:sz w:val="28"/>
          <w:szCs w:val="28"/>
        </w:rPr>
        <w:t>个百分点。</w:t>
      </w:r>
      <w:r>
        <w:rPr>
          <w:rFonts w:hint="eastAsia" w:ascii="楷体" w:hAnsi="楷体" w:eastAsia="楷体"/>
          <w:w w:val="100"/>
          <w:sz w:val="28"/>
          <w:szCs w:val="28"/>
        </w:rPr>
        <w:t>加快发展现代职业教育，提高职业教育人才培养质量，中职毕业生就业率达到</w:t>
      </w:r>
      <w:r>
        <w:rPr>
          <w:rFonts w:ascii="楷体" w:hAnsi="楷体" w:eastAsia="楷体"/>
          <w:w w:val="100"/>
          <w:sz w:val="28"/>
          <w:szCs w:val="28"/>
        </w:rPr>
        <w:t>95%以上。</w:t>
      </w:r>
    </w:p>
    <w:p w14:paraId="3FD48236">
      <w:pPr>
        <w:ind w:firstLine="708" w:firstLineChars="253"/>
        <w:rPr>
          <w:rFonts w:ascii="楷体" w:hAnsi="楷体" w:eastAsia="楷体"/>
          <w:w w:val="100"/>
          <w:sz w:val="28"/>
          <w:szCs w:val="28"/>
        </w:rPr>
      </w:pPr>
      <w:r>
        <w:rPr>
          <w:rFonts w:hint="eastAsia" w:ascii="楷体" w:hAnsi="楷体" w:eastAsia="楷体"/>
          <w:w w:val="100"/>
          <w:sz w:val="28"/>
          <w:szCs w:val="28"/>
        </w:rPr>
        <w:t>(2)加强师资队伍建设，提高教师整体素质</w:t>
      </w:r>
    </w:p>
    <w:p w14:paraId="5F49C84B">
      <w:pPr>
        <w:ind w:firstLine="708" w:firstLineChars="253"/>
        <w:rPr>
          <w:rFonts w:ascii="楷体" w:hAnsi="楷体" w:eastAsia="楷体"/>
          <w:w w:val="100"/>
          <w:sz w:val="28"/>
          <w:szCs w:val="28"/>
        </w:rPr>
      </w:pPr>
      <w:r>
        <w:rPr>
          <w:rFonts w:hint="eastAsia" w:ascii="楷体" w:hAnsi="楷体" w:eastAsia="楷体"/>
          <w:w w:val="100"/>
          <w:sz w:val="28"/>
          <w:szCs w:val="28"/>
        </w:rPr>
        <w:t>加强师德师风建设，建立健全师德师风建设长效机制，确保教师师德师风良好。加大教师培训力度，组织开展各级各类教师培训活动，培训教师</w:t>
      </w:r>
      <w:r>
        <w:rPr>
          <w:rFonts w:ascii="楷体" w:hAnsi="楷体" w:eastAsia="楷体"/>
          <w:w w:val="100"/>
          <w:sz w:val="28"/>
          <w:szCs w:val="28"/>
        </w:rPr>
        <w:t>400人次以上，提高教师的教育教学能力和专业素养。</w:t>
      </w:r>
      <w:r>
        <w:rPr>
          <w:rFonts w:hint="eastAsia" w:ascii="楷体" w:hAnsi="楷体" w:eastAsia="楷体"/>
          <w:w w:val="100"/>
          <w:sz w:val="28"/>
          <w:szCs w:val="28"/>
        </w:rPr>
        <w:t>补充教师队伍，通过公开招聘、特岗计划、公费师范生培养等途径，招聘补充教师，优化教师队伍结构。</w:t>
      </w:r>
    </w:p>
    <w:p w14:paraId="01D34CF3">
      <w:pPr>
        <w:ind w:firstLine="708" w:firstLineChars="253"/>
        <w:rPr>
          <w:rFonts w:ascii="楷体" w:hAnsi="楷体" w:eastAsia="楷体"/>
          <w:w w:val="100"/>
          <w:sz w:val="28"/>
          <w:szCs w:val="28"/>
        </w:rPr>
      </w:pPr>
      <w:r>
        <w:rPr>
          <w:rFonts w:hint="eastAsia" w:ascii="楷体" w:hAnsi="楷体" w:eastAsia="楷体"/>
          <w:w w:val="100"/>
          <w:sz w:val="28"/>
          <w:szCs w:val="28"/>
        </w:rPr>
        <w:t>(3)推进教育公平，改善办学条件，缩小城乡、区域教育差距</w:t>
      </w:r>
    </w:p>
    <w:p w14:paraId="145C9B7A">
      <w:pPr>
        <w:ind w:firstLine="708" w:firstLineChars="253"/>
        <w:rPr>
          <w:rFonts w:ascii="楷体" w:hAnsi="楷体" w:eastAsia="楷体"/>
          <w:w w:val="100"/>
          <w:sz w:val="28"/>
          <w:szCs w:val="28"/>
        </w:rPr>
      </w:pPr>
      <w:r>
        <w:rPr>
          <w:rFonts w:hint="eastAsia" w:ascii="楷体" w:hAnsi="楷体" w:eastAsia="楷体"/>
          <w:w w:val="100"/>
          <w:sz w:val="28"/>
          <w:szCs w:val="28"/>
        </w:rPr>
        <w:t>加大教育投入，改善农村学校和薄弱学校办学条件，推进义务教育学校标准化建设，确保农村义务教育学校办学条件基本达标。加强教育信息化建设，推进“互联网</w:t>
      </w:r>
      <w:r>
        <w:rPr>
          <w:rFonts w:ascii="楷体" w:hAnsi="楷体" w:eastAsia="楷体"/>
          <w:w w:val="100"/>
          <w:sz w:val="28"/>
          <w:szCs w:val="28"/>
        </w:rPr>
        <w:t>+教育”发展，实现优质教育资源共建共享，缩小城乡、区域、校际之间的教育差距。</w:t>
      </w:r>
      <w:r>
        <w:rPr>
          <w:rFonts w:hint="eastAsia" w:ascii="楷体" w:hAnsi="楷体" w:eastAsia="楷体"/>
          <w:w w:val="100"/>
          <w:sz w:val="28"/>
          <w:szCs w:val="28"/>
        </w:rPr>
        <w:t>落实教育资助政策，确保家庭经济困难学生应助尽助，不让一个学生因家庭经济困难而失学。</w:t>
      </w:r>
    </w:p>
    <w:p w14:paraId="1A59792C">
      <w:pPr>
        <w:ind w:firstLine="708" w:firstLineChars="253"/>
        <w:rPr>
          <w:rFonts w:ascii="楷体" w:hAnsi="楷体" w:eastAsia="楷体"/>
          <w:w w:val="100"/>
          <w:sz w:val="28"/>
          <w:szCs w:val="28"/>
        </w:rPr>
      </w:pPr>
      <w:r>
        <w:rPr>
          <w:rFonts w:hint="eastAsia" w:ascii="楷体" w:hAnsi="楷体" w:eastAsia="楷体"/>
          <w:w w:val="100"/>
          <w:sz w:val="28"/>
          <w:szCs w:val="28"/>
        </w:rPr>
        <w:t>(4)加强教育信息化建设，提高教育现代化水平</w:t>
      </w:r>
    </w:p>
    <w:p w14:paraId="7F9D2191">
      <w:pPr>
        <w:ind w:firstLine="708" w:firstLineChars="253"/>
        <w:rPr>
          <w:rFonts w:ascii="楷体" w:hAnsi="楷体" w:eastAsia="楷体"/>
          <w:w w:val="100"/>
          <w:sz w:val="28"/>
          <w:szCs w:val="28"/>
        </w:rPr>
      </w:pPr>
      <w:r>
        <w:rPr>
          <w:rFonts w:hint="eastAsia" w:ascii="楷体" w:hAnsi="楷体" w:eastAsia="楷体"/>
          <w:w w:val="100"/>
          <w:sz w:val="28"/>
          <w:szCs w:val="28"/>
        </w:rPr>
        <w:t>加强教育信息化基础设施建设，推进校园网络升级改造，实现中小学宽带网络接入率达到</w:t>
      </w:r>
      <w:r>
        <w:rPr>
          <w:rFonts w:ascii="楷体" w:hAnsi="楷体" w:eastAsia="楷体"/>
          <w:w w:val="100"/>
          <w:sz w:val="28"/>
          <w:szCs w:val="28"/>
        </w:rPr>
        <w:t>100%，多媒体教室覆盖率达到98%以上。</w:t>
      </w:r>
      <w:r>
        <w:rPr>
          <w:rFonts w:hint="eastAsia" w:ascii="楷体" w:hAnsi="楷体" w:eastAsia="楷体"/>
          <w:w w:val="100"/>
          <w:sz w:val="28"/>
          <w:szCs w:val="28"/>
        </w:rPr>
        <w:t>推进教育信息化应用，开展信息化教学应用培训和竞赛活动，提高教师信息化教学应用能力和水平，促进信息技术与教育教学深度融合。</w:t>
      </w:r>
    </w:p>
    <w:p w14:paraId="7ED89EE0">
      <w:pPr>
        <w:ind w:firstLine="708" w:firstLineChars="253"/>
        <w:rPr>
          <w:rFonts w:ascii="楷体" w:hAnsi="楷体" w:eastAsia="楷体"/>
          <w:w w:val="100"/>
          <w:sz w:val="28"/>
          <w:szCs w:val="28"/>
        </w:rPr>
      </w:pPr>
      <w:r>
        <w:rPr>
          <w:rFonts w:ascii="楷体" w:hAnsi="楷体" w:eastAsia="楷体"/>
          <w:w w:val="100"/>
          <w:sz w:val="28"/>
          <w:szCs w:val="28"/>
        </w:rPr>
        <w:t xml:space="preserve"> </w:t>
      </w:r>
      <w:r>
        <w:rPr>
          <w:rFonts w:hint="eastAsia" w:ascii="楷体" w:hAnsi="楷体" w:eastAsia="楷体"/>
          <w:w w:val="100"/>
          <w:sz w:val="28"/>
          <w:szCs w:val="28"/>
        </w:rPr>
        <w:t>3.</w:t>
      </w:r>
      <w:r>
        <w:rPr>
          <w:rFonts w:ascii="楷体" w:hAnsi="楷体" w:eastAsia="楷体"/>
          <w:w w:val="100"/>
          <w:sz w:val="28"/>
          <w:szCs w:val="28"/>
        </w:rPr>
        <w:t>预算配置</w:t>
      </w:r>
      <w:r>
        <w:rPr>
          <w:rFonts w:hint="eastAsia" w:ascii="楷体" w:hAnsi="楷体" w:eastAsia="楷体"/>
          <w:w w:val="100"/>
          <w:sz w:val="28"/>
          <w:szCs w:val="28"/>
        </w:rPr>
        <w:t>分析</w:t>
      </w:r>
    </w:p>
    <w:p w14:paraId="0E133F0A">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1</w:t>
      </w:r>
      <w:r>
        <w:rPr>
          <w:rFonts w:ascii="楷体" w:hAnsi="楷体" w:eastAsia="楷体"/>
          <w:w w:val="100"/>
          <w:sz w:val="28"/>
          <w:szCs w:val="28"/>
        </w:rPr>
        <w:t>）</w:t>
      </w:r>
      <w:r>
        <w:rPr>
          <w:rFonts w:hint="eastAsia" w:ascii="楷体" w:hAnsi="楷体" w:eastAsia="楷体"/>
          <w:w w:val="100"/>
          <w:sz w:val="28"/>
          <w:szCs w:val="28"/>
        </w:rPr>
        <w:t>人员经费</w:t>
      </w:r>
    </w:p>
    <w:p w14:paraId="34764A02">
      <w:pPr>
        <w:ind w:firstLine="708" w:firstLineChars="253"/>
        <w:rPr>
          <w:rFonts w:ascii="楷体" w:hAnsi="楷体" w:eastAsia="楷体"/>
          <w:w w:val="100"/>
          <w:sz w:val="28"/>
          <w:szCs w:val="28"/>
        </w:rPr>
      </w:pPr>
      <w:r>
        <w:rPr>
          <w:rFonts w:hint="eastAsia" w:ascii="楷体" w:hAnsi="楷体" w:eastAsia="楷体"/>
          <w:w w:val="100"/>
          <w:sz w:val="28"/>
          <w:szCs w:val="28"/>
        </w:rPr>
        <w:t>严格依据编制内实有人员数量和相关政策标准，精准核算人员经费。</w:t>
      </w:r>
      <w:r>
        <w:rPr>
          <w:rFonts w:ascii="楷体" w:hAnsi="楷体" w:eastAsia="楷体"/>
          <w:w w:val="100"/>
          <w:sz w:val="28"/>
          <w:szCs w:val="28"/>
        </w:rPr>
        <w:t>2023 年，人员经费预算为2021</w:t>
      </w:r>
      <w:r>
        <w:rPr>
          <w:rFonts w:hint="eastAsia" w:ascii="楷体" w:hAnsi="楷体" w:eastAsia="楷体"/>
          <w:w w:val="100"/>
          <w:sz w:val="28"/>
          <w:szCs w:val="28"/>
        </w:rPr>
        <w:t>.</w:t>
      </w:r>
      <w:r>
        <w:rPr>
          <w:rFonts w:ascii="楷体" w:hAnsi="楷体" w:eastAsia="楷体"/>
          <w:w w:val="100"/>
          <w:sz w:val="28"/>
          <w:szCs w:val="28"/>
        </w:rPr>
        <w:t>8</w:t>
      </w:r>
      <w:r>
        <w:rPr>
          <w:rFonts w:hint="eastAsia" w:ascii="楷体" w:hAnsi="楷体" w:eastAsia="楷体"/>
          <w:w w:val="100"/>
          <w:sz w:val="28"/>
          <w:szCs w:val="28"/>
        </w:rPr>
        <w:t>5</w:t>
      </w:r>
      <w:r>
        <w:rPr>
          <w:rFonts w:ascii="楷体" w:hAnsi="楷体" w:eastAsia="楷体"/>
          <w:w w:val="100"/>
          <w:sz w:val="28"/>
          <w:szCs w:val="28"/>
        </w:rPr>
        <w:t>万元，实际支出1967</w:t>
      </w:r>
      <w:r>
        <w:rPr>
          <w:rFonts w:hint="eastAsia" w:ascii="楷体" w:hAnsi="楷体" w:eastAsia="楷体"/>
          <w:w w:val="100"/>
          <w:sz w:val="28"/>
          <w:szCs w:val="28"/>
        </w:rPr>
        <w:t>.</w:t>
      </w:r>
      <w:r>
        <w:rPr>
          <w:rFonts w:ascii="楷体" w:hAnsi="楷体" w:eastAsia="楷体"/>
          <w:w w:val="100"/>
          <w:sz w:val="28"/>
          <w:szCs w:val="28"/>
        </w:rPr>
        <w:t>3</w:t>
      </w:r>
      <w:r>
        <w:rPr>
          <w:rFonts w:hint="eastAsia" w:ascii="楷体" w:hAnsi="楷体" w:eastAsia="楷体"/>
          <w:w w:val="100"/>
          <w:sz w:val="28"/>
          <w:szCs w:val="28"/>
        </w:rPr>
        <w:t>4</w:t>
      </w:r>
      <w:r>
        <w:rPr>
          <w:rFonts w:ascii="楷体" w:hAnsi="楷体" w:eastAsia="楷体"/>
          <w:w w:val="100"/>
          <w:sz w:val="28"/>
          <w:szCs w:val="28"/>
        </w:rPr>
        <w:t>万元，主要用于支付教职工的工资、津贴补贴、奖金、社会保险缴费、住房公积金等，切实保障了</w:t>
      </w:r>
      <w:r>
        <w:rPr>
          <w:rFonts w:hint="eastAsia" w:ascii="楷体" w:hAnsi="楷体" w:eastAsia="楷体"/>
          <w:w w:val="100"/>
          <w:sz w:val="28"/>
          <w:szCs w:val="28"/>
        </w:rPr>
        <w:t>全体</w:t>
      </w:r>
      <w:r>
        <w:rPr>
          <w:rFonts w:ascii="楷体" w:hAnsi="楷体" w:eastAsia="楷体"/>
          <w:w w:val="100"/>
          <w:sz w:val="28"/>
          <w:szCs w:val="28"/>
        </w:rPr>
        <w:t>职工的合法权益和基本生活需求，为教育教学工作的稳定开展奠定了坚实基础。</w:t>
      </w:r>
    </w:p>
    <w:p w14:paraId="2E56BB6F">
      <w:pPr>
        <w:ind w:firstLine="708" w:firstLineChars="253"/>
        <w:rPr>
          <w:rFonts w:ascii="楷体" w:hAnsi="楷体" w:eastAsia="楷体"/>
          <w:w w:val="100"/>
          <w:sz w:val="28"/>
          <w:szCs w:val="28"/>
        </w:rPr>
      </w:pPr>
      <w:r>
        <w:rPr>
          <w:rFonts w:hint="eastAsia" w:ascii="楷体" w:hAnsi="楷体" w:eastAsia="楷体"/>
          <w:w w:val="100"/>
          <w:sz w:val="28"/>
          <w:szCs w:val="28"/>
        </w:rPr>
        <w:t>(2)公用经费</w:t>
      </w:r>
    </w:p>
    <w:p w14:paraId="16D89652">
      <w:pPr>
        <w:ind w:firstLine="708" w:firstLineChars="253"/>
        <w:rPr>
          <w:rFonts w:ascii="楷体" w:hAnsi="楷体" w:eastAsia="楷体"/>
          <w:w w:val="100"/>
          <w:sz w:val="28"/>
          <w:szCs w:val="28"/>
        </w:rPr>
      </w:pPr>
      <w:r>
        <w:rPr>
          <w:rFonts w:hint="eastAsia" w:ascii="楷体" w:hAnsi="楷体" w:eastAsia="楷体"/>
          <w:w w:val="100"/>
          <w:sz w:val="28"/>
          <w:szCs w:val="28"/>
        </w:rPr>
        <w:t>按照单位职能和工作任务，综合考量各项因素，科学合理地核定公用经费预算。</w:t>
      </w:r>
      <w:r>
        <w:rPr>
          <w:rFonts w:ascii="楷体" w:hAnsi="楷体" w:eastAsia="楷体"/>
          <w:w w:val="100"/>
          <w:sz w:val="28"/>
          <w:szCs w:val="28"/>
        </w:rPr>
        <w:t>2023 年，公用经费预算为917</w:t>
      </w:r>
      <w:r>
        <w:rPr>
          <w:rFonts w:hint="eastAsia" w:ascii="楷体" w:hAnsi="楷体" w:eastAsia="楷体"/>
          <w:w w:val="100"/>
          <w:sz w:val="28"/>
          <w:szCs w:val="28"/>
        </w:rPr>
        <w:t>.</w:t>
      </w:r>
      <w:r>
        <w:rPr>
          <w:rFonts w:ascii="楷体" w:hAnsi="楷体" w:eastAsia="楷体"/>
          <w:w w:val="100"/>
          <w:sz w:val="28"/>
          <w:szCs w:val="28"/>
        </w:rPr>
        <w:t>50万元，实际支出1540</w:t>
      </w:r>
      <w:r>
        <w:rPr>
          <w:rFonts w:hint="eastAsia" w:ascii="楷体" w:hAnsi="楷体" w:eastAsia="楷体"/>
          <w:w w:val="100"/>
          <w:sz w:val="28"/>
          <w:szCs w:val="28"/>
        </w:rPr>
        <w:t>.</w:t>
      </w:r>
      <w:r>
        <w:rPr>
          <w:rFonts w:ascii="楷体" w:hAnsi="楷体" w:eastAsia="楷体"/>
          <w:w w:val="100"/>
          <w:sz w:val="28"/>
          <w:szCs w:val="28"/>
        </w:rPr>
        <w:t>53万元，主要用于办公费、印刷费、水电费、邮电费、差旅费、会议费、培训费、公务接待费、公务用车运行维护费、劳务费、委托业务费、其他商品和服务支出等，有效维持了机关正常运转和各项业务工作的顺利推进。</w:t>
      </w:r>
    </w:p>
    <w:p w14:paraId="5A8C4B2A">
      <w:pPr>
        <w:ind w:firstLine="708" w:firstLineChars="253"/>
        <w:rPr>
          <w:rFonts w:ascii="楷体" w:hAnsi="楷体" w:eastAsia="楷体"/>
          <w:w w:val="100"/>
          <w:sz w:val="28"/>
          <w:szCs w:val="28"/>
        </w:rPr>
      </w:pPr>
      <w:r>
        <w:rPr>
          <w:rFonts w:hint="eastAsia" w:ascii="楷体" w:hAnsi="楷体" w:eastAsia="楷体"/>
          <w:w w:val="100"/>
          <w:sz w:val="28"/>
          <w:szCs w:val="28"/>
        </w:rPr>
        <w:t>(3)项目经费</w:t>
      </w:r>
    </w:p>
    <w:p w14:paraId="4B321A97">
      <w:pPr>
        <w:ind w:firstLine="708" w:firstLineChars="253"/>
        <w:rPr>
          <w:rFonts w:ascii="楷体" w:hAnsi="楷体" w:eastAsia="楷体"/>
          <w:w w:val="100"/>
          <w:sz w:val="28"/>
          <w:szCs w:val="28"/>
        </w:rPr>
      </w:pPr>
      <w:r>
        <w:rPr>
          <w:rFonts w:hint="eastAsia" w:ascii="楷体" w:hAnsi="楷体" w:eastAsia="楷体"/>
          <w:w w:val="100"/>
          <w:sz w:val="28"/>
          <w:szCs w:val="28"/>
        </w:rPr>
        <w:t>紧密围绕教育事业发展重点，精心谋划、合理安排项目经费预算。</w:t>
      </w:r>
      <w:r>
        <w:rPr>
          <w:rFonts w:ascii="楷体" w:hAnsi="楷体" w:eastAsia="楷体"/>
          <w:w w:val="100"/>
          <w:sz w:val="28"/>
          <w:szCs w:val="28"/>
        </w:rPr>
        <w:t>2023 年，项目经费预算为378</w:t>
      </w:r>
      <w:r>
        <w:rPr>
          <w:rFonts w:hint="eastAsia" w:ascii="楷体" w:hAnsi="楷体" w:eastAsia="楷体"/>
          <w:w w:val="100"/>
          <w:sz w:val="28"/>
          <w:szCs w:val="28"/>
        </w:rPr>
        <w:t>.</w:t>
      </w:r>
      <w:r>
        <w:rPr>
          <w:rFonts w:ascii="楷体" w:hAnsi="楷体" w:eastAsia="楷体"/>
          <w:w w:val="100"/>
          <w:sz w:val="28"/>
          <w:szCs w:val="28"/>
        </w:rPr>
        <w:t>30万元，实际支出3471</w:t>
      </w:r>
      <w:r>
        <w:rPr>
          <w:rFonts w:hint="eastAsia" w:ascii="楷体" w:hAnsi="楷体" w:eastAsia="楷体"/>
          <w:w w:val="100"/>
          <w:sz w:val="28"/>
          <w:szCs w:val="28"/>
        </w:rPr>
        <w:t>.</w:t>
      </w:r>
      <w:r>
        <w:rPr>
          <w:rFonts w:ascii="楷体" w:hAnsi="楷体" w:eastAsia="楷体"/>
          <w:w w:val="100"/>
          <w:sz w:val="28"/>
          <w:szCs w:val="28"/>
        </w:rPr>
        <w:t>1</w:t>
      </w:r>
      <w:r>
        <w:rPr>
          <w:rFonts w:hint="eastAsia" w:ascii="楷体" w:hAnsi="楷体" w:eastAsia="楷体"/>
          <w:w w:val="100"/>
          <w:sz w:val="28"/>
          <w:szCs w:val="28"/>
        </w:rPr>
        <w:t>2</w:t>
      </w:r>
      <w:r>
        <w:rPr>
          <w:rFonts w:ascii="楷体" w:hAnsi="楷体" w:eastAsia="楷体"/>
          <w:w w:val="100"/>
          <w:sz w:val="28"/>
          <w:szCs w:val="28"/>
        </w:rPr>
        <w:t>万元，主要用于教育基础设施建设、教育教学改革、师资培训、教育信息化建设、教育质量提升工程、教育扶贫等项目。通过项目实施，有力地推动了</w:t>
      </w:r>
      <w:r>
        <w:rPr>
          <w:rFonts w:hint="eastAsia" w:ascii="楷体" w:hAnsi="楷体" w:eastAsia="楷体"/>
          <w:w w:val="100"/>
          <w:sz w:val="28"/>
          <w:szCs w:val="28"/>
        </w:rPr>
        <w:t>我</w:t>
      </w:r>
      <w:r>
        <w:rPr>
          <w:rFonts w:ascii="楷体" w:hAnsi="楷体" w:eastAsia="楷体"/>
          <w:w w:val="100"/>
          <w:sz w:val="28"/>
          <w:szCs w:val="28"/>
        </w:rPr>
        <w:t>市教育事业的发展，提高了教育教学质量和办学水平。</w:t>
      </w:r>
    </w:p>
    <w:p w14:paraId="5F51FDF1">
      <w:pPr>
        <w:ind w:firstLine="708" w:firstLineChars="253"/>
        <w:rPr>
          <w:rFonts w:ascii="楷体" w:hAnsi="楷体" w:eastAsia="楷体"/>
          <w:w w:val="100"/>
          <w:sz w:val="28"/>
          <w:szCs w:val="28"/>
        </w:rPr>
      </w:pPr>
      <w:r>
        <w:rPr>
          <w:rFonts w:ascii="楷体" w:hAnsi="楷体" w:eastAsia="楷体"/>
          <w:w w:val="100"/>
          <w:sz w:val="28"/>
          <w:szCs w:val="28"/>
        </w:rPr>
        <w:t xml:space="preserve"> </w:t>
      </w:r>
      <w:r>
        <w:rPr>
          <w:rFonts w:hint="eastAsia" w:ascii="楷体" w:hAnsi="楷体" w:eastAsia="楷体"/>
          <w:w w:val="100"/>
          <w:sz w:val="28"/>
          <w:szCs w:val="28"/>
        </w:rPr>
        <w:t>4.</w:t>
      </w:r>
      <w:r>
        <w:rPr>
          <w:rFonts w:ascii="楷体" w:hAnsi="楷体" w:eastAsia="楷体"/>
          <w:w w:val="100"/>
          <w:sz w:val="28"/>
          <w:szCs w:val="28"/>
        </w:rPr>
        <w:t>预算执行</w:t>
      </w:r>
      <w:r>
        <w:rPr>
          <w:rFonts w:hint="eastAsia" w:ascii="楷体" w:hAnsi="楷体" w:eastAsia="楷体"/>
          <w:w w:val="100"/>
          <w:sz w:val="28"/>
          <w:szCs w:val="28"/>
        </w:rPr>
        <w:t>分析</w:t>
      </w:r>
    </w:p>
    <w:p w14:paraId="6470574E">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1</w:t>
      </w:r>
      <w:r>
        <w:rPr>
          <w:rFonts w:ascii="楷体" w:hAnsi="楷体" w:eastAsia="楷体"/>
          <w:w w:val="100"/>
          <w:sz w:val="28"/>
          <w:szCs w:val="28"/>
        </w:rPr>
        <w:t>）收入预算执行</w:t>
      </w:r>
      <w:r>
        <w:rPr>
          <w:rFonts w:hint="eastAsia" w:ascii="楷体" w:hAnsi="楷体" w:eastAsia="楷体"/>
          <w:w w:val="100"/>
          <w:sz w:val="28"/>
          <w:szCs w:val="28"/>
        </w:rPr>
        <w:t>：</w:t>
      </w:r>
      <w:r>
        <w:rPr>
          <w:rFonts w:ascii="楷体" w:hAnsi="楷体" w:eastAsia="楷体"/>
          <w:w w:val="100"/>
          <w:sz w:val="28"/>
          <w:szCs w:val="28"/>
        </w:rPr>
        <w:t>严格遵循各项财政法规和政策要求，精心策划并组织实施各项收入预算的执行工作。对于财政拨款，密切与财政部门沟通协调，确保按时、足额到位，为</w:t>
      </w:r>
      <w:r>
        <w:rPr>
          <w:rFonts w:hint="eastAsia" w:ascii="楷体" w:hAnsi="楷体" w:eastAsia="楷体"/>
          <w:w w:val="100"/>
          <w:sz w:val="28"/>
          <w:szCs w:val="28"/>
        </w:rPr>
        <w:t>单位</w:t>
      </w:r>
      <w:r>
        <w:rPr>
          <w:rFonts w:ascii="楷体" w:hAnsi="楷体" w:eastAsia="楷体"/>
          <w:w w:val="100"/>
          <w:sz w:val="28"/>
          <w:szCs w:val="28"/>
        </w:rPr>
        <w:t>正常运转和发展提供稳定的资金支持。在非税收入方面，加强管理与监督，规范收费行为，做到应收尽收，同时确保所收款项及时、全额上缴财政专户，并按照规定程序和用途申请回拨使用，实现非税收入的规范化管理与有效利用。通过严谨细致的工作，各项收入预算均按照预定计划精准到位，为</w:t>
      </w:r>
      <w:r>
        <w:rPr>
          <w:rFonts w:hint="eastAsia" w:ascii="楷体" w:hAnsi="楷体" w:eastAsia="楷体"/>
          <w:w w:val="100"/>
          <w:sz w:val="28"/>
          <w:szCs w:val="28"/>
        </w:rPr>
        <w:t>我局</w:t>
      </w:r>
      <w:r>
        <w:rPr>
          <w:rFonts w:ascii="楷体" w:hAnsi="楷体" w:eastAsia="楷体"/>
          <w:w w:val="100"/>
          <w:sz w:val="28"/>
          <w:szCs w:val="28"/>
        </w:rPr>
        <w:t>的资金来源提供了坚实保障，有力地支持了教育事业的持续发展。</w:t>
      </w:r>
    </w:p>
    <w:p w14:paraId="6332C21E">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2</w:t>
      </w:r>
      <w:r>
        <w:rPr>
          <w:rFonts w:ascii="楷体" w:hAnsi="楷体" w:eastAsia="楷体"/>
          <w:w w:val="100"/>
          <w:sz w:val="28"/>
          <w:szCs w:val="28"/>
        </w:rPr>
        <w:t>）支出预算执行</w:t>
      </w:r>
      <w:r>
        <w:rPr>
          <w:rFonts w:hint="eastAsia" w:ascii="楷体" w:hAnsi="楷体" w:eastAsia="楷体"/>
          <w:w w:val="100"/>
          <w:sz w:val="28"/>
          <w:szCs w:val="28"/>
        </w:rPr>
        <w:t>：</w:t>
      </w:r>
      <w:r>
        <w:rPr>
          <w:rFonts w:ascii="楷体" w:hAnsi="楷体" w:eastAsia="楷体"/>
          <w:w w:val="100"/>
          <w:sz w:val="28"/>
          <w:szCs w:val="28"/>
        </w:rPr>
        <w:t>秉持严谨、规范、高效的原则，严格按照批准的预算方案精心组织各项支出。人员经费支出严格遵循工资福利政策和人事管理制度，确保职工的薪酬待遇及时、准确发放，保障队伍的稳定和积极性。公用经费支出依据</w:t>
      </w:r>
      <w:r>
        <w:rPr>
          <w:rFonts w:hint="eastAsia" w:ascii="楷体" w:hAnsi="楷体" w:eastAsia="楷体"/>
          <w:w w:val="100"/>
          <w:sz w:val="28"/>
          <w:szCs w:val="28"/>
        </w:rPr>
        <w:t>单位</w:t>
      </w:r>
      <w:r>
        <w:rPr>
          <w:rFonts w:ascii="楷体" w:hAnsi="楷体" w:eastAsia="楷体"/>
          <w:w w:val="100"/>
          <w:sz w:val="28"/>
          <w:szCs w:val="28"/>
        </w:rPr>
        <w:t>的日常运行，合理安排</w:t>
      </w:r>
      <w:r>
        <w:rPr>
          <w:rFonts w:hint="eastAsia" w:ascii="楷体" w:hAnsi="楷体" w:eastAsia="楷体"/>
          <w:w w:val="100"/>
          <w:sz w:val="28"/>
          <w:szCs w:val="28"/>
        </w:rPr>
        <w:t>办公</w:t>
      </w:r>
      <w:r>
        <w:rPr>
          <w:rFonts w:ascii="楷体" w:hAnsi="楷体" w:eastAsia="楷体"/>
          <w:w w:val="100"/>
          <w:sz w:val="28"/>
          <w:szCs w:val="28"/>
        </w:rPr>
        <w:t>用品采购、设备维护、水电消耗等费用，确保各项工作的正常开展。项目经费支出紧密围绕预定的项目目标和任务，按照项目进度和合同约定，有序支付工程建设款、设备购置款等，保障项目的顺利实施和预期目标的达成。在支出过程中，严格控制预算调整和追加，对于确需调整的事项，按照规定程序进行审批。通过严格的预算执行管理，确保了资金使用的合法性、规范性和有效性，为</w:t>
      </w:r>
      <w:r>
        <w:rPr>
          <w:rFonts w:hint="eastAsia" w:ascii="楷体" w:hAnsi="楷体" w:eastAsia="楷体"/>
          <w:w w:val="100"/>
          <w:sz w:val="28"/>
          <w:szCs w:val="28"/>
        </w:rPr>
        <w:t>教育</w:t>
      </w:r>
      <w:r>
        <w:rPr>
          <w:rFonts w:ascii="楷体" w:hAnsi="楷体" w:eastAsia="楷体"/>
          <w:w w:val="100"/>
          <w:sz w:val="28"/>
          <w:szCs w:val="28"/>
        </w:rPr>
        <w:t>事业发展提供了有力的财务支撑。</w:t>
      </w:r>
    </w:p>
    <w:p w14:paraId="4A61AEEF">
      <w:pPr>
        <w:ind w:firstLine="708" w:firstLineChars="253"/>
        <w:rPr>
          <w:rFonts w:ascii="楷体" w:hAnsi="楷体" w:eastAsia="楷体"/>
          <w:w w:val="100"/>
          <w:sz w:val="28"/>
          <w:szCs w:val="28"/>
        </w:rPr>
      </w:pPr>
      <w:r>
        <w:rPr>
          <w:rFonts w:ascii="楷体" w:hAnsi="楷体" w:eastAsia="楷体"/>
          <w:w w:val="100"/>
          <w:sz w:val="28"/>
          <w:szCs w:val="28"/>
        </w:rPr>
        <w:t xml:space="preserve"> </w:t>
      </w:r>
      <w:r>
        <w:rPr>
          <w:rFonts w:hint="eastAsia" w:ascii="楷体" w:hAnsi="楷体" w:eastAsia="楷体"/>
          <w:w w:val="100"/>
          <w:sz w:val="28"/>
          <w:szCs w:val="28"/>
        </w:rPr>
        <w:t>5.</w:t>
      </w:r>
      <w:r>
        <w:rPr>
          <w:rFonts w:ascii="楷体" w:hAnsi="楷体" w:eastAsia="楷体"/>
          <w:w w:val="100"/>
          <w:sz w:val="28"/>
          <w:szCs w:val="28"/>
        </w:rPr>
        <w:t>预算管理</w:t>
      </w:r>
      <w:r>
        <w:rPr>
          <w:rFonts w:hint="eastAsia" w:ascii="楷体" w:hAnsi="楷体" w:eastAsia="楷体"/>
          <w:w w:val="100"/>
          <w:sz w:val="28"/>
          <w:szCs w:val="28"/>
        </w:rPr>
        <w:t>分析</w:t>
      </w:r>
    </w:p>
    <w:p w14:paraId="0DFEA7F4">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1</w:t>
      </w:r>
      <w:r>
        <w:rPr>
          <w:rFonts w:ascii="楷体" w:hAnsi="楷体" w:eastAsia="楷体"/>
          <w:w w:val="100"/>
          <w:sz w:val="28"/>
          <w:szCs w:val="28"/>
        </w:rPr>
        <w:t>）制度建设</w:t>
      </w:r>
      <w:r>
        <w:rPr>
          <w:rFonts w:hint="eastAsia" w:ascii="楷体" w:hAnsi="楷体" w:eastAsia="楷体"/>
          <w:w w:val="100"/>
          <w:sz w:val="28"/>
          <w:szCs w:val="28"/>
        </w:rPr>
        <w:t>：</w:t>
      </w:r>
      <w:r>
        <w:rPr>
          <w:rFonts w:ascii="楷体" w:hAnsi="楷体" w:eastAsia="楷体"/>
          <w:w w:val="100"/>
          <w:sz w:val="28"/>
          <w:szCs w:val="28"/>
        </w:rPr>
        <w:t>构建了一套全面、系统、科学的财务管理制度体系，涵盖预算编制、执行、监督、评价等全流程管理环节。在预算编制方面，制定了详细的工作指南和规范，明确了预算编制的原则、方法、程序和时间要求，确保预算编制的科学性和准确性。在预算执行环节，建立了严格的支出审批制度和流程，明确了各级审批权限和责任，保障资金使用的合规性和合理性。在预算监督方面，设立了专门的监督机制和岗位，定期对预算执行情况进行检查和分析，及时发现并纠正问题。在预算评价方面，制定了完善的绩效评价指标体系和评价方法，对预算执行效果进行全面、客观、公正的评价，为改进预算管理提供依据。</w:t>
      </w:r>
    </w:p>
    <w:p w14:paraId="71ECAD16">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2</w:t>
      </w:r>
      <w:r>
        <w:rPr>
          <w:rFonts w:ascii="楷体" w:hAnsi="楷体" w:eastAsia="楷体"/>
          <w:w w:val="100"/>
          <w:sz w:val="28"/>
          <w:szCs w:val="28"/>
        </w:rPr>
        <w:t>）内部控制</w:t>
      </w:r>
      <w:r>
        <w:rPr>
          <w:rFonts w:hint="eastAsia" w:ascii="楷体" w:hAnsi="楷体" w:eastAsia="楷体"/>
          <w:w w:val="100"/>
          <w:sz w:val="28"/>
          <w:szCs w:val="28"/>
        </w:rPr>
        <w:t>：</w:t>
      </w:r>
      <w:r>
        <w:rPr>
          <w:rFonts w:ascii="楷体" w:hAnsi="楷体" w:eastAsia="楷体"/>
          <w:w w:val="100"/>
          <w:sz w:val="28"/>
          <w:szCs w:val="28"/>
        </w:rPr>
        <w:t>高度重视财务内部控制体系的建设与完善，通过制定并严格执行一系列内部控制制度和流程，有效防范财务风险。在财务管理方面，建立健全了财务核算制度、资金管理制度、资产管理制度等，规范财务收支行为，确保财务信息的真实、准确、完整。在风险评估方面，定期对面临的财务风险进行识别、分析和评估，制定相应的风险应对策略，降低风险发生的可能性和影响程度。在内部审计方面，加强内部审计工作的独立性和权威性，定期对财务收支、资产管理、项目实施等进行审计监督，及时发现问题并提出整改建议，保障财务管理的规范和安全。</w:t>
      </w:r>
    </w:p>
    <w:p w14:paraId="0F219DA0">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3</w:t>
      </w:r>
      <w:r>
        <w:rPr>
          <w:rFonts w:ascii="楷体" w:hAnsi="楷体" w:eastAsia="楷体"/>
          <w:w w:val="100"/>
          <w:sz w:val="28"/>
          <w:szCs w:val="28"/>
        </w:rPr>
        <w:t>）绩效监控</w:t>
      </w:r>
      <w:r>
        <w:rPr>
          <w:rFonts w:hint="eastAsia" w:ascii="楷体" w:hAnsi="楷体" w:eastAsia="楷体"/>
          <w:w w:val="100"/>
          <w:sz w:val="28"/>
          <w:szCs w:val="28"/>
        </w:rPr>
        <w:t>：</w:t>
      </w:r>
      <w:r>
        <w:rPr>
          <w:rFonts w:ascii="楷体" w:hAnsi="楷体" w:eastAsia="楷体"/>
          <w:w w:val="100"/>
          <w:sz w:val="28"/>
          <w:szCs w:val="28"/>
        </w:rPr>
        <w:t>建立了动态、实时、有效的绩效监控机制，对预算执行进度和绩效目标实现情况进行全程跟踪和监控。通过定期收集、整理和分析相关数据和信息，及时掌握预算执行的实际情况和绩效目标的完成进度。对于监控中发现的预算执行偏差和绩效目标偏离情况，迅速进行原因分析，并采取针对性的措施加以纠正和改进。同时，根据监控结果，及时调整预算执行策略和资源配置方案，确保预算执行和绩效目标的实现始终保持在正确的轨道上，为</w:t>
      </w:r>
      <w:r>
        <w:rPr>
          <w:rFonts w:hint="eastAsia" w:ascii="楷体" w:hAnsi="楷体" w:eastAsia="楷体"/>
          <w:w w:val="100"/>
          <w:sz w:val="28"/>
          <w:szCs w:val="28"/>
        </w:rPr>
        <w:t>教育</w:t>
      </w:r>
      <w:r>
        <w:rPr>
          <w:rFonts w:ascii="楷体" w:hAnsi="楷体" w:eastAsia="楷体"/>
          <w:w w:val="100"/>
          <w:sz w:val="28"/>
          <w:szCs w:val="28"/>
        </w:rPr>
        <w:t>事业发展提供有力的保障。</w:t>
      </w:r>
    </w:p>
    <w:p w14:paraId="4B6534C5">
      <w:pPr>
        <w:ind w:firstLine="708" w:firstLineChars="253"/>
        <w:rPr>
          <w:rFonts w:ascii="楷体" w:hAnsi="楷体" w:eastAsia="楷体"/>
          <w:w w:val="100"/>
          <w:sz w:val="28"/>
          <w:szCs w:val="28"/>
        </w:rPr>
      </w:pPr>
      <w:r>
        <w:rPr>
          <w:rFonts w:hint="eastAsia" w:ascii="楷体" w:hAnsi="楷体" w:eastAsia="楷体"/>
          <w:w w:val="100"/>
          <w:sz w:val="28"/>
          <w:szCs w:val="28"/>
        </w:rPr>
        <w:t>6.</w:t>
      </w:r>
      <w:r>
        <w:rPr>
          <w:rFonts w:ascii="楷体" w:hAnsi="楷体" w:eastAsia="楷体"/>
          <w:w w:val="100"/>
          <w:sz w:val="28"/>
          <w:szCs w:val="28"/>
        </w:rPr>
        <w:t>资产管理</w:t>
      </w:r>
      <w:r>
        <w:rPr>
          <w:rFonts w:hint="eastAsia" w:ascii="楷体" w:hAnsi="楷体" w:eastAsia="楷体"/>
          <w:w w:val="100"/>
          <w:sz w:val="28"/>
          <w:szCs w:val="28"/>
        </w:rPr>
        <w:t>分析</w:t>
      </w:r>
    </w:p>
    <w:p w14:paraId="6BA63F65">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1</w:t>
      </w:r>
      <w:r>
        <w:rPr>
          <w:rFonts w:ascii="楷体" w:hAnsi="楷体" w:eastAsia="楷体"/>
          <w:w w:val="100"/>
          <w:sz w:val="28"/>
          <w:szCs w:val="28"/>
        </w:rPr>
        <w:t>）资产购置</w:t>
      </w:r>
      <w:r>
        <w:rPr>
          <w:rFonts w:hint="eastAsia" w:ascii="楷体" w:hAnsi="楷体" w:eastAsia="楷体"/>
          <w:w w:val="100"/>
          <w:sz w:val="28"/>
          <w:szCs w:val="28"/>
        </w:rPr>
        <w:t>：</w:t>
      </w:r>
      <w:r>
        <w:rPr>
          <w:rFonts w:ascii="楷体" w:hAnsi="楷体" w:eastAsia="楷体"/>
          <w:w w:val="100"/>
          <w:sz w:val="28"/>
          <w:szCs w:val="28"/>
        </w:rPr>
        <w:t>遵循科学规划、合理配置、严格审批的原则，按照</w:t>
      </w:r>
      <w:r>
        <w:rPr>
          <w:rFonts w:hint="eastAsia" w:ascii="楷体" w:hAnsi="楷体" w:eastAsia="楷体"/>
          <w:w w:val="100"/>
          <w:sz w:val="28"/>
          <w:szCs w:val="28"/>
        </w:rPr>
        <w:t>我局</w:t>
      </w:r>
      <w:r>
        <w:rPr>
          <w:rFonts w:ascii="楷体" w:hAnsi="楷体" w:eastAsia="楷体"/>
          <w:w w:val="100"/>
          <w:sz w:val="28"/>
          <w:szCs w:val="28"/>
        </w:rPr>
        <w:t>的发展战略和教学实际需求，精心制定资产购置计划。在购置过程中，严格执行政府采购制度和招投标程序，确保资产购置的合法性、公正性和透明度。充分开展市场调研和价格比较，选择性价比高、质量可靠的资产供应商，实现资产购置的效益最大化。同时，建立健全资产购置的合同管理制度，明确双方权利义务，保障合法权益。</w:t>
      </w:r>
    </w:p>
    <w:p w14:paraId="458B2E4B">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2</w:t>
      </w:r>
      <w:r>
        <w:rPr>
          <w:rFonts w:ascii="楷体" w:hAnsi="楷体" w:eastAsia="楷体"/>
          <w:w w:val="100"/>
          <w:sz w:val="28"/>
          <w:szCs w:val="28"/>
        </w:rPr>
        <w:t>）资产使用与维护</w:t>
      </w:r>
      <w:r>
        <w:rPr>
          <w:rFonts w:hint="eastAsia" w:ascii="楷体" w:hAnsi="楷体" w:eastAsia="楷体"/>
          <w:w w:val="100"/>
          <w:sz w:val="28"/>
          <w:szCs w:val="28"/>
        </w:rPr>
        <w:t>：遵循《政府会计准则第3号-固定资产》有关规定，全部资产均纳入“湖南省预算管理一体化系统资产管理板块”系统管理核算，</w:t>
      </w:r>
      <w:r>
        <w:rPr>
          <w:rFonts w:ascii="楷体" w:hAnsi="楷体" w:eastAsia="楷体"/>
          <w:w w:val="100"/>
          <w:sz w:val="28"/>
          <w:szCs w:val="28"/>
        </w:rPr>
        <w:t>构建了完善的资产使用登记和责任制度，对各类资产的使用进行详细记录和跟踪，明确使用部门和人员的责任，确保资产的合理使用和安全保管。制定了定期的资产维护保养计划和制度，按照资产的类别和特点，采取相应的维护措施，延长资产的使用寿命，提高资产的使用效率。加强对资产使用和维护情况的监督检查，及时发现和解决存在的问题，防止资产的闲置、浪费和损坏。</w:t>
      </w:r>
    </w:p>
    <w:p w14:paraId="238EABBF">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3</w:t>
      </w:r>
      <w:r>
        <w:rPr>
          <w:rFonts w:ascii="楷体" w:hAnsi="楷体" w:eastAsia="楷体"/>
          <w:w w:val="100"/>
          <w:sz w:val="28"/>
          <w:szCs w:val="28"/>
        </w:rPr>
        <w:t>）资产处置</w:t>
      </w:r>
      <w:r>
        <w:rPr>
          <w:rFonts w:hint="eastAsia" w:ascii="楷体" w:hAnsi="楷体" w:eastAsia="楷体"/>
          <w:w w:val="100"/>
          <w:sz w:val="28"/>
          <w:szCs w:val="28"/>
        </w:rPr>
        <w:t>：</w:t>
      </w:r>
      <w:r>
        <w:rPr>
          <w:rFonts w:ascii="楷体" w:hAnsi="楷体" w:eastAsia="楷体"/>
          <w:w w:val="100"/>
          <w:sz w:val="28"/>
          <w:szCs w:val="28"/>
        </w:rPr>
        <w:t>严格依照国家法律法规和</w:t>
      </w:r>
      <w:r>
        <w:rPr>
          <w:rFonts w:hint="eastAsia" w:ascii="楷体" w:hAnsi="楷体" w:eastAsia="楷体"/>
          <w:w w:val="100"/>
          <w:sz w:val="28"/>
          <w:szCs w:val="28"/>
        </w:rPr>
        <w:t>单位</w:t>
      </w:r>
      <w:r>
        <w:rPr>
          <w:rFonts w:ascii="楷体" w:hAnsi="楷体" w:eastAsia="楷体"/>
          <w:w w:val="100"/>
          <w:sz w:val="28"/>
          <w:szCs w:val="28"/>
        </w:rPr>
        <w:t>内部管理制度，规范资产处置的程序和行为。对于达到报废年限或因技术更新等原因需要处置的资产，经过专业鉴定和审批程序后，按照公开、公平、公正的原则进行处置。通过拍卖、转让、报废等方式，实现资产的合理退出和价值回收。加强对资产处置收益的管理，确保全部收益纳入预算统一核算和管理，防止国有资产流失。</w:t>
      </w:r>
    </w:p>
    <w:p w14:paraId="3D10B94D">
      <w:pPr>
        <w:ind w:firstLine="708" w:firstLineChars="253"/>
        <w:rPr>
          <w:rFonts w:ascii="楷体" w:hAnsi="楷体" w:eastAsia="楷体"/>
          <w:w w:val="100"/>
          <w:sz w:val="28"/>
          <w:szCs w:val="28"/>
        </w:rPr>
      </w:pPr>
      <w:r>
        <w:rPr>
          <w:rFonts w:ascii="楷体" w:hAnsi="楷体" w:eastAsia="楷体"/>
          <w:w w:val="100"/>
          <w:sz w:val="28"/>
          <w:szCs w:val="28"/>
        </w:rPr>
        <w:t xml:space="preserve"> </w:t>
      </w:r>
      <w:r>
        <w:rPr>
          <w:rFonts w:hint="eastAsia" w:ascii="楷体" w:hAnsi="楷体" w:eastAsia="楷体"/>
          <w:w w:val="100"/>
          <w:sz w:val="28"/>
          <w:szCs w:val="28"/>
        </w:rPr>
        <w:t>7.</w:t>
      </w:r>
      <w:r>
        <w:rPr>
          <w:rFonts w:ascii="楷体" w:hAnsi="楷体" w:eastAsia="楷体"/>
          <w:w w:val="100"/>
          <w:sz w:val="28"/>
          <w:szCs w:val="28"/>
        </w:rPr>
        <w:t>职责履行</w:t>
      </w:r>
      <w:r>
        <w:rPr>
          <w:rFonts w:hint="eastAsia" w:ascii="楷体" w:hAnsi="楷体" w:eastAsia="楷体"/>
          <w:w w:val="100"/>
          <w:sz w:val="28"/>
          <w:szCs w:val="28"/>
        </w:rPr>
        <w:t>分析</w:t>
      </w:r>
    </w:p>
    <w:p w14:paraId="45C10CED">
      <w:pPr>
        <w:spacing w:line="640" w:lineRule="exact"/>
        <w:ind w:firstLine="560" w:firstLineChars="200"/>
        <w:rPr>
          <w:rFonts w:ascii="楷体" w:hAnsi="楷体" w:eastAsia="楷体" w:cs="仿宋_GB2312"/>
          <w:bCs/>
          <w:w w:val="100"/>
          <w:kern w:val="0"/>
          <w:sz w:val="28"/>
          <w:szCs w:val="28"/>
        </w:rPr>
      </w:pPr>
      <w:r>
        <w:rPr>
          <w:rFonts w:ascii="楷体" w:hAnsi="楷体" w:eastAsia="楷体" w:cs="楷体_GB2312"/>
          <w:b/>
          <w:bCs/>
          <w:w w:val="100"/>
          <w:sz w:val="28"/>
          <w:szCs w:val="28"/>
        </w:rPr>
        <w:t>（</w:t>
      </w:r>
      <w:r>
        <w:rPr>
          <w:rFonts w:hint="eastAsia" w:ascii="楷体" w:hAnsi="楷体" w:eastAsia="楷体" w:cs="楷体_GB2312"/>
          <w:b/>
          <w:bCs/>
          <w:w w:val="100"/>
          <w:sz w:val="28"/>
          <w:szCs w:val="28"/>
        </w:rPr>
        <w:t>1</w:t>
      </w:r>
      <w:r>
        <w:rPr>
          <w:rFonts w:ascii="楷体" w:hAnsi="楷体" w:eastAsia="楷体" w:cs="楷体_GB2312"/>
          <w:b/>
          <w:bCs/>
          <w:w w:val="100"/>
          <w:sz w:val="28"/>
          <w:szCs w:val="28"/>
        </w:rPr>
        <w:t>）</w:t>
      </w:r>
      <w:r>
        <w:rPr>
          <w:rFonts w:hint="eastAsia" w:ascii="楷体" w:hAnsi="楷体" w:eastAsia="楷体" w:cs="楷体_GB2312"/>
          <w:b/>
          <w:bCs/>
          <w:w w:val="100"/>
          <w:sz w:val="28"/>
          <w:szCs w:val="28"/>
        </w:rPr>
        <w:t>抓教育优先发展，出台2个重磅文件。</w:t>
      </w:r>
      <w:r>
        <w:rPr>
          <w:rFonts w:ascii="楷体" w:hAnsi="楷体" w:eastAsia="楷体" w:cs="Times New Roman"/>
          <w:bCs/>
          <w:w w:val="100"/>
          <w:sz w:val="28"/>
          <w:szCs w:val="28"/>
        </w:rPr>
        <w:t>市委市政府</w:t>
      </w:r>
      <w:r>
        <w:rPr>
          <w:rFonts w:hint="eastAsia" w:ascii="楷体" w:hAnsi="楷体" w:eastAsia="楷体" w:cs="Times New Roman"/>
          <w:bCs/>
          <w:w w:val="100"/>
          <w:sz w:val="28"/>
          <w:szCs w:val="28"/>
        </w:rPr>
        <w:t>把教</w:t>
      </w:r>
      <w:r>
        <w:rPr>
          <w:rFonts w:hint="eastAsia" w:ascii="楷体" w:hAnsi="楷体" w:eastAsia="楷体" w:cs="仿宋_GB2312"/>
          <w:bCs/>
          <w:w w:val="100"/>
          <w:kern w:val="0"/>
          <w:sz w:val="28"/>
          <w:szCs w:val="28"/>
        </w:rPr>
        <w:t>育事业放在党委、政府工作全局重点推进</w:t>
      </w:r>
      <w:r>
        <w:rPr>
          <w:rFonts w:hint="eastAsia" w:ascii="楷体" w:hAnsi="楷体" w:eastAsia="楷体" w:cs="仿宋_GB2312"/>
          <w:bCs/>
          <w:w w:val="100"/>
          <w:sz w:val="28"/>
          <w:szCs w:val="28"/>
        </w:rPr>
        <w:t>，</w:t>
      </w:r>
      <w:r>
        <w:rPr>
          <w:rFonts w:hint="eastAsia" w:ascii="楷体" w:hAnsi="楷体" w:eastAsia="楷体" w:cs="仿宋_GB2312"/>
          <w:bCs/>
          <w:w w:val="100"/>
          <w:kern w:val="0"/>
          <w:sz w:val="28"/>
          <w:szCs w:val="28"/>
        </w:rPr>
        <w:t>主要领导8次调研教育工作，分管领导每周调度一次教育重点工作</w:t>
      </w:r>
      <w:r>
        <w:rPr>
          <w:rFonts w:ascii="楷体" w:hAnsi="楷体" w:eastAsia="楷体" w:cs="仿宋_GB2312"/>
          <w:bCs/>
          <w:w w:val="100"/>
          <w:kern w:val="0"/>
          <w:sz w:val="28"/>
          <w:szCs w:val="28"/>
        </w:rPr>
        <w:t>，持续完善教育优先发展机制和政策措施</w:t>
      </w:r>
      <w:r>
        <w:rPr>
          <w:rFonts w:hint="eastAsia" w:ascii="楷体" w:hAnsi="楷体" w:eastAsia="楷体" w:cs="仿宋_GB2312"/>
          <w:bCs/>
          <w:w w:val="100"/>
          <w:kern w:val="0"/>
          <w:sz w:val="28"/>
          <w:szCs w:val="28"/>
        </w:rPr>
        <w:t>。</w:t>
      </w:r>
      <w:r>
        <w:rPr>
          <w:rFonts w:hint="eastAsia" w:ascii="楷体" w:hAnsi="楷体" w:eastAsia="楷体" w:cs="仿宋_GB2312"/>
          <w:b/>
          <w:w w:val="100"/>
          <w:kern w:val="0"/>
          <w:sz w:val="28"/>
          <w:szCs w:val="28"/>
        </w:rPr>
        <w:t>一是</w:t>
      </w:r>
      <w:r>
        <w:rPr>
          <w:rFonts w:ascii="楷体" w:hAnsi="楷体" w:eastAsia="楷体" w:cs="仿宋_GB2312"/>
          <w:bCs/>
          <w:w w:val="100"/>
          <w:kern w:val="0"/>
          <w:sz w:val="28"/>
          <w:szCs w:val="28"/>
        </w:rPr>
        <w:t>出台</w:t>
      </w:r>
      <w:r>
        <w:rPr>
          <w:rFonts w:hint="eastAsia" w:ascii="楷体" w:hAnsi="楷体" w:eastAsia="楷体" w:cs="仿宋_GB2312"/>
          <w:bCs/>
          <w:w w:val="100"/>
          <w:kern w:val="0"/>
          <w:sz w:val="28"/>
          <w:szCs w:val="28"/>
        </w:rPr>
        <w:t>怀化市建设大湘西区域性教育中心实施方案</w:t>
      </w:r>
      <w:r>
        <w:rPr>
          <w:rFonts w:ascii="楷体" w:hAnsi="楷体" w:eastAsia="楷体" w:cs="仿宋_GB2312"/>
          <w:bCs/>
          <w:w w:val="100"/>
          <w:kern w:val="0"/>
          <w:sz w:val="28"/>
          <w:szCs w:val="28"/>
        </w:rPr>
        <w:t>。重点抓好优化教育布局，建强教育体系和师资队伍，提升教育质量、治理能力和辐射能力（“一优化、二建强、三提升”）六大工程，</w:t>
      </w:r>
      <w:r>
        <w:rPr>
          <w:rFonts w:hint="eastAsia" w:ascii="楷体" w:hAnsi="楷体" w:eastAsia="楷体" w:cs="仿宋_GB2312"/>
          <w:bCs/>
          <w:w w:val="100"/>
          <w:kern w:val="0"/>
          <w:sz w:val="28"/>
          <w:szCs w:val="28"/>
        </w:rPr>
        <w:t>力争通过5年</w:t>
      </w:r>
      <w:r>
        <w:rPr>
          <w:rFonts w:ascii="楷体" w:hAnsi="楷体" w:eastAsia="楷体" w:cs="仿宋_GB2312"/>
          <w:bCs/>
          <w:w w:val="100"/>
          <w:kern w:val="0"/>
          <w:sz w:val="28"/>
          <w:szCs w:val="28"/>
        </w:rPr>
        <w:t>左右时间</w:t>
      </w:r>
      <w:r>
        <w:rPr>
          <w:rFonts w:hint="eastAsia" w:ascii="楷体" w:hAnsi="楷体" w:eastAsia="楷体" w:cs="仿宋_GB2312"/>
          <w:bCs/>
          <w:w w:val="100"/>
          <w:kern w:val="0"/>
          <w:sz w:val="28"/>
          <w:szCs w:val="28"/>
        </w:rPr>
        <w:t>努力，</w:t>
      </w:r>
      <w:r>
        <w:rPr>
          <w:rFonts w:ascii="楷体" w:hAnsi="楷体" w:eastAsia="楷体" w:cs="仿宋_GB2312"/>
          <w:bCs/>
          <w:w w:val="100"/>
          <w:kern w:val="0"/>
          <w:sz w:val="28"/>
          <w:szCs w:val="28"/>
        </w:rPr>
        <w:t>办学条件和教育教学质量显著提升，基本建</w:t>
      </w:r>
      <w:r>
        <w:rPr>
          <w:rFonts w:hint="eastAsia" w:ascii="楷体" w:hAnsi="楷体" w:eastAsia="楷体" w:cs="仿宋_GB2312"/>
          <w:bCs/>
          <w:w w:val="100"/>
          <w:kern w:val="0"/>
          <w:sz w:val="28"/>
          <w:szCs w:val="28"/>
        </w:rPr>
        <w:t>成大湘西</w:t>
      </w:r>
      <w:r>
        <w:rPr>
          <w:rFonts w:ascii="楷体" w:hAnsi="楷体" w:eastAsia="楷体" w:cs="仿宋_GB2312"/>
          <w:bCs/>
          <w:w w:val="100"/>
          <w:kern w:val="0"/>
          <w:sz w:val="28"/>
          <w:szCs w:val="28"/>
        </w:rPr>
        <w:t>区域</w:t>
      </w:r>
      <w:r>
        <w:rPr>
          <w:rFonts w:hint="eastAsia" w:ascii="楷体" w:hAnsi="楷体" w:eastAsia="楷体" w:cs="仿宋_GB2312"/>
          <w:bCs/>
          <w:w w:val="100"/>
          <w:kern w:val="0"/>
          <w:sz w:val="28"/>
          <w:szCs w:val="28"/>
        </w:rPr>
        <w:t>基础教育、职业教育和高等教育三大高地。</w:t>
      </w:r>
      <w:r>
        <w:rPr>
          <w:rFonts w:hint="eastAsia" w:ascii="楷体" w:hAnsi="楷体" w:eastAsia="楷体" w:cs="仿宋_GB2312"/>
          <w:b/>
          <w:w w:val="100"/>
          <w:kern w:val="0"/>
          <w:sz w:val="28"/>
          <w:szCs w:val="28"/>
        </w:rPr>
        <w:t>二是</w:t>
      </w:r>
      <w:r>
        <w:rPr>
          <w:rFonts w:hint="eastAsia" w:ascii="楷体" w:hAnsi="楷体" w:eastAsia="楷体" w:cs="仿宋_GB2312"/>
          <w:bCs/>
          <w:w w:val="100"/>
          <w:kern w:val="0"/>
          <w:sz w:val="28"/>
          <w:szCs w:val="28"/>
        </w:rPr>
        <w:t>编制完成怀化市鹤中一体化教育设施规划（2023—2027）</w:t>
      </w:r>
      <w:r>
        <w:rPr>
          <w:rFonts w:ascii="楷体" w:hAnsi="楷体" w:eastAsia="楷体" w:cs="仿宋_GB2312"/>
          <w:bCs/>
          <w:w w:val="100"/>
          <w:kern w:val="0"/>
          <w:sz w:val="28"/>
          <w:szCs w:val="28"/>
        </w:rPr>
        <w:t>。着眼2027年中心城区100万人教育需求，按照</w:t>
      </w:r>
      <w:r>
        <w:rPr>
          <w:rFonts w:hint="eastAsia" w:ascii="楷体" w:hAnsi="楷体" w:eastAsia="楷体" w:cs="仿宋_GB2312"/>
          <w:bCs/>
          <w:w w:val="100"/>
          <w:kern w:val="0"/>
          <w:sz w:val="28"/>
          <w:szCs w:val="28"/>
        </w:rPr>
        <w:t>教育先行、鹤中一体、适度超前、组团实施、分步推进、切实可行</w:t>
      </w:r>
      <w:r>
        <w:rPr>
          <w:rFonts w:ascii="楷体" w:hAnsi="楷体" w:eastAsia="楷体" w:cs="仿宋_GB2312"/>
          <w:bCs/>
          <w:w w:val="100"/>
          <w:kern w:val="0"/>
          <w:sz w:val="28"/>
          <w:szCs w:val="28"/>
        </w:rPr>
        <w:t>的工作思路，</w:t>
      </w:r>
      <w:r>
        <w:rPr>
          <w:rFonts w:hint="eastAsia" w:ascii="楷体" w:hAnsi="楷体" w:eastAsia="楷体" w:cs="仿宋_GB2312"/>
          <w:bCs/>
          <w:w w:val="100"/>
          <w:kern w:val="0"/>
          <w:sz w:val="28"/>
          <w:szCs w:val="28"/>
        </w:rPr>
        <w:t>规划范围涵盖中心城区和中方县城区139.9平方公里。规划期限近期至2027年，远期展望到2035年。近期（2023-2027）鹤中教育建设项目共59个，其中新建项目39个，改扩建项目20个</w:t>
      </w:r>
      <w:r>
        <w:rPr>
          <w:rFonts w:ascii="楷体" w:hAnsi="楷体" w:eastAsia="楷体" w:cs="仿宋_GB2312"/>
          <w:bCs/>
          <w:w w:val="100"/>
          <w:kern w:val="0"/>
          <w:sz w:val="28"/>
          <w:szCs w:val="28"/>
        </w:rPr>
        <w:t>，</w:t>
      </w:r>
      <w:r>
        <w:rPr>
          <w:rFonts w:hint="eastAsia" w:ascii="楷体" w:hAnsi="楷体" w:eastAsia="楷体" w:cs="仿宋_GB2312"/>
          <w:bCs/>
          <w:w w:val="100"/>
          <w:kern w:val="0"/>
          <w:sz w:val="28"/>
          <w:szCs w:val="28"/>
        </w:rPr>
        <w:t>总投资66.9亿元</w:t>
      </w:r>
      <w:r>
        <w:rPr>
          <w:rFonts w:ascii="楷体" w:hAnsi="楷体" w:eastAsia="楷体" w:cs="仿宋_GB2312"/>
          <w:bCs/>
          <w:w w:val="100"/>
          <w:kern w:val="0"/>
          <w:sz w:val="28"/>
          <w:szCs w:val="28"/>
        </w:rPr>
        <w:t>。</w:t>
      </w:r>
    </w:p>
    <w:p w14:paraId="644DFDED">
      <w:pPr>
        <w:ind w:firstLine="560" w:firstLineChars="200"/>
        <w:rPr>
          <w:rFonts w:ascii="楷体" w:hAnsi="楷体" w:eastAsia="楷体" w:cs="Times New Roman"/>
          <w:bCs/>
          <w:w w:val="100"/>
          <w:sz w:val="28"/>
          <w:szCs w:val="28"/>
        </w:rPr>
      </w:pPr>
      <w:r>
        <w:rPr>
          <w:rFonts w:ascii="楷体" w:hAnsi="楷体" w:eastAsia="楷体" w:cs="楷体_GB2312"/>
          <w:b/>
          <w:bCs/>
          <w:w w:val="100"/>
          <w:sz w:val="28"/>
          <w:szCs w:val="28"/>
        </w:rPr>
        <w:t>（</w:t>
      </w:r>
      <w:r>
        <w:rPr>
          <w:rFonts w:hint="eastAsia" w:ascii="楷体" w:hAnsi="楷体" w:eastAsia="楷体" w:cs="楷体_GB2312"/>
          <w:b/>
          <w:bCs/>
          <w:w w:val="100"/>
          <w:sz w:val="28"/>
          <w:szCs w:val="28"/>
        </w:rPr>
        <w:t>2</w:t>
      </w:r>
      <w:r>
        <w:rPr>
          <w:rFonts w:ascii="楷体" w:hAnsi="楷体" w:eastAsia="楷体" w:cs="楷体_GB2312"/>
          <w:b/>
          <w:bCs/>
          <w:w w:val="100"/>
          <w:sz w:val="28"/>
          <w:szCs w:val="28"/>
        </w:rPr>
        <w:t>）</w:t>
      </w:r>
      <w:r>
        <w:rPr>
          <w:rFonts w:hint="eastAsia" w:ascii="楷体" w:hAnsi="楷体" w:eastAsia="楷体" w:cs="楷体_GB2312"/>
          <w:b/>
          <w:bCs/>
          <w:w w:val="100"/>
          <w:sz w:val="28"/>
          <w:szCs w:val="28"/>
        </w:rPr>
        <w:t>抓办学条件改善，推进5大项目建设。</w:t>
      </w:r>
      <w:r>
        <w:rPr>
          <w:rFonts w:ascii="楷体" w:hAnsi="楷体" w:eastAsia="楷体"/>
          <w:bCs/>
          <w:w w:val="100"/>
          <w:kern w:val="0"/>
          <w:sz w:val="28"/>
          <w:szCs w:val="28"/>
        </w:rPr>
        <w:t>统筹经费21.02亿元，开工建设188个项目，新增公办学位27410个。</w:t>
      </w:r>
      <w:r>
        <w:rPr>
          <w:rFonts w:ascii="楷体" w:hAnsi="楷体" w:eastAsia="楷体"/>
          <w:b/>
          <w:w w:val="100"/>
          <w:sz w:val="28"/>
          <w:szCs w:val="28"/>
        </w:rPr>
        <w:t>一是启动实施鹤中一体化教育项目。</w:t>
      </w:r>
      <w:r>
        <w:rPr>
          <w:rFonts w:ascii="楷体" w:hAnsi="楷体" w:eastAsia="楷体"/>
          <w:w w:val="100"/>
          <w:sz w:val="28"/>
          <w:szCs w:val="28"/>
        </w:rPr>
        <w:t>实施6个</w:t>
      </w:r>
      <w:r>
        <w:rPr>
          <w:rFonts w:ascii="楷体" w:hAnsi="楷体" w:eastAsia="楷体"/>
          <w:bCs/>
          <w:w w:val="100"/>
          <w:kern w:val="0"/>
          <w:sz w:val="28"/>
          <w:szCs w:val="28"/>
        </w:rPr>
        <w:t>基</w:t>
      </w:r>
      <w:r>
        <w:rPr>
          <w:rFonts w:ascii="楷体" w:hAnsi="楷体" w:eastAsia="楷体"/>
          <w:w w:val="100"/>
          <w:kern w:val="0"/>
          <w:sz w:val="28"/>
          <w:szCs w:val="28"/>
        </w:rPr>
        <w:t>础教</w:t>
      </w:r>
      <w:r>
        <w:rPr>
          <w:rFonts w:ascii="楷体" w:hAnsi="楷体" w:eastAsia="楷体"/>
          <w:bCs/>
          <w:w w:val="100"/>
          <w:kern w:val="0"/>
          <w:sz w:val="28"/>
          <w:szCs w:val="28"/>
        </w:rPr>
        <w:t>育提升工程，完成投资</w:t>
      </w:r>
      <w:r>
        <w:rPr>
          <w:rFonts w:ascii="楷体" w:hAnsi="楷体" w:eastAsia="楷体"/>
          <w:bCs/>
          <w:w w:val="100"/>
          <w:sz w:val="28"/>
          <w:szCs w:val="28"/>
        </w:rPr>
        <w:t>8.16亿元，完成率139.5%。实施怀化科教新城项目8个，累计完成投资6.37亿元，完成率75.4%。</w:t>
      </w:r>
      <w:r>
        <w:rPr>
          <w:rFonts w:ascii="楷体" w:hAnsi="楷体" w:eastAsia="楷体"/>
          <w:b/>
          <w:w w:val="100"/>
          <w:sz w:val="28"/>
          <w:szCs w:val="28"/>
        </w:rPr>
        <w:t>二是高标准完成公办幼儿园项目。</w:t>
      </w:r>
      <w:r>
        <w:rPr>
          <w:rFonts w:ascii="楷体" w:hAnsi="楷体" w:eastAsia="楷体"/>
          <w:bCs/>
          <w:w w:val="100"/>
          <w:sz w:val="28"/>
          <w:szCs w:val="28"/>
        </w:rPr>
        <w:t>全市新建、改扩建幼儿园6所，已完成投资4438万元，完成率100%。</w:t>
      </w:r>
      <w:r>
        <w:rPr>
          <w:rFonts w:ascii="楷体" w:hAnsi="楷体" w:eastAsia="楷体"/>
          <w:b/>
          <w:w w:val="100"/>
          <w:sz w:val="28"/>
          <w:szCs w:val="28"/>
        </w:rPr>
        <w:t>三是全力推进中职学校达标工程项目。</w:t>
      </w:r>
      <w:r>
        <w:rPr>
          <w:rFonts w:ascii="楷体" w:hAnsi="楷体" w:eastAsia="楷体"/>
          <w:bCs/>
          <w:w w:val="100"/>
          <w:sz w:val="28"/>
          <w:szCs w:val="28"/>
        </w:rPr>
        <w:t>7所年度达标任务校整体完成92%。</w:t>
      </w:r>
      <w:r>
        <w:rPr>
          <w:rFonts w:ascii="楷体" w:hAnsi="楷体" w:eastAsia="楷体"/>
          <w:b/>
          <w:w w:val="100"/>
          <w:sz w:val="28"/>
          <w:szCs w:val="28"/>
        </w:rPr>
        <w:t>四是加快建设徐特立项目。</w:t>
      </w:r>
      <w:r>
        <w:rPr>
          <w:rFonts w:ascii="楷体" w:hAnsi="楷体" w:eastAsia="楷体"/>
          <w:bCs/>
          <w:w w:val="100"/>
          <w:sz w:val="28"/>
          <w:szCs w:val="28"/>
        </w:rPr>
        <w:t>已完成年度任务，预计明年秋季可全部投入使用。</w:t>
      </w:r>
      <w:r>
        <w:rPr>
          <w:rFonts w:ascii="楷体" w:hAnsi="楷体" w:eastAsia="楷体"/>
          <w:b/>
          <w:w w:val="100"/>
          <w:sz w:val="28"/>
          <w:szCs w:val="28"/>
        </w:rPr>
        <w:t>五是乡镇寄宿制学校改扩建项目。</w:t>
      </w:r>
      <w:r>
        <w:rPr>
          <w:rFonts w:ascii="楷体" w:hAnsi="楷体" w:eastAsia="楷体"/>
          <w:bCs/>
          <w:w w:val="100"/>
          <w:sz w:val="28"/>
          <w:szCs w:val="28"/>
        </w:rPr>
        <w:t>全市25所乡镇寄宿制学校改扩建年度任务已完成投资8026.5万元，完成率100.02%。</w:t>
      </w:r>
    </w:p>
    <w:p w14:paraId="1E11F4DD">
      <w:pPr>
        <w:pStyle w:val="2"/>
        <w:ind w:left="18" w:firstLine="635" w:firstLineChars="227"/>
        <w:rPr>
          <w:rFonts w:ascii="楷体" w:hAnsi="楷体" w:eastAsia="楷体" w:cs="Times New Roman"/>
          <w:w w:val="100"/>
          <w:kern w:val="0"/>
          <w:sz w:val="28"/>
          <w:szCs w:val="28"/>
        </w:rPr>
      </w:pPr>
      <w:r>
        <w:rPr>
          <w:rFonts w:ascii="楷体" w:hAnsi="楷体" w:eastAsia="楷体" w:cs="楷体_GB2312"/>
          <w:b/>
          <w:bCs/>
          <w:w w:val="100"/>
          <w:sz w:val="28"/>
          <w:szCs w:val="28"/>
        </w:rPr>
        <w:t>（</w:t>
      </w:r>
      <w:r>
        <w:rPr>
          <w:rFonts w:hint="eastAsia" w:ascii="楷体" w:hAnsi="楷体" w:eastAsia="楷体" w:cs="楷体_GB2312"/>
          <w:b/>
          <w:bCs/>
          <w:w w:val="100"/>
          <w:sz w:val="28"/>
          <w:szCs w:val="28"/>
        </w:rPr>
        <w:t>3</w:t>
      </w:r>
      <w:r>
        <w:rPr>
          <w:rFonts w:ascii="楷体" w:hAnsi="楷体" w:eastAsia="楷体" w:cs="楷体_GB2312"/>
          <w:b/>
          <w:bCs/>
          <w:w w:val="100"/>
          <w:sz w:val="28"/>
          <w:szCs w:val="28"/>
        </w:rPr>
        <w:t>）</w:t>
      </w:r>
      <w:r>
        <w:rPr>
          <w:rFonts w:hint="eastAsia" w:ascii="楷体" w:hAnsi="楷体" w:eastAsia="楷体" w:cs="楷体_GB2312"/>
          <w:b/>
          <w:bCs/>
          <w:w w:val="100"/>
          <w:sz w:val="28"/>
          <w:szCs w:val="28"/>
        </w:rPr>
        <w:t>抓教育教学质量，开展4大提升行动。</w:t>
      </w:r>
      <w:r>
        <w:rPr>
          <w:rFonts w:ascii="楷体" w:hAnsi="楷体" w:eastAsia="楷体" w:cs="Times New Roman"/>
          <w:bCs/>
          <w:w w:val="100"/>
          <w:sz w:val="28"/>
          <w:szCs w:val="28"/>
        </w:rPr>
        <w:t>围绕落实立德树人根本任务，始终把教育教学质量作为教育工作的中心任务，认真贯彻省厅关于基础教育质量提升系列会议精神，将2023年作为教育教学质量提升年，出台了《怀化市提升普通中小学教育质量实施方案》，全力打好</w:t>
      </w:r>
      <w:r>
        <w:rPr>
          <w:rFonts w:hint="eastAsia" w:ascii="楷体" w:hAnsi="楷体" w:eastAsia="楷体" w:cs="Times New Roman"/>
          <w:bCs/>
          <w:w w:val="100"/>
          <w:sz w:val="28"/>
          <w:szCs w:val="28"/>
        </w:rPr>
        <w:t>提升</w:t>
      </w:r>
      <w:r>
        <w:rPr>
          <w:rFonts w:ascii="楷体" w:hAnsi="楷体" w:eastAsia="楷体" w:cs="Times New Roman"/>
          <w:bCs/>
          <w:w w:val="100"/>
          <w:sz w:val="28"/>
          <w:szCs w:val="28"/>
        </w:rPr>
        <w:t>教育教学质量翻身仗。</w:t>
      </w:r>
      <w:r>
        <w:rPr>
          <w:rFonts w:hint="eastAsia" w:ascii="楷体" w:hAnsi="楷体" w:eastAsia="楷体" w:cs="Times New Roman"/>
          <w:b/>
          <w:w w:val="100"/>
          <w:sz w:val="28"/>
          <w:szCs w:val="28"/>
        </w:rPr>
        <w:t>一是开展集团化办学。</w:t>
      </w:r>
      <w:r>
        <w:rPr>
          <w:rFonts w:hint="eastAsia" w:ascii="楷体" w:hAnsi="楷体" w:eastAsia="楷体" w:cs="Times New Roman"/>
          <w:bCs/>
          <w:w w:val="100"/>
          <w:sz w:val="28"/>
          <w:szCs w:val="28"/>
        </w:rPr>
        <w:t>计划</w:t>
      </w:r>
      <w:r>
        <w:rPr>
          <w:rFonts w:ascii="楷体" w:hAnsi="楷体" w:eastAsia="楷体" w:cs="Times New Roman"/>
          <w:bCs/>
          <w:w w:val="100"/>
          <w:sz w:val="28"/>
          <w:szCs w:val="28"/>
        </w:rPr>
        <w:t>逐步</w:t>
      </w:r>
      <w:r>
        <w:rPr>
          <w:rFonts w:hint="eastAsia" w:ascii="楷体" w:hAnsi="楷体" w:eastAsia="楷体" w:cs="Times New Roman"/>
          <w:bCs/>
          <w:w w:val="100"/>
          <w:sz w:val="28"/>
          <w:szCs w:val="28"/>
        </w:rPr>
        <w:t>成立3—5个教育集团，每个集团包含3—5所加盟校，做到文化标识、课程设置、师资培训、教研活动、活动设计、质量检测“六统一”。目前，市锦溪小学</w:t>
      </w:r>
      <w:r>
        <w:rPr>
          <w:rFonts w:ascii="楷体" w:hAnsi="楷体" w:eastAsia="楷体" w:cs="Times New Roman"/>
          <w:bCs/>
          <w:w w:val="100"/>
          <w:sz w:val="28"/>
          <w:szCs w:val="28"/>
        </w:rPr>
        <w:t>已经</w:t>
      </w:r>
      <w:r>
        <w:rPr>
          <w:rFonts w:hint="eastAsia" w:ascii="楷体" w:hAnsi="楷体" w:eastAsia="楷体" w:cs="Times New Roman"/>
          <w:bCs/>
          <w:w w:val="100"/>
          <w:sz w:val="28"/>
          <w:szCs w:val="28"/>
        </w:rPr>
        <w:t>先行试点，组建锦溪教育集团，</w:t>
      </w:r>
      <w:r>
        <w:rPr>
          <w:rFonts w:ascii="楷体" w:hAnsi="楷体" w:eastAsia="楷体" w:cs="Times New Roman"/>
          <w:bCs/>
          <w:w w:val="100"/>
          <w:sz w:val="28"/>
          <w:szCs w:val="28"/>
        </w:rPr>
        <w:t>建成</w:t>
      </w:r>
      <w:r>
        <w:rPr>
          <w:rFonts w:hint="eastAsia" w:ascii="楷体" w:hAnsi="楷体" w:eastAsia="楷体" w:cs="Times New Roman"/>
          <w:bCs/>
          <w:w w:val="100"/>
          <w:sz w:val="28"/>
          <w:szCs w:val="28"/>
        </w:rPr>
        <w:t>3—5所小学加盟的优质教育集团。</w:t>
      </w:r>
      <w:r>
        <w:rPr>
          <w:rFonts w:hint="eastAsia" w:ascii="楷体" w:hAnsi="楷体" w:eastAsia="楷体" w:cs="Times New Roman"/>
          <w:b/>
          <w:w w:val="100"/>
          <w:sz w:val="28"/>
          <w:szCs w:val="28"/>
        </w:rPr>
        <w:t>二是开展</w:t>
      </w:r>
      <w:r>
        <w:rPr>
          <w:rFonts w:ascii="楷体" w:hAnsi="楷体" w:eastAsia="楷体" w:cs="Times New Roman"/>
          <w:b/>
          <w:w w:val="100"/>
          <w:sz w:val="28"/>
          <w:szCs w:val="28"/>
        </w:rPr>
        <w:t>优秀教师走教</w:t>
      </w:r>
      <w:r>
        <w:rPr>
          <w:rFonts w:hint="eastAsia" w:ascii="楷体" w:hAnsi="楷体" w:eastAsia="楷体" w:cs="Times New Roman"/>
          <w:b/>
          <w:w w:val="100"/>
          <w:sz w:val="28"/>
          <w:szCs w:val="28"/>
        </w:rPr>
        <w:t>。</w:t>
      </w:r>
      <w:r>
        <w:rPr>
          <w:rFonts w:ascii="楷体" w:hAnsi="楷体" w:eastAsia="楷体" w:cs="Times New Roman"/>
          <w:bCs/>
          <w:w w:val="100"/>
          <w:sz w:val="28"/>
          <w:szCs w:val="28"/>
        </w:rPr>
        <w:t>为逐步化解师资城乡、校际配置不均衡问题，市委市政府推动</w:t>
      </w:r>
      <w:r>
        <w:rPr>
          <w:rFonts w:hint="eastAsia" w:ascii="楷体" w:hAnsi="楷体" w:eastAsia="楷体" w:cs="Times New Roman"/>
          <w:bCs/>
          <w:w w:val="100"/>
          <w:sz w:val="28"/>
          <w:szCs w:val="28"/>
        </w:rPr>
        <w:t>开展优秀教师跨地域、跨学段走教</w:t>
      </w:r>
      <w:r>
        <w:rPr>
          <w:rFonts w:ascii="楷体" w:hAnsi="楷体" w:eastAsia="楷体" w:cs="Times New Roman"/>
          <w:bCs/>
          <w:w w:val="100"/>
          <w:sz w:val="28"/>
          <w:szCs w:val="28"/>
        </w:rPr>
        <w:t>，教师走教期间给予每节不低于50元的补助</w:t>
      </w:r>
      <w:r>
        <w:rPr>
          <w:rFonts w:hint="eastAsia" w:ascii="楷体" w:hAnsi="楷体" w:eastAsia="楷体" w:cs="Times New Roman"/>
          <w:bCs/>
          <w:w w:val="100"/>
          <w:sz w:val="28"/>
          <w:szCs w:val="28"/>
        </w:rPr>
        <w:t>。</w:t>
      </w:r>
      <w:r>
        <w:rPr>
          <w:rFonts w:ascii="楷体" w:hAnsi="楷体" w:eastAsia="楷体" w:cs="Times New Roman"/>
          <w:bCs/>
          <w:w w:val="100"/>
          <w:sz w:val="28"/>
          <w:szCs w:val="28"/>
        </w:rPr>
        <w:t>目前，全市累计124名参与走教。</w:t>
      </w:r>
      <w:r>
        <w:rPr>
          <w:rFonts w:hint="eastAsia" w:ascii="楷体" w:hAnsi="楷体" w:eastAsia="楷体" w:cs="Times New Roman"/>
          <w:b/>
          <w:w w:val="100"/>
          <w:sz w:val="28"/>
          <w:szCs w:val="28"/>
        </w:rPr>
        <w:t>三是开展</w:t>
      </w:r>
      <w:r>
        <w:rPr>
          <w:rFonts w:ascii="楷体" w:hAnsi="楷体" w:eastAsia="楷体" w:cs="Times New Roman"/>
          <w:b/>
          <w:w w:val="100"/>
          <w:sz w:val="28"/>
          <w:szCs w:val="28"/>
        </w:rPr>
        <w:t>党政领导和局长推门听课</w:t>
      </w:r>
      <w:r>
        <w:rPr>
          <w:rFonts w:hint="eastAsia" w:ascii="楷体" w:hAnsi="楷体" w:eastAsia="楷体" w:cs="Times New Roman"/>
          <w:b/>
          <w:w w:val="100"/>
          <w:sz w:val="28"/>
          <w:szCs w:val="28"/>
        </w:rPr>
        <w:t>。</w:t>
      </w:r>
      <w:r>
        <w:rPr>
          <w:rFonts w:hint="eastAsia" w:ascii="楷体" w:hAnsi="楷体" w:eastAsia="楷体" w:cs="Times New Roman"/>
          <w:bCs/>
          <w:w w:val="100"/>
          <w:sz w:val="28"/>
          <w:szCs w:val="28"/>
        </w:rPr>
        <w:t>制定了怀化市党政领导干部推门听课制度，各县市区党委政府分管教育工作领导、教育行政部门主要负责人每学期分别听课1次、2次以上</w:t>
      </w:r>
      <w:r>
        <w:rPr>
          <w:rFonts w:ascii="楷体" w:hAnsi="楷体" w:eastAsia="楷体" w:cs="Times New Roman"/>
          <w:bCs/>
          <w:w w:val="100"/>
          <w:sz w:val="28"/>
          <w:szCs w:val="28"/>
        </w:rPr>
        <w:t>。今年市县两级教育局长推门听课均超过2次以上。</w:t>
      </w:r>
      <w:r>
        <w:rPr>
          <w:rFonts w:hint="eastAsia" w:ascii="楷体" w:hAnsi="楷体" w:eastAsia="楷体" w:cs="Times New Roman"/>
          <w:b/>
          <w:w w:val="100"/>
          <w:sz w:val="28"/>
          <w:szCs w:val="28"/>
        </w:rPr>
        <w:t>四是开展长怀教育合作。</w:t>
      </w:r>
      <w:r>
        <w:rPr>
          <w:rFonts w:ascii="楷体" w:hAnsi="楷体" w:eastAsia="楷体" w:cs="Times New Roman"/>
          <w:bCs/>
          <w:w w:val="100"/>
          <w:sz w:val="28"/>
          <w:szCs w:val="28"/>
        </w:rPr>
        <w:t>在长沙怀化两地党委政府高度重视和大力推动下，长沙市教育局与怀化市教育局签订了教育合作协议，长沙7所基础教育名校对口帮扶（托管）怀化7所基础教育学校。目前，两地学校线下交流29次，派来支援教师14名，派往学习教师34名。</w:t>
      </w:r>
    </w:p>
    <w:p w14:paraId="43D22AC1">
      <w:pPr>
        <w:ind w:firstLine="560" w:firstLineChars="200"/>
        <w:rPr>
          <w:rFonts w:ascii="楷体" w:hAnsi="楷体" w:eastAsia="楷体" w:cs="Times New Roman"/>
          <w:b/>
          <w:bCs/>
          <w:w w:val="100"/>
          <w:sz w:val="28"/>
          <w:szCs w:val="28"/>
        </w:rPr>
      </w:pPr>
      <w:r>
        <w:rPr>
          <w:rFonts w:ascii="楷体" w:hAnsi="楷体" w:eastAsia="楷体" w:cs="楷体_GB2312"/>
          <w:b/>
          <w:bCs/>
          <w:w w:val="100"/>
          <w:sz w:val="28"/>
          <w:szCs w:val="28"/>
        </w:rPr>
        <w:t>（</w:t>
      </w:r>
      <w:r>
        <w:rPr>
          <w:rFonts w:hint="eastAsia" w:ascii="楷体" w:hAnsi="楷体" w:eastAsia="楷体" w:cs="楷体_GB2312"/>
          <w:b/>
          <w:bCs/>
          <w:w w:val="100"/>
          <w:sz w:val="28"/>
          <w:szCs w:val="28"/>
        </w:rPr>
        <w:t>4</w:t>
      </w:r>
      <w:r>
        <w:rPr>
          <w:rFonts w:ascii="楷体" w:hAnsi="楷体" w:eastAsia="楷体" w:cs="楷体_GB2312"/>
          <w:b/>
          <w:bCs/>
          <w:w w:val="100"/>
          <w:sz w:val="28"/>
          <w:szCs w:val="28"/>
        </w:rPr>
        <w:t>）</w:t>
      </w:r>
      <w:r>
        <w:rPr>
          <w:rFonts w:hint="eastAsia" w:ascii="楷体" w:hAnsi="楷体" w:eastAsia="楷体" w:cs="楷体_GB2312"/>
          <w:b/>
          <w:bCs/>
          <w:w w:val="100"/>
          <w:sz w:val="28"/>
          <w:szCs w:val="28"/>
        </w:rPr>
        <w:t>抓师资素质提升，打造“三高”队伍。</w:t>
      </w:r>
      <w:r>
        <w:rPr>
          <w:rFonts w:hint="eastAsia" w:ascii="楷体" w:hAnsi="楷体" w:eastAsia="楷体" w:cs="宋体"/>
          <w:b/>
          <w:bCs/>
          <w:w w:val="100"/>
          <w:kern w:val="0"/>
          <w:sz w:val="28"/>
          <w:szCs w:val="28"/>
        </w:rPr>
        <w:t>一是锤炼高品质管理队伍。</w:t>
      </w:r>
      <w:r>
        <w:rPr>
          <w:rFonts w:ascii="楷体" w:hAnsi="楷体" w:eastAsia="楷体" w:cs="Times New Roman"/>
          <w:w w:val="100"/>
          <w:kern w:val="0"/>
          <w:sz w:val="28"/>
          <w:szCs w:val="28"/>
        </w:rPr>
        <w:t>打造专业化教育行政管理队伍，市委常委会专门部署，原则上市县两级教育局班子成员要具有2年以上教育教学经历。目前，13个县市区教育局领导班子成员基本按要求落实到位。</w:t>
      </w:r>
      <w:r>
        <w:rPr>
          <w:rFonts w:hint="eastAsia" w:ascii="楷体" w:hAnsi="楷体" w:eastAsia="楷体" w:cs="宋体"/>
          <w:b/>
          <w:bCs/>
          <w:w w:val="100"/>
          <w:kern w:val="0"/>
          <w:sz w:val="28"/>
          <w:szCs w:val="28"/>
        </w:rPr>
        <w:t>二是培育高水平校长队伍。</w:t>
      </w:r>
      <w:r>
        <w:rPr>
          <w:rFonts w:ascii="楷体" w:hAnsi="楷体" w:eastAsia="楷体" w:cs="Times New Roman"/>
          <w:w w:val="100"/>
          <w:kern w:val="0"/>
          <w:sz w:val="28"/>
          <w:szCs w:val="28"/>
        </w:rPr>
        <w:t>以推进党组织领导的校长负责制改革为契机，全力加强书记、校长队伍建设，</w:t>
      </w:r>
      <w:r>
        <w:rPr>
          <w:rFonts w:hint="eastAsia" w:ascii="楷体" w:hAnsi="楷体" w:eastAsia="楷体" w:cs="Times New Roman"/>
          <w:w w:val="100"/>
          <w:kern w:val="0"/>
          <w:sz w:val="28"/>
          <w:szCs w:val="28"/>
        </w:rPr>
        <w:t>举办了“学习贯彻党的二十大精神市直教育系统管理干部培训班”，</w:t>
      </w:r>
      <w:r>
        <w:rPr>
          <w:rFonts w:ascii="楷体" w:hAnsi="楷体" w:eastAsia="楷体" w:cs="Times New Roman"/>
          <w:w w:val="100"/>
          <w:kern w:val="0"/>
          <w:sz w:val="28"/>
          <w:szCs w:val="28"/>
        </w:rPr>
        <w:t>全市100%的中小学校建立了党组织领导的校长负责制，</w:t>
      </w:r>
      <w:r>
        <w:rPr>
          <w:rFonts w:hint="eastAsia" w:ascii="楷体" w:hAnsi="楷体" w:eastAsia="楷体" w:cs="Times New Roman"/>
          <w:w w:val="100"/>
          <w:kern w:val="0"/>
          <w:sz w:val="28"/>
          <w:szCs w:val="28"/>
        </w:rPr>
        <w:t>成立了第二批16个市级名师名校长工作室。</w:t>
      </w:r>
      <w:r>
        <w:rPr>
          <w:rFonts w:hint="eastAsia" w:ascii="楷体" w:hAnsi="楷体" w:eastAsia="楷体" w:cs="宋体"/>
          <w:b/>
          <w:bCs/>
          <w:w w:val="100"/>
          <w:kern w:val="0"/>
          <w:sz w:val="28"/>
          <w:szCs w:val="28"/>
        </w:rPr>
        <w:t>三是锻造高素质教师队伍。</w:t>
      </w:r>
      <w:r>
        <w:rPr>
          <w:rFonts w:ascii="楷体" w:hAnsi="楷体" w:eastAsia="楷体" w:cs="宋体"/>
          <w:w w:val="100"/>
          <w:kern w:val="0"/>
          <w:sz w:val="28"/>
          <w:szCs w:val="28"/>
          <w:lang w:val="zh-CN"/>
        </w:rPr>
        <w:t>录取公费定向师范生100</w:t>
      </w:r>
      <w:r>
        <w:rPr>
          <w:rFonts w:ascii="楷体" w:hAnsi="楷体" w:eastAsia="楷体" w:cs="宋体"/>
          <w:w w:val="100"/>
          <w:kern w:val="0"/>
          <w:sz w:val="28"/>
          <w:szCs w:val="28"/>
        </w:rPr>
        <w:t>3</w:t>
      </w:r>
      <w:r>
        <w:rPr>
          <w:rFonts w:ascii="楷体" w:hAnsi="楷体" w:eastAsia="楷体" w:cs="宋体"/>
          <w:w w:val="100"/>
          <w:kern w:val="0"/>
          <w:sz w:val="28"/>
          <w:szCs w:val="28"/>
          <w:lang w:val="zh-CN"/>
        </w:rPr>
        <w:t>人，实施市级以上各级各类教师培训1万</w:t>
      </w:r>
      <w:r>
        <w:rPr>
          <w:rFonts w:hint="eastAsia" w:ascii="楷体" w:hAnsi="楷体" w:eastAsia="楷体" w:cs="宋体"/>
          <w:w w:val="100"/>
          <w:kern w:val="0"/>
          <w:sz w:val="28"/>
          <w:szCs w:val="28"/>
          <w:lang w:val="zh-CN"/>
        </w:rPr>
        <w:t>余</w:t>
      </w:r>
      <w:r>
        <w:rPr>
          <w:rFonts w:ascii="楷体" w:hAnsi="楷体" w:eastAsia="楷体" w:cs="宋体"/>
          <w:w w:val="100"/>
          <w:kern w:val="0"/>
          <w:sz w:val="28"/>
          <w:szCs w:val="28"/>
          <w:lang w:val="zh-CN"/>
        </w:rPr>
        <w:t>人次</w:t>
      </w:r>
      <w:r>
        <w:rPr>
          <w:rFonts w:hint="eastAsia" w:ascii="楷体" w:hAnsi="楷体" w:eastAsia="楷体" w:cs="宋体"/>
          <w:w w:val="100"/>
          <w:kern w:val="0"/>
          <w:sz w:val="28"/>
          <w:szCs w:val="28"/>
          <w:lang w:val="zh-CN"/>
        </w:rPr>
        <w:t>。</w:t>
      </w:r>
      <w:r>
        <w:rPr>
          <w:rFonts w:hint="eastAsia" w:ascii="楷体" w:hAnsi="楷体" w:eastAsia="楷体" w:cs="宋体"/>
          <w:w w:val="100"/>
          <w:kern w:val="0"/>
          <w:sz w:val="28"/>
          <w:szCs w:val="28"/>
        </w:rPr>
        <w:t>制定完善</w:t>
      </w:r>
      <w:r>
        <w:rPr>
          <w:rFonts w:ascii="楷体" w:hAnsi="楷体" w:eastAsia="楷体" w:cs="宋体"/>
          <w:w w:val="100"/>
          <w:kern w:val="0"/>
          <w:sz w:val="28"/>
          <w:szCs w:val="28"/>
        </w:rPr>
        <w:t>三年一周期全覆盖的</w:t>
      </w:r>
      <w:r>
        <w:rPr>
          <w:rFonts w:hint="eastAsia" w:ascii="楷体" w:hAnsi="楷体" w:eastAsia="楷体" w:cs="宋体"/>
          <w:w w:val="100"/>
          <w:kern w:val="0"/>
          <w:sz w:val="28"/>
          <w:szCs w:val="28"/>
        </w:rPr>
        <w:t>中小学教师水平测试和教学比武方案，</w:t>
      </w:r>
      <w:r>
        <w:rPr>
          <w:rFonts w:ascii="楷体" w:hAnsi="楷体" w:eastAsia="楷体" w:cs="Times New Roman"/>
          <w:bCs/>
          <w:w w:val="100"/>
          <w:sz w:val="28"/>
          <w:szCs w:val="28"/>
        </w:rPr>
        <w:t>每年</w:t>
      </w:r>
      <w:r>
        <w:rPr>
          <w:rFonts w:hint="eastAsia" w:ascii="楷体" w:hAnsi="楷体" w:eastAsia="楷体" w:cs="Times New Roman"/>
          <w:bCs/>
          <w:w w:val="100"/>
          <w:sz w:val="28"/>
          <w:szCs w:val="28"/>
        </w:rPr>
        <w:t>定期</w:t>
      </w:r>
      <w:r>
        <w:rPr>
          <w:rFonts w:ascii="楷体" w:hAnsi="楷体" w:eastAsia="楷体" w:cs="Times New Roman"/>
          <w:bCs/>
          <w:w w:val="100"/>
          <w:sz w:val="28"/>
          <w:szCs w:val="28"/>
        </w:rPr>
        <w:t>开展1次</w:t>
      </w:r>
      <w:r>
        <w:rPr>
          <w:rFonts w:hint="eastAsia" w:ascii="楷体" w:hAnsi="楷体" w:eastAsia="楷体" w:cs="Times New Roman"/>
          <w:bCs/>
          <w:w w:val="100"/>
          <w:sz w:val="28"/>
          <w:szCs w:val="28"/>
        </w:rPr>
        <w:t>全市性</w:t>
      </w:r>
      <w:r>
        <w:rPr>
          <w:rFonts w:ascii="楷体" w:hAnsi="楷体" w:eastAsia="楷体" w:cs="Times New Roman"/>
          <w:bCs/>
          <w:w w:val="100"/>
          <w:sz w:val="28"/>
          <w:szCs w:val="28"/>
        </w:rPr>
        <w:t>中小学教师课堂教学比武</w:t>
      </w:r>
      <w:r>
        <w:rPr>
          <w:rFonts w:hint="eastAsia" w:ascii="楷体" w:hAnsi="楷体" w:eastAsia="楷体" w:cs="Times New Roman"/>
          <w:bCs/>
          <w:w w:val="100"/>
          <w:sz w:val="28"/>
          <w:szCs w:val="28"/>
        </w:rPr>
        <w:t>和</w:t>
      </w:r>
      <w:r>
        <w:rPr>
          <w:rFonts w:ascii="楷体" w:hAnsi="楷体" w:eastAsia="楷体" w:cs="Times New Roman"/>
          <w:bCs/>
          <w:w w:val="100"/>
          <w:sz w:val="28"/>
          <w:szCs w:val="28"/>
        </w:rPr>
        <w:t>2次中小学教师业务水平测试</w:t>
      </w:r>
      <w:r>
        <w:rPr>
          <w:rFonts w:hint="eastAsia" w:ascii="楷体" w:hAnsi="楷体" w:eastAsia="楷体" w:cs="Times New Roman"/>
          <w:bCs/>
          <w:w w:val="100"/>
          <w:sz w:val="28"/>
          <w:szCs w:val="28"/>
        </w:rPr>
        <w:t>。</w:t>
      </w:r>
    </w:p>
    <w:p w14:paraId="3B396742">
      <w:pPr>
        <w:pStyle w:val="2"/>
        <w:ind w:firstLine="560" w:firstLineChars="200"/>
        <w:rPr>
          <w:rFonts w:ascii="楷体" w:hAnsi="楷体" w:eastAsia="楷体" w:cs="黑体"/>
          <w:w w:val="100"/>
          <w:sz w:val="28"/>
          <w:szCs w:val="28"/>
        </w:rPr>
      </w:pPr>
      <w:r>
        <w:rPr>
          <w:rFonts w:ascii="楷体" w:hAnsi="楷体" w:eastAsia="楷体" w:cs="楷体_GB2312"/>
          <w:b/>
          <w:bCs/>
          <w:w w:val="100"/>
          <w:sz w:val="28"/>
          <w:szCs w:val="28"/>
        </w:rPr>
        <w:t>（</w:t>
      </w:r>
      <w:r>
        <w:rPr>
          <w:rFonts w:hint="eastAsia" w:ascii="楷体" w:hAnsi="楷体" w:eastAsia="楷体" w:cs="楷体_GB2312"/>
          <w:b/>
          <w:bCs/>
          <w:w w:val="100"/>
          <w:sz w:val="28"/>
          <w:szCs w:val="28"/>
        </w:rPr>
        <w:t>5</w:t>
      </w:r>
      <w:r>
        <w:rPr>
          <w:rFonts w:ascii="楷体" w:hAnsi="楷体" w:eastAsia="楷体" w:cs="楷体_GB2312"/>
          <w:b/>
          <w:bCs/>
          <w:w w:val="100"/>
          <w:sz w:val="28"/>
          <w:szCs w:val="28"/>
        </w:rPr>
        <w:t>）</w:t>
      </w:r>
      <w:r>
        <w:rPr>
          <w:rFonts w:hint="eastAsia" w:ascii="楷体" w:hAnsi="楷体" w:eastAsia="楷体" w:cs="楷体_GB2312"/>
          <w:b/>
          <w:bCs/>
          <w:w w:val="100"/>
          <w:sz w:val="28"/>
          <w:szCs w:val="28"/>
        </w:rPr>
        <w:t>抓教育领域综合改革，实施4大创新举措。</w:t>
      </w:r>
      <w:r>
        <w:rPr>
          <w:rFonts w:hint="eastAsia" w:ascii="楷体" w:hAnsi="楷体" w:eastAsia="楷体" w:cs="Times New Roman"/>
          <w:b/>
          <w:bCs/>
          <w:w w:val="100"/>
          <w:kern w:val="0"/>
          <w:sz w:val="28"/>
          <w:szCs w:val="28"/>
        </w:rPr>
        <w:t>一</w:t>
      </w:r>
      <w:r>
        <w:rPr>
          <w:rFonts w:ascii="楷体" w:hAnsi="楷体" w:eastAsia="楷体" w:cs="Times New Roman"/>
          <w:b/>
          <w:bCs/>
          <w:w w:val="100"/>
          <w:kern w:val="0"/>
          <w:sz w:val="28"/>
          <w:szCs w:val="28"/>
        </w:rPr>
        <w:t>是理顺民办学校管理机制</w:t>
      </w:r>
      <w:r>
        <w:rPr>
          <w:rFonts w:hint="eastAsia" w:ascii="楷体" w:hAnsi="楷体" w:eastAsia="楷体" w:cs="Times New Roman"/>
          <w:b/>
          <w:bCs/>
          <w:w w:val="100"/>
          <w:kern w:val="0"/>
          <w:sz w:val="28"/>
          <w:szCs w:val="28"/>
        </w:rPr>
        <w:t>。</w:t>
      </w:r>
      <w:r>
        <w:rPr>
          <w:rFonts w:ascii="楷体" w:hAnsi="楷体" w:eastAsia="楷体" w:cs="宋体"/>
          <w:w w:val="100"/>
          <w:kern w:val="0"/>
          <w:sz w:val="28"/>
          <w:szCs w:val="28"/>
        </w:rPr>
        <w:t>根据省教育厅简政放权有关要求，今年我们将原市直36所民办高中学校日常工作管理权责移交给属地县市区，增强了属地教育部门对民办高中学校的管理能力，同时，也有利于市教育局进一步集中精力抓全市教育工作的统筹指导。</w:t>
      </w:r>
      <w:r>
        <w:rPr>
          <w:rFonts w:hint="eastAsia" w:ascii="楷体" w:hAnsi="楷体" w:eastAsia="楷体" w:cs="Times New Roman"/>
          <w:b/>
          <w:bCs/>
          <w:w w:val="100"/>
          <w:sz w:val="28"/>
          <w:szCs w:val="28"/>
        </w:rPr>
        <w:t>二是</w:t>
      </w:r>
      <w:r>
        <w:rPr>
          <w:rFonts w:ascii="楷体" w:hAnsi="楷体" w:eastAsia="楷体" w:cs="Times New Roman"/>
          <w:b/>
          <w:bCs/>
          <w:w w:val="100"/>
          <w:sz w:val="28"/>
          <w:szCs w:val="28"/>
        </w:rPr>
        <w:t>落实中小学教师减负要求</w:t>
      </w:r>
      <w:r>
        <w:rPr>
          <w:rFonts w:hint="eastAsia" w:ascii="楷体" w:hAnsi="楷体" w:eastAsia="楷体" w:cs="Times New Roman"/>
          <w:b/>
          <w:bCs/>
          <w:w w:val="100"/>
          <w:sz w:val="28"/>
          <w:szCs w:val="28"/>
        </w:rPr>
        <w:t>。</w:t>
      </w:r>
      <w:r>
        <w:rPr>
          <w:rFonts w:ascii="楷体" w:hAnsi="楷体" w:eastAsia="楷体" w:cs="宋体"/>
          <w:w w:val="100"/>
          <w:kern w:val="0"/>
          <w:sz w:val="28"/>
          <w:szCs w:val="28"/>
        </w:rPr>
        <w:t>市委市政府主要领导亲自部署安排教师减负工作相关调研，责成纪检监察部门牵头督促教师减负政策落实工作，市委教育工作领导小组</w:t>
      </w:r>
      <w:r>
        <w:rPr>
          <w:rFonts w:hint="eastAsia" w:ascii="楷体" w:hAnsi="楷体" w:eastAsia="楷体" w:cs="宋体"/>
          <w:w w:val="100"/>
          <w:kern w:val="0"/>
          <w:sz w:val="28"/>
          <w:szCs w:val="28"/>
        </w:rPr>
        <w:t>印发</w:t>
      </w:r>
      <w:r>
        <w:rPr>
          <w:rFonts w:ascii="楷体" w:hAnsi="楷体" w:eastAsia="楷体" w:cs="宋体"/>
          <w:w w:val="100"/>
          <w:kern w:val="0"/>
          <w:sz w:val="28"/>
          <w:szCs w:val="28"/>
        </w:rPr>
        <w:t>《2023年度中小学校、教师督查检查</w:t>
      </w:r>
      <w:r>
        <w:rPr>
          <w:rFonts w:ascii="楷体" w:hAnsi="楷体" w:eastAsia="楷体" w:cs="Times New Roman"/>
          <w:w w:val="100"/>
          <w:kern w:val="0"/>
          <w:sz w:val="28"/>
          <w:szCs w:val="28"/>
        </w:rPr>
        <w:t>考核评比和社会事务进校园</w:t>
      </w:r>
      <w:r>
        <w:rPr>
          <w:rFonts w:hint="eastAsia" w:ascii="楷体" w:hAnsi="楷体" w:eastAsia="楷体" w:cs="Times New Roman"/>
          <w:w w:val="100"/>
          <w:kern w:val="0"/>
          <w:sz w:val="28"/>
          <w:szCs w:val="28"/>
        </w:rPr>
        <w:t>“</w:t>
      </w:r>
      <w:r>
        <w:rPr>
          <w:rFonts w:ascii="楷体" w:hAnsi="楷体" w:eastAsia="楷体" w:cs="Times New Roman"/>
          <w:w w:val="100"/>
          <w:kern w:val="0"/>
          <w:sz w:val="28"/>
          <w:szCs w:val="28"/>
        </w:rPr>
        <w:t>白名单</w:t>
      </w:r>
      <w:r>
        <w:rPr>
          <w:rFonts w:hint="eastAsia" w:ascii="楷体" w:hAnsi="楷体" w:eastAsia="楷体" w:cs="Times New Roman"/>
          <w:w w:val="100"/>
          <w:kern w:val="0"/>
          <w:sz w:val="28"/>
          <w:szCs w:val="28"/>
        </w:rPr>
        <w:t>”</w:t>
      </w:r>
      <w:r>
        <w:rPr>
          <w:rFonts w:ascii="楷体" w:hAnsi="楷体" w:eastAsia="楷体" w:cs="Times New Roman"/>
          <w:w w:val="100"/>
          <w:kern w:val="0"/>
          <w:sz w:val="28"/>
          <w:szCs w:val="28"/>
        </w:rPr>
        <w:t>》，全市检查考核评比及社会事务进校园事项由100余项压减为18项。</w:t>
      </w:r>
      <w:r>
        <w:rPr>
          <w:rFonts w:ascii="楷体" w:hAnsi="楷体" w:eastAsia="楷体" w:cs="Times New Roman"/>
          <w:b/>
          <w:bCs/>
          <w:w w:val="100"/>
          <w:kern w:val="0"/>
          <w:sz w:val="28"/>
          <w:szCs w:val="28"/>
        </w:rPr>
        <w:t>三是创建家长夜校</w:t>
      </w:r>
      <w:r>
        <w:rPr>
          <w:rFonts w:hint="eastAsia" w:ascii="楷体" w:hAnsi="楷体" w:eastAsia="楷体" w:cs="Times New Roman"/>
          <w:b/>
          <w:bCs/>
          <w:w w:val="100"/>
          <w:kern w:val="0"/>
          <w:sz w:val="28"/>
          <w:szCs w:val="28"/>
        </w:rPr>
        <w:t>新</w:t>
      </w:r>
      <w:r>
        <w:rPr>
          <w:rFonts w:ascii="楷体" w:hAnsi="楷体" w:eastAsia="楷体" w:cs="Times New Roman"/>
          <w:b/>
          <w:bCs/>
          <w:w w:val="100"/>
          <w:kern w:val="0"/>
          <w:sz w:val="28"/>
          <w:szCs w:val="28"/>
        </w:rPr>
        <w:t>模式</w:t>
      </w:r>
      <w:r>
        <w:rPr>
          <w:rFonts w:hint="eastAsia" w:ascii="楷体" w:hAnsi="楷体" w:eastAsia="楷体" w:cs="Times New Roman"/>
          <w:b/>
          <w:bCs/>
          <w:w w:val="100"/>
          <w:kern w:val="0"/>
          <w:sz w:val="28"/>
          <w:szCs w:val="28"/>
        </w:rPr>
        <w:t>。</w:t>
      </w:r>
      <w:r>
        <w:rPr>
          <w:rFonts w:ascii="楷体" w:hAnsi="楷体" w:eastAsia="楷体" w:cs="Times New Roman"/>
          <w:w w:val="100"/>
          <w:kern w:val="0"/>
          <w:sz w:val="28"/>
          <w:szCs w:val="28"/>
        </w:rPr>
        <w:t>深入开展教师大家访活动，暑假期间对所有学生实现全覆盖家访。</w:t>
      </w:r>
      <w:r>
        <w:rPr>
          <w:rFonts w:ascii="楷体" w:hAnsi="楷体" w:eastAsia="楷体" w:cs="Times New Roman"/>
          <w:w w:val="100"/>
          <w:sz w:val="28"/>
          <w:szCs w:val="28"/>
        </w:rPr>
        <w:t>全市900余所中心校以上学校普遍建立家长夜校，</w:t>
      </w:r>
      <w:r>
        <w:rPr>
          <w:rFonts w:ascii="楷体" w:hAnsi="楷体" w:eastAsia="楷体" w:cs="Times New Roman"/>
          <w:w w:val="100"/>
          <w:kern w:val="0"/>
          <w:sz w:val="28"/>
          <w:szCs w:val="28"/>
        </w:rPr>
        <w:t>参与“线下＋直播＋录播”家长夜校教育家长</w:t>
      </w:r>
      <w:r>
        <w:rPr>
          <w:rFonts w:hint="eastAsia" w:ascii="楷体" w:hAnsi="楷体" w:eastAsia="楷体" w:cs="Times New Roman"/>
          <w:w w:val="100"/>
          <w:kern w:val="0"/>
          <w:sz w:val="28"/>
          <w:szCs w:val="28"/>
        </w:rPr>
        <w:t>近300</w:t>
      </w:r>
      <w:r>
        <w:rPr>
          <w:rFonts w:ascii="楷体" w:hAnsi="楷体" w:eastAsia="楷体" w:cs="Times New Roman"/>
          <w:w w:val="100"/>
          <w:kern w:val="0"/>
          <w:sz w:val="28"/>
          <w:szCs w:val="28"/>
        </w:rPr>
        <w:t>万人次，《中国教育报》区域版头条推介我市经验。</w:t>
      </w:r>
      <w:r>
        <w:rPr>
          <w:rFonts w:ascii="楷体" w:hAnsi="楷体" w:eastAsia="楷体" w:cs="Times New Roman"/>
          <w:b/>
          <w:bCs/>
          <w:w w:val="100"/>
          <w:kern w:val="0"/>
          <w:sz w:val="28"/>
          <w:szCs w:val="28"/>
        </w:rPr>
        <w:t>四</w:t>
      </w:r>
      <w:r>
        <w:rPr>
          <w:rFonts w:hint="eastAsia" w:ascii="楷体" w:hAnsi="楷体" w:eastAsia="楷体" w:cs="Times New Roman"/>
          <w:b/>
          <w:bCs/>
          <w:w w:val="100"/>
          <w:kern w:val="0"/>
          <w:sz w:val="28"/>
          <w:szCs w:val="28"/>
        </w:rPr>
        <w:t>是</w:t>
      </w:r>
      <w:r>
        <w:rPr>
          <w:rFonts w:ascii="楷体" w:hAnsi="楷体" w:eastAsia="楷体" w:cs="Times New Roman"/>
          <w:b/>
          <w:bCs/>
          <w:w w:val="100"/>
          <w:kern w:val="0"/>
          <w:sz w:val="28"/>
          <w:szCs w:val="28"/>
        </w:rPr>
        <w:t>探索建立</w:t>
      </w:r>
      <w:r>
        <w:rPr>
          <w:rFonts w:hint="eastAsia" w:ascii="楷体" w:hAnsi="楷体" w:eastAsia="楷体" w:cs="Times New Roman"/>
          <w:b/>
          <w:bCs/>
          <w:w w:val="100"/>
          <w:kern w:val="0"/>
          <w:sz w:val="28"/>
          <w:szCs w:val="28"/>
        </w:rPr>
        <w:t>心理健康医校联盟。</w:t>
      </w:r>
      <w:r>
        <w:rPr>
          <w:rFonts w:ascii="楷体" w:hAnsi="楷体" w:eastAsia="楷体" w:cs="Times New Roman"/>
          <w:w w:val="100"/>
          <w:sz w:val="28"/>
          <w:szCs w:val="28"/>
        </w:rPr>
        <w:t>市教育局</w:t>
      </w:r>
      <w:r>
        <w:rPr>
          <w:rFonts w:hint="eastAsia" w:ascii="楷体" w:hAnsi="楷体" w:eastAsia="楷体" w:cs="Times New Roman"/>
          <w:w w:val="100"/>
          <w:kern w:val="0"/>
          <w:sz w:val="28"/>
          <w:szCs w:val="28"/>
        </w:rPr>
        <w:t>与市第四人民医院</w:t>
      </w:r>
      <w:r>
        <w:rPr>
          <w:rFonts w:ascii="楷体" w:hAnsi="楷体" w:eastAsia="楷体" w:cs="Times New Roman"/>
          <w:w w:val="100"/>
          <w:kern w:val="0"/>
          <w:sz w:val="28"/>
          <w:szCs w:val="28"/>
        </w:rPr>
        <w:t>签订心理健康医校联盟</w:t>
      </w:r>
      <w:r>
        <w:rPr>
          <w:rFonts w:hint="eastAsia" w:ascii="楷体" w:hAnsi="楷体" w:eastAsia="楷体" w:cs="Times New Roman"/>
          <w:w w:val="100"/>
          <w:kern w:val="0"/>
          <w:sz w:val="28"/>
          <w:szCs w:val="28"/>
        </w:rPr>
        <w:t>合作协议，确保每一所学校都有一名第四人民医院专职心理医生负责技术指导，确保每学期至少对所有师生开展1次以上心理健康专家讲座。</w:t>
      </w:r>
    </w:p>
    <w:p w14:paraId="2A6FB63E">
      <w:pPr>
        <w:ind w:firstLine="708" w:firstLineChars="253"/>
        <w:rPr>
          <w:rFonts w:ascii="楷体" w:hAnsi="楷体" w:eastAsia="楷体"/>
          <w:w w:val="100"/>
          <w:sz w:val="28"/>
          <w:szCs w:val="28"/>
        </w:rPr>
      </w:pPr>
      <w:r>
        <w:rPr>
          <w:rFonts w:ascii="楷体" w:hAnsi="楷体" w:eastAsia="楷体" w:cs="楷体_GB2312"/>
          <w:b/>
          <w:bCs/>
          <w:w w:val="100"/>
          <w:sz w:val="28"/>
          <w:szCs w:val="28"/>
        </w:rPr>
        <w:t>（</w:t>
      </w:r>
      <w:r>
        <w:rPr>
          <w:rFonts w:hint="eastAsia" w:ascii="楷体" w:hAnsi="楷体" w:eastAsia="楷体" w:cs="楷体_GB2312"/>
          <w:b/>
          <w:bCs/>
          <w:w w:val="100"/>
          <w:sz w:val="28"/>
          <w:szCs w:val="28"/>
        </w:rPr>
        <w:t>6</w:t>
      </w:r>
      <w:r>
        <w:rPr>
          <w:rFonts w:ascii="楷体" w:hAnsi="楷体" w:eastAsia="楷体" w:cs="楷体_GB2312"/>
          <w:b/>
          <w:bCs/>
          <w:w w:val="100"/>
          <w:sz w:val="28"/>
          <w:szCs w:val="28"/>
        </w:rPr>
        <w:t>）</w:t>
      </w:r>
      <w:r>
        <w:rPr>
          <w:rFonts w:hint="eastAsia" w:ascii="楷体" w:hAnsi="楷体" w:eastAsia="楷体" w:cs="楷体_GB2312"/>
          <w:b/>
          <w:bCs/>
          <w:w w:val="100"/>
          <w:sz w:val="28"/>
          <w:szCs w:val="28"/>
        </w:rPr>
        <w:t>抓5大领域专项治理。</w:t>
      </w:r>
      <w:r>
        <w:rPr>
          <w:rFonts w:ascii="楷体" w:hAnsi="楷体" w:eastAsia="楷体"/>
          <w:b/>
          <w:bCs/>
          <w:w w:val="100"/>
          <w:kern w:val="0"/>
          <w:sz w:val="28"/>
          <w:szCs w:val="28"/>
        </w:rPr>
        <w:t>一是强化校外培训机构专项整治。</w:t>
      </w:r>
      <w:r>
        <w:rPr>
          <w:rFonts w:ascii="楷体" w:hAnsi="楷体" w:eastAsia="楷体"/>
          <w:bCs/>
          <w:w w:val="100"/>
          <w:sz w:val="28"/>
          <w:szCs w:val="28"/>
        </w:rPr>
        <w:t>全年开展联合执法80余次，出动执法人员2598人次，共查处违规培训的在职教师数8人，查处违规广告数89处，下发整改通知书134份。</w:t>
      </w:r>
      <w:r>
        <w:rPr>
          <w:rFonts w:ascii="楷体" w:hAnsi="楷体" w:eastAsia="楷体"/>
          <w:b/>
          <w:w w:val="100"/>
          <w:sz w:val="28"/>
          <w:szCs w:val="28"/>
        </w:rPr>
        <w:t>二是强化校园安全专项整治。</w:t>
      </w:r>
      <w:r>
        <w:rPr>
          <w:rFonts w:ascii="楷体" w:hAnsi="楷体" w:eastAsia="楷体"/>
          <w:bCs/>
          <w:w w:val="100"/>
          <w:sz w:val="28"/>
          <w:szCs w:val="28"/>
        </w:rPr>
        <w:t>投入校园安防建设资金6950万元，651所乡镇中心完小以上学校完成双重预防体系建设，排查整治校园重大隐患19条，一般隐患287条。</w:t>
      </w:r>
      <w:r>
        <w:rPr>
          <w:rFonts w:ascii="楷体" w:hAnsi="楷体" w:eastAsia="楷体"/>
          <w:b/>
          <w:w w:val="100"/>
          <w:sz w:val="28"/>
          <w:szCs w:val="28"/>
        </w:rPr>
        <w:t>三是强化教育乱收费问题专项整治。</w:t>
      </w:r>
      <w:r>
        <w:rPr>
          <w:rFonts w:ascii="楷体" w:hAnsi="楷体" w:eastAsia="楷体"/>
          <w:bCs/>
          <w:w w:val="100"/>
          <w:sz w:val="28"/>
          <w:szCs w:val="28"/>
        </w:rPr>
        <w:t>市场监督管理、发改、教育部门联合检查教育机构249家，其中中职院校（中专、职业高中）12家、中小学144家、校外培训机构93家，已立案4起，结案3起，处理金额7.48万元。</w:t>
      </w:r>
      <w:r>
        <w:rPr>
          <w:rFonts w:ascii="楷体" w:hAnsi="楷体" w:eastAsia="楷体"/>
          <w:b/>
          <w:w w:val="100"/>
          <w:sz w:val="28"/>
          <w:szCs w:val="28"/>
        </w:rPr>
        <w:t>四是强化“以学谋私”问题专项整治。</w:t>
      </w:r>
      <w:r>
        <w:rPr>
          <w:rFonts w:ascii="楷体" w:hAnsi="楷体" w:eastAsia="楷体"/>
          <w:bCs/>
          <w:w w:val="100"/>
          <w:sz w:val="28"/>
          <w:szCs w:val="28"/>
        </w:rPr>
        <w:t>配合市纪委重点整治招生考试、基建后勤、选人用人、师德师风、“四风”等5个方面突出问题，目前已排查学校1500余所、教师5.3万余人。</w:t>
      </w:r>
    </w:p>
    <w:p w14:paraId="28AB7E09">
      <w:pPr>
        <w:ind w:firstLine="848" w:firstLineChars="303"/>
        <w:rPr>
          <w:rFonts w:ascii="楷体" w:hAnsi="楷体" w:eastAsia="楷体"/>
          <w:w w:val="100"/>
          <w:sz w:val="28"/>
          <w:szCs w:val="28"/>
        </w:rPr>
      </w:pPr>
      <w:r>
        <w:rPr>
          <w:rFonts w:hint="eastAsia" w:ascii="楷体" w:hAnsi="楷体" w:eastAsia="楷体"/>
          <w:w w:val="100"/>
          <w:sz w:val="28"/>
          <w:szCs w:val="28"/>
        </w:rPr>
        <w:t>8.</w:t>
      </w:r>
      <w:r>
        <w:rPr>
          <w:rFonts w:ascii="楷体" w:hAnsi="楷体" w:eastAsia="楷体"/>
          <w:w w:val="100"/>
          <w:sz w:val="28"/>
          <w:szCs w:val="28"/>
        </w:rPr>
        <w:t>履职效益</w:t>
      </w:r>
    </w:p>
    <w:p w14:paraId="23F53B7E">
      <w:pPr>
        <w:ind w:firstLine="708" w:firstLineChars="253"/>
        <w:rPr>
          <w:rFonts w:ascii="楷体" w:hAnsi="楷体" w:eastAsia="楷体"/>
          <w:w w:val="100"/>
          <w:sz w:val="28"/>
          <w:szCs w:val="28"/>
        </w:rPr>
      </w:pPr>
      <w:r>
        <w:rPr>
          <w:rFonts w:ascii="楷体" w:hAnsi="楷体" w:eastAsia="楷体"/>
          <w:w w:val="100"/>
          <w:sz w:val="28"/>
          <w:szCs w:val="28"/>
        </w:rPr>
        <w:t>（</w:t>
      </w:r>
      <w:r>
        <w:rPr>
          <w:rFonts w:hint="eastAsia" w:ascii="楷体" w:hAnsi="楷体" w:eastAsia="楷体"/>
          <w:w w:val="100"/>
          <w:sz w:val="28"/>
          <w:szCs w:val="28"/>
        </w:rPr>
        <w:t>1</w:t>
      </w:r>
      <w:r>
        <w:rPr>
          <w:rFonts w:ascii="楷体" w:hAnsi="楷体" w:eastAsia="楷体"/>
          <w:w w:val="100"/>
          <w:sz w:val="28"/>
          <w:szCs w:val="28"/>
        </w:rPr>
        <w:t>）</w:t>
      </w:r>
      <w:r>
        <w:rPr>
          <w:rFonts w:hint="eastAsia" w:ascii="楷体" w:hAnsi="楷体" w:eastAsia="楷体"/>
          <w:w w:val="100"/>
          <w:sz w:val="28"/>
          <w:szCs w:val="28"/>
        </w:rPr>
        <w:t>经济效益</w:t>
      </w:r>
    </w:p>
    <w:p w14:paraId="53F5914A">
      <w:pPr>
        <w:ind w:firstLine="708" w:firstLineChars="253"/>
        <w:rPr>
          <w:rFonts w:ascii="楷体" w:hAnsi="楷体" w:eastAsia="楷体"/>
          <w:w w:val="100"/>
          <w:sz w:val="28"/>
          <w:szCs w:val="28"/>
        </w:rPr>
      </w:pPr>
      <w:r>
        <w:rPr>
          <w:rFonts w:hint="eastAsia" w:ascii="楷体" w:hAnsi="楷体" w:eastAsia="楷体"/>
          <w:w w:val="100"/>
          <w:sz w:val="28"/>
          <w:szCs w:val="28"/>
        </w:rPr>
        <w:t>通过合理规划和使用教育经费，优化教育资源配置，提高了教育资源的利用效率，为社会培养了大量高素质的人才，为经济社会发展提供了有力的人才支撑和智力支持，间接促进了经济的增长。一方面，教育投入的增加带动了教育相关产业的发展，如教材出版、教育培训等行业，创造了一定的经济效益和就业机会。另一方面，高素质人才的培养为本市企业的创新发展和产业升级提供了动力，提高了企业的生产效率和竞争力，促进了经济的可持续发展。通过职业教育培养的技能型人才，能够快速适应企业的岗位需求，为企业创造更多的价值。</w:t>
      </w:r>
    </w:p>
    <w:p w14:paraId="1C6AE2B0">
      <w:pPr>
        <w:ind w:firstLine="708" w:firstLineChars="253"/>
        <w:rPr>
          <w:rFonts w:ascii="楷体" w:hAnsi="楷体" w:eastAsia="楷体"/>
          <w:w w:val="100"/>
          <w:sz w:val="28"/>
          <w:szCs w:val="28"/>
        </w:rPr>
      </w:pPr>
      <w:r>
        <w:rPr>
          <w:rFonts w:hint="eastAsia" w:ascii="楷体" w:hAnsi="楷体" w:eastAsia="楷体"/>
          <w:w w:val="100"/>
          <w:sz w:val="28"/>
          <w:szCs w:val="28"/>
        </w:rPr>
        <w:t>（2）社会效益</w:t>
      </w:r>
    </w:p>
    <w:p w14:paraId="1A07FD92">
      <w:pPr>
        <w:ind w:firstLine="708" w:firstLineChars="253"/>
        <w:rPr>
          <w:rFonts w:ascii="楷体" w:hAnsi="楷体" w:eastAsia="楷体"/>
          <w:w w:val="100"/>
          <w:sz w:val="28"/>
          <w:szCs w:val="28"/>
        </w:rPr>
      </w:pPr>
      <w:r>
        <w:rPr>
          <w:rFonts w:hint="eastAsia" w:ascii="楷体" w:hAnsi="楷体" w:eastAsia="楷体"/>
          <w:w w:val="100"/>
          <w:sz w:val="28"/>
          <w:szCs w:val="28"/>
        </w:rPr>
        <w:t>教育公平得到进一步推进。加大了对农村地区、贫困地区和薄弱学校的支持力度，在教育资源配置、师资队伍建设、教育教学质量提升等方面给予政策倾斜和资金支持。通过实施农村义务教育薄弱学校改造计划、教育扶贫工程、城乡学校结对帮扶等项目，改善了农村学校和薄弱学校的办学条件，提高了农村教师的待遇和素质，缩小了城乡、区域和校际之间的教育差距，让更多的孩子享受到了优质教育资源，促进了教育公平。在农村义务教育薄弱学校改造计划中，</w:t>
      </w:r>
      <w:r>
        <w:rPr>
          <w:rFonts w:ascii="楷体" w:hAnsi="楷体" w:eastAsia="楷体"/>
          <w:w w:val="100"/>
          <w:sz w:val="28"/>
          <w:szCs w:val="28"/>
        </w:rPr>
        <w:t>为农村学校新建和改造了教学楼、食堂、宿舍等基础设施，配备了多媒体教学设备、图书、实验仪器等教学设备，使农村学校的办学条件得到了显著改善；通过开展城乡学校结对帮扶活动，城市优质学校与农村薄弱学校建立了长期稳定的帮扶关系，城市学校通过派出骨干教师支教、开展教学交流活动、共享教学资源等方式，帮助农村学校提高了教育教学质量。</w:t>
      </w:r>
    </w:p>
    <w:p w14:paraId="6FB46025">
      <w:pPr>
        <w:ind w:firstLine="708" w:firstLineChars="253"/>
        <w:rPr>
          <w:rFonts w:ascii="楷体" w:hAnsi="楷体" w:eastAsia="楷体"/>
          <w:w w:val="100"/>
          <w:sz w:val="28"/>
          <w:szCs w:val="28"/>
        </w:rPr>
      </w:pPr>
      <w:r>
        <w:rPr>
          <w:rFonts w:hint="eastAsia" w:ascii="楷体" w:hAnsi="楷体" w:eastAsia="楷体"/>
          <w:w w:val="100"/>
          <w:sz w:val="28"/>
          <w:szCs w:val="28"/>
        </w:rPr>
        <w:t>教育质量得到进一步提高。通过加强教师队伍建设、推进教育教学改革、完善教育评价体系等措施，提高了教育教学质量，培养了学生的创新精神和实践能力。积极推进素质教育，注重学生的全面发展，加强了德育、智育、体育、美育和劳动教育，促进了学生身心健康和综合素质的提升。加强了教师培训工作，组织教师参加国家级、省级、市级培训项目，提高了教师的业务水平和教学能力；推进了课程改革，优化了课程设置，丰富了课程内容，提高了课程的针对性和实效性；完善了教育评价体系，建立了多元化的评价指标，注重对学生的过程性评价和发展性评价，促进了学生的全面发展。</w:t>
      </w:r>
    </w:p>
    <w:p w14:paraId="548706AC">
      <w:pPr>
        <w:ind w:firstLine="708" w:firstLineChars="253"/>
        <w:rPr>
          <w:rFonts w:ascii="楷体" w:hAnsi="楷体" w:eastAsia="楷体"/>
          <w:w w:val="100"/>
          <w:sz w:val="28"/>
          <w:szCs w:val="28"/>
        </w:rPr>
      </w:pPr>
      <w:r>
        <w:rPr>
          <w:rFonts w:hint="eastAsia" w:ascii="楷体" w:hAnsi="楷体" w:eastAsia="楷体"/>
          <w:w w:val="100"/>
          <w:sz w:val="28"/>
          <w:szCs w:val="28"/>
        </w:rPr>
        <w:t>教育服务能力得到进一步提升。加强了教育信息化建设，搭建了教育资源公共服务平台和教育管理公共服务平台，实现了优质教育资源共享和教育管理信息化。积极推进教育领域“放管服”改革，简化了办事流程，提高了服务效率，为学校、教师和学生提供了更加便捷、高效的服务。通过教育资源公共服务平台，教师可以方便地获取优质教学资源，开展网络备课、网络教学和网络教研活动；学生可以在线学习课程、查阅资料、完成作业和参加测试；家长可以及时了解学生的学习情况和在校表现，加强与学校和教师的沟通交流。通过推进教育领域“放管服”改革，简化了学校办学审批手续，优化了教师招聘和职称评审流程，提高了教育服务水平，赢得了社会的广泛赞誉。</w:t>
      </w:r>
    </w:p>
    <w:p w14:paraId="3ABB4A39">
      <w:pPr>
        <w:ind w:firstLine="708" w:firstLineChars="253"/>
        <w:rPr>
          <w:rFonts w:ascii="楷体" w:hAnsi="楷体" w:eastAsia="楷体"/>
          <w:w w:val="100"/>
          <w:sz w:val="28"/>
          <w:szCs w:val="28"/>
        </w:rPr>
      </w:pPr>
      <w:r>
        <w:rPr>
          <w:rFonts w:hint="eastAsia" w:ascii="楷体" w:hAnsi="楷体" w:eastAsia="楷体"/>
          <w:w w:val="100"/>
          <w:sz w:val="28"/>
          <w:szCs w:val="28"/>
        </w:rPr>
        <w:t>（3）生态效益</w:t>
      </w:r>
    </w:p>
    <w:p w14:paraId="5B3B6814">
      <w:pPr>
        <w:ind w:firstLine="708" w:firstLineChars="253"/>
        <w:rPr>
          <w:rFonts w:ascii="楷体" w:hAnsi="楷体" w:eastAsia="楷体"/>
          <w:w w:val="100"/>
          <w:sz w:val="28"/>
          <w:szCs w:val="28"/>
        </w:rPr>
      </w:pPr>
      <w:r>
        <w:rPr>
          <w:rFonts w:hint="eastAsia" w:ascii="楷体" w:hAnsi="楷体" w:eastAsia="楷体"/>
          <w:w w:val="100"/>
          <w:sz w:val="28"/>
          <w:szCs w:val="28"/>
        </w:rPr>
        <w:t>积极开展绿色校园建设活动，加强生态文明教育，将生态文明理念融入教育教学全过程，提高了师生的生态文明意识，促进了校园环境的美化和优化。通过开展植树造林、垃圾分类、节能减排等活动，营造了绿色、低碳、环保的校园环境。加强了校园绿化工作，增加了校园绿地面积，提高了校园绿化覆盖率；推广使用节能环保设备和材料，降低了能源消耗和污染物排放；加强了对校园环境的日常管理和维护，保持了校园环境的整洁和卫生。部分学校结合本市资源开展乡村研学活动，让学生亲身体验种植、养殖等农业生产活动，培养了学生的劳动意识和环保意识；开展了“环保小卫士”评选活动，鼓励学生积极参与环保实践活动，养成良好的环保习惯，增强了学生对环境保护的认识和责任感。</w:t>
      </w:r>
    </w:p>
    <w:p w14:paraId="44F956F9">
      <w:pPr>
        <w:ind w:firstLine="708" w:firstLineChars="253"/>
        <w:rPr>
          <w:rFonts w:ascii="楷体" w:hAnsi="楷体" w:eastAsia="楷体"/>
          <w:w w:val="100"/>
          <w:sz w:val="28"/>
          <w:szCs w:val="28"/>
        </w:rPr>
      </w:pPr>
      <w:r>
        <w:rPr>
          <w:rFonts w:ascii="楷体" w:hAnsi="楷体" w:eastAsia="楷体"/>
          <w:w w:val="100"/>
          <w:sz w:val="28"/>
          <w:szCs w:val="28"/>
        </w:rPr>
        <w:t>十、存在的问题及改进措施</w:t>
      </w:r>
    </w:p>
    <w:p w14:paraId="172C3DC8">
      <w:pPr>
        <w:ind w:firstLine="708" w:firstLineChars="253"/>
        <w:rPr>
          <w:rFonts w:ascii="楷体" w:hAnsi="楷体" w:eastAsia="楷体"/>
          <w:w w:val="100"/>
          <w:sz w:val="28"/>
          <w:szCs w:val="28"/>
        </w:rPr>
      </w:pPr>
      <w:r>
        <w:rPr>
          <w:rFonts w:ascii="楷体" w:hAnsi="楷体" w:eastAsia="楷体"/>
          <w:w w:val="100"/>
          <w:sz w:val="28"/>
          <w:szCs w:val="28"/>
        </w:rPr>
        <w:t>（一）存在的问题</w:t>
      </w:r>
    </w:p>
    <w:p w14:paraId="5C77EEC9">
      <w:pPr>
        <w:spacing w:line="640" w:lineRule="exact"/>
        <w:ind w:firstLine="560" w:firstLineChars="200"/>
        <w:rPr>
          <w:rFonts w:ascii="楷体" w:hAnsi="楷体" w:eastAsia="楷体"/>
          <w:w w:val="100"/>
          <w:sz w:val="28"/>
          <w:szCs w:val="28"/>
        </w:rPr>
      </w:pPr>
      <w:r>
        <w:rPr>
          <w:rFonts w:ascii="楷体" w:hAnsi="楷体" w:eastAsia="楷体" w:cs="Times New Roman"/>
          <w:b/>
          <w:bCs/>
          <w:w w:val="100"/>
          <w:sz w:val="28"/>
          <w:szCs w:val="28"/>
        </w:rPr>
        <w:t>一是</w:t>
      </w:r>
      <w:r>
        <w:rPr>
          <w:rFonts w:ascii="楷体" w:hAnsi="楷体" w:eastAsia="楷体" w:cs="Times New Roman"/>
          <w:w w:val="100"/>
          <w:sz w:val="28"/>
          <w:szCs w:val="28"/>
        </w:rPr>
        <w:t>有学上的问题基本解决了，上好学的问题还没有解决。去年全国义务教育质量监测排名全省倒数，高考本科录取率全省靠后。</w:t>
      </w:r>
      <w:r>
        <w:rPr>
          <w:rFonts w:ascii="楷体" w:hAnsi="楷体" w:eastAsia="楷体" w:cs="Times New Roman"/>
          <w:b/>
          <w:bCs/>
          <w:w w:val="100"/>
          <w:sz w:val="28"/>
          <w:szCs w:val="28"/>
        </w:rPr>
        <w:t>二是</w:t>
      </w:r>
      <w:r>
        <w:rPr>
          <w:rFonts w:ascii="楷体" w:hAnsi="楷体" w:eastAsia="楷体" w:cs="Times New Roman"/>
          <w:w w:val="100"/>
          <w:sz w:val="28"/>
          <w:szCs w:val="28"/>
        </w:rPr>
        <w:t>可教书的问题基本解决了，教好书的问题还没有解决。城乡教师编制结构失衡，全市中小学教师编制基本达标，但随着城市化和出生人口下降，乡村教师编制基本满足需要甚至有所富余，城市教师编制严重不足，教师队伍整体素质与教育强市相比仍有差距。</w:t>
      </w:r>
      <w:r>
        <w:rPr>
          <w:rFonts w:ascii="楷体" w:hAnsi="楷体" w:eastAsia="楷体" w:cs="Times New Roman"/>
          <w:b/>
          <w:bCs/>
          <w:w w:val="100"/>
          <w:sz w:val="28"/>
          <w:szCs w:val="28"/>
        </w:rPr>
        <w:t>三是</w:t>
      </w:r>
      <w:r>
        <w:rPr>
          <w:rFonts w:ascii="楷体" w:hAnsi="楷体" w:eastAsia="楷体" w:cs="Times New Roman"/>
          <w:w w:val="100"/>
          <w:sz w:val="28"/>
          <w:szCs w:val="28"/>
        </w:rPr>
        <w:t>职责治校的问题基本解决了，能人治校的问题还没有解决。与先进地区相比，我市中小学校书记校长在办学理念、管理水平等方面还有较大差距，突出表现在思想不解放，学校行政化严重。党风廉政案发情况虽然得到了一定程度的遏制，但仍然易发多发。</w:t>
      </w:r>
      <w:r>
        <w:rPr>
          <w:rFonts w:ascii="楷体" w:hAnsi="楷体" w:eastAsia="楷体" w:cs="Times New Roman"/>
          <w:b/>
          <w:bCs/>
          <w:w w:val="100"/>
          <w:sz w:val="28"/>
          <w:szCs w:val="28"/>
        </w:rPr>
        <w:t>四是</w:t>
      </w:r>
      <w:r>
        <w:rPr>
          <w:rFonts w:ascii="楷体" w:hAnsi="楷体" w:eastAsia="楷体" w:cs="Times New Roman"/>
          <w:w w:val="100"/>
          <w:sz w:val="28"/>
          <w:szCs w:val="28"/>
        </w:rPr>
        <w:t>家校同向的问题基本解决了，家校同心的问题还没有解决。梳理近年来家长投诉信访问题，大多数是家长对教育工作和对家庭教育知识了解掌握不够造成的，部分家长家庭教育责任缺失，片面认为教育仅仅是学校的事情。有的家长过分溺爱孩子，学校老师骂不得、讲不得，上体育课破了点皮都会到学校大吵大闹。</w:t>
      </w:r>
      <w:r>
        <w:rPr>
          <w:rFonts w:ascii="楷体" w:hAnsi="楷体" w:eastAsia="楷体" w:cs="Times New Roman"/>
          <w:b/>
          <w:bCs/>
          <w:w w:val="100"/>
          <w:sz w:val="28"/>
          <w:szCs w:val="28"/>
        </w:rPr>
        <w:t>五是</w:t>
      </w:r>
      <w:r>
        <w:rPr>
          <w:rFonts w:ascii="楷体" w:hAnsi="楷体" w:eastAsia="楷体" w:cs="Times New Roman"/>
          <w:w w:val="100"/>
          <w:sz w:val="28"/>
          <w:szCs w:val="28"/>
        </w:rPr>
        <w:t>上下协同的问题基本解决了，左右协力的问题还没有解决。调研了近期教师减负工作，社会事物进校园问题未得到有效解决，如医保缴费、家长头盔佩戴等工作依旧让学校苦不堪言。</w:t>
      </w:r>
    </w:p>
    <w:p w14:paraId="104C5AEA">
      <w:pPr>
        <w:ind w:firstLine="708" w:firstLineChars="253"/>
        <w:rPr>
          <w:rFonts w:ascii="楷体" w:hAnsi="楷体" w:eastAsia="楷体"/>
          <w:w w:val="100"/>
          <w:sz w:val="28"/>
          <w:szCs w:val="28"/>
        </w:rPr>
      </w:pPr>
      <w:r>
        <w:rPr>
          <w:rFonts w:ascii="楷体" w:hAnsi="楷体" w:eastAsia="楷体"/>
          <w:w w:val="100"/>
          <w:sz w:val="28"/>
          <w:szCs w:val="28"/>
        </w:rPr>
        <w:t>（二）改进措施</w:t>
      </w:r>
    </w:p>
    <w:p w14:paraId="3DD48CB2">
      <w:pPr>
        <w:ind w:firstLine="565" w:firstLineChars="202"/>
        <w:rPr>
          <w:rFonts w:ascii="楷体" w:hAnsi="楷体" w:eastAsia="楷体"/>
          <w:w w:val="100"/>
          <w:sz w:val="28"/>
          <w:szCs w:val="28"/>
        </w:rPr>
      </w:pPr>
      <w:r>
        <w:rPr>
          <w:rFonts w:hint="eastAsia" w:ascii="楷体" w:hAnsi="楷体" w:eastAsia="楷体"/>
          <w:w w:val="100"/>
          <w:sz w:val="28"/>
          <w:szCs w:val="28"/>
        </w:rPr>
        <w:t>（1）提升教育教学质量：针对义务教育质量监测排名落后和高考本科录取率靠后的问题，深入研究分析监测数据和高考情况，制定专项提升计划。加强教育教学改革，引进先进的教学理念和方法，优化课程设置和教学内容。建立教育质量监测和评估长效机制，定期对学校教育教学质量进行监测和评估，及时发现问题并整改。</w:t>
      </w:r>
    </w:p>
    <w:p w14:paraId="3E924058">
      <w:pPr>
        <w:ind w:firstLine="565" w:firstLineChars="202"/>
        <w:rPr>
          <w:rFonts w:ascii="楷体" w:hAnsi="楷体" w:eastAsia="楷体"/>
          <w:w w:val="100"/>
          <w:sz w:val="28"/>
          <w:szCs w:val="28"/>
        </w:rPr>
      </w:pPr>
      <w:r>
        <w:rPr>
          <w:rFonts w:hint="eastAsia" w:ascii="楷体" w:hAnsi="楷体" w:eastAsia="楷体"/>
          <w:w w:val="100"/>
          <w:sz w:val="28"/>
          <w:szCs w:val="28"/>
        </w:rPr>
        <w:t>（2）优化教师队伍结构与素质：科学调整城乡教师编制，根据城市化进程和学生流动情况，合理调配教师资源，将乡村富余教师向城市短缺地区流动。加大城市教师招聘力度，拓宽招聘渠道，吸引优秀人才投身城市教育。制定系统的教师培训计划，加强师德师风建设，提高教师的专业素养和教育教学能力，定期组织教师参加培训、研修和学术交流活动。建立教师考核评价机制，将教学成果、学生发展等纳入考核内容，激励教师不断提升自己。</w:t>
      </w:r>
    </w:p>
    <w:p w14:paraId="05F8543C">
      <w:pPr>
        <w:ind w:firstLine="565" w:firstLineChars="202"/>
        <w:rPr>
          <w:rFonts w:ascii="楷体" w:hAnsi="楷体" w:eastAsia="楷体"/>
          <w:w w:val="100"/>
          <w:sz w:val="28"/>
          <w:szCs w:val="28"/>
        </w:rPr>
      </w:pPr>
      <w:r>
        <w:rPr>
          <w:rFonts w:hint="eastAsia" w:ascii="楷体" w:hAnsi="楷体" w:eastAsia="楷体"/>
          <w:w w:val="100"/>
          <w:sz w:val="28"/>
          <w:szCs w:val="28"/>
        </w:rPr>
        <w:t>（3）提升学校管理水平：加强中小学校书记校长培训，组织到教育先进地区学习交流，拓宽办学理念，提升管理水平。推动学校管理体制改革，减少行政化干预，赋予学校更多的自主办学权，激发学校办学活力。加强党风廉政建设，完善监督管理机制，加强廉政教育，定期进行廉政检查和风险排查，严肃处理违纪违法行为。</w:t>
      </w:r>
    </w:p>
    <w:p w14:paraId="3796F6AC">
      <w:pPr>
        <w:ind w:firstLine="565" w:firstLineChars="202"/>
        <w:rPr>
          <w:rFonts w:ascii="楷体" w:hAnsi="楷体" w:eastAsia="楷体"/>
          <w:w w:val="100"/>
          <w:sz w:val="28"/>
          <w:szCs w:val="28"/>
        </w:rPr>
      </w:pPr>
      <w:r>
        <w:rPr>
          <w:rFonts w:hint="eastAsia" w:ascii="楷体" w:hAnsi="楷体" w:eastAsia="楷体"/>
          <w:w w:val="100"/>
          <w:sz w:val="28"/>
          <w:szCs w:val="28"/>
        </w:rPr>
        <w:t>（四）加强家校合作：加强家庭教育宣传和指导，通过举办家长讲座、家长课堂等活动，普及家庭教育知识，提高家长对教育工作的认识和家庭教育责任意识。建立家校沟通机制，定期组织家长会、家校联谊会等活动，加强学校与家长的沟通与交流，促进家校同心。引导家长树立正确的教育观念，理性对待学校教育教学工作，营造尊师重教的良好氛围。</w:t>
      </w:r>
    </w:p>
    <w:p w14:paraId="47D59E96">
      <w:pPr>
        <w:ind w:firstLine="565" w:firstLineChars="202"/>
        <w:rPr>
          <w:rFonts w:ascii="仿宋" w:hAnsi="仿宋" w:eastAsia="仿宋"/>
          <w:w w:val="100"/>
          <w:sz w:val="28"/>
          <w:szCs w:val="28"/>
        </w:rPr>
      </w:pPr>
      <w:r>
        <w:rPr>
          <w:rFonts w:hint="eastAsia" w:ascii="楷体" w:hAnsi="楷体" w:eastAsia="楷体"/>
          <w:w w:val="100"/>
          <w:sz w:val="28"/>
          <w:szCs w:val="28"/>
        </w:rPr>
        <w:t>（五）为学校减负：教育部门联合其他相关部门，建立规范的社会事务进校园审核机制，严格控制非教育教学相关事务进入校园。加强与社会各界的沟通协调，明确各部门职责，避免将与学校教育教学无关的工作强加给学校。对已进入校园的社会事务进行整合和优化，减轻学校和教师的工作负担，让学校和教师能够专注于教育教学核心工作。</w:t>
      </w:r>
    </w:p>
    <w:p w14:paraId="4023493F">
      <w:pPr>
        <w:ind w:firstLine="565" w:firstLineChars="202"/>
        <w:rPr>
          <w:w w:val="100"/>
          <w:sz w:val="28"/>
          <w:szCs w:val="28"/>
        </w:rPr>
      </w:pPr>
      <w:r>
        <w:rPr>
          <w:rFonts w:hint="eastAsia"/>
          <w:w w:val="100"/>
          <w:sz w:val="28"/>
          <w:szCs w:val="28"/>
        </w:rPr>
        <w:t>九、其他需要说明的情况</w:t>
      </w:r>
    </w:p>
    <w:p w14:paraId="1E17CF63">
      <w:pPr>
        <w:pStyle w:val="14"/>
        <w:keepNext w:val="0"/>
        <w:keepLines w:val="0"/>
        <w:pageBreakBefore w:val="0"/>
        <w:widowControl w:val="0"/>
        <w:kinsoku/>
        <w:wordWrap/>
        <w:overflowPunct/>
        <w:topLinePunct w:val="0"/>
        <w:bidi w:val="0"/>
        <w:snapToGrid/>
        <w:spacing w:line="600" w:lineRule="exact"/>
        <w:ind w:firstLine="560" w:firstLineChars="200"/>
        <w:jc w:val="left"/>
        <w:textAlignment w:val="auto"/>
        <w:rPr>
          <w:rFonts w:hint="eastAsia" w:ascii="Times New Roman" w:hAnsi="Times New Roman" w:eastAsia="仿宋_GB2312"/>
          <w:sz w:val="32"/>
          <w:szCs w:val="32"/>
          <w:lang w:val="en-US" w:eastAsia="zh-CN"/>
        </w:rPr>
      </w:pPr>
      <w:r>
        <w:rPr>
          <w:rFonts w:ascii="楷体" w:hAnsi="楷体" w:eastAsia="楷体"/>
          <w:w w:val="100"/>
          <w:sz w:val="28"/>
          <w:szCs w:val="28"/>
        </w:rPr>
        <w:t>本年度我局在教育教学改革、师资队伍建设、学校基础设施建设等方面取得了一定的成绩，但也存在一些问题和不足。我们将以此次绩效自评工作为契机，进一步加强预算管理和绩效管理，不断提高财政资金使用效益，推动我市教育事业高质量发展。</w:t>
      </w:r>
    </w:p>
    <w:p w14:paraId="51918951">
      <w:pPr>
        <w:pStyle w:val="14"/>
        <w:jc w:val="center"/>
        <w:rPr>
          <w:sz w:val="72"/>
          <w:szCs w:val="72"/>
        </w:rPr>
      </w:pPr>
    </w:p>
    <w:p w14:paraId="64CA8608">
      <w:pPr>
        <w:pStyle w:val="14"/>
        <w:jc w:val="center"/>
        <w:rPr>
          <w:sz w:val="72"/>
          <w:szCs w:val="72"/>
        </w:rPr>
      </w:pPr>
    </w:p>
    <w:p w14:paraId="638928B7">
      <w:pPr>
        <w:pStyle w:val="14"/>
        <w:jc w:val="center"/>
        <w:rPr>
          <w:sz w:val="72"/>
          <w:szCs w:val="72"/>
        </w:rPr>
      </w:pPr>
    </w:p>
    <w:p w14:paraId="567FB04E">
      <w:pPr>
        <w:pStyle w:val="14"/>
        <w:jc w:val="center"/>
        <w:rPr>
          <w:sz w:val="72"/>
          <w:szCs w:val="72"/>
        </w:rPr>
      </w:pPr>
    </w:p>
    <w:p w14:paraId="668DA90C">
      <w:pPr>
        <w:pStyle w:val="14"/>
        <w:jc w:val="center"/>
        <w:rPr>
          <w:sz w:val="72"/>
          <w:szCs w:val="72"/>
        </w:rPr>
      </w:pPr>
    </w:p>
    <w:p w14:paraId="282D292A">
      <w:pPr>
        <w:pStyle w:val="14"/>
        <w:jc w:val="center"/>
        <w:rPr>
          <w:sz w:val="72"/>
          <w:szCs w:val="72"/>
        </w:rPr>
      </w:pPr>
    </w:p>
    <w:p w14:paraId="7DF40C15">
      <w:pPr>
        <w:pStyle w:val="14"/>
        <w:jc w:val="center"/>
        <w:rPr>
          <w:sz w:val="72"/>
          <w:szCs w:val="72"/>
        </w:rPr>
      </w:pPr>
    </w:p>
    <w:p w14:paraId="5FE053CD">
      <w:pPr>
        <w:pStyle w:val="14"/>
        <w:jc w:val="center"/>
        <w:rPr>
          <w:sz w:val="72"/>
          <w:szCs w:val="72"/>
        </w:rPr>
      </w:pPr>
    </w:p>
    <w:p w14:paraId="49C3ABFF">
      <w:pPr>
        <w:pStyle w:val="14"/>
        <w:jc w:val="center"/>
        <w:rPr>
          <w:sz w:val="72"/>
          <w:szCs w:val="72"/>
        </w:rPr>
      </w:pPr>
    </w:p>
    <w:p w14:paraId="5541F89B">
      <w:pPr>
        <w:pStyle w:val="14"/>
        <w:jc w:val="center"/>
        <w:rPr>
          <w:sz w:val="72"/>
          <w:szCs w:val="72"/>
        </w:rPr>
      </w:pPr>
    </w:p>
    <w:p w14:paraId="0B2F6057">
      <w:pPr>
        <w:pStyle w:val="14"/>
        <w:jc w:val="center"/>
        <w:rPr>
          <w:sz w:val="72"/>
          <w:szCs w:val="72"/>
        </w:rPr>
      </w:pPr>
    </w:p>
    <w:p w14:paraId="4DFEA79D">
      <w:pPr>
        <w:pStyle w:val="14"/>
        <w:jc w:val="center"/>
        <w:rPr>
          <w:sz w:val="72"/>
          <w:szCs w:val="72"/>
        </w:rPr>
      </w:pPr>
    </w:p>
    <w:p w14:paraId="45191E20">
      <w:pPr>
        <w:pStyle w:val="14"/>
        <w:jc w:val="center"/>
        <w:rPr>
          <w:sz w:val="72"/>
          <w:szCs w:val="72"/>
        </w:rPr>
      </w:pPr>
    </w:p>
    <w:p w14:paraId="410989C1">
      <w:pPr>
        <w:pStyle w:val="20"/>
        <w:keepNext/>
        <w:keepLines/>
        <w:shd w:val="clear" w:color="auto" w:fill="auto"/>
        <w:tabs>
          <w:tab w:val="center" w:pos="0"/>
        </w:tabs>
        <w:spacing w:line="360" w:lineRule="auto"/>
        <w:ind w:right="80"/>
        <w:jc w:val="left"/>
        <w:rPr>
          <w:rFonts w:hint="eastAsia" w:ascii="仿宋" w:hAnsi="仿宋" w:eastAsia="仿宋"/>
          <w:color w:val="000000"/>
          <w:w w:val="100"/>
          <w:sz w:val="22"/>
          <w:szCs w:val="24"/>
          <w:lang w:val="zh-CN" w:bidi="zh-CN"/>
        </w:rPr>
      </w:pPr>
      <w:bookmarkStart w:id="3" w:name="bookmark5"/>
    </w:p>
    <w:p w14:paraId="79A2B85F">
      <w:pPr>
        <w:pStyle w:val="20"/>
        <w:keepNext/>
        <w:keepLines/>
        <w:shd w:val="clear" w:color="auto" w:fill="auto"/>
        <w:tabs>
          <w:tab w:val="center" w:pos="0"/>
        </w:tabs>
        <w:spacing w:line="360" w:lineRule="auto"/>
        <w:ind w:right="80"/>
        <w:jc w:val="left"/>
        <w:rPr>
          <w:rFonts w:hint="eastAsia" w:ascii="仿宋" w:hAnsi="仿宋" w:eastAsia="仿宋"/>
          <w:color w:val="000000"/>
          <w:w w:val="100"/>
          <w:sz w:val="22"/>
          <w:szCs w:val="24"/>
          <w:lang w:val="zh-CN" w:bidi="zh-CN"/>
        </w:rPr>
      </w:pPr>
    </w:p>
    <w:p w14:paraId="7E4390A8">
      <w:pPr>
        <w:pStyle w:val="20"/>
        <w:keepNext/>
        <w:keepLines/>
        <w:shd w:val="clear" w:color="auto" w:fill="auto"/>
        <w:tabs>
          <w:tab w:val="center" w:pos="0"/>
        </w:tabs>
        <w:spacing w:line="360" w:lineRule="auto"/>
        <w:ind w:right="80"/>
        <w:jc w:val="left"/>
        <w:rPr>
          <w:rFonts w:ascii="仿宋" w:hAnsi="仿宋" w:eastAsia="仿宋"/>
          <w:color w:val="000000"/>
          <w:w w:val="100"/>
          <w:sz w:val="22"/>
          <w:szCs w:val="24"/>
          <w:lang w:val="zh-CN" w:bidi="zh-CN"/>
        </w:rPr>
      </w:pPr>
      <w:r>
        <w:rPr>
          <w:rFonts w:hint="eastAsia" w:ascii="仿宋" w:hAnsi="仿宋" w:eastAsia="仿宋"/>
          <w:color w:val="000000"/>
          <w:w w:val="100"/>
          <w:sz w:val="22"/>
          <w:szCs w:val="24"/>
          <w:lang w:val="zh-CN" w:bidi="zh-CN"/>
        </w:rPr>
        <w:t>附件1-1</w:t>
      </w:r>
    </w:p>
    <w:p w14:paraId="4C372359">
      <w:pPr>
        <w:pStyle w:val="20"/>
        <w:keepNext/>
        <w:keepLines/>
        <w:shd w:val="clear" w:color="auto" w:fill="auto"/>
        <w:tabs>
          <w:tab w:val="center" w:pos="0"/>
        </w:tabs>
        <w:spacing w:line="360" w:lineRule="auto"/>
        <w:ind w:right="80"/>
        <w:rPr>
          <w:rFonts w:ascii="宋体" w:hAnsi="宋体" w:eastAsia="宋体"/>
          <w:b/>
        </w:rPr>
      </w:pPr>
      <w:r>
        <w:rPr>
          <w:rFonts w:ascii="宋体" w:hAnsi="宋体" w:eastAsia="宋体"/>
          <w:b/>
          <w:color w:val="000000"/>
          <w:w w:val="100"/>
          <w:lang w:val="zh-CN" w:bidi="zh-CN"/>
        </w:rPr>
        <w:t>部门整体支出绩效评价基础数据表</w:t>
      </w:r>
      <w:bookmarkEnd w:id="3"/>
    </w:p>
    <w:p w14:paraId="6DF4B9A1">
      <w:pPr>
        <w:pStyle w:val="21"/>
        <w:shd w:val="clear" w:color="auto" w:fill="auto"/>
        <w:spacing w:line="360" w:lineRule="auto"/>
        <w:ind w:firstLine="480"/>
        <w:rPr>
          <w:rStyle w:val="22"/>
          <w:rFonts w:ascii="仿宋" w:hAnsi="仿宋" w:eastAsia="仿宋"/>
          <w:w w:val="100"/>
        </w:rPr>
      </w:pPr>
      <w:r>
        <w:rPr>
          <w:rFonts w:hint="eastAsia" w:ascii="仿宋" w:hAnsi="仿宋" w:eastAsia="仿宋" w:cs="宋体"/>
          <w:color w:val="000000"/>
          <w:w w:val="100"/>
          <w:lang w:val="zh-CN" w:bidi="zh-CN"/>
        </w:rPr>
        <w:t>填报单位：怀化市教育局</w:t>
      </w:r>
    </w:p>
    <w:tbl>
      <w:tblPr>
        <w:tblStyle w:val="10"/>
        <w:tblpPr w:leftFromText="180" w:rightFromText="180" w:vertAnchor="text" w:tblpXSpec="center" w:tblpY="1"/>
        <w:tblOverlap w:val="never"/>
        <w:tblW w:w="9220" w:type="dxa"/>
        <w:jc w:val="center"/>
        <w:tblLayout w:type="autofit"/>
        <w:tblCellMar>
          <w:top w:w="0" w:type="dxa"/>
          <w:left w:w="108" w:type="dxa"/>
          <w:bottom w:w="0" w:type="dxa"/>
          <w:right w:w="108" w:type="dxa"/>
        </w:tblCellMar>
      </w:tblPr>
      <w:tblGrid>
        <w:gridCol w:w="4040"/>
        <w:gridCol w:w="880"/>
        <w:gridCol w:w="860"/>
        <w:gridCol w:w="860"/>
        <w:gridCol w:w="860"/>
        <w:gridCol w:w="860"/>
        <w:gridCol w:w="860"/>
      </w:tblGrid>
      <w:tr w14:paraId="222CA6E2">
        <w:tblPrEx>
          <w:tblCellMar>
            <w:top w:w="0" w:type="dxa"/>
            <w:left w:w="108" w:type="dxa"/>
            <w:bottom w:w="0" w:type="dxa"/>
            <w:right w:w="108" w:type="dxa"/>
          </w:tblCellMar>
        </w:tblPrEx>
        <w:trPr>
          <w:trHeight w:val="270" w:hRule="atLeast"/>
          <w:jc w:val="center"/>
        </w:trPr>
        <w:tc>
          <w:tcPr>
            <w:tcW w:w="40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55C961">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财政供养人员情况</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0053E31E">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编制数</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DF076E6">
            <w:pPr>
              <w:widowControl/>
              <w:jc w:val="center"/>
              <w:rPr>
                <w:rFonts w:ascii="仿宋" w:hAnsi="仿宋" w:eastAsia="仿宋" w:cs="宋体"/>
                <w:color w:val="000000"/>
                <w:w w:val="100"/>
                <w:kern w:val="0"/>
                <w:sz w:val="16"/>
                <w:szCs w:val="16"/>
              </w:rPr>
            </w:pPr>
            <w:r>
              <w:rPr>
                <w:rFonts w:hint="eastAsia" w:ascii="仿宋" w:hAnsi="仿宋" w:eastAsia="仿宋" w:cs="宋体"/>
                <w:color w:val="000000"/>
                <w:w w:val="100"/>
                <w:kern w:val="0"/>
                <w:sz w:val="16"/>
                <w:szCs w:val="16"/>
              </w:rPr>
              <w:t>2023年实际在职人数</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4047E71">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控制率</w:t>
            </w:r>
          </w:p>
        </w:tc>
      </w:tr>
      <w:tr w14:paraId="0F539569">
        <w:tblPrEx>
          <w:tblCellMar>
            <w:top w:w="0" w:type="dxa"/>
            <w:left w:w="108" w:type="dxa"/>
            <w:bottom w:w="0" w:type="dxa"/>
            <w:right w:w="108" w:type="dxa"/>
          </w:tblCellMar>
        </w:tblPrEx>
        <w:trPr>
          <w:trHeight w:val="270" w:hRule="atLeast"/>
          <w:jc w:val="center"/>
        </w:trPr>
        <w:tc>
          <w:tcPr>
            <w:tcW w:w="4040" w:type="dxa"/>
            <w:vMerge w:val="continue"/>
            <w:tcBorders>
              <w:top w:val="single" w:color="auto" w:sz="4" w:space="0"/>
              <w:left w:val="single" w:color="auto" w:sz="4" w:space="0"/>
              <w:bottom w:val="single" w:color="auto" w:sz="4" w:space="0"/>
              <w:right w:val="single" w:color="auto" w:sz="4" w:space="0"/>
            </w:tcBorders>
            <w:vAlign w:val="center"/>
          </w:tcPr>
          <w:p w14:paraId="3411E9DC">
            <w:pPr>
              <w:widowControl/>
              <w:jc w:val="left"/>
              <w:rPr>
                <w:rFonts w:ascii="仿宋" w:hAnsi="仿宋" w:eastAsia="仿宋" w:cs="宋体"/>
                <w:color w:val="000000"/>
                <w:w w:val="100"/>
                <w:kern w:val="0"/>
                <w:sz w:val="18"/>
                <w:szCs w:val="18"/>
              </w:rPr>
            </w:pP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777D6BE8">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120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4F23B67">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105</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995E153">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87.50%　</w:t>
            </w:r>
          </w:p>
        </w:tc>
      </w:tr>
      <w:tr w14:paraId="5856E36D">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2D220FAC">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经费控制情况</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36AA2A75">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2022年决算数</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A0012C1">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2023年预算数</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76131730">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2023年决算数</w:t>
            </w:r>
          </w:p>
        </w:tc>
      </w:tr>
      <w:tr w14:paraId="0EC0C87D">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52C6F2C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三公经费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2145085E">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81,702.30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8431942">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88,000.00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88835CA">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55,740.63</w:t>
            </w:r>
          </w:p>
        </w:tc>
      </w:tr>
      <w:tr w14:paraId="3824D713">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4A871474">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1、公务用车购置和维护经费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7CC6B95E">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79,165.30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150FC89">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58,000.00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BAF2355">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43,671.63</w:t>
            </w:r>
          </w:p>
        </w:tc>
      </w:tr>
      <w:tr w14:paraId="7DD8E205">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F0DC0CB">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其中：公车购置</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2B5D295E">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4B604BB6">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5D08F7E">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2140D2F7">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1E3408C">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公车运行维护</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1684ABD4">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79,165.30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72485655">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58,000.00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5034042C">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43,671.63</w:t>
            </w:r>
          </w:p>
        </w:tc>
      </w:tr>
      <w:tr w14:paraId="3C8FCB96">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62A2F2F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2、出国经费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288DE80F">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7AEC9F5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5C1A8D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358D7CA3">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2DCBC08F">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3、公务接待</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24B3E84E">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2,537.00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7ED29B54">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30,000.00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285BFA3">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12,069.00</w:t>
            </w:r>
          </w:p>
        </w:tc>
      </w:tr>
      <w:tr w14:paraId="7C3D30BC">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7AFE7F74">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项目支出：</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733EAAF0">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22,125,639.61</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48CA41E6">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2,473,808.79</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51E2805">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34,711,177.31</w:t>
            </w:r>
          </w:p>
        </w:tc>
      </w:tr>
      <w:tr w14:paraId="70663347">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5ADDE9E7">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1、业务工作经费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45D7CD13">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B935C73">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55A8C29">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36F5F135">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2A27BEB4">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2、运行维护经费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4F74E17F">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FBF5453">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53BCCE0D">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127C6A4E">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27B5E2B">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3、市级专项资金 (一个专项一行）</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1A0307B8">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DCD6B9D">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5DD7F008">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57319C15">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1C6681F">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高中助学金</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3995AAFA">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6,097,700.00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5981FA0">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0D93E68">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4,362,600.00</w:t>
            </w:r>
          </w:p>
        </w:tc>
      </w:tr>
      <w:tr w14:paraId="08C1B794">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6C52A40B">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中职奖助学金</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7D2A80CC">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4,161,000.00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22EE0B6">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58B3DAC3">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15,109,000.00</w:t>
            </w:r>
          </w:p>
        </w:tc>
      </w:tr>
      <w:tr w14:paraId="77ECA9A0">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288C519F">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高中助学金市级资金</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55003BFB">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2,310,000.00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AF6F391">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B057C38">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63,000.00</w:t>
            </w:r>
          </w:p>
        </w:tc>
      </w:tr>
      <w:tr w14:paraId="1D55B1EC">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233D2F24">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普通高中国家助学金</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65BF0928">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131,500.00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2ACB239">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7E8C824">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5,278,400.00</w:t>
            </w:r>
          </w:p>
        </w:tc>
      </w:tr>
      <w:tr w14:paraId="4D16B69C">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098A8967">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中职奖助学金市级资金</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6ECF6E32">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6,487,600.00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112EE531">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914B750">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3,709,000.00</w:t>
            </w:r>
          </w:p>
        </w:tc>
      </w:tr>
      <w:tr w14:paraId="616A14C3">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0B376890">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2022年第三批教育系统项目建设资金</w:t>
            </w:r>
          </w:p>
        </w:tc>
        <w:tc>
          <w:tcPr>
            <w:tcW w:w="1740" w:type="dxa"/>
            <w:gridSpan w:val="2"/>
            <w:tcBorders>
              <w:top w:val="single" w:color="auto" w:sz="4" w:space="0"/>
              <w:left w:val="nil"/>
              <w:bottom w:val="single" w:color="auto" w:sz="4" w:space="0"/>
              <w:right w:val="single" w:color="000000" w:sz="4" w:space="0"/>
            </w:tcBorders>
            <w:shd w:val="clear" w:color="000000" w:fill="FFFFFF"/>
            <w:vAlign w:val="center"/>
          </w:tcPr>
          <w:p w14:paraId="75FCAFF7">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192,803.40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AF16F60">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295,000.00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14BCF6DD">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295,000.00</w:t>
            </w:r>
          </w:p>
        </w:tc>
      </w:tr>
      <w:tr w14:paraId="41D31D0B">
        <w:tblPrEx>
          <w:tblCellMar>
            <w:top w:w="0" w:type="dxa"/>
            <w:left w:w="108" w:type="dxa"/>
            <w:bottom w:w="0" w:type="dxa"/>
            <w:right w:w="108" w:type="dxa"/>
          </w:tblCellMar>
        </w:tblPrEx>
        <w:trPr>
          <w:trHeight w:val="495"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0D45B007">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2023年第九批基础教育发展专项（基础教育教学改革研究课题）资金</w:t>
            </w:r>
          </w:p>
        </w:tc>
        <w:tc>
          <w:tcPr>
            <w:tcW w:w="1740" w:type="dxa"/>
            <w:gridSpan w:val="2"/>
            <w:tcBorders>
              <w:top w:val="single" w:color="auto" w:sz="4" w:space="0"/>
              <w:left w:val="nil"/>
              <w:bottom w:val="single" w:color="auto" w:sz="4" w:space="0"/>
              <w:right w:val="single" w:color="000000" w:sz="4" w:space="0"/>
            </w:tcBorders>
            <w:shd w:val="clear" w:color="000000" w:fill="FFFFFF"/>
            <w:vAlign w:val="center"/>
          </w:tcPr>
          <w:p w14:paraId="492D8253">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C5357B2">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80,000.00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8965A37">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24,563.10</w:t>
            </w:r>
          </w:p>
        </w:tc>
      </w:tr>
      <w:tr w14:paraId="4E988A1E">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017C2482">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2023年怀化市教师培训经费</w:t>
            </w:r>
          </w:p>
        </w:tc>
        <w:tc>
          <w:tcPr>
            <w:tcW w:w="1740" w:type="dxa"/>
            <w:gridSpan w:val="2"/>
            <w:tcBorders>
              <w:top w:val="single" w:color="auto" w:sz="4" w:space="0"/>
              <w:left w:val="nil"/>
              <w:bottom w:val="single" w:color="auto" w:sz="4" w:space="0"/>
              <w:right w:val="single" w:color="000000" w:sz="4" w:space="0"/>
            </w:tcBorders>
            <w:shd w:val="clear" w:color="000000" w:fill="FFFFFF"/>
            <w:vAlign w:val="center"/>
          </w:tcPr>
          <w:p w14:paraId="695BDDFC">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144,215.00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D14194A">
            <w:pPr>
              <w:widowControl/>
              <w:jc w:val="right"/>
              <w:rPr>
                <w:rFonts w:ascii="仿宋" w:hAnsi="仿宋" w:eastAsia="仿宋" w:cs="宋体"/>
                <w:color w:val="000000"/>
                <w:w w:val="100"/>
                <w:kern w:val="0"/>
                <w:sz w:val="18"/>
                <w:szCs w:val="18"/>
              </w:rPr>
            </w:pPr>
            <w:r>
              <w:rPr>
                <w:rFonts w:ascii="仿宋" w:hAnsi="仿宋" w:eastAsia="仿宋" w:cs="宋体"/>
                <w:color w:val="000000"/>
                <w:w w:val="100"/>
                <w:kern w:val="0"/>
                <w:sz w:val="18"/>
                <w:szCs w:val="18"/>
              </w:rPr>
              <w:t>229</w:t>
            </w:r>
            <w:r>
              <w:rPr>
                <w:rFonts w:hint="eastAsia" w:ascii="仿宋" w:hAnsi="仿宋" w:eastAsia="仿宋" w:cs="宋体"/>
                <w:color w:val="000000"/>
                <w:w w:val="100"/>
                <w:kern w:val="0"/>
                <w:sz w:val="18"/>
                <w:szCs w:val="18"/>
              </w:rPr>
              <w:t>,</w:t>
            </w:r>
            <w:r>
              <w:rPr>
                <w:rFonts w:ascii="仿宋" w:hAnsi="仿宋" w:eastAsia="仿宋" w:cs="宋体"/>
                <w:color w:val="000000"/>
                <w:w w:val="100"/>
                <w:kern w:val="0"/>
                <w:sz w:val="18"/>
                <w:szCs w:val="18"/>
              </w:rPr>
              <w:t>630</w:t>
            </w:r>
            <w:r>
              <w:rPr>
                <w:rFonts w:hint="eastAsia" w:ascii="仿宋" w:hAnsi="仿宋" w:eastAsia="仿宋" w:cs="宋体"/>
                <w:color w:val="000000"/>
                <w:w w:val="100"/>
                <w:kern w:val="0"/>
                <w:sz w:val="18"/>
                <w:szCs w:val="18"/>
              </w:rPr>
              <w:t>.00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2464E5D">
            <w:pPr>
              <w:widowControl/>
              <w:jc w:val="right"/>
              <w:rPr>
                <w:rFonts w:ascii="仿宋" w:hAnsi="仿宋" w:eastAsia="仿宋" w:cs="宋体"/>
                <w:color w:val="000000"/>
                <w:w w:val="100"/>
                <w:kern w:val="0"/>
                <w:sz w:val="18"/>
                <w:szCs w:val="18"/>
              </w:rPr>
            </w:pPr>
            <w:r>
              <w:rPr>
                <w:rFonts w:ascii="仿宋" w:hAnsi="仿宋" w:eastAsia="仿宋" w:cs="宋体"/>
                <w:color w:val="000000"/>
                <w:w w:val="100"/>
                <w:kern w:val="0"/>
                <w:sz w:val="18"/>
                <w:szCs w:val="18"/>
              </w:rPr>
              <w:t>214</w:t>
            </w:r>
            <w:r>
              <w:rPr>
                <w:rFonts w:hint="eastAsia" w:ascii="仿宋" w:hAnsi="仿宋" w:eastAsia="仿宋" w:cs="宋体"/>
                <w:color w:val="000000"/>
                <w:w w:val="100"/>
                <w:kern w:val="0"/>
                <w:sz w:val="18"/>
                <w:szCs w:val="18"/>
              </w:rPr>
              <w:t>,</w:t>
            </w:r>
            <w:r>
              <w:rPr>
                <w:rFonts w:ascii="仿宋" w:hAnsi="仿宋" w:eastAsia="仿宋" w:cs="宋体"/>
                <w:color w:val="000000"/>
                <w:w w:val="100"/>
                <w:kern w:val="0"/>
                <w:sz w:val="18"/>
                <w:szCs w:val="18"/>
              </w:rPr>
              <w:t>445</w:t>
            </w:r>
            <w:r>
              <w:rPr>
                <w:rFonts w:hint="eastAsia" w:ascii="仿宋" w:hAnsi="仿宋" w:eastAsia="仿宋" w:cs="宋体"/>
                <w:color w:val="000000"/>
                <w:w w:val="100"/>
                <w:kern w:val="0"/>
                <w:sz w:val="18"/>
                <w:szCs w:val="18"/>
              </w:rPr>
              <w:t>.00</w:t>
            </w:r>
          </w:p>
        </w:tc>
      </w:tr>
      <w:tr w14:paraId="1D56B38D">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07CA8780">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2023年省中学生运动会经费</w:t>
            </w:r>
          </w:p>
        </w:tc>
        <w:tc>
          <w:tcPr>
            <w:tcW w:w="1740" w:type="dxa"/>
            <w:gridSpan w:val="2"/>
            <w:tcBorders>
              <w:top w:val="single" w:color="auto" w:sz="4" w:space="0"/>
              <w:left w:val="nil"/>
              <w:bottom w:val="single" w:color="auto" w:sz="4" w:space="0"/>
              <w:right w:val="single" w:color="000000" w:sz="4" w:space="0"/>
            </w:tcBorders>
            <w:shd w:val="clear" w:color="000000" w:fill="FFFFFF"/>
            <w:vAlign w:val="center"/>
          </w:tcPr>
          <w:p w14:paraId="3AA04794">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0311486">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490,000.00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371D2249">
            <w:pPr>
              <w:widowControl/>
              <w:jc w:val="right"/>
              <w:rPr>
                <w:rFonts w:ascii="仿宋" w:hAnsi="仿宋" w:eastAsia="仿宋" w:cs="宋体"/>
                <w:color w:val="000000"/>
                <w:w w:val="100"/>
                <w:kern w:val="0"/>
                <w:sz w:val="18"/>
                <w:szCs w:val="18"/>
              </w:rPr>
            </w:pPr>
            <w:r>
              <w:rPr>
                <w:rFonts w:ascii="仿宋" w:hAnsi="仿宋" w:eastAsia="仿宋" w:cs="宋体"/>
                <w:color w:val="000000"/>
                <w:w w:val="100"/>
                <w:kern w:val="0"/>
                <w:sz w:val="18"/>
                <w:szCs w:val="18"/>
              </w:rPr>
              <w:t>445</w:t>
            </w:r>
            <w:r>
              <w:rPr>
                <w:rFonts w:hint="eastAsia" w:ascii="仿宋" w:hAnsi="仿宋" w:eastAsia="仿宋" w:cs="宋体"/>
                <w:color w:val="000000"/>
                <w:w w:val="100"/>
                <w:kern w:val="0"/>
                <w:sz w:val="18"/>
                <w:szCs w:val="18"/>
              </w:rPr>
              <w:t>,</w:t>
            </w:r>
            <w:r>
              <w:rPr>
                <w:rFonts w:ascii="仿宋" w:hAnsi="仿宋" w:eastAsia="仿宋" w:cs="宋体"/>
                <w:color w:val="000000"/>
                <w:w w:val="100"/>
                <w:kern w:val="0"/>
                <w:sz w:val="18"/>
                <w:szCs w:val="18"/>
              </w:rPr>
              <w:t>482.8</w:t>
            </w:r>
            <w:r>
              <w:rPr>
                <w:rFonts w:hint="eastAsia" w:ascii="仿宋" w:hAnsi="仿宋" w:eastAsia="仿宋" w:cs="宋体"/>
                <w:color w:val="000000"/>
                <w:w w:val="100"/>
                <w:kern w:val="0"/>
                <w:sz w:val="18"/>
                <w:szCs w:val="18"/>
              </w:rPr>
              <w:t>0</w:t>
            </w:r>
          </w:p>
        </w:tc>
      </w:tr>
      <w:tr w14:paraId="11975FEB">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516A673">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第五批教育发展专项资金</w:t>
            </w:r>
          </w:p>
        </w:tc>
        <w:tc>
          <w:tcPr>
            <w:tcW w:w="1740" w:type="dxa"/>
            <w:gridSpan w:val="2"/>
            <w:tcBorders>
              <w:top w:val="single" w:color="auto" w:sz="4" w:space="0"/>
              <w:left w:val="nil"/>
              <w:bottom w:val="single" w:color="auto" w:sz="4" w:space="0"/>
              <w:right w:val="single" w:color="000000" w:sz="4" w:space="0"/>
            </w:tcBorders>
            <w:shd w:val="clear" w:color="000000" w:fill="FFFFFF"/>
            <w:vAlign w:val="center"/>
          </w:tcPr>
          <w:p w14:paraId="0414650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3B46801">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55,000.00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F4AF59C">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39,800.00</w:t>
            </w:r>
          </w:p>
        </w:tc>
      </w:tr>
      <w:tr w14:paraId="7D4D95C9">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73CFF0A">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怀化市2023年国培计划项目</w:t>
            </w:r>
          </w:p>
        </w:tc>
        <w:tc>
          <w:tcPr>
            <w:tcW w:w="1740" w:type="dxa"/>
            <w:gridSpan w:val="2"/>
            <w:tcBorders>
              <w:top w:val="single" w:color="auto" w:sz="4" w:space="0"/>
              <w:left w:val="nil"/>
              <w:bottom w:val="single" w:color="auto" w:sz="4" w:space="0"/>
              <w:right w:val="single" w:color="000000" w:sz="4" w:space="0"/>
            </w:tcBorders>
            <w:shd w:val="clear" w:color="000000" w:fill="FFFFFF"/>
            <w:vAlign w:val="center"/>
          </w:tcPr>
          <w:p w14:paraId="5ECAD2B1">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1A2F09D8">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925,000.00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590A3A22">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924,750.00</w:t>
            </w:r>
          </w:p>
        </w:tc>
      </w:tr>
      <w:tr w14:paraId="09D04B16">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75A02BF6">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考试经费</w:t>
            </w:r>
          </w:p>
        </w:tc>
        <w:tc>
          <w:tcPr>
            <w:tcW w:w="1740" w:type="dxa"/>
            <w:gridSpan w:val="2"/>
            <w:tcBorders>
              <w:top w:val="single" w:color="auto" w:sz="4" w:space="0"/>
              <w:left w:val="nil"/>
              <w:bottom w:val="single" w:color="auto" w:sz="4" w:space="0"/>
              <w:right w:val="single" w:color="000000" w:sz="4" w:space="0"/>
            </w:tcBorders>
            <w:shd w:val="clear" w:color="000000" w:fill="FFFFFF"/>
            <w:vAlign w:val="center"/>
          </w:tcPr>
          <w:p w14:paraId="58185209">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2,600,821.21</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64636C9A">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399,178.79</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60A0AD7">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399,178.79</w:t>
            </w:r>
          </w:p>
        </w:tc>
      </w:tr>
      <w:tr w14:paraId="5B323977">
        <w:tblPrEx>
          <w:tblCellMar>
            <w:top w:w="0" w:type="dxa"/>
            <w:left w:w="108" w:type="dxa"/>
            <w:bottom w:w="0" w:type="dxa"/>
            <w:right w:w="108" w:type="dxa"/>
          </w:tblCellMar>
        </w:tblPrEx>
        <w:trPr>
          <w:trHeight w:val="45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0D14DA6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2023年第二批基础教育发展专项（中小学幼儿园校车奖补）资金</w:t>
            </w:r>
          </w:p>
        </w:tc>
        <w:tc>
          <w:tcPr>
            <w:tcW w:w="880" w:type="dxa"/>
            <w:tcBorders>
              <w:top w:val="nil"/>
              <w:left w:val="nil"/>
              <w:bottom w:val="single" w:color="auto" w:sz="4" w:space="0"/>
              <w:right w:val="nil"/>
            </w:tcBorders>
            <w:shd w:val="clear" w:color="000000" w:fill="FFFFFF"/>
            <w:vAlign w:val="center"/>
          </w:tcPr>
          <w:p w14:paraId="56551007">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349C2EB4">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nil"/>
            </w:tcBorders>
            <w:shd w:val="clear" w:color="000000" w:fill="FFFFFF"/>
            <w:vAlign w:val="center"/>
          </w:tcPr>
          <w:p w14:paraId="502B7633">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77932D27">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000000" w:sz="4" w:space="0"/>
            </w:tcBorders>
            <w:shd w:val="clear" w:color="000000" w:fill="FFFFFF"/>
            <w:vAlign w:val="center"/>
          </w:tcPr>
          <w:p w14:paraId="138AD368">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156,200.00</w:t>
            </w:r>
          </w:p>
        </w:tc>
      </w:tr>
      <w:tr w14:paraId="66A708CF">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2A3471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各类考试考务、职称评审等工作经费</w:t>
            </w:r>
          </w:p>
        </w:tc>
        <w:tc>
          <w:tcPr>
            <w:tcW w:w="880" w:type="dxa"/>
            <w:tcBorders>
              <w:top w:val="nil"/>
              <w:left w:val="nil"/>
              <w:bottom w:val="single" w:color="auto" w:sz="4" w:space="0"/>
              <w:right w:val="nil"/>
            </w:tcBorders>
            <w:shd w:val="clear" w:color="000000" w:fill="FFFFFF"/>
            <w:vAlign w:val="center"/>
          </w:tcPr>
          <w:p w14:paraId="1DEC751F">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2C9EBD5F">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nil"/>
            </w:tcBorders>
            <w:shd w:val="clear" w:color="000000" w:fill="FFFFFF"/>
            <w:vAlign w:val="center"/>
          </w:tcPr>
          <w:p w14:paraId="3AEA3EAA">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23759B47">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000000" w:sz="4" w:space="0"/>
            </w:tcBorders>
            <w:shd w:val="clear" w:color="000000" w:fill="FFFFFF"/>
            <w:vAlign w:val="center"/>
          </w:tcPr>
          <w:p w14:paraId="6D0BFAF0">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805,216.78</w:t>
            </w:r>
          </w:p>
        </w:tc>
      </w:tr>
      <w:tr w14:paraId="5B69BB0B">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3F052980">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怀化市教育局2022年行政事业性收入</w:t>
            </w:r>
          </w:p>
        </w:tc>
        <w:tc>
          <w:tcPr>
            <w:tcW w:w="880" w:type="dxa"/>
            <w:tcBorders>
              <w:top w:val="nil"/>
              <w:left w:val="nil"/>
              <w:bottom w:val="single" w:color="auto" w:sz="4" w:space="0"/>
              <w:right w:val="nil"/>
            </w:tcBorders>
            <w:shd w:val="clear" w:color="000000" w:fill="FFFFFF"/>
            <w:vAlign w:val="center"/>
          </w:tcPr>
          <w:p w14:paraId="681C1E7F">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10E10725">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nil"/>
            </w:tcBorders>
            <w:shd w:val="clear" w:color="000000" w:fill="FFFFFF"/>
            <w:vAlign w:val="center"/>
          </w:tcPr>
          <w:p w14:paraId="224D292B">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68302FCC">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000000" w:sz="4" w:space="0"/>
            </w:tcBorders>
            <w:shd w:val="clear" w:color="000000" w:fill="FFFFFF"/>
            <w:vAlign w:val="center"/>
          </w:tcPr>
          <w:p w14:paraId="5CDE1C4A">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619,552.00</w:t>
            </w:r>
          </w:p>
        </w:tc>
      </w:tr>
      <w:tr w14:paraId="3A4EB96F">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3F3D4D92">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全市语言文字工作经费</w:t>
            </w:r>
          </w:p>
        </w:tc>
        <w:tc>
          <w:tcPr>
            <w:tcW w:w="880" w:type="dxa"/>
            <w:tcBorders>
              <w:top w:val="nil"/>
              <w:left w:val="nil"/>
              <w:bottom w:val="single" w:color="auto" w:sz="4" w:space="0"/>
              <w:right w:val="nil"/>
            </w:tcBorders>
            <w:shd w:val="clear" w:color="000000" w:fill="FFFFFF"/>
            <w:vAlign w:val="center"/>
          </w:tcPr>
          <w:p w14:paraId="12B9FF64">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0141ADFC">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nil"/>
            </w:tcBorders>
            <w:shd w:val="clear" w:color="000000" w:fill="FFFFFF"/>
            <w:vAlign w:val="center"/>
          </w:tcPr>
          <w:p w14:paraId="45ADC499">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0F343C9A">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000000" w:sz="4" w:space="0"/>
            </w:tcBorders>
            <w:shd w:val="clear" w:color="000000" w:fill="FFFFFF"/>
            <w:vAlign w:val="center"/>
          </w:tcPr>
          <w:p w14:paraId="5F24F332">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73,401.00</w:t>
            </w:r>
          </w:p>
        </w:tc>
      </w:tr>
      <w:tr w14:paraId="41537A7F">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99588FC">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专项业务经费</w:t>
            </w:r>
          </w:p>
        </w:tc>
        <w:tc>
          <w:tcPr>
            <w:tcW w:w="880" w:type="dxa"/>
            <w:tcBorders>
              <w:top w:val="nil"/>
              <w:left w:val="nil"/>
              <w:bottom w:val="single" w:color="auto" w:sz="4" w:space="0"/>
              <w:right w:val="nil"/>
            </w:tcBorders>
            <w:shd w:val="clear" w:color="000000" w:fill="FFFFFF"/>
            <w:vAlign w:val="center"/>
          </w:tcPr>
          <w:p w14:paraId="7CAB42B8">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1F7FF2A9">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nil"/>
            </w:tcBorders>
            <w:shd w:val="clear" w:color="000000" w:fill="FFFFFF"/>
            <w:vAlign w:val="center"/>
          </w:tcPr>
          <w:p w14:paraId="5E568C31">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6A12281D">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000000" w:sz="4" w:space="0"/>
            </w:tcBorders>
            <w:shd w:val="clear" w:color="000000" w:fill="FFFFFF"/>
            <w:vAlign w:val="center"/>
          </w:tcPr>
          <w:p w14:paraId="02C4A744">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2,188,587.84</w:t>
            </w:r>
          </w:p>
        </w:tc>
      </w:tr>
      <w:tr w14:paraId="4D331338">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7C3EFA40">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2022年真抓实干督查激励个人奖励金</w:t>
            </w:r>
          </w:p>
        </w:tc>
        <w:tc>
          <w:tcPr>
            <w:tcW w:w="880" w:type="dxa"/>
            <w:tcBorders>
              <w:top w:val="nil"/>
              <w:left w:val="nil"/>
              <w:bottom w:val="single" w:color="auto" w:sz="4" w:space="0"/>
              <w:right w:val="nil"/>
            </w:tcBorders>
            <w:shd w:val="clear" w:color="000000" w:fill="FFFFFF"/>
            <w:vAlign w:val="center"/>
          </w:tcPr>
          <w:p w14:paraId="2A740B82">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1D0CE254">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nil"/>
            </w:tcBorders>
            <w:shd w:val="clear" w:color="000000" w:fill="FFFFFF"/>
            <w:vAlign w:val="center"/>
          </w:tcPr>
          <w:p w14:paraId="4F57BB09">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860" w:type="dxa"/>
            <w:tcBorders>
              <w:top w:val="nil"/>
              <w:left w:val="nil"/>
              <w:bottom w:val="single" w:color="auto" w:sz="4" w:space="0"/>
              <w:right w:val="single" w:color="auto" w:sz="4" w:space="0"/>
            </w:tcBorders>
            <w:shd w:val="clear" w:color="000000" w:fill="FFFFFF"/>
            <w:vAlign w:val="center"/>
          </w:tcPr>
          <w:p w14:paraId="1DDCAD39">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000000" w:sz="4" w:space="0"/>
            </w:tcBorders>
            <w:shd w:val="clear" w:color="000000" w:fill="FFFFFF"/>
            <w:vAlign w:val="center"/>
          </w:tcPr>
          <w:p w14:paraId="67290BE4">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3,000.00</w:t>
            </w:r>
          </w:p>
        </w:tc>
      </w:tr>
      <w:tr w14:paraId="03636C58">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591BE911">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4、其他事业类发展资金</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21B93C42">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AB78899">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1046F7DB">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1F3BB5B3">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67386B4E">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公用经费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244EA98E">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1,871,744.84</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C2DF220">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1,575,000.00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1D4573C6">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2,049,974.06</w:t>
            </w:r>
          </w:p>
        </w:tc>
      </w:tr>
      <w:tr w14:paraId="7E7D5A8B">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331966ED">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其中：办公费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42E50F5E">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62,157.00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9858A28">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100B4BCA">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72,144.12</w:t>
            </w:r>
          </w:p>
        </w:tc>
      </w:tr>
      <w:tr w14:paraId="4683C12C">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7CCDB4CD">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水费、电费、差旅费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30E1A154">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337,525.14</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04CA53B">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966F867">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405,662.92</w:t>
            </w:r>
          </w:p>
        </w:tc>
      </w:tr>
      <w:tr w14:paraId="2B3FBF15">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0AF93FB5">
            <w:pPr>
              <w:widowControl/>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会议费、培训费</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0C9742F0">
            <w:pPr>
              <w:widowControl/>
              <w:jc w:val="righ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23,454.00</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085A74C8">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55479E95">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35E68A19">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5478662C">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政府采购金额</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44908677">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250083AD">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7DFA8DEA">
            <w:pPr>
              <w:widowControl/>
              <w:jc w:val="right"/>
              <w:rPr>
                <w:rFonts w:ascii="仿宋" w:hAnsi="仿宋" w:eastAsia="仿宋" w:cs="宋体"/>
                <w:color w:val="000000"/>
                <w:w w:val="100"/>
                <w:kern w:val="0"/>
                <w:sz w:val="18"/>
                <w:szCs w:val="18"/>
              </w:rPr>
            </w:pPr>
            <w:r>
              <w:rPr>
                <w:rFonts w:ascii="仿宋" w:hAnsi="仿宋" w:eastAsia="仿宋" w:cs="宋体"/>
                <w:color w:val="000000"/>
                <w:w w:val="100"/>
                <w:kern w:val="0"/>
                <w:sz w:val="18"/>
                <w:szCs w:val="18"/>
              </w:rPr>
              <w:t>857</w:t>
            </w:r>
            <w:r>
              <w:rPr>
                <w:rFonts w:hint="eastAsia" w:ascii="仿宋" w:hAnsi="仿宋" w:eastAsia="仿宋" w:cs="宋体"/>
                <w:color w:val="000000"/>
                <w:w w:val="100"/>
                <w:kern w:val="0"/>
                <w:sz w:val="18"/>
                <w:szCs w:val="18"/>
              </w:rPr>
              <w:t>,</w:t>
            </w:r>
            <w:r>
              <w:rPr>
                <w:rFonts w:ascii="仿宋" w:hAnsi="仿宋" w:eastAsia="仿宋" w:cs="宋体"/>
                <w:color w:val="000000"/>
                <w:w w:val="100"/>
                <w:kern w:val="0"/>
                <w:sz w:val="18"/>
                <w:szCs w:val="18"/>
              </w:rPr>
              <w:t>414</w:t>
            </w:r>
            <w:r>
              <w:rPr>
                <w:rFonts w:hint="eastAsia" w:ascii="仿宋" w:hAnsi="仿宋" w:eastAsia="仿宋" w:cs="宋体"/>
                <w:color w:val="000000"/>
                <w:w w:val="100"/>
                <w:kern w:val="0"/>
                <w:sz w:val="18"/>
                <w:szCs w:val="18"/>
              </w:rPr>
              <w:t>.00　</w:t>
            </w:r>
          </w:p>
        </w:tc>
      </w:tr>
      <w:tr w14:paraId="471BA110">
        <w:tblPrEx>
          <w:tblCellMar>
            <w:top w:w="0" w:type="dxa"/>
            <w:left w:w="108" w:type="dxa"/>
            <w:bottom w:w="0" w:type="dxa"/>
            <w:right w:w="108" w:type="dxa"/>
          </w:tblCellMar>
        </w:tblPrEx>
        <w:trPr>
          <w:trHeight w:val="270"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6D3AED82">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部门基本支出预算调整</w:t>
            </w:r>
          </w:p>
        </w:tc>
        <w:tc>
          <w:tcPr>
            <w:tcW w:w="1740" w:type="dxa"/>
            <w:gridSpan w:val="2"/>
            <w:tcBorders>
              <w:top w:val="single" w:color="auto" w:sz="4" w:space="0"/>
              <w:left w:val="nil"/>
              <w:bottom w:val="single" w:color="auto" w:sz="4" w:space="0"/>
              <w:right w:val="single" w:color="auto" w:sz="4" w:space="0"/>
            </w:tcBorders>
            <w:shd w:val="clear" w:color="000000" w:fill="FFFFFF"/>
            <w:vAlign w:val="center"/>
          </w:tcPr>
          <w:p w14:paraId="73BFE23E">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7D87E847">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c>
          <w:tcPr>
            <w:tcW w:w="1720" w:type="dxa"/>
            <w:gridSpan w:val="2"/>
            <w:tcBorders>
              <w:top w:val="single" w:color="auto" w:sz="4" w:space="0"/>
              <w:left w:val="nil"/>
              <w:bottom w:val="single" w:color="auto" w:sz="4" w:space="0"/>
              <w:right w:val="single" w:color="auto" w:sz="4" w:space="0"/>
            </w:tcBorders>
            <w:shd w:val="clear" w:color="000000" w:fill="FFFFFF"/>
            <w:vAlign w:val="center"/>
          </w:tcPr>
          <w:p w14:paraId="48B3A99B">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　</w:t>
            </w:r>
          </w:p>
        </w:tc>
      </w:tr>
      <w:tr w14:paraId="4CCD62A1">
        <w:tblPrEx>
          <w:tblCellMar>
            <w:top w:w="0" w:type="dxa"/>
            <w:left w:w="108" w:type="dxa"/>
            <w:bottom w:w="0" w:type="dxa"/>
            <w:right w:w="108" w:type="dxa"/>
          </w:tblCellMar>
        </w:tblPrEx>
        <w:trPr>
          <w:trHeight w:val="450" w:hRule="atLeast"/>
          <w:jc w:val="center"/>
        </w:trPr>
        <w:tc>
          <w:tcPr>
            <w:tcW w:w="4040" w:type="dxa"/>
            <w:vMerge w:val="restart"/>
            <w:tcBorders>
              <w:top w:val="nil"/>
              <w:left w:val="single" w:color="auto" w:sz="4" w:space="0"/>
              <w:bottom w:val="single" w:color="auto" w:sz="4" w:space="0"/>
              <w:right w:val="single" w:color="auto" w:sz="4" w:space="0"/>
            </w:tcBorders>
            <w:shd w:val="clear" w:color="000000" w:fill="FFFFFF"/>
            <w:vAlign w:val="center"/>
          </w:tcPr>
          <w:p w14:paraId="37F98633">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楼堂馆所控制情况</w:t>
            </w:r>
          </w:p>
        </w:tc>
        <w:tc>
          <w:tcPr>
            <w:tcW w:w="880" w:type="dxa"/>
            <w:vMerge w:val="restart"/>
            <w:tcBorders>
              <w:top w:val="nil"/>
              <w:left w:val="single" w:color="auto" w:sz="4" w:space="0"/>
              <w:bottom w:val="single" w:color="auto" w:sz="4" w:space="0"/>
              <w:right w:val="single" w:color="auto" w:sz="4" w:space="0"/>
            </w:tcBorders>
            <w:shd w:val="clear" w:color="000000" w:fill="FFFFFF"/>
            <w:vAlign w:val="center"/>
          </w:tcPr>
          <w:p w14:paraId="3BE5DFED">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批复规模（㎡）</w:t>
            </w:r>
          </w:p>
        </w:tc>
        <w:tc>
          <w:tcPr>
            <w:tcW w:w="860" w:type="dxa"/>
            <w:vMerge w:val="restart"/>
            <w:tcBorders>
              <w:top w:val="nil"/>
              <w:left w:val="single" w:color="auto" w:sz="4" w:space="0"/>
              <w:bottom w:val="single" w:color="auto" w:sz="4" w:space="0"/>
              <w:right w:val="single" w:color="auto" w:sz="4" w:space="0"/>
            </w:tcBorders>
            <w:shd w:val="clear" w:color="000000" w:fill="FFFFFF"/>
            <w:vAlign w:val="center"/>
          </w:tcPr>
          <w:p w14:paraId="21CECF8A">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实际规 模（㎡）</w:t>
            </w:r>
          </w:p>
        </w:tc>
        <w:tc>
          <w:tcPr>
            <w:tcW w:w="860" w:type="dxa"/>
            <w:vMerge w:val="restart"/>
            <w:tcBorders>
              <w:top w:val="nil"/>
              <w:left w:val="single" w:color="auto" w:sz="4" w:space="0"/>
              <w:bottom w:val="single" w:color="auto" w:sz="4" w:space="0"/>
              <w:right w:val="single" w:color="auto" w:sz="4" w:space="0"/>
            </w:tcBorders>
            <w:shd w:val="clear" w:color="000000" w:fill="FFFFFF"/>
            <w:vAlign w:val="center"/>
          </w:tcPr>
          <w:p w14:paraId="73ADA499">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规模控制 率</w:t>
            </w:r>
          </w:p>
        </w:tc>
        <w:tc>
          <w:tcPr>
            <w:tcW w:w="860" w:type="dxa"/>
            <w:vMerge w:val="restart"/>
            <w:tcBorders>
              <w:top w:val="nil"/>
              <w:left w:val="single" w:color="auto" w:sz="4" w:space="0"/>
              <w:bottom w:val="single" w:color="auto" w:sz="4" w:space="0"/>
              <w:right w:val="single" w:color="auto" w:sz="4" w:space="0"/>
            </w:tcBorders>
            <w:shd w:val="clear" w:color="000000" w:fill="FFFFFF"/>
            <w:vAlign w:val="center"/>
          </w:tcPr>
          <w:p w14:paraId="7C3B3025">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预算投资 (万元）</w:t>
            </w:r>
          </w:p>
        </w:tc>
        <w:tc>
          <w:tcPr>
            <w:tcW w:w="860" w:type="dxa"/>
            <w:vMerge w:val="restart"/>
            <w:tcBorders>
              <w:top w:val="nil"/>
              <w:left w:val="single" w:color="auto" w:sz="4" w:space="0"/>
              <w:bottom w:val="single" w:color="auto" w:sz="4" w:space="0"/>
              <w:right w:val="single" w:color="auto" w:sz="4" w:space="0"/>
            </w:tcBorders>
            <w:shd w:val="clear" w:color="000000" w:fill="FFFFFF"/>
            <w:vAlign w:val="center"/>
          </w:tcPr>
          <w:p w14:paraId="391356CC">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实际投资（万元）</w:t>
            </w:r>
          </w:p>
        </w:tc>
        <w:tc>
          <w:tcPr>
            <w:tcW w:w="860" w:type="dxa"/>
            <w:vMerge w:val="restart"/>
            <w:tcBorders>
              <w:top w:val="nil"/>
              <w:left w:val="single" w:color="auto" w:sz="4" w:space="0"/>
              <w:bottom w:val="single" w:color="auto" w:sz="4" w:space="0"/>
              <w:right w:val="single" w:color="auto" w:sz="4" w:space="0"/>
            </w:tcBorders>
            <w:shd w:val="clear" w:color="000000" w:fill="FFFFFF"/>
            <w:vAlign w:val="center"/>
          </w:tcPr>
          <w:p w14:paraId="5F7C4903">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投资概算控制率</w:t>
            </w:r>
          </w:p>
        </w:tc>
      </w:tr>
      <w:tr w14:paraId="7C69C802">
        <w:tblPrEx>
          <w:tblCellMar>
            <w:top w:w="0" w:type="dxa"/>
            <w:left w:w="108" w:type="dxa"/>
            <w:bottom w:w="0" w:type="dxa"/>
            <w:right w:w="108" w:type="dxa"/>
          </w:tblCellMar>
        </w:tblPrEx>
        <w:trPr>
          <w:trHeight w:val="312" w:hRule="atLeast"/>
          <w:jc w:val="center"/>
        </w:trPr>
        <w:tc>
          <w:tcPr>
            <w:tcW w:w="4040" w:type="dxa"/>
            <w:vMerge w:val="continue"/>
            <w:tcBorders>
              <w:top w:val="nil"/>
              <w:left w:val="single" w:color="auto" w:sz="4" w:space="0"/>
              <w:bottom w:val="single" w:color="auto" w:sz="4" w:space="0"/>
              <w:right w:val="single" w:color="auto" w:sz="4" w:space="0"/>
            </w:tcBorders>
            <w:vAlign w:val="center"/>
          </w:tcPr>
          <w:p w14:paraId="65B511C7">
            <w:pPr>
              <w:widowControl/>
              <w:jc w:val="left"/>
              <w:rPr>
                <w:rFonts w:ascii="仿宋" w:hAnsi="仿宋" w:eastAsia="仿宋" w:cs="宋体"/>
                <w:color w:val="000000"/>
                <w:w w:val="100"/>
                <w:kern w:val="0"/>
                <w:sz w:val="18"/>
                <w:szCs w:val="18"/>
              </w:rPr>
            </w:pPr>
          </w:p>
        </w:tc>
        <w:tc>
          <w:tcPr>
            <w:tcW w:w="880" w:type="dxa"/>
            <w:vMerge w:val="continue"/>
            <w:tcBorders>
              <w:top w:val="nil"/>
              <w:left w:val="single" w:color="auto" w:sz="4" w:space="0"/>
              <w:bottom w:val="single" w:color="auto" w:sz="4" w:space="0"/>
              <w:right w:val="single" w:color="auto" w:sz="4" w:space="0"/>
            </w:tcBorders>
            <w:vAlign w:val="center"/>
          </w:tcPr>
          <w:p w14:paraId="6F38CABC">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54A0C9F0">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76A62CC4">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076BDCC5">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0C6C5E6F">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4BEBEA57">
            <w:pPr>
              <w:widowControl/>
              <w:jc w:val="left"/>
              <w:rPr>
                <w:rFonts w:ascii="仿宋" w:hAnsi="仿宋" w:eastAsia="仿宋" w:cs="宋体"/>
                <w:color w:val="000000"/>
                <w:w w:val="100"/>
                <w:kern w:val="0"/>
                <w:sz w:val="18"/>
                <w:szCs w:val="18"/>
              </w:rPr>
            </w:pPr>
          </w:p>
        </w:tc>
      </w:tr>
      <w:tr w14:paraId="18788222">
        <w:tblPrEx>
          <w:tblCellMar>
            <w:top w:w="0" w:type="dxa"/>
            <w:left w:w="108" w:type="dxa"/>
            <w:bottom w:w="0" w:type="dxa"/>
            <w:right w:w="108" w:type="dxa"/>
          </w:tblCellMar>
        </w:tblPrEx>
        <w:trPr>
          <w:trHeight w:val="312" w:hRule="atLeast"/>
          <w:jc w:val="center"/>
        </w:trPr>
        <w:tc>
          <w:tcPr>
            <w:tcW w:w="4040" w:type="dxa"/>
            <w:vMerge w:val="continue"/>
            <w:tcBorders>
              <w:top w:val="nil"/>
              <w:left w:val="single" w:color="auto" w:sz="4" w:space="0"/>
              <w:bottom w:val="single" w:color="auto" w:sz="4" w:space="0"/>
              <w:right w:val="single" w:color="auto" w:sz="4" w:space="0"/>
            </w:tcBorders>
            <w:vAlign w:val="center"/>
          </w:tcPr>
          <w:p w14:paraId="3F43FB15">
            <w:pPr>
              <w:widowControl/>
              <w:jc w:val="left"/>
              <w:rPr>
                <w:rFonts w:ascii="仿宋" w:hAnsi="仿宋" w:eastAsia="仿宋" w:cs="宋体"/>
                <w:color w:val="000000"/>
                <w:w w:val="100"/>
                <w:kern w:val="0"/>
                <w:sz w:val="18"/>
                <w:szCs w:val="18"/>
              </w:rPr>
            </w:pPr>
          </w:p>
        </w:tc>
        <w:tc>
          <w:tcPr>
            <w:tcW w:w="880" w:type="dxa"/>
            <w:vMerge w:val="continue"/>
            <w:tcBorders>
              <w:top w:val="nil"/>
              <w:left w:val="single" w:color="auto" w:sz="4" w:space="0"/>
              <w:bottom w:val="single" w:color="auto" w:sz="4" w:space="0"/>
              <w:right w:val="single" w:color="auto" w:sz="4" w:space="0"/>
            </w:tcBorders>
            <w:vAlign w:val="center"/>
          </w:tcPr>
          <w:p w14:paraId="75B2A81C">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39D5F055">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1DBA20D7">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0CAAE7ED">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5ED2DE52">
            <w:pPr>
              <w:widowControl/>
              <w:jc w:val="left"/>
              <w:rPr>
                <w:rFonts w:ascii="仿宋" w:hAnsi="仿宋" w:eastAsia="仿宋" w:cs="宋体"/>
                <w:color w:val="000000"/>
                <w:w w:val="100"/>
                <w:kern w:val="0"/>
                <w:sz w:val="18"/>
                <w:szCs w:val="18"/>
              </w:rPr>
            </w:pPr>
          </w:p>
        </w:tc>
        <w:tc>
          <w:tcPr>
            <w:tcW w:w="860" w:type="dxa"/>
            <w:vMerge w:val="continue"/>
            <w:tcBorders>
              <w:top w:val="nil"/>
              <w:left w:val="single" w:color="auto" w:sz="4" w:space="0"/>
              <w:bottom w:val="single" w:color="auto" w:sz="4" w:space="0"/>
              <w:right w:val="single" w:color="auto" w:sz="4" w:space="0"/>
            </w:tcBorders>
            <w:vAlign w:val="center"/>
          </w:tcPr>
          <w:p w14:paraId="6F12BE09">
            <w:pPr>
              <w:widowControl/>
              <w:jc w:val="left"/>
              <w:rPr>
                <w:rFonts w:ascii="仿宋" w:hAnsi="仿宋" w:eastAsia="仿宋" w:cs="宋体"/>
                <w:color w:val="000000"/>
                <w:w w:val="100"/>
                <w:kern w:val="0"/>
                <w:sz w:val="18"/>
                <w:szCs w:val="18"/>
              </w:rPr>
            </w:pPr>
          </w:p>
        </w:tc>
      </w:tr>
      <w:tr w14:paraId="6DB45BD7">
        <w:tblPrEx>
          <w:tblCellMar>
            <w:top w:w="0" w:type="dxa"/>
            <w:left w:w="108" w:type="dxa"/>
            <w:bottom w:w="0" w:type="dxa"/>
            <w:right w:w="108" w:type="dxa"/>
          </w:tblCellMar>
        </w:tblPrEx>
        <w:trPr>
          <w:trHeight w:val="270" w:hRule="atLeast"/>
          <w:jc w:val="center"/>
        </w:trPr>
        <w:tc>
          <w:tcPr>
            <w:tcW w:w="4040" w:type="dxa"/>
            <w:vMerge w:val="continue"/>
            <w:tcBorders>
              <w:top w:val="nil"/>
              <w:left w:val="single" w:color="auto" w:sz="4" w:space="0"/>
              <w:bottom w:val="single" w:color="auto" w:sz="4" w:space="0"/>
              <w:right w:val="single" w:color="auto" w:sz="4" w:space="0"/>
            </w:tcBorders>
            <w:vAlign w:val="center"/>
          </w:tcPr>
          <w:p w14:paraId="1D9D363F">
            <w:pPr>
              <w:widowControl/>
              <w:jc w:val="left"/>
              <w:rPr>
                <w:rFonts w:ascii="仿宋" w:hAnsi="仿宋" w:eastAsia="仿宋" w:cs="宋体"/>
                <w:color w:val="000000"/>
                <w:w w:val="100"/>
                <w:kern w:val="0"/>
                <w:sz w:val="18"/>
                <w:szCs w:val="18"/>
              </w:rPr>
            </w:pPr>
          </w:p>
        </w:tc>
        <w:tc>
          <w:tcPr>
            <w:tcW w:w="880" w:type="dxa"/>
            <w:tcBorders>
              <w:top w:val="nil"/>
              <w:left w:val="nil"/>
              <w:bottom w:val="single" w:color="auto" w:sz="4" w:space="0"/>
              <w:right w:val="single" w:color="auto" w:sz="4" w:space="0"/>
            </w:tcBorders>
            <w:shd w:val="clear" w:color="000000" w:fill="FFFFFF"/>
            <w:vAlign w:val="center"/>
          </w:tcPr>
          <w:p w14:paraId="0B7AFDAD">
            <w:pPr>
              <w:widowControl/>
              <w:jc w:val="center"/>
              <w:rPr>
                <w:rFonts w:ascii="仿宋" w:hAnsi="仿宋" w:eastAsia="仿宋" w:cs="宋体"/>
                <w:color w:val="000000"/>
                <w:w w:val="100"/>
                <w:kern w:val="0"/>
                <w:sz w:val="10"/>
                <w:szCs w:val="10"/>
              </w:rPr>
            </w:pPr>
            <w:r>
              <w:rPr>
                <w:rFonts w:hint="eastAsia" w:ascii="仿宋" w:hAnsi="仿宋" w:eastAsia="仿宋" w:cs="宋体"/>
                <w:color w:val="000000"/>
                <w:w w:val="100"/>
                <w:kern w:val="0"/>
                <w:sz w:val="10"/>
                <w:szCs w:val="10"/>
              </w:rPr>
              <w:t>　</w:t>
            </w:r>
          </w:p>
        </w:tc>
        <w:tc>
          <w:tcPr>
            <w:tcW w:w="860" w:type="dxa"/>
            <w:tcBorders>
              <w:top w:val="nil"/>
              <w:left w:val="nil"/>
              <w:bottom w:val="single" w:color="auto" w:sz="4" w:space="0"/>
              <w:right w:val="single" w:color="auto" w:sz="4" w:space="0"/>
            </w:tcBorders>
            <w:shd w:val="clear" w:color="000000" w:fill="FFFFFF"/>
            <w:vAlign w:val="center"/>
          </w:tcPr>
          <w:p w14:paraId="0F5ABDCB">
            <w:pPr>
              <w:widowControl/>
              <w:jc w:val="center"/>
              <w:rPr>
                <w:rFonts w:ascii="仿宋" w:hAnsi="仿宋" w:eastAsia="仿宋" w:cs="宋体"/>
                <w:color w:val="000000"/>
                <w:w w:val="100"/>
                <w:kern w:val="0"/>
                <w:sz w:val="10"/>
                <w:szCs w:val="10"/>
              </w:rPr>
            </w:pPr>
            <w:r>
              <w:rPr>
                <w:rFonts w:hint="eastAsia" w:ascii="仿宋" w:hAnsi="仿宋" w:eastAsia="仿宋" w:cs="宋体"/>
                <w:color w:val="000000"/>
                <w:w w:val="100"/>
                <w:kern w:val="0"/>
                <w:sz w:val="10"/>
                <w:szCs w:val="10"/>
              </w:rPr>
              <w:t>　</w:t>
            </w:r>
          </w:p>
        </w:tc>
        <w:tc>
          <w:tcPr>
            <w:tcW w:w="860" w:type="dxa"/>
            <w:tcBorders>
              <w:top w:val="nil"/>
              <w:left w:val="nil"/>
              <w:bottom w:val="single" w:color="auto" w:sz="4" w:space="0"/>
              <w:right w:val="single" w:color="auto" w:sz="4" w:space="0"/>
            </w:tcBorders>
            <w:shd w:val="clear" w:color="000000" w:fill="FFFFFF"/>
            <w:vAlign w:val="center"/>
          </w:tcPr>
          <w:p w14:paraId="70B49CD8">
            <w:pPr>
              <w:widowControl/>
              <w:jc w:val="center"/>
              <w:rPr>
                <w:rFonts w:ascii="仿宋" w:hAnsi="仿宋" w:eastAsia="仿宋" w:cs="宋体"/>
                <w:color w:val="000000"/>
                <w:w w:val="100"/>
                <w:kern w:val="0"/>
                <w:sz w:val="10"/>
                <w:szCs w:val="10"/>
              </w:rPr>
            </w:pPr>
            <w:r>
              <w:rPr>
                <w:rFonts w:hint="eastAsia" w:ascii="仿宋" w:hAnsi="仿宋" w:eastAsia="仿宋" w:cs="宋体"/>
                <w:color w:val="000000"/>
                <w:w w:val="100"/>
                <w:kern w:val="0"/>
                <w:sz w:val="10"/>
                <w:szCs w:val="10"/>
              </w:rPr>
              <w:t>　</w:t>
            </w:r>
          </w:p>
        </w:tc>
        <w:tc>
          <w:tcPr>
            <w:tcW w:w="860" w:type="dxa"/>
            <w:tcBorders>
              <w:top w:val="nil"/>
              <w:left w:val="nil"/>
              <w:bottom w:val="single" w:color="auto" w:sz="4" w:space="0"/>
              <w:right w:val="single" w:color="auto" w:sz="4" w:space="0"/>
            </w:tcBorders>
            <w:shd w:val="clear" w:color="000000" w:fill="FFFFFF"/>
            <w:vAlign w:val="center"/>
          </w:tcPr>
          <w:p w14:paraId="6FB4DEC0">
            <w:pPr>
              <w:widowControl/>
              <w:jc w:val="center"/>
              <w:rPr>
                <w:rFonts w:ascii="仿宋" w:hAnsi="仿宋" w:eastAsia="仿宋" w:cs="宋体"/>
                <w:color w:val="000000"/>
                <w:w w:val="100"/>
                <w:kern w:val="0"/>
                <w:sz w:val="10"/>
                <w:szCs w:val="10"/>
              </w:rPr>
            </w:pPr>
            <w:r>
              <w:rPr>
                <w:rFonts w:hint="eastAsia" w:ascii="仿宋" w:hAnsi="仿宋" w:eastAsia="仿宋" w:cs="宋体"/>
                <w:color w:val="000000"/>
                <w:w w:val="100"/>
                <w:kern w:val="0"/>
                <w:sz w:val="10"/>
                <w:szCs w:val="10"/>
              </w:rPr>
              <w:t>　</w:t>
            </w:r>
          </w:p>
        </w:tc>
        <w:tc>
          <w:tcPr>
            <w:tcW w:w="860" w:type="dxa"/>
            <w:tcBorders>
              <w:top w:val="nil"/>
              <w:left w:val="nil"/>
              <w:bottom w:val="single" w:color="auto" w:sz="4" w:space="0"/>
              <w:right w:val="single" w:color="auto" w:sz="4" w:space="0"/>
            </w:tcBorders>
            <w:shd w:val="clear" w:color="000000" w:fill="FFFFFF"/>
            <w:vAlign w:val="center"/>
          </w:tcPr>
          <w:p w14:paraId="71F5DC53">
            <w:pPr>
              <w:widowControl/>
              <w:jc w:val="center"/>
              <w:rPr>
                <w:rFonts w:ascii="仿宋" w:hAnsi="仿宋" w:eastAsia="仿宋" w:cs="宋体"/>
                <w:color w:val="000000"/>
                <w:w w:val="100"/>
                <w:kern w:val="0"/>
                <w:sz w:val="10"/>
                <w:szCs w:val="10"/>
              </w:rPr>
            </w:pPr>
            <w:r>
              <w:rPr>
                <w:rFonts w:hint="eastAsia" w:ascii="仿宋" w:hAnsi="仿宋" w:eastAsia="仿宋" w:cs="宋体"/>
                <w:color w:val="000000"/>
                <w:w w:val="100"/>
                <w:kern w:val="0"/>
                <w:sz w:val="10"/>
                <w:szCs w:val="10"/>
              </w:rPr>
              <w:t>　</w:t>
            </w:r>
          </w:p>
        </w:tc>
        <w:tc>
          <w:tcPr>
            <w:tcW w:w="860" w:type="dxa"/>
            <w:tcBorders>
              <w:top w:val="nil"/>
              <w:left w:val="nil"/>
              <w:bottom w:val="single" w:color="auto" w:sz="4" w:space="0"/>
              <w:right w:val="single" w:color="auto" w:sz="4" w:space="0"/>
            </w:tcBorders>
            <w:shd w:val="clear" w:color="000000" w:fill="FFFFFF"/>
            <w:vAlign w:val="center"/>
          </w:tcPr>
          <w:p w14:paraId="4A4916DD">
            <w:pPr>
              <w:widowControl/>
              <w:jc w:val="center"/>
              <w:rPr>
                <w:rFonts w:ascii="仿宋" w:hAnsi="仿宋" w:eastAsia="仿宋" w:cs="宋体"/>
                <w:color w:val="000000"/>
                <w:w w:val="100"/>
                <w:kern w:val="0"/>
                <w:sz w:val="10"/>
                <w:szCs w:val="10"/>
              </w:rPr>
            </w:pPr>
            <w:r>
              <w:rPr>
                <w:rFonts w:hint="eastAsia" w:ascii="仿宋" w:hAnsi="仿宋" w:eastAsia="仿宋" w:cs="宋体"/>
                <w:color w:val="000000"/>
                <w:w w:val="100"/>
                <w:kern w:val="0"/>
                <w:sz w:val="10"/>
                <w:szCs w:val="10"/>
              </w:rPr>
              <w:t>　</w:t>
            </w:r>
          </w:p>
        </w:tc>
      </w:tr>
      <w:tr w14:paraId="5971A208">
        <w:tblPrEx>
          <w:tblCellMar>
            <w:top w:w="0" w:type="dxa"/>
            <w:left w:w="108" w:type="dxa"/>
            <w:bottom w:w="0" w:type="dxa"/>
            <w:right w:w="108" w:type="dxa"/>
          </w:tblCellMar>
        </w:tblPrEx>
        <w:trPr>
          <w:trHeight w:val="1185" w:hRule="atLeast"/>
          <w:jc w:val="center"/>
        </w:trPr>
        <w:tc>
          <w:tcPr>
            <w:tcW w:w="4040" w:type="dxa"/>
            <w:tcBorders>
              <w:top w:val="nil"/>
              <w:left w:val="single" w:color="auto" w:sz="4" w:space="0"/>
              <w:bottom w:val="single" w:color="auto" w:sz="4" w:space="0"/>
              <w:right w:val="single" w:color="auto" w:sz="4" w:space="0"/>
            </w:tcBorders>
            <w:shd w:val="clear" w:color="000000" w:fill="FFFFFF"/>
            <w:vAlign w:val="center"/>
          </w:tcPr>
          <w:p w14:paraId="140AE576">
            <w:pPr>
              <w:widowControl/>
              <w:jc w:val="center"/>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厉行节约保障措施</w:t>
            </w:r>
          </w:p>
        </w:tc>
        <w:tc>
          <w:tcPr>
            <w:tcW w:w="5180" w:type="dxa"/>
            <w:gridSpan w:val="6"/>
            <w:tcBorders>
              <w:top w:val="single" w:color="auto" w:sz="4" w:space="0"/>
              <w:left w:val="nil"/>
              <w:bottom w:val="single" w:color="auto" w:sz="4" w:space="0"/>
              <w:right w:val="single" w:color="auto" w:sz="4" w:space="0"/>
            </w:tcBorders>
            <w:shd w:val="clear" w:color="000000" w:fill="FFFFFF"/>
            <w:vAlign w:val="center"/>
          </w:tcPr>
          <w:p w14:paraId="488B2477">
            <w:pPr>
              <w:widowControl/>
              <w:jc w:val="left"/>
              <w:rPr>
                <w:rFonts w:ascii="仿宋" w:hAnsi="仿宋" w:eastAsia="仿宋" w:cs="宋体"/>
                <w:color w:val="000000"/>
                <w:w w:val="100"/>
                <w:kern w:val="0"/>
                <w:sz w:val="18"/>
                <w:szCs w:val="18"/>
              </w:rPr>
            </w:pPr>
            <w:r>
              <w:rPr>
                <w:rFonts w:hint="eastAsia" w:ascii="仿宋" w:hAnsi="仿宋" w:eastAsia="仿宋" w:cs="宋体"/>
                <w:color w:val="000000"/>
                <w:w w:val="100"/>
                <w:kern w:val="0"/>
                <w:sz w:val="18"/>
                <w:szCs w:val="18"/>
              </w:rPr>
              <w:t>进一步规范财务报账审批程序、合同协议审批程序、费用结算程序，明确院内物资、项目采购要求、流程，特别是对院内实施的工程项目严格按照财政相关项目评审、公开公平竞价等规定开展，在所有采购和项目实施过程中严格按相关财政要求执行，坚持勤俭节约、非必要不采购和廉洁自律纪律要求。</w:t>
            </w:r>
          </w:p>
        </w:tc>
      </w:tr>
    </w:tbl>
    <w:p w14:paraId="3DF44617">
      <w:pPr>
        <w:pStyle w:val="21"/>
        <w:shd w:val="clear" w:color="auto" w:fill="auto"/>
        <w:spacing w:line="240" w:lineRule="auto"/>
        <w:ind w:firstLine="482"/>
        <w:rPr>
          <w:rStyle w:val="22"/>
          <w:rFonts w:ascii="仿宋" w:hAnsi="仿宋" w:eastAsia="仿宋"/>
          <w:w w:val="100"/>
        </w:rPr>
      </w:pPr>
      <w:r>
        <w:rPr>
          <w:rStyle w:val="22"/>
          <w:rFonts w:ascii="仿宋" w:hAnsi="仿宋" w:eastAsia="仿宋"/>
          <w:w w:val="100"/>
        </w:rPr>
        <w:t>说明：</w:t>
      </w:r>
      <w:r>
        <w:rPr>
          <w:rStyle w:val="22"/>
          <w:rFonts w:hint="eastAsia" w:ascii="仿宋" w:hAnsi="仿宋" w:eastAsia="仿宋"/>
          <w:w w:val="100"/>
          <w:lang w:bidi="en-US"/>
        </w:rPr>
        <w:t>“</w:t>
      </w:r>
      <w:r>
        <w:rPr>
          <w:rStyle w:val="22"/>
          <w:rFonts w:ascii="仿宋" w:hAnsi="仿宋" w:eastAsia="仿宋"/>
          <w:w w:val="100"/>
        </w:rPr>
        <w:t>项目支出</w:t>
      </w:r>
      <w:r>
        <w:rPr>
          <w:rStyle w:val="22"/>
          <w:rFonts w:hint="eastAsia" w:ascii="仿宋" w:hAnsi="仿宋" w:eastAsia="仿宋"/>
          <w:w w:val="100"/>
        </w:rPr>
        <w:t>”</w:t>
      </w:r>
      <w:r>
        <w:rPr>
          <w:rStyle w:val="22"/>
          <w:rFonts w:ascii="仿宋" w:hAnsi="仿宋" w:eastAsia="仿宋"/>
          <w:w w:val="100"/>
        </w:rPr>
        <w:t>需要填报基本支出以外的所有项目支出情况，</w:t>
      </w:r>
      <w:r>
        <w:rPr>
          <w:rStyle w:val="22"/>
          <w:rFonts w:hint="eastAsia" w:ascii="仿宋" w:hAnsi="仿宋" w:eastAsia="仿宋"/>
          <w:w w:val="100"/>
        </w:rPr>
        <w:t>“</w:t>
      </w:r>
      <w:r>
        <w:rPr>
          <w:rStyle w:val="22"/>
          <w:rFonts w:ascii="仿宋" w:hAnsi="仿宋" w:eastAsia="仿宋"/>
          <w:w w:val="100"/>
        </w:rPr>
        <w:t>公用经费</w:t>
      </w:r>
      <w:r>
        <w:rPr>
          <w:rStyle w:val="22"/>
          <w:rFonts w:hint="eastAsia" w:ascii="仿宋" w:hAnsi="仿宋" w:eastAsia="仿宋"/>
          <w:w w:val="100"/>
        </w:rPr>
        <w:t>”</w:t>
      </w:r>
      <w:r>
        <w:rPr>
          <w:rStyle w:val="22"/>
          <w:rFonts w:ascii="仿宋" w:hAnsi="仿宋" w:eastAsia="仿宋"/>
          <w:w w:val="100"/>
        </w:rPr>
        <w:t>填报基本支出中的一般商品和服务支出。</w:t>
      </w:r>
    </w:p>
    <w:p w14:paraId="3D3A16FD">
      <w:pPr>
        <w:pStyle w:val="21"/>
        <w:shd w:val="clear" w:color="auto" w:fill="auto"/>
        <w:spacing w:line="240" w:lineRule="auto"/>
        <w:jc w:val="center"/>
        <w:rPr>
          <w:rFonts w:ascii="仿宋" w:hAnsi="仿宋" w:eastAsia="仿宋"/>
        </w:rPr>
      </w:pPr>
      <w:r>
        <w:rPr>
          <w:rStyle w:val="22"/>
          <w:rFonts w:hint="eastAsia" w:ascii="仿宋" w:hAnsi="仿宋" w:eastAsia="仿宋"/>
          <w:w w:val="100"/>
        </w:rPr>
        <w:t>填表人：刘思思           填报日期：2024/6/30       联系电话：</w:t>
      </w:r>
      <w:r>
        <w:rPr>
          <w:rStyle w:val="22"/>
          <w:rFonts w:ascii="仿宋" w:hAnsi="仿宋" w:eastAsia="仿宋"/>
          <w:w w:val="100"/>
        </w:rPr>
        <w:t>2718270</w:t>
      </w:r>
    </w:p>
    <w:p w14:paraId="31D41CB6">
      <w:pPr>
        <w:pStyle w:val="14"/>
        <w:jc w:val="both"/>
        <w:rPr>
          <w:sz w:val="72"/>
          <w:szCs w:val="72"/>
        </w:rPr>
      </w:pPr>
    </w:p>
    <w:p w14:paraId="11A732F1">
      <w:pPr>
        <w:jc w:val="left"/>
        <w:rPr>
          <w:rFonts w:cs="黑体" w:asciiTheme="minorEastAsia" w:hAnsiTheme="minorEastAsia"/>
          <w:color w:val="000000"/>
          <w:kern w:val="0"/>
          <w:sz w:val="32"/>
          <w:szCs w:val="32"/>
        </w:rPr>
      </w:pPr>
    </w:p>
    <w:p w14:paraId="6D13AE26">
      <w:pPr>
        <w:jc w:val="left"/>
        <w:rPr>
          <w:rFonts w:cs="黑体" w:asciiTheme="minorEastAsia" w:hAnsiTheme="minorEastAsia"/>
          <w:color w:val="000000"/>
          <w:kern w:val="0"/>
          <w:sz w:val="32"/>
          <w:szCs w:val="32"/>
        </w:rPr>
      </w:pPr>
    </w:p>
    <w:p w14:paraId="6E0D8EF7">
      <w:pPr>
        <w:jc w:val="left"/>
        <w:rPr>
          <w:rFonts w:cs="黑体" w:asciiTheme="minorEastAsia" w:hAnsiTheme="minorEastAsia"/>
          <w:color w:val="000000"/>
          <w:kern w:val="0"/>
          <w:sz w:val="32"/>
          <w:szCs w:val="32"/>
        </w:rPr>
      </w:pPr>
    </w:p>
    <w:p w14:paraId="6386A5C9">
      <w:pPr>
        <w:jc w:val="left"/>
        <w:rPr>
          <w:rFonts w:cs="黑体" w:asciiTheme="minorEastAsia" w:hAnsiTheme="minorEastAsia"/>
          <w:color w:val="000000"/>
          <w:kern w:val="0"/>
          <w:sz w:val="32"/>
          <w:szCs w:val="32"/>
        </w:rPr>
      </w:pPr>
    </w:p>
    <w:p w14:paraId="39C9A3BB">
      <w:pPr>
        <w:jc w:val="left"/>
        <w:rPr>
          <w:rFonts w:cs="黑体" w:asciiTheme="minorEastAsia" w:hAnsiTheme="minorEastAsia"/>
          <w:color w:val="000000"/>
          <w:kern w:val="0"/>
          <w:sz w:val="32"/>
          <w:szCs w:val="32"/>
        </w:rPr>
      </w:pPr>
    </w:p>
    <w:p w14:paraId="4B730A0E">
      <w:pPr>
        <w:jc w:val="left"/>
        <w:rPr>
          <w:rFonts w:cs="黑体" w:asciiTheme="minorEastAsia" w:hAnsiTheme="minorEastAsia"/>
          <w:color w:val="000000"/>
          <w:kern w:val="0"/>
          <w:sz w:val="32"/>
          <w:szCs w:val="32"/>
        </w:rPr>
      </w:pPr>
    </w:p>
    <w:p w14:paraId="3933E91B">
      <w:pPr>
        <w:jc w:val="left"/>
        <w:rPr>
          <w:rFonts w:cs="黑体" w:asciiTheme="minorEastAsia" w:hAnsiTheme="minorEastAsia"/>
          <w:color w:val="000000"/>
          <w:kern w:val="0"/>
          <w:sz w:val="32"/>
          <w:szCs w:val="32"/>
        </w:rPr>
      </w:pPr>
    </w:p>
    <w:p w14:paraId="00BF2BFA">
      <w:pPr>
        <w:jc w:val="left"/>
        <w:rPr>
          <w:rFonts w:cs="黑体" w:asciiTheme="minorEastAsia" w:hAnsiTheme="minorEastAsia"/>
          <w:color w:val="000000"/>
          <w:kern w:val="0"/>
          <w:sz w:val="32"/>
          <w:szCs w:val="32"/>
        </w:rPr>
      </w:pPr>
    </w:p>
    <w:p w14:paraId="6E2D0682">
      <w:pPr>
        <w:jc w:val="left"/>
        <w:rPr>
          <w:rFonts w:cs="黑体" w:asciiTheme="minorEastAsia" w:hAnsiTheme="minorEastAsia"/>
          <w:color w:val="000000"/>
          <w:kern w:val="0"/>
          <w:sz w:val="32"/>
          <w:szCs w:val="32"/>
        </w:rPr>
      </w:pPr>
    </w:p>
    <w:p w14:paraId="0FC7520E">
      <w:pPr>
        <w:jc w:val="left"/>
        <w:rPr>
          <w:rFonts w:cs="黑体" w:asciiTheme="minorEastAsia" w:hAnsiTheme="minorEastAsia"/>
          <w:color w:val="000000"/>
          <w:kern w:val="0"/>
          <w:sz w:val="32"/>
          <w:szCs w:val="32"/>
        </w:rPr>
      </w:pPr>
    </w:p>
    <w:p w14:paraId="1DAA53A5">
      <w:pPr>
        <w:jc w:val="left"/>
        <w:rPr>
          <w:rFonts w:cs="黑体" w:asciiTheme="minorEastAsia" w:hAnsiTheme="minorEastAsia"/>
          <w:color w:val="000000"/>
          <w:kern w:val="0"/>
          <w:sz w:val="32"/>
          <w:szCs w:val="32"/>
        </w:rPr>
      </w:pPr>
    </w:p>
    <w:p w14:paraId="6607B85E">
      <w:pPr>
        <w:jc w:val="left"/>
        <w:rPr>
          <w:rFonts w:cs="黑体" w:asciiTheme="minorEastAsia" w:hAnsiTheme="minorEastAsia"/>
          <w:color w:val="000000"/>
          <w:kern w:val="0"/>
          <w:sz w:val="32"/>
          <w:szCs w:val="32"/>
        </w:rPr>
      </w:pPr>
    </w:p>
    <w:p w14:paraId="27BC657B">
      <w:pPr>
        <w:jc w:val="left"/>
        <w:rPr>
          <w:rFonts w:cs="黑体" w:asciiTheme="minorEastAsia" w:hAnsiTheme="minorEastAsia"/>
          <w:color w:val="000000"/>
          <w:kern w:val="0"/>
          <w:sz w:val="32"/>
          <w:szCs w:val="32"/>
        </w:rPr>
      </w:pPr>
    </w:p>
    <w:p w14:paraId="42C55F6F">
      <w:pPr>
        <w:jc w:val="left"/>
        <w:rPr>
          <w:rFonts w:cs="黑体" w:asciiTheme="minorEastAsia" w:hAnsiTheme="minorEastAsia"/>
          <w:color w:val="000000"/>
          <w:kern w:val="0"/>
          <w:sz w:val="32"/>
          <w:szCs w:val="32"/>
        </w:rPr>
      </w:pPr>
    </w:p>
    <w:p w14:paraId="6BEA344D">
      <w:pPr>
        <w:jc w:val="left"/>
        <w:rPr>
          <w:rFonts w:cs="黑体" w:asciiTheme="minorEastAsia" w:hAnsiTheme="minorEastAsia"/>
          <w:color w:val="000000"/>
          <w:kern w:val="0"/>
          <w:sz w:val="32"/>
          <w:szCs w:val="32"/>
        </w:rPr>
      </w:pPr>
    </w:p>
    <w:p w14:paraId="4E3E4ABC">
      <w:pPr>
        <w:jc w:val="left"/>
        <w:rPr>
          <w:rFonts w:cs="黑体" w:asciiTheme="minorEastAsia" w:hAnsiTheme="minorEastAsia"/>
          <w:color w:val="000000"/>
          <w:kern w:val="0"/>
          <w:sz w:val="32"/>
          <w:szCs w:val="32"/>
        </w:rPr>
      </w:pPr>
    </w:p>
    <w:p w14:paraId="46AF93B1">
      <w:pPr>
        <w:jc w:val="left"/>
        <w:rPr>
          <w:rFonts w:cs="黑体" w:asciiTheme="minorEastAsia" w:hAnsiTheme="minorEastAsia"/>
          <w:color w:val="000000"/>
          <w:kern w:val="0"/>
          <w:sz w:val="32"/>
          <w:szCs w:val="32"/>
        </w:rPr>
      </w:pPr>
    </w:p>
    <w:p w14:paraId="76D372AA">
      <w:pPr>
        <w:rPr>
          <w:rFonts w:hint="eastAsia" w:ascii="仿宋" w:hAnsi="仿宋" w:eastAsia="仿宋"/>
          <w:color w:val="000000"/>
          <w:w w:val="100"/>
          <w:sz w:val="22"/>
          <w:lang w:val="zh-CN" w:bidi="zh-CN"/>
        </w:rPr>
      </w:pPr>
      <w:bookmarkStart w:id="4" w:name="bookmark6"/>
    </w:p>
    <w:p w14:paraId="7906314C">
      <w:pPr>
        <w:rPr>
          <w:rFonts w:hint="eastAsia" w:ascii="仿宋" w:hAnsi="仿宋" w:eastAsia="仿宋"/>
          <w:color w:val="000000"/>
          <w:w w:val="100"/>
          <w:sz w:val="22"/>
          <w:lang w:val="zh-CN" w:bidi="zh-CN"/>
        </w:rPr>
      </w:pPr>
    </w:p>
    <w:p w14:paraId="3F19C766">
      <w:pPr>
        <w:rPr>
          <w:rFonts w:ascii="仿宋" w:hAnsi="仿宋" w:eastAsia="仿宋"/>
          <w:color w:val="000000"/>
          <w:w w:val="100"/>
          <w:sz w:val="22"/>
          <w:lang w:val="zh-CN" w:bidi="zh-CN"/>
        </w:rPr>
      </w:pPr>
      <w:r>
        <w:rPr>
          <w:rFonts w:hint="eastAsia" w:ascii="仿宋" w:hAnsi="仿宋" w:eastAsia="仿宋"/>
          <w:color w:val="000000"/>
          <w:w w:val="100"/>
          <w:sz w:val="22"/>
          <w:lang w:val="zh-CN" w:bidi="zh-CN"/>
        </w:rPr>
        <w:t>附件1-2</w:t>
      </w:r>
    </w:p>
    <w:p w14:paraId="79D84731">
      <w:pPr>
        <w:jc w:val="center"/>
        <w:rPr>
          <w:rFonts w:asciiTheme="minorEastAsia" w:hAnsiTheme="minorEastAsia" w:eastAsiaTheme="minorEastAsia"/>
          <w:b/>
          <w:sz w:val="36"/>
          <w:szCs w:val="36"/>
        </w:rPr>
      </w:pPr>
      <w:r>
        <w:rPr>
          <w:rFonts w:asciiTheme="minorEastAsia" w:hAnsiTheme="minorEastAsia" w:eastAsiaTheme="minorEastAsia"/>
          <w:b/>
          <w:color w:val="000000"/>
          <w:w w:val="100"/>
          <w:sz w:val="36"/>
          <w:szCs w:val="36"/>
          <w:lang w:val="zh-CN" w:bidi="zh-CN"/>
        </w:rPr>
        <w:t>整体支出绩效自评表</w:t>
      </w:r>
      <w:bookmarkEnd w:id="4"/>
    </w:p>
    <w:tbl>
      <w:tblPr>
        <w:tblStyle w:val="10"/>
        <w:tblW w:w="9292" w:type="dxa"/>
        <w:tblInd w:w="0" w:type="dxa"/>
        <w:tblLayout w:type="fixed"/>
        <w:tblCellMar>
          <w:top w:w="0" w:type="dxa"/>
          <w:left w:w="10" w:type="dxa"/>
          <w:bottom w:w="0" w:type="dxa"/>
          <w:right w:w="10" w:type="dxa"/>
        </w:tblCellMar>
      </w:tblPr>
      <w:tblGrid>
        <w:gridCol w:w="1205"/>
        <w:gridCol w:w="1200"/>
        <w:gridCol w:w="866"/>
        <w:gridCol w:w="243"/>
        <w:gridCol w:w="1032"/>
        <w:gridCol w:w="284"/>
        <w:gridCol w:w="935"/>
        <w:gridCol w:w="1142"/>
        <w:gridCol w:w="691"/>
        <w:gridCol w:w="456"/>
        <w:gridCol w:w="320"/>
        <w:gridCol w:w="918"/>
      </w:tblGrid>
      <w:tr w14:paraId="08D47961">
        <w:tblPrEx>
          <w:tblCellMar>
            <w:top w:w="0" w:type="dxa"/>
            <w:left w:w="10" w:type="dxa"/>
            <w:bottom w:w="0" w:type="dxa"/>
            <w:right w:w="10" w:type="dxa"/>
          </w:tblCellMar>
        </w:tblPrEx>
        <w:trPr>
          <w:trHeight w:val="634" w:hRule="exact"/>
        </w:trPr>
        <w:tc>
          <w:tcPr>
            <w:tcW w:w="1205" w:type="dxa"/>
            <w:tcBorders>
              <w:top w:val="single" w:color="auto" w:sz="4" w:space="0"/>
              <w:left w:val="single" w:color="auto" w:sz="4" w:space="0"/>
            </w:tcBorders>
            <w:shd w:val="clear" w:color="auto" w:fill="FFFFFF"/>
            <w:vAlign w:val="center"/>
          </w:tcPr>
          <w:p w14:paraId="7F85E629">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预算单位</w:t>
            </w:r>
            <w:r>
              <w:rPr>
                <w:rStyle w:val="24"/>
                <w:rFonts w:hint="eastAsia" w:ascii="仿宋" w:hAnsi="仿宋" w:eastAsia="仿宋"/>
              </w:rPr>
              <w:t xml:space="preserve">  </w:t>
            </w:r>
            <w:r>
              <w:rPr>
                <w:rStyle w:val="24"/>
                <w:rFonts w:ascii="仿宋" w:hAnsi="仿宋" w:eastAsia="仿宋"/>
              </w:rPr>
              <w:t>名称</w:t>
            </w:r>
          </w:p>
        </w:tc>
        <w:tc>
          <w:tcPr>
            <w:tcW w:w="8087" w:type="dxa"/>
            <w:gridSpan w:val="11"/>
            <w:tcBorders>
              <w:top w:val="single" w:color="auto" w:sz="4" w:space="0"/>
              <w:left w:val="single" w:color="auto" w:sz="4" w:space="0"/>
              <w:right w:val="single" w:color="auto" w:sz="4" w:space="0"/>
            </w:tcBorders>
            <w:shd w:val="clear" w:color="auto" w:fill="FFFFFF"/>
            <w:vAlign w:val="center"/>
          </w:tcPr>
          <w:p w14:paraId="7235EAF8">
            <w:pPr>
              <w:spacing w:line="280" w:lineRule="exact"/>
              <w:jc w:val="left"/>
              <w:rPr>
                <w:rStyle w:val="24"/>
                <w:rFonts w:ascii="仿宋" w:hAnsi="仿宋" w:eastAsia="仿宋"/>
              </w:rPr>
            </w:pPr>
            <w:r>
              <w:rPr>
                <w:rStyle w:val="24"/>
                <w:rFonts w:hint="eastAsia" w:ascii="仿宋" w:hAnsi="仿宋" w:eastAsia="仿宋"/>
              </w:rPr>
              <w:t>怀化市教育局</w:t>
            </w:r>
          </w:p>
        </w:tc>
      </w:tr>
      <w:tr w14:paraId="1620AC7F">
        <w:tblPrEx>
          <w:tblCellMar>
            <w:top w:w="0" w:type="dxa"/>
            <w:left w:w="10" w:type="dxa"/>
            <w:bottom w:w="0" w:type="dxa"/>
            <w:right w:w="10" w:type="dxa"/>
          </w:tblCellMar>
        </w:tblPrEx>
        <w:trPr>
          <w:trHeight w:val="730" w:hRule="exact"/>
        </w:trPr>
        <w:tc>
          <w:tcPr>
            <w:tcW w:w="1205" w:type="dxa"/>
            <w:vMerge w:val="restart"/>
            <w:tcBorders>
              <w:top w:val="single" w:color="auto" w:sz="4" w:space="0"/>
              <w:left w:val="single" w:color="auto" w:sz="4" w:space="0"/>
            </w:tcBorders>
            <w:shd w:val="clear" w:color="auto" w:fill="FFFFFF"/>
            <w:vAlign w:val="center"/>
          </w:tcPr>
          <w:p w14:paraId="3098E3C1">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年度预</w:t>
            </w:r>
          </w:p>
          <w:p w14:paraId="75C2C1D4">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算申请</w:t>
            </w:r>
          </w:p>
          <w:p w14:paraId="3ACB95D4">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（万元</w:t>
            </w:r>
            <w:r>
              <w:rPr>
                <w:rStyle w:val="24"/>
                <w:rFonts w:ascii="仿宋" w:hAnsi="仿宋" w:eastAsia="仿宋"/>
                <w:lang w:bidi="en-US"/>
              </w:rPr>
              <w:t>）</w:t>
            </w:r>
          </w:p>
        </w:tc>
        <w:tc>
          <w:tcPr>
            <w:tcW w:w="2309" w:type="dxa"/>
            <w:gridSpan w:val="3"/>
            <w:tcBorders>
              <w:top w:val="single" w:color="auto" w:sz="4" w:space="0"/>
              <w:left w:val="single" w:color="auto" w:sz="4" w:space="0"/>
            </w:tcBorders>
            <w:shd w:val="clear" w:color="auto" w:fill="FFFFFF"/>
          </w:tcPr>
          <w:p w14:paraId="3274B830">
            <w:pPr>
              <w:spacing w:line="280" w:lineRule="exact"/>
              <w:rPr>
                <w:rFonts w:ascii="仿宋" w:hAnsi="仿宋" w:eastAsia="仿宋"/>
                <w:sz w:val="10"/>
                <w:szCs w:val="10"/>
              </w:rPr>
            </w:pPr>
          </w:p>
        </w:tc>
        <w:tc>
          <w:tcPr>
            <w:tcW w:w="1032" w:type="dxa"/>
            <w:tcBorders>
              <w:top w:val="single" w:color="auto" w:sz="4" w:space="0"/>
              <w:left w:val="single" w:color="auto" w:sz="4" w:space="0"/>
            </w:tcBorders>
            <w:shd w:val="clear" w:color="auto" w:fill="FFFFFF"/>
            <w:vAlign w:val="center"/>
          </w:tcPr>
          <w:p w14:paraId="5A30BC2F">
            <w:pPr>
              <w:pStyle w:val="23"/>
              <w:shd w:val="clear" w:color="auto" w:fill="auto"/>
              <w:spacing w:before="0" w:after="60" w:line="280" w:lineRule="exact"/>
              <w:ind w:left="260" w:firstLine="0"/>
              <w:rPr>
                <w:rStyle w:val="24"/>
                <w:rFonts w:ascii="仿宋" w:hAnsi="仿宋" w:eastAsia="仿宋"/>
              </w:rPr>
            </w:pPr>
            <w:r>
              <w:rPr>
                <w:rStyle w:val="24"/>
                <w:rFonts w:ascii="仿宋" w:hAnsi="仿宋" w:eastAsia="仿宋"/>
              </w:rPr>
              <w:t>年初</w:t>
            </w:r>
          </w:p>
          <w:p w14:paraId="6C0906C9">
            <w:pPr>
              <w:pStyle w:val="23"/>
              <w:shd w:val="clear" w:color="auto" w:fill="auto"/>
              <w:spacing w:before="60" w:after="0" w:line="280" w:lineRule="exact"/>
              <w:ind w:left="160" w:firstLine="0"/>
              <w:rPr>
                <w:rStyle w:val="24"/>
                <w:rFonts w:ascii="仿宋" w:hAnsi="仿宋" w:eastAsia="仿宋"/>
              </w:rPr>
            </w:pPr>
            <w:r>
              <w:rPr>
                <w:rStyle w:val="24"/>
                <w:rFonts w:ascii="仿宋" w:hAnsi="仿宋" w:eastAsia="仿宋"/>
              </w:rPr>
              <w:t>预算数</w:t>
            </w:r>
          </w:p>
        </w:tc>
        <w:tc>
          <w:tcPr>
            <w:tcW w:w="1219" w:type="dxa"/>
            <w:gridSpan w:val="2"/>
            <w:tcBorders>
              <w:top w:val="single" w:color="auto" w:sz="4" w:space="0"/>
              <w:left w:val="single" w:color="auto" w:sz="4" w:space="0"/>
            </w:tcBorders>
            <w:shd w:val="clear" w:color="auto" w:fill="FFFFFF"/>
            <w:vAlign w:val="center"/>
          </w:tcPr>
          <w:p w14:paraId="1572D734">
            <w:pPr>
              <w:pStyle w:val="23"/>
              <w:shd w:val="clear" w:color="auto" w:fill="auto"/>
              <w:spacing w:before="0" w:after="0" w:line="280" w:lineRule="exact"/>
              <w:ind w:left="-10" w:firstLine="0"/>
              <w:rPr>
                <w:rFonts w:ascii="仿宋" w:hAnsi="仿宋" w:eastAsia="仿宋"/>
              </w:rPr>
            </w:pPr>
            <w:r>
              <w:rPr>
                <w:rStyle w:val="24"/>
                <w:rFonts w:ascii="仿宋" w:hAnsi="仿宋" w:eastAsia="仿宋"/>
              </w:rPr>
              <w:t>全年预算数</w:t>
            </w:r>
          </w:p>
        </w:tc>
        <w:tc>
          <w:tcPr>
            <w:tcW w:w="1142" w:type="dxa"/>
            <w:tcBorders>
              <w:top w:val="single" w:color="auto" w:sz="4" w:space="0"/>
              <w:left w:val="single" w:color="auto" w:sz="4" w:space="0"/>
            </w:tcBorders>
            <w:shd w:val="clear" w:color="auto" w:fill="FFFFFF"/>
            <w:vAlign w:val="center"/>
          </w:tcPr>
          <w:p w14:paraId="6E4585E6">
            <w:pPr>
              <w:pStyle w:val="23"/>
              <w:shd w:val="clear" w:color="auto" w:fill="auto"/>
              <w:spacing w:before="0" w:after="60" w:line="280" w:lineRule="exact"/>
              <w:ind w:left="340" w:firstLine="0"/>
              <w:rPr>
                <w:rFonts w:ascii="仿宋" w:hAnsi="仿宋" w:eastAsia="仿宋"/>
              </w:rPr>
            </w:pPr>
            <w:r>
              <w:rPr>
                <w:rStyle w:val="24"/>
                <w:rFonts w:ascii="仿宋" w:hAnsi="仿宋" w:eastAsia="仿宋"/>
              </w:rPr>
              <w:t>全年</w:t>
            </w:r>
          </w:p>
          <w:p w14:paraId="77F7F456">
            <w:pPr>
              <w:pStyle w:val="23"/>
              <w:shd w:val="clear" w:color="auto" w:fill="auto"/>
              <w:spacing w:before="60" w:after="0" w:line="280" w:lineRule="exact"/>
              <w:ind w:left="240" w:firstLine="0"/>
              <w:rPr>
                <w:rFonts w:ascii="仿宋" w:hAnsi="仿宋" w:eastAsia="仿宋"/>
              </w:rPr>
            </w:pPr>
            <w:r>
              <w:rPr>
                <w:rStyle w:val="24"/>
                <w:rFonts w:ascii="仿宋" w:hAnsi="仿宋" w:eastAsia="仿宋"/>
              </w:rPr>
              <w:t>执行数</w:t>
            </w:r>
          </w:p>
        </w:tc>
        <w:tc>
          <w:tcPr>
            <w:tcW w:w="691" w:type="dxa"/>
            <w:tcBorders>
              <w:top w:val="single" w:color="auto" w:sz="4" w:space="0"/>
              <w:left w:val="single" w:color="auto" w:sz="4" w:space="0"/>
            </w:tcBorders>
            <w:shd w:val="clear" w:color="auto" w:fill="FFFFFF"/>
            <w:vAlign w:val="center"/>
          </w:tcPr>
          <w:p w14:paraId="6E116B60">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分值</w:t>
            </w:r>
          </w:p>
        </w:tc>
        <w:tc>
          <w:tcPr>
            <w:tcW w:w="776" w:type="dxa"/>
            <w:gridSpan w:val="2"/>
            <w:tcBorders>
              <w:top w:val="single" w:color="auto" w:sz="4" w:space="0"/>
              <w:left w:val="single" w:color="auto" w:sz="4" w:space="0"/>
            </w:tcBorders>
            <w:shd w:val="clear" w:color="auto" w:fill="FFFFFF"/>
          </w:tcPr>
          <w:p w14:paraId="266A644C">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执</w:t>
            </w:r>
          </w:p>
          <w:p w14:paraId="3FDEB313">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行</w:t>
            </w:r>
          </w:p>
          <w:p w14:paraId="26D4AE0B">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率</w:t>
            </w:r>
          </w:p>
        </w:tc>
        <w:tc>
          <w:tcPr>
            <w:tcW w:w="918" w:type="dxa"/>
            <w:tcBorders>
              <w:top w:val="single" w:color="auto" w:sz="4" w:space="0"/>
              <w:left w:val="single" w:color="auto" w:sz="4" w:space="0"/>
              <w:right w:val="single" w:color="auto" w:sz="4" w:space="0"/>
            </w:tcBorders>
            <w:shd w:val="clear" w:color="auto" w:fill="FFFFFF"/>
            <w:vAlign w:val="center"/>
          </w:tcPr>
          <w:p w14:paraId="3959AAAD">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得分</w:t>
            </w:r>
          </w:p>
        </w:tc>
      </w:tr>
      <w:tr w14:paraId="59445D97">
        <w:tblPrEx>
          <w:tblCellMar>
            <w:top w:w="0" w:type="dxa"/>
            <w:left w:w="10" w:type="dxa"/>
            <w:bottom w:w="0" w:type="dxa"/>
            <w:right w:w="10" w:type="dxa"/>
          </w:tblCellMar>
        </w:tblPrEx>
        <w:trPr>
          <w:trHeight w:val="355" w:hRule="exact"/>
        </w:trPr>
        <w:tc>
          <w:tcPr>
            <w:tcW w:w="1205" w:type="dxa"/>
            <w:vMerge w:val="continue"/>
            <w:tcBorders>
              <w:left w:val="single" w:color="auto" w:sz="4" w:space="0"/>
            </w:tcBorders>
            <w:shd w:val="clear" w:color="auto" w:fill="FFFFFF"/>
            <w:vAlign w:val="center"/>
          </w:tcPr>
          <w:p w14:paraId="6107A8ED">
            <w:pPr>
              <w:spacing w:line="280" w:lineRule="exact"/>
              <w:rPr>
                <w:rFonts w:ascii="仿宋" w:hAnsi="仿宋" w:eastAsia="仿宋"/>
              </w:rPr>
            </w:pPr>
          </w:p>
        </w:tc>
        <w:tc>
          <w:tcPr>
            <w:tcW w:w="2309" w:type="dxa"/>
            <w:gridSpan w:val="3"/>
            <w:tcBorders>
              <w:top w:val="single" w:color="auto" w:sz="4" w:space="0"/>
              <w:left w:val="single" w:color="auto" w:sz="4" w:space="0"/>
            </w:tcBorders>
            <w:shd w:val="clear" w:color="auto" w:fill="FFFFFF"/>
            <w:vAlign w:val="center"/>
          </w:tcPr>
          <w:p w14:paraId="1ED55363">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年度资金总额</w:t>
            </w:r>
          </w:p>
        </w:tc>
        <w:tc>
          <w:tcPr>
            <w:tcW w:w="1032" w:type="dxa"/>
            <w:tcBorders>
              <w:top w:val="single" w:color="auto" w:sz="4" w:space="0"/>
              <w:left w:val="single" w:color="auto" w:sz="4" w:space="0"/>
            </w:tcBorders>
            <w:shd w:val="clear" w:color="auto" w:fill="FFFFFF"/>
            <w:vAlign w:val="center"/>
          </w:tcPr>
          <w:p w14:paraId="0BB687E0">
            <w:pPr>
              <w:spacing w:line="280" w:lineRule="exact"/>
              <w:jc w:val="center"/>
              <w:rPr>
                <w:rStyle w:val="24"/>
                <w:rFonts w:ascii="仿宋" w:hAnsi="仿宋" w:eastAsia="仿宋"/>
              </w:rPr>
            </w:pPr>
            <w:r>
              <w:rPr>
                <w:rStyle w:val="24"/>
                <w:rFonts w:ascii="仿宋" w:hAnsi="仿宋" w:eastAsia="仿宋"/>
              </w:rPr>
              <w:t>3317</w:t>
            </w:r>
            <w:r>
              <w:rPr>
                <w:rStyle w:val="24"/>
                <w:rFonts w:hint="eastAsia" w:ascii="仿宋" w:hAnsi="仿宋" w:eastAsia="仿宋"/>
              </w:rPr>
              <w:t>.</w:t>
            </w:r>
            <w:r>
              <w:rPr>
                <w:rStyle w:val="24"/>
                <w:rFonts w:ascii="仿宋" w:hAnsi="仿宋" w:eastAsia="仿宋"/>
              </w:rPr>
              <w:t>6</w:t>
            </w:r>
            <w:r>
              <w:rPr>
                <w:rStyle w:val="24"/>
                <w:rFonts w:hint="eastAsia" w:ascii="仿宋" w:hAnsi="仿宋" w:eastAsia="仿宋"/>
              </w:rPr>
              <w:t>5</w:t>
            </w:r>
          </w:p>
        </w:tc>
        <w:tc>
          <w:tcPr>
            <w:tcW w:w="1219" w:type="dxa"/>
            <w:gridSpan w:val="2"/>
            <w:tcBorders>
              <w:top w:val="single" w:color="auto" w:sz="4" w:space="0"/>
              <w:left w:val="single" w:color="auto" w:sz="4" w:space="0"/>
            </w:tcBorders>
            <w:shd w:val="clear" w:color="auto" w:fill="FFFFFF"/>
            <w:vAlign w:val="center"/>
          </w:tcPr>
          <w:p w14:paraId="154762D7">
            <w:pPr>
              <w:spacing w:line="280" w:lineRule="exact"/>
              <w:jc w:val="center"/>
              <w:rPr>
                <w:rStyle w:val="24"/>
                <w:rFonts w:ascii="仿宋" w:hAnsi="仿宋" w:eastAsia="仿宋"/>
              </w:rPr>
            </w:pPr>
            <w:r>
              <w:rPr>
                <w:rStyle w:val="24"/>
                <w:rFonts w:ascii="仿宋" w:hAnsi="仿宋" w:eastAsia="仿宋"/>
              </w:rPr>
              <w:t>3317</w:t>
            </w:r>
            <w:r>
              <w:rPr>
                <w:rStyle w:val="24"/>
                <w:rFonts w:hint="eastAsia" w:ascii="仿宋" w:hAnsi="仿宋" w:eastAsia="仿宋"/>
              </w:rPr>
              <w:t>.</w:t>
            </w:r>
            <w:r>
              <w:rPr>
                <w:rStyle w:val="24"/>
                <w:rFonts w:ascii="仿宋" w:hAnsi="仿宋" w:eastAsia="仿宋"/>
              </w:rPr>
              <w:t>6</w:t>
            </w:r>
            <w:r>
              <w:rPr>
                <w:rStyle w:val="24"/>
                <w:rFonts w:hint="eastAsia" w:ascii="仿宋" w:hAnsi="仿宋" w:eastAsia="仿宋"/>
              </w:rPr>
              <w:t>5</w:t>
            </w:r>
          </w:p>
        </w:tc>
        <w:tc>
          <w:tcPr>
            <w:tcW w:w="1142" w:type="dxa"/>
            <w:tcBorders>
              <w:top w:val="single" w:color="auto" w:sz="4" w:space="0"/>
              <w:left w:val="single" w:color="auto" w:sz="4" w:space="0"/>
            </w:tcBorders>
            <w:shd w:val="clear" w:color="auto" w:fill="FFFFFF"/>
            <w:vAlign w:val="center"/>
          </w:tcPr>
          <w:p w14:paraId="37A9297E">
            <w:pPr>
              <w:spacing w:line="280" w:lineRule="exact"/>
              <w:jc w:val="center"/>
              <w:rPr>
                <w:rStyle w:val="24"/>
                <w:rFonts w:ascii="仿宋" w:hAnsi="仿宋" w:eastAsia="仿宋"/>
              </w:rPr>
            </w:pPr>
            <w:r>
              <w:rPr>
                <w:rStyle w:val="24"/>
                <w:rFonts w:ascii="仿宋" w:hAnsi="仿宋" w:eastAsia="仿宋"/>
              </w:rPr>
              <w:t>6978</w:t>
            </w:r>
            <w:r>
              <w:rPr>
                <w:rStyle w:val="24"/>
                <w:rFonts w:hint="eastAsia" w:ascii="仿宋" w:hAnsi="仿宋" w:eastAsia="仿宋"/>
              </w:rPr>
              <w:t>.</w:t>
            </w:r>
            <w:r>
              <w:rPr>
                <w:rStyle w:val="24"/>
                <w:rFonts w:ascii="仿宋" w:hAnsi="仿宋" w:eastAsia="仿宋"/>
              </w:rPr>
              <w:t>9</w:t>
            </w:r>
            <w:r>
              <w:rPr>
                <w:rStyle w:val="24"/>
                <w:rFonts w:hint="eastAsia" w:ascii="仿宋" w:hAnsi="仿宋" w:eastAsia="仿宋"/>
              </w:rPr>
              <w:t>9</w:t>
            </w:r>
          </w:p>
        </w:tc>
        <w:tc>
          <w:tcPr>
            <w:tcW w:w="691" w:type="dxa"/>
            <w:tcBorders>
              <w:top w:val="single" w:color="auto" w:sz="4" w:space="0"/>
              <w:left w:val="single" w:color="auto" w:sz="4" w:space="0"/>
            </w:tcBorders>
            <w:shd w:val="clear" w:color="auto" w:fill="FFFFFF"/>
            <w:vAlign w:val="center"/>
          </w:tcPr>
          <w:p w14:paraId="6408AE63">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10</w:t>
            </w:r>
          </w:p>
        </w:tc>
        <w:tc>
          <w:tcPr>
            <w:tcW w:w="776" w:type="dxa"/>
            <w:gridSpan w:val="2"/>
            <w:tcBorders>
              <w:top w:val="single" w:color="auto" w:sz="4" w:space="0"/>
              <w:left w:val="single" w:color="auto" w:sz="4" w:space="0"/>
            </w:tcBorders>
            <w:shd w:val="clear" w:color="auto" w:fill="FFFFFF"/>
            <w:vAlign w:val="center"/>
          </w:tcPr>
          <w:p w14:paraId="0BA62F72">
            <w:pPr>
              <w:spacing w:line="280" w:lineRule="exact"/>
              <w:jc w:val="center"/>
              <w:rPr>
                <w:rStyle w:val="24"/>
                <w:rFonts w:ascii="仿宋" w:hAnsi="仿宋" w:eastAsia="仿宋"/>
              </w:rPr>
            </w:pPr>
            <w:r>
              <w:rPr>
                <w:rStyle w:val="24"/>
                <w:rFonts w:hint="eastAsia" w:ascii="仿宋" w:hAnsi="仿宋" w:eastAsia="仿宋"/>
              </w:rPr>
              <w:t>210.36%</w:t>
            </w:r>
          </w:p>
        </w:tc>
        <w:tc>
          <w:tcPr>
            <w:tcW w:w="918" w:type="dxa"/>
            <w:tcBorders>
              <w:top w:val="single" w:color="auto" w:sz="4" w:space="0"/>
              <w:left w:val="single" w:color="auto" w:sz="4" w:space="0"/>
              <w:right w:val="single" w:color="auto" w:sz="4" w:space="0"/>
            </w:tcBorders>
            <w:shd w:val="clear" w:color="auto" w:fill="FFFFFF"/>
            <w:vAlign w:val="center"/>
          </w:tcPr>
          <w:p w14:paraId="4FAADE64">
            <w:pPr>
              <w:spacing w:line="280" w:lineRule="exact"/>
              <w:jc w:val="center"/>
              <w:rPr>
                <w:rStyle w:val="24"/>
                <w:rFonts w:ascii="仿宋" w:hAnsi="仿宋" w:eastAsia="仿宋"/>
              </w:rPr>
            </w:pPr>
            <w:r>
              <w:rPr>
                <w:rStyle w:val="24"/>
                <w:rFonts w:hint="eastAsia" w:ascii="仿宋" w:hAnsi="仿宋" w:eastAsia="仿宋"/>
              </w:rPr>
              <w:t>10</w:t>
            </w:r>
          </w:p>
        </w:tc>
      </w:tr>
      <w:tr w14:paraId="399FD1A5">
        <w:tblPrEx>
          <w:tblCellMar>
            <w:top w:w="0" w:type="dxa"/>
            <w:left w:w="10" w:type="dxa"/>
            <w:bottom w:w="0" w:type="dxa"/>
            <w:right w:w="10" w:type="dxa"/>
          </w:tblCellMar>
        </w:tblPrEx>
        <w:trPr>
          <w:trHeight w:val="350" w:hRule="exact"/>
        </w:trPr>
        <w:tc>
          <w:tcPr>
            <w:tcW w:w="1205" w:type="dxa"/>
            <w:vMerge w:val="continue"/>
            <w:tcBorders>
              <w:left w:val="single" w:color="auto" w:sz="4" w:space="0"/>
            </w:tcBorders>
            <w:shd w:val="clear" w:color="auto" w:fill="FFFFFF"/>
            <w:vAlign w:val="center"/>
          </w:tcPr>
          <w:p w14:paraId="7FCBCBFE">
            <w:pPr>
              <w:spacing w:line="280" w:lineRule="exact"/>
              <w:rPr>
                <w:rFonts w:ascii="仿宋" w:hAnsi="仿宋" w:eastAsia="仿宋"/>
              </w:rPr>
            </w:pPr>
          </w:p>
        </w:tc>
        <w:tc>
          <w:tcPr>
            <w:tcW w:w="4560" w:type="dxa"/>
            <w:gridSpan w:val="6"/>
            <w:tcBorders>
              <w:top w:val="single" w:color="auto" w:sz="4" w:space="0"/>
              <w:left w:val="single" w:color="auto" w:sz="4" w:space="0"/>
            </w:tcBorders>
            <w:shd w:val="clear" w:color="auto" w:fill="FFFFFF"/>
            <w:vAlign w:val="center"/>
          </w:tcPr>
          <w:p w14:paraId="7DAA43F3">
            <w:pPr>
              <w:pStyle w:val="23"/>
              <w:shd w:val="clear" w:color="auto" w:fill="auto"/>
              <w:spacing w:before="0" w:after="0" w:line="280" w:lineRule="exact"/>
              <w:ind w:firstLine="0"/>
              <w:rPr>
                <w:rFonts w:ascii="仿宋" w:hAnsi="仿宋" w:eastAsia="仿宋"/>
              </w:rPr>
            </w:pPr>
            <w:r>
              <w:rPr>
                <w:rStyle w:val="24"/>
                <w:rFonts w:ascii="仿宋" w:hAnsi="仿宋" w:eastAsia="仿宋"/>
              </w:rPr>
              <w:t>按收入性质分：6978</w:t>
            </w:r>
            <w:r>
              <w:rPr>
                <w:rStyle w:val="24"/>
                <w:rFonts w:hint="eastAsia" w:ascii="仿宋" w:hAnsi="仿宋" w:eastAsia="仿宋"/>
              </w:rPr>
              <w:t>.</w:t>
            </w:r>
            <w:r>
              <w:rPr>
                <w:rStyle w:val="24"/>
                <w:rFonts w:ascii="仿宋" w:hAnsi="仿宋" w:eastAsia="仿宋"/>
              </w:rPr>
              <w:t>9</w:t>
            </w:r>
            <w:r>
              <w:rPr>
                <w:rStyle w:val="24"/>
                <w:rFonts w:hint="eastAsia" w:ascii="仿宋" w:hAnsi="仿宋" w:eastAsia="仿宋"/>
              </w:rPr>
              <w:t>9</w:t>
            </w:r>
          </w:p>
        </w:tc>
        <w:tc>
          <w:tcPr>
            <w:tcW w:w="3527" w:type="dxa"/>
            <w:gridSpan w:val="5"/>
            <w:tcBorders>
              <w:top w:val="single" w:color="auto" w:sz="4" w:space="0"/>
              <w:left w:val="single" w:color="auto" w:sz="4" w:space="0"/>
              <w:right w:val="single" w:color="auto" w:sz="4" w:space="0"/>
            </w:tcBorders>
            <w:shd w:val="clear" w:color="auto" w:fill="FFFFFF"/>
            <w:vAlign w:val="center"/>
          </w:tcPr>
          <w:p w14:paraId="7C6B254F">
            <w:pPr>
              <w:pStyle w:val="23"/>
              <w:shd w:val="clear" w:color="auto" w:fill="auto"/>
              <w:spacing w:before="0" w:after="0" w:line="280" w:lineRule="exact"/>
              <w:ind w:firstLine="0"/>
              <w:rPr>
                <w:rFonts w:ascii="仿宋" w:hAnsi="仿宋" w:eastAsia="仿宋"/>
              </w:rPr>
            </w:pPr>
            <w:r>
              <w:rPr>
                <w:rStyle w:val="24"/>
                <w:rFonts w:ascii="仿宋" w:hAnsi="仿宋" w:eastAsia="仿宋"/>
              </w:rPr>
              <w:t>按支出性质分：6978</w:t>
            </w:r>
            <w:r>
              <w:rPr>
                <w:rStyle w:val="24"/>
                <w:rFonts w:hint="eastAsia" w:ascii="仿宋" w:hAnsi="仿宋" w:eastAsia="仿宋"/>
              </w:rPr>
              <w:t>.</w:t>
            </w:r>
            <w:r>
              <w:rPr>
                <w:rStyle w:val="24"/>
                <w:rFonts w:ascii="仿宋" w:hAnsi="仿宋" w:eastAsia="仿宋"/>
              </w:rPr>
              <w:t>9</w:t>
            </w:r>
            <w:r>
              <w:rPr>
                <w:rStyle w:val="24"/>
                <w:rFonts w:hint="eastAsia" w:ascii="仿宋" w:hAnsi="仿宋" w:eastAsia="仿宋"/>
              </w:rPr>
              <w:t>9</w:t>
            </w:r>
          </w:p>
        </w:tc>
      </w:tr>
      <w:tr w14:paraId="4979FFFD">
        <w:tblPrEx>
          <w:tblCellMar>
            <w:top w:w="0" w:type="dxa"/>
            <w:left w:w="10" w:type="dxa"/>
            <w:bottom w:w="0" w:type="dxa"/>
            <w:right w:w="10" w:type="dxa"/>
          </w:tblCellMar>
        </w:tblPrEx>
        <w:trPr>
          <w:trHeight w:val="350" w:hRule="exact"/>
        </w:trPr>
        <w:tc>
          <w:tcPr>
            <w:tcW w:w="1205" w:type="dxa"/>
            <w:vMerge w:val="continue"/>
            <w:tcBorders>
              <w:left w:val="single" w:color="auto" w:sz="4" w:space="0"/>
            </w:tcBorders>
            <w:shd w:val="clear" w:color="auto" w:fill="FFFFFF"/>
            <w:vAlign w:val="center"/>
          </w:tcPr>
          <w:p w14:paraId="565F75EC">
            <w:pPr>
              <w:spacing w:line="280" w:lineRule="exact"/>
              <w:rPr>
                <w:rFonts w:ascii="仿宋" w:hAnsi="仿宋" w:eastAsia="仿宋"/>
              </w:rPr>
            </w:pPr>
          </w:p>
        </w:tc>
        <w:tc>
          <w:tcPr>
            <w:tcW w:w="4560" w:type="dxa"/>
            <w:gridSpan w:val="6"/>
            <w:tcBorders>
              <w:top w:val="single" w:color="auto" w:sz="4" w:space="0"/>
              <w:left w:val="single" w:color="auto" w:sz="4" w:space="0"/>
            </w:tcBorders>
            <w:shd w:val="clear" w:color="auto" w:fill="FFFFFF"/>
            <w:vAlign w:val="center"/>
          </w:tcPr>
          <w:p w14:paraId="711F48A2">
            <w:pPr>
              <w:pStyle w:val="23"/>
              <w:shd w:val="clear" w:color="auto" w:fill="auto"/>
              <w:spacing w:before="0" w:after="0" w:line="280" w:lineRule="exact"/>
              <w:ind w:firstLine="0"/>
              <w:rPr>
                <w:rFonts w:ascii="仿宋" w:hAnsi="仿宋" w:eastAsia="仿宋"/>
              </w:rPr>
            </w:pPr>
            <w:r>
              <w:rPr>
                <w:rStyle w:val="24"/>
                <w:rFonts w:ascii="仿宋" w:hAnsi="仿宋" w:eastAsia="仿宋"/>
              </w:rPr>
              <w:t>其中：一般公共预算：5511</w:t>
            </w:r>
            <w:r>
              <w:rPr>
                <w:rStyle w:val="24"/>
                <w:rFonts w:hint="eastAsia" w:ascii="仿宋" w:hAnsi="仿宋" w:eastAsia="仿宋"/>
              </w:rPr>
              <w:t>.40</w:t>
            </w:r>
          </w:p>
        </w:tc>
        <w:tc>
          <w:tcPr>
            <w:tcW w:w="3527" w:type="dxa"/>
            <w:gridSpan w:val="5"/>
            <w:tcBorders>
              <w:top w:val="single" w:color="auto" w:sz="4" w:space="0"/>
              <w:left w:val="single" w:color="auto" w:sz="4" w:space="0"/>
              <w:right w:val="single" w:color="auto" w:sz="4" w:space="0"/>
            </w:tcBorders>
            <w:shd w:val="clear" w:color="auto" w:fill="FFFFFF"/>
            <w:vAlign w:val="center"/>
          </w:tcPr>
          <w:p w14:paraId="000731D5">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其中：基本支出：3507</w:t>
            </w:r>
            <w:r>
              <w:rPr>
                <w:rStyle w:val="24"/>
                <w:rFonts w:hint="eastAsia" w:ascii="仿宋" w:hAnsi="仿宋" w:eastAsia="仿宋"/>
              </w:rPr>
              <w:t>.</w:t>
            </w:r>
            <w:r>
              <w:rPr>
                <w:rStyle w:val="24"/>
                <w:rFonts w:ascii="仿宋" w:hAnsi="仿宋" w:eastAsia="仿宋"/>
              </w:rPr>
              <w:t>8</w:t>
            </w:r>
            <w:r>
              <w:rPr>
                <w:rStyle w:val="24"/>
                <w:rFonts w:hint="eastAsia" w:ascii="仿宋" w:hAnsi="仿宋" w:eastAsia="仿宋"/>
              </w:rPr>
              <w:t>7</w:t>
            </w:r>
            <w:r>
              <w:rPr>
                <w:rFonts w:ascii="仿宋" w:hAnsi="仿宋" w:eastAsia="仿宋"/>
              </w:rPr>
              <w:t xml:space="preserve"> </w:t>
            </w:r>
          </w:p>
        </w:tc>
      </w:tr>
      <w:tr w14:paraId="15DC467B">
        <w:tblPrEx>
          <w:tblCellMar>
            <w:top w:w="0" w:type="dxa"/>
            <w:left w:w="10" w:type="dxa"/>
            <w:bottom w:w="0" w:type="dxa"/>
            <w:right w:w="10" w:type="dxa"/>
          </w:tblCellMar>
        </w:tblPrEx>
        <w:trPr>
          <w:trHeight w:val="350" w:hRule="exact"/>
        </w:trPr>
        <w:tc>
          <w:tcPr>
            <w:tcW w:w="1205" w:type="dxa"/>
            <w:vMerge w:val="continue"/>
            <w:tcBorders>
              <w:left w:val="single" w:color="auto" w:sz="4" w:space="0"/>
            </w:tcBorders>
            <w:shd w:val="clear" w:color="auto" w:fill="FFFFFF"/>
            <w:vAlign w:val="center"/>
          </w:tcPr>
          <w:p w14:paraId="60D06B8D">
            <w:pPr>
              <w:spacing w:line="280" w:lineRule="exact"/>
              <w:rPr>
                <w:rFonts w:ascii="仿宋" w:hAnsi="仿宋" w:eastAsia="仿宋"/>
              </w:rPr>
            </w:pPr>
          </w:p>
        </w:tc>
        <w:tc>
          <w:tcPr>
            <w:tcW w:w="4560" w:type="dxa"/>
            <w:gridSpan w:val="6"/>
            <w:tcBorders>
              <w:top w:val="single" w:color="auto" w:sz="4" w:space="0"/>
              <w:left w:val="single" w:color="auto" w:sz="4" w:space="0"/>
            </w:tcBorders>
            <w:shd w:val="clear" w:color="auto" w:fill="FFFFFF"/>
            <w:vAlign w:val="center"/>
          </w:tcPr>
          <w:p w14:paraId="2F5AF99D">
            <w:pPr>
              <w:pStyle w:val="23"/>
              <w:shd w:val="clear" w:color="auto" w:fill="auto"/>
              <w:spacing w:before="0" w:after="0" w:line="280" w:lineRule="exact"/>
              <w:ind w:right="75" w:firstLine="0"/>
              <w:rPr>
                <w:rFonts w:ascii="仿宋" w:hAnsi="仿宋" w:eastAsia="仿宋"/>
              </w:rPr>
            </w:pPr>
            <w:r>
              <w:rPr>
                <w:rStyle w:val="24"/>
                <w:rFonts w:hint="eastAsia" w:ascii="仿宋" w:hAnsi="仿宋" w:eastAsia="仿宋"/>
              </w:rPr>
              <w:t xml:space="preserve">      </w:t>
            </w:r>
            <w:r>
              <w:rPr>
                <w:rStyle w:val="24"/>
                <w:rFonts w:ascii="仿宋" w:hAnsi="仿宋" w:eastAsia="仿宋"/>
              </w:rPr>
              <w:t>政府性基金拨款：</w:t>
            </w:r>
          </w:p>
        </w:tc>
        <w:tc>
          <w:tcPr>
            <w:tcW w:w="3527" w:type="dxa"/>
            <w:gridSpan w:val="5"/>
            <w:tcBorders>
              <w:top w:val="single" w:color="auto" w:sz="4" w:space="0"/>
              <w:left w:val="single" w:color="auto" w:sz="4" w:space="0"/>
              <w:right w:val="single" w:color="auto" w:sz="4" w:space="0"/>
            </w:tcBorders>
            <w:shd w:val="clear" w:color="auto" w:fill="FFFFFF"/>
            <w:vAlign w:val="center"/>
          </w:tcPr>
          <w:p w14:paraId="20D69C95">
            <w:pPr>
              <w:pStyle w:val="23"/>
              <w:shd w:val="clear" w:color="auto" w:fill="auto"/>
              <w:tabs>
                <w:tab w:val="left" w:pos="3507"/>
              </w:tabs>
              <w:spacing w:before="0" w:after="0" w:line="280" w:lineRule="exact"/>
              <w:ind w:firstLine="0"/>
              <w:jc w:val="center"/>
              <w:rPr>
                <w:rFonts w:ascii="仿宋" w:hAnsi="仿宋" w:eastAsia="仿宋"/>
              </w:rPr>
            </w:pPr>
            <w:r>
              <w:rPr>
                <w:rStyle w:val="24"/>
                <w:rFonts w:hint="eastAsia" w:ascii="仿宋" w:hAnsi="仿宋" w:eastAsia="仿宋"/>
              </w:rPr>
              <w:t xml:space="preserve">     </w:t>
            </w:r>
            <w:r>
              <w:rPr>
                <w:rStyle w:val="24"/>
                <w:rFonts w:ascii="仿宋" w:hAnsi="仿宋" w:eastAsia="仿宋"/>
              </w:rPr>
              <w:t>项目支出：3471</w:t>
            </w:r>
            <w:r>
              <w:rPr>
                <w:rStyle w:val="24"/>
                <w:rFonts w:hint="eastAsia" w:ascii="仿宋" w:hAnsi="仿宋" w:eastAsia="仿宋"/>
              </w:rPr>
              <w:t>.</w:t>
            </w:r>
            <w:r>
              <w:rPr>
                <w:rStyle w:val="24"/>
                <w:rFonts w:ascii="仿宋" w:hAnsi="仿宋" w:eastAsia="仿宋"/>
              </w:rPr>
              <w:t>1</w:t>
            </w:r>
            <w:r>
              <w:rPr>
                <w:rStyle w:val="24"/>
                <w:rFonts w:hint="eastAsia" w:ascii="仿宋" w:hAnsi="仿宋" w:eastAsia="仿宋"/>
              </w:rPr>
              <w:t>2</w:t>
            </w:r>
          </w:p>
        </w:tc>
      </w:tr>
      <w:tr w14:paraId="1789DF0B">
        <w:tblPrEx>
          <w:tblCellMar>
            <w:top w:w="0" w:type="dxa"/>
            <w:left w:w="10" w:type="dxa"/>
            <w:bottom w:w="0" w:type="dxa"/>
            <w:right w:w="10" w:type="dxa"/>
          </w:tblCellMar>
        </w:tblPrEx>
        <w:trPr>
          <w:trHeight w:val="350" w:hRule="exact"/>
        </w:trPr>
        <w:tc>
          <w:tcPr>
            <w:tcW w:w="1205" w:type="dxa"/>
            <w:vMerge w:val="continue"/>
            <w:tcBorders>
              <w:left w:val="single" w:color="auto" w:sz="4" w:space="0"/>
            </w:tcBorders>
            <w:shd w:val="clear" w:color="auto" w:fill="FFFFFF"/>
            <w:vAlign w:val="center"/>
          </w:tcPr>
          <w:p w14:paraId="0E3B2B10">
            <w:pPr>
              <w:spacing w:line="280" w:lineRule="exact"/>
              <w:rPr>
                <w:rFonts w:ascii="仿宋" w:hAnsi="仿宋" w:eastAsia="仿宋"/>
              </w:rPr>
            </w:pPr>
          </w:p>
        </w:tc>
        <w:tc>
          <w:tcPr>
            <w:tcW w:w="4560" w:type="dxa"/>
            <w:gridSpan w:val="6"/>
            <w:tcBorders>
              <w:top w:val="single" w:color="auto" w:sz="4" w:space="0"/>
              <w:left w:val="single" w:color="auto" w:sz="4" w:space="0"/>
            </w:tcBorders>
            <w:shd w:val="clear" w:color="auto" w:fill="FFFFFF"/>
            <w:vAlign w:val="center"/>
          </w:tcPr>
          <w:p w14:paraId="5AAAFB82">
            <w:pPr>
              <w:pStyle w:val="23"/>
              <w:shd w:val="clear" w:color="auto" w:fill="auto"/>
              <w:spacing w:before="0" w:after="0" w:line="280" w:lineRule="exact"/>
              <w:ind w:firstLine="0"/>
              <w:rPr>
                <w:rFonts w:ascii="仿宋" w:hAnsi="仿宋" w:eastAsia="仿宋"/>
              </w:rPr>
            </w:pPr>
            <w:r>
              <w:rPr>
                <w:rStyle w:val="24"/>
                <w:rFonts w:ascii="仿宋" w:hAnsi="仿宋" w:eastAsia="仿宋"/>
              </w:rPr>
              <w:t>纳入专户管理的非税收入拨款：1467</w:t>
            </w:r>
            <w:r>
              <w:rPr>
                <w:rStyle w:val="24"/>
                <w:rFonts w:hint="eastAsia" w:ascii="仿宋" w:hAnsi="仿宋" w:eastAsia="仿宋"/>
              </w:rPr>
              <w:t>.</w:t>
            </w:r>
            <w:r>
              <w:rPr>
                <w:rStyle w:val="24"/>
                <w:rFonts w:ascii="仿宋" w:hAnsi="仿宋" w:eastAsia="仿宋"/>
              </w:rPr>
              <w:t>59</w:t>
            </w:r>
          </w:p>
        </w:tc>
        <w:tc>
          <w:tcPr>
            <w:tcW w:w="3527" w:type="dxa"/>
            <w:gridSpan w:val="5"/>
            <w:tcBorders>
              <w:top w:val="single" w:color="auto" w:sz="4" w:space="0"/>
              <w:left w:val="single" w:color="auto" w:sz="4" w:space="0"/>
              <w:right w:val="single" w:color="auto" w:sz="4" w:space="0"/>
            </w:tcBorders>
            <w:shd w:val="clear" w:color="auto" w:fill="FFFFFF"/>
            <w:vAlign w:val="center"/>
          </w:tcPr>
          <w:p w14:paraId="237A3F1B">
            <w:pPr>
              <w:spacing w:line="280" w:lineRule="exact"/>
              <w:jc w:val="center"/>
              <w:rPr>
                <w:rFonts w:ascii="仿宋" w:hAnsi="仿宋" w:eastAsia="仿宋"/>
                <w:sz w:val="10"/>
                <w:szCs w:val="10"/>
              </w:rPr>
            </w:pPr>
          </w:p>
        </w:tc>
      </w:tr>
      <w:tr w14:paraId="194FFD06">
        <w:tblPrEx>
          <w:tblCellMar>
            <w:top w:w="0" w:type="dxa"/>
            <w:left w:w="10" w:type="dxa"/>
            <w:bottom w:w="0" w:type="dxa"/>
            <w:right w:w="10" w:type="dxa"/>
          </w:tblCellMar>
        </w:tblPrEx>
        <w:trPr>
          <w:trHeight w:val="283" w:hRule="exact"/>
        </w:trPr>
        <w:tc>
          <w:tcPr>
            <w:tcW w:w="1205" w:type="dxa"/>
            <w:vMerge w:val="continue"/>
            <w:tcBorders>
              <w:left w:val="single" w:color="auto" w:sz="4" w:space="0"/>
            </w:tcBorders>
            <w:shd w:val="clear" w:color="auto" w:fill="FFFFFF"/>
            <w:vAlign w:val="center"/>
          </w:tcPr>
          <w:p w14:paraId="6413ED4B">
            <w:pPr>
              <w:spacing w:line="280" w:lineRule="exact"/>
              <w:rPr>
                <w:rFonts w:ascii="仿宋" w:hAnsi="仿宋" w:eastAsia="仿宋"/>
              </w:rPr>
            </w:pPr>
          </w:p>
        </w:tc>
        <w:tc>
          <w:tcPr>
            <w:tcW w:w="4560" w:type="dxa"/>
            <w:gridSpan w:val="6"/>
            <w:tcBorders>
              <w:top w:val="single" w:color="auto" w:sz="4" w:space="0"/>
              <w:left w:val="single" w:color="auto" w:sz="4" w:space="0"/>
            </w:tcBorders>
            <w:shd w:val="clear" w:color="auto" w:fill="FFFFFF"/>
            <w:vAlign w:val="center"/>
          </w:tcPr>
          <w:p w14:paraId="38C00A81">
            <w:pPr>
              <w:pStyle w:val="23"/>
              <w:shd w:val="clear" w:color="auto" w:fill="auto"/>
              <w:spacing w:before="0" w:after="0" w:line="280" w:lineRule="exact"/>
              <w:ind w:right="2240" w:firstLine="0"/>
              <w:jc w:val="center"/>
              <w:rPr>
                <w:rFonts w:ascii="仿宋" w:hAnsi="仿宋" w:eastAsia="仿宋"/>
              </w:rPr>
            </w:pPr>
            <w:r>
              <w:rPr>
                <w:rStyle w:val="24"/>
                <w:rFonts w:ascii="仿宋" w:hAnsi="仿宋" w:eastAsia="仿宋"/>
              </w:rPr>
              <w:t>其他资金：</w:t>
            </w:r>
          </w:p>
        </w:tc>
        <w:tc>
          <w:tcPr>
            <w:tcW w:w="3527" w:type="dxa"/>
            <w:gridSpan w:val="5"/>
            <w:tcBorders>
              <w:top w:val="single" w:color="auto" w:sz="4" w:space="0"/>
              <w:left w:val="single" w:color="auto" w:sz="4" w:space="0"/>
              <w:right w:val="single" w:color="auto" w:sz="4" w:space="0"/>
            </w:tcBorders>
            <w:shd w:val="clear" w:color="auto" w:fill="FFFFFF"/>
            <w:vAlign w:val="center"/>
          </w:tcPr>
          <w:p w14:paraId="52646289">
            <w:pPr>
              <w:spacing w:line="280" w:lineRule="exact"/>
              <w:jc w:val="center"/>
              <w:rPr>
                <w:rFonts w:ascii="仿宋" w:hAnsi="仿宋" w:eastAsia="仿宋"/>
                <w:sz w:val="10"/>
                <w:szCs w:val="10"/>
              </w:rPr>
            </w:pPr>
          </w:p>
        </w:tc>
      </w:tr>
      <w:tr w14:paraId="76994AEB">
        <w:tblPrEx>
          <w:tblCellMar>
            <w:top w:w="0" w:type="dxa"/>
            <w:left w:w="10" w:type="dxa"/>
            <w:bottom w:w="0" w:type="dxa"/>
            <w:right w:w="10" w:type="dxa"/>
          </w:tblCellMar>
        </w:tblPrEx>
        <w:trPr>
          <w:trHeight w:val="350" w:hRule="exact"/>
        </w:trPr>
        <w:tc>
          <w:tcPr>
            <w:tcW w:w="1205" w:type="dxa"/>
            <w:vMerge w:val="restart"/>
            <w:tcBorders>
              <w:top w:val="single" w:color="auto" w:sz="4" w:space="0"/>
              <w:left w:val="single" w:color="auto" w:sz="4" w:space="0"/>
            </w:tcBorders>
            <w:shd w:val="clear" w:color="auto" w:fill="FFFFFF"/>
            <w:vAlign w:val="center"/>
          </w:tcPr>
          <w:p w14:paraId="62495A20">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年度总体</w:t>
            </w:r>
          </w:p>
          <w:p w14:paraId="22D1DA78">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目标</w:t>
            </w:r>
          </w:p>
        </w:tc>
        <w:tc>
          <w:tcPr>
            <w:tcW w:w="4560" w:type="dxa"/>
            <w:gridSpan w:val="6"/>
            <w:tcBorders>
              <w:top w:val="single" w:color="auto" w:sz="4" w:space="0"/>
              <w:left w:val="single" w:color="auto" w:sz="4" w:space="0"/>
            </w:tcBorders>
            <w:shd w:val="clear" w:color="auto" w:fill="FFFFFF"/>
            <w:vAlign w:val="center"/>
          </w:tcPr>
          <w:p w14:paraId="78BFBB3C">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预期目标</w:t>
            </w:r>
          </w:p>
        </w:tc>
        <w:tc>
          <w:tcPr>
            <w:tcW w:w="3527" w:type="dxa"/>
            <w:gridSpan w:val="5"/>
            <w:tcBorders>
              <w:top w:val="single" w:color="auto" w:sz="4" w:space="0"/>
              <w:left w:val="single" w:color="auto" w:sz="4" w:space="0"/>
              <w:right w:val="single" w:color="auto" w:sz="4" w:space="0"/>
            </w:tcBorders>
            <w:shd w:val="clear" w:color="auto" w:fill="FFFFFF"/>
            <w:vAlign w:val="center"/>
          </w:tcPr>
          <w:p w14:paraId="0DE6840F">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实际完成情况</w:t>
            </w:r>
          </w:p>
        </w:tc>
      </w:tr>
      <w:tr w14:paraId="1C4518E6">
        <w:tblPrEx>
          <w:tblCellMar>
            <w:top w:w="0" w:type="dxa"/>
            <w:left w:w="10" w:type="dxa"/>
            <w:bottom w:w="0" w:type="dxa"/>
            <w:right w:w="10" w:type="dxa"/>
          </w:tblCellMar>
        </w:tblPrEx>
        <w:trPr>
          <w:trHeight w:val="7490" w:hRule="exact"/>
        </w:trPr>
        <w:tc>
          <w:tcPr>
            <w:tcW w:w="1205" w:type="dxa"/>
            <w:vMerge w:val="continue"/>
            <w:tcBorders>
              <w:left w:val="single" w:color="auto" w:sz="4" w:space="0"/>
            </w:tcBorders>
            <w:shd w:val="clear" w:color="auto" w:fill="FFFFFF"/>
            <w:vAlign w:val="bottom"/>
          </w:tcPr>
          <w:p w14:paraId="347D701B">
            <w:pPr>
              <w:spacing w:line="280" w:lineRule="exact"/>
              <w:rPr>
                <w:rFonts w:ascii="仿宋" w:hAnsi="仿宋" w:eastAsia="仿宋"/>
              </w:rPr>
            </w:pPr>
          </w:p>
        </w:tc>
        <w:tc>
          <w:tcPr>
            <w:tcW w:w="4560" w:type="dxa"/>
            <w:gridSpan w:val="6"/>
            <w:tcBorders>
              <w:top w:val="single" w:color="auto" w:sz="4" w:space="0"/>
              <w:left w:val="single" w:color="auto" w:sz="4" w:space="0"/>
            </w:tcBorders>
            <w:shd w:val="clear" w:color="auto" w:fill="FFFFFF"/>
            <w:vAlign w:val="center"/>
          </w:tcPr>
          <w:p w14:paraId="6DDA0B31">
            <w:pPr>
              <w:spacing w:line="280" w:lineRule="exact"/>
              <w:rPr>
                <w:rStyle w:val="24"/>
                <w:rFonts w:ascii="仿宋" w:hAnsi="仿宋" w:eastAsia="仿宋"/>
              </w:rPr>
            </w:pPr>
            <w:r>
              <w:rPr>
                <w:rStyle w:val="24"/>
                <w:rFonts w:ascii="仿宋" w:hAnsi="仿宋" w:eastAsia="仿宋"/>
              </w:rPr>
              <w:t>深入学习贯彻党的二十大精神和习近平总书记关于教育的重要论述，落实落地全国全省教育工作会议精神，聚焦落实立德树人根本任务，突出抓好教育教学质量提升和校园安全两件大事，统筹推进城乡、县域和校际教育优质均衡发展，奋力建设大湘西区域性教育中心</w:t>
            </w:r>
            <w:r>
              <w:rPr>
                <w:rStyle w:val="24"/>
                <w:rFonts w:hint="eastAsia" w:ascii="仿宋" w:hAnsi="仿宋" w:eastAsia="仿宋"/>
              </w:rPr>
              <w:t>。</w:t>
            </w:r>
          </w:p>
        </w:tc>
        <w:tc>
          <w:tcPr>
            <w:tcW w:w="3527" w:type="dxa"/>
            <w:gridSpan w:val="5"/>
            <w:tcBorders>
              <w:top w:val="single" w:color="auto" w:sz="4" w:space="0"/>
              <w:left w:val="single" w:color="auto" w:sz="4" w:space="0"/>
              <w:right w:val="single" w:color="auto" w:sz="4" w:space="0"/>
            </w:tcBorders>
            <w:shd w:val="clear" w:color="auto" w:fill="FFFFFF"/>
            <w:vAlign w:val="center"/>
          </w:tcPr>
          <w:p w14:paraId="48ACAB0A">
            <w:pPr>
              <w:spacing w:line="280" w:lineRule="exact"/>
              <w:rPr>
                <w:rStyle w:val="24"/>
                <w:rFonts w:ascii="仿宋" w:hAnsi="仿宋" w:eastAsia="仿宋"/>
              </w:rPr>
            </w:pPr>
            <w:r>
              <w:rPr>
                <w:rStyle w:val="24"/>
                <w:rFonts w:ascii="仿宋" w:hAnsi="仿宋" w:eastAsia="仿宋"/>
              </w:rPr>
              <w:t>1.推动教育优先发展，出台重要文件。出台《怀化市建设大湘西区域性教育中心实施方案》，编制《怀化市鹤中一体化教育设施规划（2023—2027）》。</w:t>
            </w:r>
          </w:p>
          <w:p w14:paraId="3B69A6E7">
            <w:pPr>
              <w:spacing w:line="280" w:lineRule="exact"/>
              <w:rPr>
                <w:rStyle w:val="24"/>
                <w:rFonts w:ascii="仿宋" w:hAnsi="仿宋" w:eastAsia="仿宋"/>
              </w:rPr>
            </w:pPr>
            <w:r>
              <w:rPr>
                <w:rStyle w:val="24"/>
                <w:rFonts w:ascii="仿宋" w:hAnsi="仿宋" w:eastAsia="仿宋"/>
              </w:rPr>
              <w:t>2.改善办学条件，推进项目建设。启动鹤中一体化教育项目；高标准完成公办幼儿园项目；全力推动中职学校达标工程项目；加快徐特立项目建设；推进乡镇寄宿制学校改扩建项目。</w:t>
            </w:r>
          </w:p>
          <w:p w14:paraId="1124300B">
            <w:pPr>
              <w:spacing w:line="280" w:lineRule="exact"/>
              <w:rPr>
                <w:rStyle w:val="24"/>
                <w:rFonts w:ascii="仿宋" w:hAnsi="仿宋" w:eastAsia="仿宋"/>
              </w:rPr>
            </w:pPr>
            <w:r>
              <w:rPr>
                <w:rStyle w:val="24"/>
                <w:rFonts w:ascii="仿宋" w:hAnsi="仿宋" w:eastAsia="仿宋"/>
              </w:rPr>
              <w:t>3.提升教育教学质量，开展行动。开展集团化办学、优秀教师走教、党政领导和局长推门听课、长怀教育合作，以提高教学质量。</w:t>
            </w:r>
          </w:p>
          <w:p w14:paraId="70700F88">
            <w:pPr>
              <w:spacing w:line="280" w:lineRule="exact"/>
              <w:rPr>
                <w:rStyle w:val="24"/>
                <w:rFonts w:ascii="仿宋" w:hAnsi="仿宋" w:eastAsia="仿宋"/>
              </w:rPr>
            </w:pPr>
            <w:r>
              <w:rPr>
                <w:rStyle w:val="24"/>
                <w:rFonts w:ascii="仿宋" w:hAnsi="仿宋" w:eastAsia="仿宋"/>
              </w:rPr>
              <w:t>4.提升师资素质，打造“三高”队伍。锤炼高品质管理队伍，培育高水平校长队伍，锻造高素质教师队伍，为教育发展提供人才支持。</w:t>
            </w:r>
          </w:p>
          <w:p w14:paraId="27D43A4A">
            <w:pPr>
              <w:spacing w:line="280" w:lineRule="exact"/>
              <w:rPr>
                <w:rStyle w:val="24"/>
                <w:rFonts w:ascii="仿宋" w:hAnsi="仿宋" w:eastAsia="仿宋"/>
              </w:rPr>
            </w:pPr>
            <w:r>
              <w:rPr>
                <w:rStyle w:val="24"/>
                <w:rFonts w:ascii="仿宋" w:hAnsi="仿宋" w:eastAsia="仿宋"/>
              </w:rPr>
              <w:t>5.推进教育领域综合改革，实施创新举措。理顺民办学校管理机制，落实中小学教师减负要求，创建家长夜校新模式，探索建立心理健康医校联盟。</w:t>
            </w:r>
          </w:p>
          <w:p w14:paraId="32F1D2DE">
            <w:pPr>
              <w:spacing w:line="280" w:lineRule="exact"/>
              <w:rPr>
                <w:rStyle w:val="24"/>
                <w:rFonts w:ascii="仿宋" w:hAnsi="仿宋" w:eastAsia="仿宋"/>
              </w:rPr>
            </w:pPr>
            <w:r>
              <w:rPr>
                <w:rStyle w:val="24"/>
                <w:rFonts w:ascii="仿宋" w:hAnsi="仿宋" w:eastAsia="仿宋"/>
              </w:rPr>
              <w:t>6.开展专项治理。强化校外培训机构、校园安全、教育乱收费、“以学谋私”问题等 5 大领域专项整治，规范教育领域秩序。通过以上举措，全面推进怀化市教育事业发展。</w:t>
            </w:r>
          </w:p>
        </w:tc>
      </w:tr>
      <w:tr w14:paraId="2EC6F80A">
        <w:tblPrEx>
          <w:tblCellMar>
            <w:top w:w="0" w:type="dxa"/>
            <w:left w:w="10" w:type="dxa"/>
            <w:bottom w:w="0" w:type="dxa"/>
            <w:right w:w="10" w:type="dxa"/>
          </w:tblCellMar>
        </w:tblPrEx>
        <w:trPr>
          <w:trHeight w:val="578" w:hRule="exact"/>
        </w:trPr>
        <w:tc>
          <w:tcPr>
            <w:tcW w:w="1205" w:type="dxa"/>
            <w:vMerge w:val="restart"/>
            <w:tcBorders>
              <w:top w:val="single" w:color="auto" w:sz="4" w:space="0"/>
              <w:left w:val="single" w:color="auto" w:sz="4" w:space="0"/>
            </w:tcBorders>
            <w:shd w:val="clear" w:color="auto" w:fill="FFFFFF"/>
            <w:vAlign w:val="center"/>
          </w:tcPr>
          <w:p w14:paraId="38EDC81C">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绩</w:t>
            </w:r>
          </w:p>
          <w:p w14:paraId="67494E80">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效</w:t>
            </w:r>
          </w:p>
          <w:p w14:paraId="1639B17B">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指</w:t>
            </w:r>
          </w:p>
          <w:p w14:paraId="1AAA9FB8">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标</w:t>
            </w:r>
          </w:p>
        </w:tc>
        <w:tc>
          <w:tcPr>
            <w:tcW w:w="1200" w:type="dxa"/>
            <w:tcBorders>
              <w:top w:val="single" w:color="auto" w:sz="4" w:space="0"/>
              <w:left w:val="single" w:color="auto" w:sz="4" w:space="0"/>
            </w:tcBorders>
            <w:shd w:val="clear" w:color="auto" w:fill="FFFFFF"/>
            <w:vAlign w:val="center"/>
          </w:tcPr>
          <w:p w14:paraId="0E7F953C">
            <w:pPr>
              <w:pStyle w:val="23"/>
              <w:shd w:val="clear" w:color="auto" w:fill="auto"/>
              <w:spacing w:before="0" w:after="0" w:line="280" w:lineRule="exact"/>
              <w:ind w:right="240" w:firstLine="0"/>
              <w:jc w:val="center"/>
              <w:rPr>
                <w:rFonts w:ascii="仿宋" w:hAnsi="仿宋" w:eastAsia="仿宋"/>
              </w:rPr>
            </w:pPr>
            <w:r>
              <w:rPr>
                <w:rStyle w:val="24"/>
                <w:rFonts w:ascii="仿宋" w:hAnsi="仿宋" w:eastAsia="仿宋"/>
              </w:rPr>
              <w:t>一级指标</w:t>
            </w:r>
          </w:p>
        </w:tc>
        <w:tc>
          <w:tcPr>
            <w:tcW w:w="866" w:type="dxa"/>
            <w:tcBorders>
              <w:top w:val="single" w:color="auto" w:sz="4" w:space="0"/>
              <w:left w:val="single" w:color="auto" w:sz="4" w:space="0"/>
            </w:tcBorders>
            <w:shd w:val="clear" w:color="auto" w:fill="FFFFFF"/>
            <w:vAlign w:val="center"/>
          </w:tcPr>
          <w:p w14:paraId="7A48D062">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二级指标</w:t>
            </w:r>
          </w:p>
        </w:tc>
        <w:tc>
          <w:tcPr>
            <w:tcW w:w="1559" w:type="dxa"/>
            <w:gridSpan w:val="3"/>
            <w:tcBorders>
              <w:top w:val="single" w:color="auto" w:sz="4" w:space="0"/>
              <w:left w:val="single" w:color="auto" w:sz="4" w:space="0"/>
            </w:tcBorders>
            <w:shd w:val="clear" w:color="auto" w:fill="FFFFFF"/>
            <w:vAlign w:val="center"/>
          </w:tcPr>
          <w:p w14:paraId="7B2EFDA8">
            <w:pPr>
              <w:pStyle w:val="23"/>
              <w:shd w:val="clear" w:color="auto" w:fill="auto"/>
              <w:spacing w:before="0" w:after="0" w:line="280" w:lineRule="exact"/>
              <w:ind w:left="140" w:firstLine="0"/>
              <w:jc w:val="center"/>
              <w:rPr>
                <w:rFonts w:ascii="仿宋" w:hAnsi="仿宋" w:eastAsia="仿宋"/>
              </w:rPr>
            </w:pPr>
            <w:r>
              <w:rPr>
                <w:rStyle w:val="24"/>
                <w:rFonts w:ascii="仿宋" w:hAnsi="仿宋" w:eastAsia="仿宋"/>
              </w:rPr>
              <w:t>三级指标</w:t>
            </w:r>
          </w:p>
        </w:tc>
        <w:tc>
          <w:tcPr>
            <w:tcW w:w="935" w:type="dxa"/>
            <w:tcBorders>
              <w:top w:val="single" w:color="auto" w:sz="4" w:space="0"/>
              <w:left w:val="single" w:color="auto" w:sz="4" w:space="0"/>
            </w:tcBorders>
            <w:shd w:val="clear" w:color="auto" w:fill="FFFFFF"/>
            <w:vAlign w:val="center"/>
          </w:tcPr>
          <w:p w14:paraId="15890815">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年度</w:t>
            </w:r>
          </w:p>
          <w:p w14:paraId="4C2C2CA4">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指标值</w:t>
            </w:r>
          </w:p>
        </w:tc>
        <w:tc>
          <w:tcPr>
            <w:tcW w:w="1142" w:type="dxa"/>
            <w:tcBorders>
              <w:top w:val="single" w:color="auto" w:sz="4" w:space="0"/>
              <w:left w:val="single" w:color="auto" w:sz="4" w:space="0"/>
            </w:tcBorders>
            <w:shd w:val="clear" w:color="auto" w:fill="FFFFFF"/>
            <w:vAlign w:val="center"/>
          </w:tcPr>
          <w:p w14:paraId="075137FE">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实际</w:t>
            </w:r>
          </w:p>
          <w:p w14:paraId="14267A51">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完成值</w:t>
            </w:r>
          </w:p>
        </w:tc>
        <w:tc>
          <w:tcPr>
            <w:tcW w:w="691" w:type="dxa"/>
            <w:tcBorders>
              <w:top w:val="single" w:color="auto" w:sz="4" w:space="0"/>
              <w:left w:val="single" w:color="auto" w:sz="4" w:space="0"/>
            </w:tcBorders>
            <w:shd w:val="clear" w:color="auto" w:fill="FFFFFF"/>
            <w:vAlign w:val="center"/>
          </w:tcPr>
          <w:p w14:paraId="67ADCBD3">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分值</w:t>
            </w:r>
          </w:p>
        </w:tc>
        <w:tc>
          <w:tcPr>
            <w:tcW w:w="456" w:type="dxa"/>
            <w:tcBorders>
              <w:top w:val="single" w:color="auto" w:sz="4" w:space="0"/>
              <w:left w:val="single" w:color="auto" w:sz="4" w:space="0"/>
            </w:tcBorders>
            <w:shd w:val="clear" w:color="auto" w:fill="FFFFFF"/>
            <w:vAlign w:val="center"/>
          </w:tcPr>
          <w:p w14:paraId="72310434">
            <w:pPr>
              <w:pStyle w:val="23"/>
              <w:shd w:val="clear" w:color="auto" w:fill="auto"/>
              <w:spacing w:before="0" w:after="60" w:line="280" w:lineRule="exact"/>
              <w:ind w:firstLine="0"/>
              <w:jc w:val="center"/>
              <w:rPr>
                <w:rFonts w:ascii="仿宋" w:hAnsi="仿宋" w:eastAsia="仿宋"/>
              </w:rPr>
            </w:pPr>
            <w:r>
              <w:rPr>
                <w:rStyle w:val="24"/>
                <w:rFonts w:ascii="仿宋" w:hAnsi="仿宋" w:eastAsia="仿宋"/>
              </w:rPr>
              <w:t>得</w:t>
            </w:r>
          </w:p>
          <w:p w14:paraId="6F6AA35B">
            <w:pPr>
              <w:pStyle w:val="23"/>
              <w:shd w:val="clear" w:color="auto" w:fill="auto"/>
              <w:spacing w:before="60" w:after="0" w:line="280" w:lineRule="exact"/>
              <w:ind w:firstLine="0"/>
              <w:jc w:val="center"/>
              <w:rPr>
                <w:rFonts w:ascii="仿宋" w:hAnsi="仿宋" w:eastAsia="仿宋"/>
              </w:rPr>
            </w:pPr>
            <w:r>
              <w:rPr>
                <w:rStyle w:val="24"/>
                <w:rFonts w:ascii="仿宋" w:hAnsi="仿宋" w:eastAsia="仿宋"/>
              </w:rPr>
              <w:t>分</w:t>
            </w:r>
          </w:p>
        </w:tc>
        <w:tc>
          <w:tcPr>
            <w:tcW w:w="1238" w:type="dxa"/>
            <w:gridSpan w:val="2"/>
            <w:tcBorders>
              <w:top w:val="single" w:color="auto" w:sz="4" w:space="0"/>
              <w:left w:val="single" w:color="auto" w:sz="4" w:space="0"/>
              <w:right w:val="single" w:color="auto" w:sz="4" w:space="0"/>
            </w:tcBorders>
            <w:shd w:val="clear" w:color="auto" w:fill="FFFFFF"/>
          </w:tcPr>
          <w:p w14:paraId="16C26244">
            <w:pPr>
              <w:pStyle w:val="23"/>
              <w:shd w:val="clear" w:color="auto" w:fill="auto"/>
              <w:spacing w:before="0" w:after="0" w:line="280" w:lineRule="exact"/>
              <w:ind w:right="320" w:firstLine="0"/>
              <w:jc w:val="center"/>
              <w:rPr>
                <w:rStyle w:val="24"/>
                <w:rFonts w:ascii="仿宋" w:hAnsi="仿宋" w:eastAsia="仿宋"/>
              </w:rPr>
            </w:pPr>
            <w:r>
              <w:rPr>
                <w:rStyle w:val="24"/>
                <w:rFonts w:ascii="仿宋" w:hAnsi="仿宋" w:eastAsia="仿宋"/>
              </w:rPr>
              <w:t>偏差原因 分析及 改进措施</w:t>
            </w:r>
          </w:p>
        </w:tc>
      </w:tr>
      <w:tr w14:paraId="68D7F1E6">
        <w:tblPrEx>
          <w:tblCellMar>
            <w:top w:w="0" w:type="dxa"/>
            <w:left w:w="10" w:type="dxa"/>
            <w:bottom w:w="0" w:type="dxa"/>
            <w:right w:w="10" w:type="dxa"/>
          </w:tblCellMar>
        </w:tblPrEx>
        <w:trPr>
          <w:trHeight w:val="666" w:hRule="exact"/>
        </w:trPr>
        <w:tc>
          <w:tcPr>
            <w:tcW w:w="1205" w:type="dxa"/>
            <w:vMerge w:val="continue"/>
            <w:tcBorders>
              <w:left w:val="single" w:color="auto" w:sz="4" w:space="0"/>
            </w:tcBorders>
            <w:shd w:val="clear" w:color="auto" w:fill="FFFFFF"/>
            <w:vAlign w:val="center"/>
          </w:tcPr>
          <w:p w14:paraId="119139B0">
            <w:pPr>
              <w:spacing w:line="280" w:lineRule="exact"/>
              <w:rPr>
                <w:rFonts w:ascii="仿宋" w:hAnsi="仿宋" w:eastAsia="仿宋"/>
              </w:rPr>
            </w:pPr>
          </w:p>
        </w:tc>
        <w:tc>
          <w:tcPr>
            <w:tcW w:w="1200" w:type="dxa"/>
            <w:vMerge w:val="restart"/>
            <w:tcBorders>
              <w:top w:val="single" w:color="auto" w:sz="4" w:space="0"/>
              <w:left w:val="single" w:color="auto" w:sz="4" w:space="0"/>
            </w:tcBorders>
            <w:shd w:val="clear" w:color="auto" w:fill="FFFFFF"/>
            <w:vAlign w:val="center"/>
          </w:tcPr>
          <w:p w14:paraId="72713D5A">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 xml:space="preserve">产出指标 </w:t>
            </w:r>
            <w:r>
              <w:rPr>
                <w:rStyle w:val="24"/>
                <w:rFonts w:ascii="仿宋" w:hAnsi="仿宋" w:eastAsia="仿宋"/>
                <w:lang w:eastAsia="en-US" w:bidi="en-US"/>
              </w:rPr>
              <w:t>（50</w:t>
            </w:r>
            <w:r>
              <w:rPr>
                <w:rStyle w:val="24"/>
                <w:rFonts w:ascii="仿宋" w:hAnsi="仿宋" w:eastAsia="仿宋"/>
              </w:rPr>
              <w:t>分）</w:t>
            </w:r>
          </w:p>
        </w:tc>
        <w:tc>
          <w:tcPr>
            <w:tcW w:w="866" w:type="dxa"/>
            <w:vMerge w:val="restart"/>
            <w:tcBorders>
              <w:top w:val="single" w:color="auto" w:sz="4" w:space="0"/>
              <w:left w:val="single" w:color="auto" w:sz="4" w:space="0"/>
            </w:tcBorders>
            <w:shd w:val="clear" w:color="auto" w:fill="FFFFFF"/>
            <w:vAlign w:val="center"/>
          </w:tcPr>
          <w:p w14:paraId="29FBFE99">
            <w:pPr>
              <w:pStyle w:val="23"/>
              <w:shd w:val="clear" w:color="auto" w:fill="auto"/>
              <w:spacing w:before="0" w:after="60" w:line="280" w:lineRule="exact"/>
              <w:ind w:firstLine="0"/>
              <w:jc w:val="center"/>
              <w:rPr>
                <w:rFonts w:ascii="仿宋" w:hAnsi="仿宋" w:eastAsia="仿宋"/>
              </w:rPr>
            </w:pPr>
            <w:r>
              <w:rPr>
                <w:rStyle w:val="24"/>
                <w:rFonts w:ascii="仿宋" w:hAnsi="仿宋" w:eastAsia="仿宋"/>
              </w:rPr>
              <w:t>数量</w:t>
            </w:r>
          </w:p>
          <w:p w14:paraId="13466492">
            <w:pPr>
              <w:pStyle w:val="23"/>
              <w:shd w:val="clear" w:color="auto" w:fill="auto"/>
              <w:spacing w:before="60" w:after="0" w:line="280" w:lineRule="exact"/>
              <w:ind w:firstLine="0"/>
              <w:jc w:val="center"/>
              <w:rPr>
                <w:rFonts w:ascii="仿宋" w:hAnsi="仿宋" w:eastAsia="仿宋"/>
              </w:rPr>
            </w:pPr>
            <w:r>
              <w:rPr>
                <w:rStyle w:val="24"/>
                <w:rFonts w:ascii="仿宋" w:hAnsi="仿宋" w:eastAsia="仿宋"/>
              </w:rPr>
              <w:t>指标</w:t>
            </w:r>
          </w:p>
        </w:tc>
        <w:tc>
          <w:tcPr>
            <w:tcW w:w="1559" w:type="dxa"/>
            <w:gridSpan w:val="3"/>
            <w:tcBorders>
              <w:top w:val="single" w:color="auto" w:sz="4" w:space="0"/>
              <w:left w:val="single" w:color="auto" w:sz="4" w:space="0"/>
            </w:tcBorders>
            <w:shd w:val="clear" w:color="auto" w:fill="FFFFFF"/>
            <w:vAlign w:val="center"/>
          </w:tcPr>
          <w:p w14:paraId="2E6FB06D">
            <w:pPr>
              <w:pStyle w:val="23"/>
              <w:shd w:val="clear" w:color="auto" w:fill="auto"/>
              <w:spacing w:before="0" w:after="60" w:line="280" w:lineRule="exact"/>
              <w:ind w:firstLine="0"/>
              <w:jc w:val="center"/>
              <w:rPr>
                <w:rStyle w:val="24"/>
                <w:rFonts w:ascii="仿宋" w:hAnsi="仿宋" w:eastAsia="仿宋"/>
              </w:rPr>
            </w:pPr>
            <w:r>
              <w:rPr>
                <w:rStyle w:val="24"/>
                <w:rFonts w:ascii="仿宋" w:hAnsi="仿宋" w:eastAsia="仿宋"/>
              </w:rPr>
              <w:t>实施基础教育提升工程</w:t>
            </w:r>
          </w:p>
        </w:tc>
        <w:tc>
          <w:tcPr>
            <w:tcW w:w="935" w:type="dxa"/>
            <w:tcBorders>
              <w:top w:val="single" w:color="auto" w:sz="4" w:space="0"/>
              <w:left w:val="single" w:color="auto" w:sz="4" w:space="0"/>
            </w:tcBorders>
            <w:shd w:val="clear" w:color="auto" w:fill="FFFFFF"/>
            <w:vAlign w:val="center"/>
          </w:tcPr>
          <w:p w14:paraId="611FE2AC">
            <w:pPr>
              <w:pStyle w:val="23"/>
              <w:shd w:val="clear" w:color="auto" w:fill="auto"/>
              <w:spacing w:before="0" w:after="60" w:line="280" w:lineRule="exact"/>
              <w:ind w:firstLine="0"/>
              <w:jc w:val="center"/>
              <w:rPr>
                <w:rStyle w:val="24"/>
                <w:rFonts w:ascii="仿宋" w:hAnsi="仿宋" w:eastAsia="仿宋"/>
              </w:rPr>
            </w:pPr>
            <w:r>
              <w:rPr>
                <w:rStyle w:val="24"/>
                <w:rFonts w:hint="eastAsia" w:ascii="仿宋" w:hAnsi="仿宋" w:eastAsia="仿宋"/>
              </w:rPr>
              <w:t>6个</w:t>
            </w:r>
          </w:p>
        </w:tc>
        <w:tc>
          <w:tcPr>
            <w:tcW w:w="1142" w:type="dxa"/>
            <w:tcBorders>
              <w:top w:val="single" w:color="auto" w:sz="4" w:space="0"/>
              <w:left w:val="single" w:color="auto" w:sz="4" w:space="0"/>
            </w:tcBorders>
            <w:shd w:val="clear" w:color="auto" w:fill="FFFFFF"/>
            <w:vAlign w:val="center"/>
          </w:tcPr>
          <w:p w14:paraId="140EA00A">
            <w:pPr>
              <w:spacing w:line="280" w:lineRule="exact"/>
              <w:jc w:val="center"/>
              <w:rPr>
                <w:rStyle w:val="24"/>
                <w:rFonts w:ascii="仿宋" w:hAnsi="仿宋" w:eastAsia="仿宋"/>
              </w:rPr>
            </w:pPr>
            <w:r>
              <w:rPr>
                <w:rStyle w:val="24"/>
                <w:rFonts w:hint="eastAsia" w:ascii="仿宋" w:hAnsi="仿宋" w:eastAsia="仿宋"/>
              </w:rPr>
              <w:t>6个</w:t>
            </w:r>
          </w:p>
        </w:tc>
        <w:tc>
          <w:tcPr>
            <w:tcW w:w="691" w:type="dxa"/>
            <w:tcBorders>
              <w:top w:val="single" w:color="auto" w:sz="4" w:space="0"/>
              <w:left w:val="single" w:color="auto" w:sz="4" w:space="0"/>
            </w:tcBorders>
            <w:shd w:val="clear" w:color="auto" w:fill="FFFFFF"/>
            <w:vAlign w:val="center"/>
          </w:tcPr>
          <w:p w14:paraId="42F3A69D">
            <w:pPr>
              <w:spacing w:line="280" w:lineRule="exact"/>
              <w:jc w:val="center"/>
              <w:rPr>
                <w:rStyle w:val="24"/>
                <w:rFonts w:ascii="仿宋" w:hAnsi="仿宋" w:eastAsia="仿宋"/>
              </w:rPr>
            </w:pPr>
            <w:r>
              <w:rPr>
                <w:rStyle w:val="24"/>
                <w:rFonts w:hint="eastAsia" w:ascii="仿宋" w:hAnsi="仿宋" w:eastAsia="仿宋"/>
              </w:rPr>
              <w:t>3</w:t>
            </w:r>
          </w:p>
        </w:tc>
        <w:tc>
          <w:tcPr>
            <w:tcW w:w="456" w:type="dxa"/>
            <w:tcBorders>
              <w:top w:val="single" w:color="auto" w:sz="4" w:space="0"/>
              <w:left w:val="single" w:color="auto" w:sz="4" w:space="0"/>
            </w:tcBorders>
            <w:shd w:val="clear" w:color="auto" w:fill="FFFFFF"/>
            <w:vAlign w:val="center"/>
          </w:tcPr>
          <w:p w14:paraId="202CEE02">
            <w:pPr>
              <w:spacing w:line="280" w:lineRule="exact"/>
              <w:jc w:val="center"/>
              <w:rPr>
                <w:rStyle w:val="24"/>
                <w:rFonts w:ascii="仿宋" w:hAnsi="仿宋" w:eastAsia="仿宋"/>
              </w:rPr>
            </w:pPr>
            <w:r>
              <w:rPr>
                <w:rStyle w:val="24"/>
                <w:rFonts w:hint="eastAsia" w:ascii="仿宋" w:hAnsi="仿宋" w:eastAsia="仿宋"/>
              </w:rPr>
              <w:t>3</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5C7F0C54">
            <w:pPr>
              <w:spacing w:line="280" w:lineRule="exact"/>
              <w:jc w:val="center"/>
              <w:rPr>
                <w:rStyle w:val="24"/>
                <w:rFonts w:ascii="仿宋" w:hAnsi="仿宋" w:eastAsia="仿宋"/>
              </w:rPr>
            </w:pPr>
          </w:p>
        </w:tc>
      </w:tr>
      <w:tr w14:paraId="4A099027">
        <w:tblPrEx>
          <w:tblCellMar>
            <w:top w:w="0" w:type="dxa"/>
            <w:left w:w="10" w:type="dxa"/>
            <w:bottom w:w="0" w:type="dxa"/>
            <w:right w:w="10" w:type="dxa"/>
          </w:tblCellMar>
        </w:tblPrEx>
        <w:trPr>
          <w:trHeight w:val="666" w:hRule="exact"/>
        </w:trPr>
        <w:tc>
          <w:tcPr>
            <w:tcW w:w="1205" w:type="dxa"/>
            <w:vMerge w:val="continue"/>
            <w:tcBorders>
              <w:left w:val="single" w:color="auto" w:sz="4" w:space="0"/>
            </w:tcBorders>
            <w:shd w:val="clear" w:color="auto" w:fill="FFFFFF"/>
            <w:vAlign w:val="center"/>
          </w:tcPr>
          <w:p w14:paraId="53910CB8">
            <w:pPr>
              <w:spacing w:line="280" w:lineRule="exact"/>
              <w:rPr>
                <w:rFonts w:ascii="仿宋" w:hAnsi="仿宋" w:eastAsia="仿宋"/>
              </w:rPr>
            </w:pPr>
          </w:p>
        </w:tc>
        <w:tc>
          <w:tcPr>
            <w:tcW w:w="1200" w:type="dxa"/>
            <w:vMerge w:val="continue"/>
            <w:tcBorders>
              <w:top w:val="single" w:color="auto" w:sz="4" w:space="0"/>
              <w:left w:val="single" w:color="auto" w:sz="4" w:space="0"/>
            </w:tcBorders>
            <w:shd w:val="clear" w:color="auto" w:fill="FFFFFF"/>
            <w:vAlign w:val="center"/>
          </w:tcPr>
          <w:p w14:paraId="5438A1C2">
            <w:pPr>
              <w:pStyle w:val="23"/>
              <w:shd w:val="clear" w:color="auto" w:fill="auto"/>
              <w:spacing w:before="0" w:after="0" w:line="280" w:lineRule="exact"/>
              <w:ind w:firstLine="0"/>
              <w:jc w:val="center"/>
              <w:rPr>
                <w:rStyle w:val="24"/>
                <w:rFonts w:ascii="仿宋" w:hAnsi="仿宋" w:eastAsia="仿宋"/>
              </w:rPr>
            </w:pPr>
          </w:p>
        </w:tc>
        <w:tc>
          <w:tcPr>
            <w:tcW w:w="866" w:type="dxa"/>
            <w:vMerge w:val="continue"/>
            <w:tcBorders>
              <w:top w:val="single" w:color="auto" w:sz="4" w:space="0"/>
              <w:left w:val="single" w:color="auto" w:sz="4" w:space="0"/>
            </w:tcBorders>
            <w:shd w:val="clear" w:color="auto" w:fill="FFFFFF"/>
            <w:vAlign w:val="center"/>
          </w:tcPr>
          <w:p w14:paraId="33B17725">
            <w:pPr>
              <w:pStyle w:val="23"/>
              <w:shd w:val="clear" w:color="auto" w:fill="auto"/>
              <w:spacing w:before="0" w:after="60" w:line="280" w:lineRule="exact"/>
              <w:ind w:firstLine="0"/>
              <w:jc w:val="center"/>
              <w:rPr>
                <w:rStyle w:val="24"/>
                <w:rFonts w:ascii="仿宋" w:hAnsi="仿宋" w:eastAsia="仿宋"/>
              </w:rPr>
            </w:pPr>
          </w:p>
        </w:tc>
        <w:tc>
          <w:tcPr>
            <w:tcW w:w="1559" w:type="dxa"/>
            <w:gridSpan w:val="3"/>
            <w:tcBorders>
              <w:top w:val="single" w:color="auto" w:sz="4" w:space="0"/>
              <w:left w:val="single" w:color="auto" w:sz="4" w:space="0"/>
            </w:tcBorders>
            <w:shd w:val="clear" w:color="auto" w:fill="FFFFFF"/>
            <w:vAlign w:val="center"/>
          </w:tcPr>
          <w:p w14:paraId="229F6A5C">
            <w:pPr>
              <w:spacing w:line="280" w:lineRule="exact"/>
              <w:jc w:val="center"/>
              <w:rPr>
                <w:rStyle w:val="24"/>
                <w:rFonts w:ascii="仿宋" w:hAnsi="仿宋" w:eastAsia="仿宋"/>
              </w:rPr>
            </w:pPr>
            <w:r>
              <w:rPr>
                <w:rStyle w:val="24"/>
                <w:rFonts w:ascii="仿宋" w:hAnsi="仿宋" w:eastAsia="仿宋"/>
              </w:rPr>
              <w:t>实施怀化科教新城项目</w:t>
            </w:r>
          </w:p>
        </w:tc>
        <w:tc>
          <w:tcPr>
            <w:tcW w:w="935" w:type="dxa"/>
            <w:tcBorders>
              <w:top w:val="single" w:color="auto" w:sz="4" w:space="0"/>
              <w:left w:val="single" w:color="auto" w:sz="4" w:space="0"/>
            </w:tcBorders>
            <w:shd w:val="clear" w:color="auto" w:fill="FFFFFF"/>
            <w:vAlign w:val="center"/>
          </w:tcPr>
          <w:p w14:paraId="12ECBA70">
            <w:pPr>
              <w:spacing w:line="280" w:lineRule="exact"/>
              <w:jc w:val="center"/>
              <w:rPr>
                <w:rStyle w:val="24"/>
                <w:rFonts w:ascii="仿宋" w:hAnsi="仿宋" w:eastAsia="仿宋"/>
              </w:rPr>
            </w:pPr>
            <w:r>
              <w:rPr>
                <w:rStyle w:val="24"/>
                <w:rFonts w:hint="eastAsia" w:ascii="仿宋" w:hAnsi="仿宋" w:eastAsia="仿宋"/>
              </w:rPr>
              <w:t>8个</w:t>
            </w:r>
          </w:p>
        </w:tc>
        <w:tc>
          <w:tcPr>
            <w:tcW w:w="1142" w:type="dxa"/>
            <w:tcBorders>
              <w:top w:val="single" w:color="auto" w:sz="4" w:space="0"/>
              <w:left w:val="single" w:color="auto" w:sz="4" w:space="0"/>
            </w:tcBorders>
            <w:shd w:val="clear" w:color="auto" w:fill="FFFFFF"/>
            <w:vAlign w:val="center"/>
          </w:tcPr>
          <w:p w14:paraId="6BF2A515">
            <w:pPr>
              <w:spacing w:line="280" w:lineRule="exact"/>
              <w:jc w:val="center"/>
              <w:rPr>
                <w:rStyle w:val="24"/>
                <w:rFonts w:ascii="仿宋" w:hAnsi="仿宋" w:eastAsia="仿宋"/>
              </w:rPr>
            </w:pPr>
            <w:r>
              <w:rPr>
                <w:rStyle w:val="24"/>
                <w:rFonts w:hint="eastAsia" w:ascii="仿宋" w:hAnsi="仿宋" w:eastAsia="仿宋"/>
              </w:rPr>
              <w:t>8个</w:t>
            </w:r>
          </w:p>
        </w:tc>
        <w:tc>
          <w:tcPr>
            <w:tcW w:w="691" w:type="dxa"/>
            <w:tcBorders>
              <w:top w:val="single" w:color="auto" w:sz="4" w:space="0"/>
              <w:left w:val="single" w:color="auto" w:sz="4" w:space="0"/>
            </w:tcBorders>
            <w:shd w:val="clear" w:color="auto" w:fill="FFFFFF"/>
            <w:vAlign w:val="center"/>
          </w:tcPr>
          <w:p w14:paraId="6B9AA428">
            <w:pPr>
              <w:spacing w:line="280" w:lineRule="exact"/>
              <w:jc w:val="center"/>
              <w:rPr>
                <w:rStyle w:val="24"/>
                <w:rFonts w:ascii="仿宋" w:hAnsi="仿宋" w:eastAsia="仿宋"/>
              </w:rPr>
            </w:pPr>
            <w:r>
              <w:rPr>
                <w:rStyle w:val="24"/>
                <w:rFonts w:hint="eastAsia" w:ascii="仿宋" w:hAnsi="仿宋" w:eastAsia="仿宋"/>
              </w:rPr>
              <w:t>3</w:t>
            </w:r>
          </w:p>
        </w:tc>
        <w:tc>
          <w:tcPr>
            <w:tcW w:w="456" w:type="dxa"/>
            <w:tcBorders>
              <w:top w:val="single" w:color="auto" w:sz="4" w:space="0"/>
              <w:left w:val="single" w:color="auto" w:sz="4" w:space="0"/>
            </w:tcBorders>
            <w:shd w:val="clear" w:color="auto" w:fill="FFFFFF"/>
            <w:vAlign w:val="center"/>
          </w:tcPr>
          <w:p w14:paraId="3E2C5EAD">
            <w:pPr>
              <w:spacing w:line="280" w:lineRule="exact"/>
              <w:jc w:val="center"/>
              <w:rPr>
                <w:rStyle w:val="24"/>
                <w:rFonts w:ascii="仿宋" w:hAnsi="仿宋" w:eastAsia="仿宋"/>
              </w:rPr>
            </w:pPr>
            <w:r>
              <w:rPr>
                <w:rStyle w:val="24"/>
                <w:rFonts w:hint="eastAsia" w:ascii="仿宋" w:hAnsi="仿宋" w:eastAsia="仿宋"/>
              </w:rPr>
              <w:t>3</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7E0F781C">
            <w:pPr>
              <w:spacing w:line="280" w:lineRule="exact"/>
              <w:jc w:val="center"/>
              <w:rPr>
                <w:rStyle w:val="24"/>
                <w:rFonts w:ascii="仿宋" w:hAnsi="仿宋" w:eastAsia="仿宋"/>
              </w:rPr>
            </w:pPr>
          </w:p>
        </w:tc>
      </w:tr>
      <w:tr w14:paraId="2832F57D">
        <w:tblPrEx>
          <w:tblCellMar>
            <w:top w:w="0" w:type="dxa"/>
            <w:left w:w="10" w:type="dxa"/>
            <w:bottom w:w="0" w:type="dxa"/>
            <w:right w:w="10" w:type="dxa"/>
          </w:tblCellMar>
        </w:tblPrEx>
        <w:trPr>
          <w:trHeight w:val="666" w:hRule="exact"/>
        </w:trPr>
        <w:tc>
          <w:tcPr>
            <w:tcW w:w="1205" w:type="dxa"/>
            <w:vMerge w:val="continue"/>
            <w:tcBorders>
              <w:left w:val="single" w:color="auto" w:sz="4" w:space="0"/>
            </w:tcBorders>
            <w:shd w:val="clear" w:color="auto" w:fill="FFFFFF"/>
            <w:vAlign w:val="center"/>
          </w:tcPr>
          <w:p w14:paraId="277229E7">
            <w:pPr>
              <w:spacing w:line="280" w:lineRule="exact"/>
              <w:rPr>
                <w:rFonts w:ascii="仿宋" w:hAnsi="仿宋" w:eastAsia="仿宋"/>
              </w:rPr>
            </w:pPr>
          </w:p>
        </w:tc>
        <w:tc>
          <w:tcPr>
            <w:tcW w:w="1200" w:type="dxa"/>
            <w:vMerge w:val="continue"/>
            <w:tcBorders>
              <w:top w:val="single" w:color="auto" w:sz="4" w:space="0"/>
              <w:left w:val="single" w:color="auto" w:sz="4" w:space="0"/>
            </w:tcBorders>
            <w:shd w:val="clear" w:color="auto" w:fill="FFFFFF"/>
            <w:vAlign w:val="center"/>
          </w:tcPr>
          <w:p w14:paraId="6C77A525">
            <w:pPr>
              <w:pStyle w:val="23"/>
              <w:shd w:val="clear" w:color="auto" w:fill="auto"/>
              <w:spacing w:before="0" w:after="0" w:line="280" w:lineRule="exact"/>
              <w:ind w:firstLine="0"/>
              <w:jc w:val="center"/>
              <w:rPr>
                <w:rStyle w:val="24"/>
                <w:rFonts w:ascii="仿宋" w:hAnsi="仿宋" w:eastAsia="仿宋"/>
              </w:rPr>
            </w:pPr>
          </w:p>
        </w:tc>
        <w:tc>
          <w:tcPr>
            <w:tcW w:w="866" w:type="dxa"/>
            <w:vMerge w:val="continue"/>
            <w:tcBorders>
              <w:top w:val="single" w:color="auto" w:sz="4" w:space="0"/>
              <w:left w:val="single" w:color="auto" w:sz="4" w:space="0"/>
            </w:tcBorders>
            <w:shd w:val="clear" w:color="auto" w:fill="FFFFFF"/>
            <w:vAlign w:val="center"/>
          </w:tcPr>
          <w:p w14:paraId="737B27CA">
            <w:pPr>
              <w:pStyle w:val="23"/>
              <w:shd w:val="clear" w:color="auto" w:fill="auto"/>
              <w:spacing w:before="0" w:after="60" w:line="280" w:lineRule="exact"/>
              <w:ind w:firstLine="0"/>
              <w:jc w:val="center"/>
              <w:rPr>
                <w:rStyle w:val="24"/>
                <w:rFonts w:ascii="仿宋" w:hAnsi="仿宋" w:eastAsia="仿宋"/>
              </w:rPr>
            </w:pPr>
          </w:p>
        </w:tc>
        <w:tc>
          <w:tcPr>
            <w:tcW w:w="1559" w:type="dxa"/>
            <w:gridSpan w:val="3"/>
            <w:tcBorders>
              <w:top w:val="single" w:color="auto" w:sz="4" w:space="0"/>
              <w:left w:val="single" w:color="auto" w:sz="4" w:space="0"/>
            </w:tcBorders>
            <w:shd w:val="clear" w:color="auto" w:fill="FFFFFF"/>
            <w:vAlign w:val="center"/>
          </w:tcPr>
          <w:p w14:paraId="15BC57B3">
            <w:pPr>
              <w:spacing w:line="280" w:lineRule="exact"/>
              <w:jc w:val="center"/>
              <w:rPr>
                <w:rStyle w:val="24"/>
                <w:rFonts w:ascii="仿宋" w:hAnsi="仿宋" w:eastAsia="仿宋"/>
              </w:rPr>
            </w:pPr>
            <w:r>
              <w:rPr>
                <w:rStyle w:val="24"/>
                <w:rFonts w:ascii="仿宋" w:hAnsi="仿宋" w:eastAsia="仿宋"/>
              </w:rPr>
              <w:t>全市新建、改扩建幼儿园</w:t>
            </w:r>
          </w:p>
        </w:tc>
        <w:tc>
          <w:tcPr>
            <w:tcW w:w="935" w:type="dxa"/>
            <w:tcBorders>
              <w:top w:val="single" w:color="auto" w:sz="4" w:space="0"/>
              <w:left w:val="single" w:color="auto" w:sz="4" w:space="0"/>
            </w:tcBorders>
            <w:shd w:val="clear" w:color="auto" w:fill="FFFFFF"/>
            <w:vAlign w:val="center"/>
          </w:tcPr>
          <w:p w14:paraId="531302FA">
            <w:pPr>
              <w:spacing w:line="280" w:lineRule="exact"/>
              <w:jc w:val="center"/>
              <w:rPr>
                <w:rStyle w:val="24"/>
                <w:rFonts w:ascii="仿宋" w:hAnsi="仿宋" w:eastAsia="仿宋"/>
              </w:rPr>
            </w:pPr>
            <w:r>
              <w:rPr>
                <w:rStyle w:val="24"/>
                <w:rFonts w:ascii="仿宋" w:hAnsi="仿宋" w:eastAsia="仿宋"/>
              </w:rPr>
              <w:t>6所</w:t>
            </w:r>
          </w:p>
        </w:tc>
        <w:tc>
          <w:tcPr>
            <w:tcW w:w="1142" w:type="dxa"/>
            <w:tcBorders>
              <w:top w:val="single" w:color="auto" w:sz="4" w:space="0"/>
              <w:left w:val="single" w:color="auto" w:sz="4" w:space="0"/>
            </w:tcBorders>
            <w:shd w:val="clear" w:color="auto" w:fill="FFFFFF"/>
            <w:vAlign w:val="center"/>
          </w:tcPr>
          <w:p w14:paraId="187B4D9E">
            <w:pPr>
              <w:spacing w:line="280" w:lineRule="exact"/>
              <w:jc w:val="center"/>
              <w:rPr>
                <w:rStyle w:val="24"/>
                <w:rFonts w:ascii="仿宋" w:hAnsi="仿宋" w:eastAsia="仿宋"/>
              </w:rPr>
            </w:pPr>
            <w:r>
              <w:rPr>
                <w:rStyle w:val="24"/>
                <w:rFonts w:ascii="仿宋" w:hAnsi="仿宋" w:eastAsia="仿宋"/>
              </w:rPr>
              <w:t>6所</w:t>
            </w:r>
          </w:p>
        </w:tc>
        <w:tc>
          <w:tcPr>
            <w:tcW w:w="691" w:type="dxa"/>
            <w:tcBorders>
              <w:top w:val="single" w:color="auto" w:sz="4" w:space="0"/>
              <w:left w:val="single" w:color="auto" w:sz="4" w:space="0"/>
            </w:tcBorders>
            <w:shd w:val="clear" w:color="auto" w:fill="FFFFFF"/>
            <w:vAlign w:val="center"/>
          </w:tcPr>
          <w:p w14:paraId="5D57E3B0">
            <w:pPr>
              <w:spacing w:line="280" w:lineRule="exact"/>
              <w:jc w:val="center"/>
              <w:rPr>
                <w:rStyle w:val="24"/>
                <w:rFonts w:ascii="仿宋" w:hAnsi="仿宋" w:eastAsia="仿宋"/>
              </w:rPr>
            </w:pPr>
            <w:r>
              <w:rPr>
                <w:rStyle w:val="24"/>
                <w:rFonts w:hint="eastAsia" w:ascii="仿宋" w:hAnsi="仿宋" w:eastAsia="仿宋"/>
              </w:rPr>
              <w:t>3</w:t>
            </w:r>
          </w:p>
        </w:tc>
        <w:tc>
          <w:tcPr>
            <w:tcW w:w="456" w:type="dxa"/>
            <w:tcBorders>
              <w:top w:val="single" w:color="auto" w:sz="4" w:space="0"/>
              <w:left w:val="single" w:color="auto" w:sz="4" w:space="0"/>
            </w:tcBorders>
            <w:shd w:val="clear" w:color="auto" w:fill="FFFFFF"/>
            <w:vAlign w:val="center"/>
          </w:tcPr>
          <w:p w14:paraId="42395BB2">
            <w:pPr>
              <w:spacing w:line="280" w:lineRule="exact"/>
              <w:jc w:val="center"/>
              <w:rPr>
                <w:rStyle w:val="24"/>
                <w:rFonts w:ascii="仿宋" w:hAnsi="仿宋" w:eastAsia="仿宋"/>
              </w:rPr>
            </w:pPr>
            <w:r>
              <w:rPr>
                <w:rStyle w:val="24"/>
                <w:rFonts w:hint="eastAsia" w:ascii="仿宋" w:hAnsi="仿宋" w:eastAsia="仿宋"/>
              </w:rPr>
              <w:t>3</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235C5CE0">
            <w:pPr>
              <w:spacing w:line="280" w:lineRule="exact"/>
              <w:jc w:val="center"/>
              <w:rPr>
                <w:rStyle w:val="24"/>
                <w:rFonts w:ascii="仿宋" w:hAnsi="仿宋" w:eastAsia="仿宋"/>
              </w:rPr>
            </w:pPr>
          </w:p>
        </w:tc>
      </w:tr>
      <w:tr w14:paraId="1DF25901">
        <w:tblPrEx>
          <w:tblCellMar>
            <w:top w:w="0" w:type="dxa"/>
            <w:left w:w="10" w:type="dxa"/>
            <w:bottom w:w="0" w:type="dxa"/>
            <w:right w:w="10" w:type="dxa"/>
          </w:tblCellMar>
        </w:tblPrEx>
        <w:trPr>
          <w:trHeight w:val="578" w:hRule="exact"/>
        </w:trPr>
        <w:tc>
          <w:tcPr>
            <w:tcW w:w="1205" w:type="dxa"/>
            <w:vMerge w:val="continue"/>
            <w:tcBorders>
              <w:left w:val="single" w:color="auto" w:sz="4" w:space="0"/>
            </w:tcBorders>
            <w:shd w:val="clear" w:color="auto" w:fill="FFFFFF"/>
            <w:vAlign w:val="center"/>
          </w:tcPr>
          <w:p w14:paraId="3F55E40A">
            <w:pPr>
              <w:spacing w:line="280" w:lineRule="exact"/>
              <w:rPr>
                <w:rFonts w:ascii="仿宋" w:hAnsi="仿宋" w:eastAsia="仿宋"/>
              </w:rPr>
            </w:pPr>
          </w:p>
        </w:tc>
        <w:tc>
          <w:tcPr>
            <w:tcW w:w="1200" w:type="dxa"/>
            <w:vMerge w:val="continue"/>
            <w:tcBorders>
              <w:top w:val="single" w:color="auto" w:sz="4" w:space="0"/>
              <w:left w:val="single" w:color="auto" w:sz="4" w:space="0"/>
            </w:tcBorders>
            <w:shd w:val="clear" w:color="auto" w:fill="FFFFFF"/>
            <w:vAlign w:val="center"/>
          </w:tcPr>
          <w:p w14:paraId="2ECD7FC2">
            <w:pPr>
              <w:pStyle w:val="23"/>
              <w:shd w:val="clear" w:color="auto" w:fill="auto"/>
              <w:spacing w:before="0" w:after="0" w:line="280" w:lineRule="exact"/>
              <w:ind w:firstLine="0"/>
              <w:jc w:val="center"/>
              <w:rPr>
                <w:rStyle w:val="24"/>
                <w:rFonts w:ascii="仿宋" w:hAnsi="仿宋" w:eastAsia="仿宋"/>
              </w:rPr>
            </w:pPr>
          </w:p>
        </w:tc>
        <w:tc>
          <w:tcPr>
            <w:tcW w:w="866" w:type="dxa"/>
            <w:vMerge w:val="continue"/>
            <w:tcBorders>
              <w:top w:val="single" w:color="auto" w:sz="4" w:space="0"/>
              <w:left w:val="single" w:color="auto" w:sz="4" w:space="0"/>
            </w:tcBorders>
            <w:shd w:val="clear" w:color="auto" w:fill="FFFFFF"/>
            <w:vAlign w:val="center"/>
          </w:tcPr>
          <w:p w14:paraId="3F468F10">
            <w:pPr>
              <w:pStyle w:val="23"/>
              <w:shd w:val="clear" w:color="auto" w:fill="auto"/>
              <w:spacing w:before="0" w:after="60" w:line="280" w:lineRule="exact"/>
              <w:ind w:firstLine="0"/>
              <w:jc w:val="center"/>
              <w:rPr>
                <w:rStyle w:val="24"/>
                <w:rFonts w:ascii="仿宋" w:hAnsi="仿宋" w:eastAsia="仿宋"/>
              </w:rPr>
            </w:pPr>
          </w:p>
        </w:tc>
        <w:tc>
          <w:tcPr>
            <w:tcW w:w="1559" w:type="dxa"/>
            <w:gridSpan w:val="3"/>
            <w:tcBorders>
              <w:top w:val="single" w:color="auto" w:sz="4" w:space="0"/>
              <w:left w:val="single" w:color="auto" w:sz="4" w:space="0"/>
            </w:tcBorders>
            <w:shd w:val="clear" w:color="auto" w:fill="FFFFFF"/>
            <w:vAlign w:val="center"/>
          </w:tcPr>
          <w:p w14:paraId="4CE5E61C">
            <w:pPr>
              <w:spacing w:line="280" w:lineRule="exact"/>
              <w:jc w:val="center"/>
              <w:rPr>
                <w:rStyle w:val="24"/>
                <w:rFonts w:ascii="仿宋" w:hAnsi="仿宋" w:eastAsia="仿宋"/>
              </w:rPr>
            </w:pPr>
            <w:r>
              <w:rPr>
                <w:rStyle w:val="24"/>
                <w:rFonts w:ascii="仿宋" w:hAnsi="仿宋" w:eastAsia="仿宋"/>
              </w:rPr>
              <w:t>推进中职学校达标工程</w:t>
            </w:r>
          </w:p>
        </w:tc>
        <w:tc>
          <w:tcPr>
            <w:tcW w:w="935" w:type="dxa"/>
            <w:tcBorders>
              <w:top w:val="single" w:color="auto" w:sz="4" w:space="0"/>
              <w:left w:val="single" w:color="auto" w:sz="4" w:space="0"/>
            </w:tcBorders>
            <w:shd w:val="clear" w:color="auto" w:fill="FFFFFF"/>
            <w:vAlign w:val="center"/>
          </w:tcPr>
          <w:p w14:paraId="4A1FE7F5">
            <w:pPr>
              <w:spacing w:line="280" w:lineRule="exact"/>
              <w:jc w:val="center"/>
              <w:rPr>
                <w:rStyle w:val="24"/>
                <w:rFonts w:ascii="仿宋" w:hAnsi="仿宋" w:eastAsia="仿宋"/>
              </w:rPr>
            </w:pPr>
            <w:r>
              <w:rPr>
                <w:rStyle w:val="24"/>
                <w:rFonts w:hint="eastAsia" w:ascii="仿宋" w:hAnsi="仿宋" w:eastAsia="仿宋"/>
              </w:rPr>
              <w:t>7所</w:t>
            </w:r>
          </w:p>
        </w:tc>
        <w:tc>
          <w:tcPr>
            <w:tcW w:w="1142" w:type="dxa"/>
            <w:tcBorders>
              <w:top w:val="single" w:color="auto" w:sz="4" w:space="0"/>
              <w:left w:val="single" w:color="auto" w:sz="4" w:space="0"/>
            </w:tcBorders>
            <w:shd w:val="clear" w:color="auto" w:fill="FFFFFF"/>
            <w:vAlign w:val="center"/>
          </w:tcPr>
          <w:p w14:paraId="6B9FC0A3">
            <w:pPr>
              <w:spacing w:line="280" w:lineRule="exact"/>
              <w:jc w:val="center"/>
              <w:rPr>
                <w:rStyle w:val="24"/>
                <w:rFonts w:ascii="仿宋" w:hAnsi="仿宋" w:eastAsia="仿宋"/>
              </w:rPr>
            </w:pPr>
            <w:r>
              <w:rPr>
                <w:rStyle w:val="24"/>
                <w:rFonts w:hint="eastAsia" w:ascii="仿宋" w:hAnsi="仿宋" w:eastAsia="仿宋"/>
              </w:rPr>
              <w:t>7所</w:t>
            </w:r>
          </w:p>
        </w:tc>
        <w:tc>
          <w:tcPr>
            <w:tcW w:w="691" w:type="dxa"/>
            <w:tcBorders>
              <w:top w:val="single" w:color="auto" w:sz="4" w:space="0"/>
              <w:left w:val="single" w:color="auto" w:sz="4" w:space="0"/>
            </w:tcBorders>
            <w:shd w:val="clear" w:color="auto" w:fill="FFFFFF"/>
            <w:vAlign w:val="center"/>
          </w:tcPr>
          <w:p w14:paraId="6A39EDDF">
            <w:pPr>
              <w:spacing w:line="280" w:lineRule="exact"/>
              <w:jc w:val="center"/>
              <w:rPr>
                <w:rStyle w:val="24"/>
                <w:rFonts w:ascii="仿宋" w:hAnsi="仿宋" w:eastAsia="仿宋"/>
              </w:rPr>
            </w:pPr>
            <w:r>
              <w:rPr>
                <w:rStyle w:val="24"/>
                <w:rFonts w:hint="eastAsia" w:ascii="仿宋" w:hAnsi="仿宋" w:eastAsia="仿宋"/>
              </w:rPr>
              <w:t>3</w:t>
            </w:r>
          </w:p>
        </w:tc>
        <w:tc>
          <w:tcPr>
            <w:tcW w:w="456" w:type="dxa"/>
            <w:tcBorders>
              <w:top w:val="single" w:color="auto" w:sz="4" w:space="0"/>
              <w:left w:val="single" w:color="auto" w:sz="4" w:space="0"/>
            </w:tcBorders>
            <w:shd w:val="clear" w:color="auto" w:fill="FFFFFF"/>
            <w:vAlign w:val="center"/>
          </w:tcPr>
          <w:p w14:paraId="10BF5F57">
            <w:pPr>
              <w:spacing w:line="280" w:lineRule="exact"/>
              <w:jc w:val="center"/>
              <w:rPr>
                <w:rStyle w:val="24"/>
                <w:rFonts w:ascii="仿宋" w:hAnsi="仿宋" w:eastAsia="仿宋"/>
              </w:rPr>
            </w:pPr>
            <w:r>
              <w:rPr>
                <w:rStyle w:val="24"/>
                <w:rFonts w:hint="eastAsia" w:ascii="仿宋" w:hAnsi="仿宋" w:eastAsia="仿宋"/>
              </w:rPr>
              <w:t>3</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3DFDA47D">
            <w:pPr>
              <w:spacing w:line="280" w:lineRule="exact"/>
              <w:jc w:val="center"/>
              <w:rPr>
                <w:rStyle w:val="24"/>
                <w:rFonts w:ascii="仿宋" w:hAnsi="仿宋" w:eastAsia="仿宋"/>
              </w:rPr>
            </w:pPr>
          </w:p>
        </w:tc>
      </w:tr>
      <w:tr w14:paraId="102827EC">
        <w:tblPrEx>
          <w:tblCellMar>
            <w:top w:w="0" w:type="dxa"/>
            <w:left w:w="10" w:type="dxa"/>
            <w:bottom w:w="0" w:type="dxa"/>
            <w:right w:w="10" w:type="dxa"/>
          </w:tblCellMar>
        </w:tblPrEx>
        <w:trPr>
          <w:trHeight w:val="842" w:hRule="exact"/>
        </w:trPr>
        <w:tc>
          <w:tcPr>
            <w:tcW w:w="1205" w:type="dxa"/>
            <w:vMerge w:val="continue"/>
            <w:tcBorders>
              <w:left w:val="single" w:color="auto" w:sz="4" w:space="0"/>
            </w:tcBorders>
            <w:shd w:val="clear" w:color="auto" w:fill="FFFFFF"/>
            <w:vAlign w:val="center"/>
          </w:tcPr>
          <w:p w14:paraId="79AEDF26">
            <w:pPr>
              <w:spacing w:line="280" w:lineRule="exact"/>
              <w:rPr>
                <w:rFonts w:ascii="仿宋" w:hAnsi="仿宋" w:eastAsia="仿宋"/>
              </w:rPr>
            </w:pPr>
          </w:p>
        </w:tc>
        <w:tc>
          <w:tcPr>
            <w:tcW w:w="1200" w:type="dxa"/>
            <w:vMerge w:val="continue"/>
            <w:tcBorders>
              <w:left w:val="single" w:color="auto" w:sz="4" w:space="0"/>
            </w:tcBorders>
            <w:shd w:val="clear" w:color="auto" w:fill="FFFFFF"/>
            <w:vAlign w:val="center"/>
          </w:tcPr>
          <w:p w14:paraId="1F5786F0">
            <w:pPr>
              <w:spacing w:line="280" w:lineRule="exact"/>
              <w:jc w:val="center"/>
              <w:rPr>
                <w:rFonts w:ascii="仿宋" w:hAnsi="仿宋" w:eastAsia="仿宋"/>
              </w:rPr>
            </w:pPr>
          </w:p>
        </w:tc>
        <w:tc>
          <w:tcPr>
            <w:tcW w:w="866" w:type="dxa"/>
            <w:vMerge w:val="continue"/>
            <w:tcBorders>
              <w:left w:val="single" w:color="auto" w:sz="4" w:space="0"/>
            </w:tcBorders>
            <w:shd w:val="clear" w:color="auto" w:fill="FFFFFF"/>
            <w:vAlign w:val="center"/>
          </w:tcPr>
          <w:p w14:paraId="482BCF58">
            <w:pPr>
              <w:spacing w:line="280" w:lineRule="exact"/>
              <w:jc w:val="center"/>
              <w:rPr>
                <w:rFonts w:ascii="仿宋" w:hAnsi="仿宋" w:eastAsia="仿宋"/>
              </w:rPr>
            </w:pPr>
          </w:p>
        </w:tc>
        <w:tc>
          <w:tcPr>
            <w:tcW w:w="1559" w:type="dxa"/>
            <w:gridSpan w:val="3"/>
            <w:tcBorders>
              <w:top w:val="single" w:color="auto" w:sz="4" w:space="0"/>
              <w:left w:val="single" w:color="auto" w:sz="4" w:space="0"/>
            </w:tcBorders>
            <w:shd w:val="clear" w:color="auto" w:fill="FFFFFF"/>
            <w:vAlign w:val="center"/>
          </w:tcPr>
          <w:p w14:paraId="3371960F">
            <w:pPr>
              <w:spacing w:line="280" w:lineRule="exact"/>
              <w:jc w:val="center"/>
              <w:rPr>
                <w:rStyle w:val="24"/>
                <w:rFonts w:ascii="仿宋" w:hAnsi="仿宋" w:eastAsia="仿宋"/>
              </w:rPr>
            </w:pPr>
            <w:r>
              <w:rPr>
                <w:rStyle w:val="24"/>
                <w:rFonts w:ascii="仿宋" w:hAnsi="仿宋" w:eastAsia="仿宋"/>
              </w:rPr>
              <w:t>全市乡镇寄宿制学校改扩建</w:t>
            </w:r>
          </w:p>
        </w:tc>
        <w:tc>
          <w:tcPr>
            <w:tcW w:w="935" w:type="dxa"/>
            <w:tcBorders>
              <w:top w:val="single" w:color="auto" w:sz="4" w:space="0"/>
              <w:left w:val="single" w:color="auto" w:sz="4" w:space="0"/>
            </w:tcBorders>
            <w:shd w:val="clear" w:color="auto" w:fill="FFFFFF"/>
            <w:vAlign w:val="center"/>
          </w:tcPr>
          <w:p w14:paraId="59835F95">
            <w:pPr>
              <w:spacing w:line="280" w:lineRule="exact"/>
              <w:jc w:val="center"/>
              <w:rPr>
                <w:rStyle w:val="24"/>
                <w:rFonts w:ascii="仿宋" w:hAnsi="仿宋" w:eastAsia="仿宋"/>
              </w:rPr>
            </w:pPr>
            <w:r>
              <w:rPr>
                <w:rStyle w:val="24"/>
                <w:rFonts w:ascii="仿宋" w:hAnsi="仿宋" w:eastAsia="仿宋"/>
              </w:rPr>
              <w:t>25所</w:t>
            </w:r>
          </w:p>
        </w:tc>
        <w:tc>
          <w:tcPr>
            <w:tcW w:w="1142" w:type="dxa"/>
            <w:tcBorders>
              <w:top w:val="single" w:color="auto" w:sz="4" w:space="0"/>
              <w:left w:val="single" w:color="auto" w:sz="4" w:space="0"/>
            </w:tcBorders>
            <w:shd w:val="clear" w:color="auto" w:fill="FFFFFF"/>
            <w:vAlign w:val="center"/>
          </w:tcPr>
          <w:p w14:paraId="27B47565">
            <w:pPr>
              <w:spacing w:line="280" w:lineRule="exact"/>
              <w:jc w:val="center"/>
              <w:rPr>
                <w:rStyle w:val="24"/>
                <w:rFonts w:ascii="仿宋" w:hAnsi="仿宋" w:eastAsia="仿宋"/>
              </w:rPr>
            </w:pPr>
            <w:r>
              <w:rPr>
                <w:rStyle w:val="24"/>
                <w:rFonts w:ascii="仿宋" w:hAnsi="仿宋" w:eastAsia="仿宋"/>
              </w:rPr>
              <w:t>25所</w:t>
            </w:r>
          </w:p>
        </w:tc>
        <w:tc>
          <w:tcPr>
            <w:tcW w:w="691" w:type="dxa"/>
            <w:tcBorders>
              <w:top w:val="single" w:color="auto" w:sz="4" w:space="0"/>
              <w:left w:val="single" w:color="auto" w:sz="4" w:space="0"/>
            </w:tcBorders>
            <w:shd w:val="clear" w:color="auto" w:fill="FFFFFF"/>
            <w:vAlign w:val="center"/>
          </w:tcPr>
          <w:p w14:paraId="7B9E75E5">
            <w:pPr>
              <w:spacing w:line="280" w:lineRule="exact"/>
              <w:jc w:val="center"/>
              <w:rPr>
                <w:rStyle w:val="24"/>
                <w:rFonts w:ascii="仿宋" w:hAnsi="仿宋" w:eastAsia="仿宋"/>
              </w:rPr>
            </w:pPr>
            <w:r>
              <w:rPr>
                <w:rStyle w:val="24"/>
                <w:rFonts w:hint="eastAsia" w:ascii="仿宋" w:hAnsi="仿宋" w:eastAsia="仿宋"/>
              </w:rPr>
              <w:t>3</w:t>
            </w:r>
          </w:p>
        </w:tc>
        <w:tc>
          <w:tcPr>
            <w:tcW w:w="456" w:type="dxa"/>
            <w:tcBorders>
              <w:top w:val="single" w:color="auto" w:sz="4" w:space="0"/>
              <w:left w:val="single" w:color="auto" w:sz="4" w:space="0"/>
            </w:tcBorders>
            <w:shd w:val="clear" w:color="auto" w:fill="FFFFFF"/>
            <w:vAlign w:val="center"/>
          </w:tcPr>
          <w:p w14:paraId="17986ED1">
            <w:pPr>
              <w:spacing w:line="280" w:lineRule="exact"/>
              <w:jc w:val="center"/>
              <w:rPr>
                <w:rStyle w:val="24"/>
                <w:rFonts w:ascii="仿宋" w:hAnsi="仿宋" w:eastAsia="仿宋"/>
              </w:rPr>
            </w:pPr>
            <w:r>
              <w:rPr>
                <w:rStyle w:val="24"/>
                <w:rFonts w:hint="eastAsia" w:ascii="仿宋" w:hAnsi="仿宋" w:eastAsia="仿宋"/>
              </w:rPr>
              <w:t>3</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5FEF976B">
            <w:pPr>
              <w:spacing w:line="280" w:lineRule="exact"/>
              <w:jc w:val="center"/>
              <w:rPr>
                <w:rStyle w:val="24"/>
                <w:rFonts w:ascii="仿宋" w:hAnsi="仿宋" w:eastAsia="仿宋"/>
              </w:rPr>
            </w:pPr>
          </w:p>
        </w:tc>
      </w:tr>
      <w:tr w14:paraId="5C76E293">
        <w:tblPrEx>
          <w:tblCellMar>
            <w:top w:w="0" w:type="dxa"/>
            <w:left w:w="10" w:type="dxa"/>
            <w:bottom w:w="0" w:type="dxa"/>
            <w:right w:w="10" w:type="dxa"/>
          </w:tblCellMar>
        </w:tblPrEx>
        <w:trPr>
          <w:trHeight w:val="571" w:hRule="exact"/>
        </w:trPr>
        <w:tc>
          <w:tcPr>
            <w:tcW w:w="1205" w:type="dxa"/>
            <w:vMerge w:val="continue"/>
            <w:tcBorders>
              <w:left w:val="single" w:color="auto" w:sz="4" w:space="0"/>
            </w:tcBorders>
            <w:shd w:val="clear" w:color="auto" w:fill="FFFFFF"/>
            <w:vAlign w:val="center"/>
          </w:tcPr>
          <w:p w14:paraId="525B3417">
            <w:pPr>
              <w:spacing w:line="280" w:lineRule="exact"/>
              <w:rPr>
                <w:rFonts w:ascii="仿宋" w:hAnsi="仿宋" w:eastAsia="仿宋"/>
              </w:rPr>
            </w:pPr>
          </w:p>
        </w:tc>
        <w:tc>
          <w:tcPr>
            <w:tcW w:w="1200" w:type="dxa"/>
            <w:vMerge w:val="continue"/>
            <w:tcBorders>
              <w:left w:val="single" w:color="auto" w:sz="4" w:space="0"/>
            </w:tcBorders>
            <w:shd w:val="clear" w:color="auto" w:fill="FFFFFF"/>
            <w:vAlign w:val="center"/>
          </w:tcPr>
          <w:p w14:paraId="7E8E0E2E">
            <w:pPr>
              <w:spacing w:line="280" w:lineRule="exact"/>
              <w:jc w:val="center"/>
              <w:rPr>
                <w:rFonts w:ascii="仿宋" w:hAnsi="仿宋" w:eastAsia="仿宋"/>
              </w:rPr>
            </w:pPr>
          </w:p>
        </w:tc>
        <w:tc>
          <w:tcPr>
            <w:tcW w:w="866" w:type="dxa"/>
            <w:tcBorders>
              <w:top w:val="single" w:color="auto" w:sz="4" w:space="0"/>
              <w:left w:val="single" w:color="auto" w:sz="4" w:space="0"/>
            </w:tcBorders>
            <w:shd w:val="clear" w:color="auto" w:fill="FFFFFF"/>
            <w:vAlign w:val="center"/>
          </w:tcPr>
          <w:p w14:paraId="2E6723D0">
            <w:pPr>
              <w:pStyle w:val="23"/>
              <w:shd w:val="clear" w:color="auto" w:fill="auto"/>
              <w:spacing w:before="0" w:after="60" w:line="280" w:lineRule="exact"/>
              <w:ind w:firstLine="0"/>
              <w:jc w:val="center"/>
              <w:rPr>
                <w:rFonts w:ascii="仿宋" w:hAnsi="仿宋" w:eastAsia="仿宋"/>
              </w:rPr>
            </w:pPr>
            <w:r>
              <w:rPr>
                <w:rStyle w:val="24"/>
                <w:rFonts w:ascii="仿宋" w:hAnsi="仿宋" w:eastAsia="仿宋"/>
              </w:rPr>
              <w:t>质量</w:t>
            </w:r>
          </w:p>
          <w:p w14:paraId="11970F62">
            <w:pPr>
              <w:pStyle w:val="23"/>
              <w:shd w:val="clear" w:color="auto" w:fill="auto"/>
              <w:spacing w:before="60" w:after="0" w:line="280" w:lineRule="exact"/>
              <w:ind w:firstLine="0"/>
              <w:jc w:val="center"/>
              <w:rPr>
                <w:rFonts w:ascii="仿宋" w:hAnsi="仿宋" w:eastAsia="仿宋"/>
              </w:rPr>
            </w:pPr>
            <w:r>
              <w:rPr>
                <w:rStyle w:val="24"/>
                <w:rFonts w:ascii="仿宋" w:hAnsi="仿宋" w:eastAsia="仿宋"/>
              </w:rPr>
              <w:t>指标</w:t>
            </w:r>
          </w:p>
        </w:tc>
        <w:tc>
          <w:tcPr>
            <w:tcW w:w="1559" w:type="dxa"/>
            <w:gridSpan w:val="3"/>
            <w:tcBorders>
              <w:top w:val="single" w:color="auto" w:sz="4" w:space="0"/>
              <w:left w:val="single" w:color="auto" w:sz="4" w:space="0"/>
            </w:tcBorders>
            <w:shd w:val="clear" w:color="auto" w:fill="FFFFFF"/>
            <w:vAlign w:val="center"/>
          </w:tcPr>
          <w:p w14:paraId="4AB14F43">
            <w:pPr>
              <w:spacing w:line="280" w:lineRule="exact"/>
              <w:jc w:val="center"/>
              <w:rPr>
                <w:rStyle w:val="24"/>
                <w:rFonts w:ascii="仿宋" w:hAnsi="仿宋" w:eastAsia="仿宋"/>
              </w:rPr>
            </w:pPr>
            <w:r>
              <w:rPr>
                <w:rStyle w:val="24"/>
                <w:rFonts w:hint="eastAsia" w:ascii="仿宋" w:hAnsi="仿宋" w:eastAsia="仿宋"/>
              </w:rPr>
              <w:t>质量合格率</w:t>
            </w:r>
          </w:p>
        </w:tc>
        <w:tc>
          <w:tcPr>
            <w:tcW w:w="935" w:type="dxa"/>
            <w:tcBorders>
              <w:top w:val="single" w:color="auto" w:sz="4" w:space="0"/>
              <w:left w:val="single" w:color="auto" w:sz="4" w:space="0"/>
            </w:tcBorders>
            <w:shd w:val="clear" w:color="auto" w:fill="FFFFFF"/>
            <w:vAlign w:val="center"/>
          </w:tcPr>
          <w:p w14:paraId="6A47D72D">
            <w:pPr>
              <w:spacing w:line="280" w:lineRule="exact"/>
              <w:jc w:val="center"/>
              <w:rPr>
                <w:rStyle w:val="24"/>
                <w:rFonts w:ascii="仿宋" w:hAnsi="仿宋" w:eastAsia="仿宋"/>
              </w:rPr>
            </w:pPr>
            <w:r>
              <w:rPr>
                <w:rStyle w:val="24"/>
                <w:rFonts w:hint="eastAsia" w:ascii="仿宋" w:hAnsi="仿宋" w:eastAsia="仿宋"/>
              </w:rPr>
              <w:t>100%</w:t>
            </w:r>
          </w:p>
        </w:tc>
        <w:tc>
          <w:tcPr>
            <w:tcW w:w="1142" w:type="dxa"/>
            <w:tcBorders>
              <w:top w:val="single" w:color="auto" w:sz="4" w:space="0"/>
              <w:left w:val="single" w:color="auto" w:sz="4" w:space="0"/>
            </w:tcBorders>
            <w:shd w:val="clear" w:color="auto" w:fill="FFFFFF"/>
            <w:vAlign w:val="center"/>
          </w:tcPr>
          <w:p w14:paraId="430F1111">
            <w:pPr>
              <w:spacing w:line="280" w:lineRule="exact"/>
              <w:jc w:val="center"/>
              <w:rPr>
                <w:rStyle w:val="24"/>
                <w:rFonts w:ascii="仿宋" w:hAnsi="仿宋" w:eastAsia="仿宋"/>
              </w:rPr>
            </w:pPr>
            <w:r>
              <w:rPr>
                <w:rStyle w:val="24"/>
                <w:rFonts w:hint="eastAsia" w:ascii="仿宋" w:hAnsi="仿宋" w:eastAsia="仿宋"/>
              </w:rPr>
              <w:t>100%</w:t>
            </w:r>
          </w:p>
        </w:tc>
        <w:tc>
          <w:tcPr>
            <w:tcW w:w="691" w:type="dxa"/>
            <w:tcBorders>
              <w:top w:val="single" w:color="auto" w:sz="4" w:space="0"/>
              <w:left w:val="single" w:color="auto" w:sz="4" w:space="0"/>
            </w:tcBorders>
            <w:shd w:val="clear" w:color="auto" w:fill="FFFFFF"/>
            <w:vAlign w:val="center"/>
          </w:tcPr>
          <w:p w14:paraId="7EC54774">
            <w:pPr>
              <w:spacing w:line="280" w:lineRule="exact"/>
              <w:jc w:val="center"/>
              <w:rPr>
                <w:rStyle w:val="24"/>
                <w:rFonts w:ascii="仿宋" w:hAnsi="仿宋" w:eastAsia="仿宋"/>
              </w:rPr>
            </w:pPr>
            <w:r>
              <w:rPr>
                <w:rStyle w:val="24"/>
                <w:rFonts w:hint="eastAsia" w:ascii="仿宋" w:hAnsi="仿宋" w:eastAsia="仿宋"/>
              </w:rPr>
              <w:t>15</w:t>
            </w:r>
          </w:p>
        </w:tc>
        <w:tc>
          <w:tcPr>
            <w:tcW w:w="456" w:type="dxa"/>
            <w:tcBorders>
              <w:top w:val="single" w:color="auto" w:sz="4" w:space="0"/>
              <w:left w:val="single" w:color="auto" w:sz="4" w:space="0"/>
            </w:tcBorders>
            <w:shd w:val="clear" w:color="auto" w:fill="FFFFFF"/>
            <w:vAlign w:val="center"/>
          </w:tcPr>
          <w:p w14:paraId="6F70C594">
            <w:pPr>
              <w:spacing w:line="280" w:lineRule="exact"/>
              <w:jc w:val="center"/>
              <w:rPr>
                <w:rStyle w:val="24"/>
                <w:rFonts w:ascii="仿宋" w:hAnsi="仿宋" w:eastAsia="仿宋"/>
              </w:rPr>
            </w:pPr>
            <w:r>
              <w:rPr>
                <w:rStyle w:val="24"/>
                <w:rFonts w:hint="eastAsia" w:ascii="仿宋" w:hAnsi="仿宋" w:eastAsia="仿宋"/>
              </w:rPr>
              <w:t>15</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72A5290B">
            <w:pPr>
              <w:spacing w:line="280" w:lineRule="exact"/>
              <w:jc w:val="center"/>
              <w:rPr>
                <w:rStyle w:val="24"/>
                <w:rFonts w:ascii="仿宋" w:hAnsi="仿宋" w:eastAsia="仿宋"/>
              </w:rPr>
            </w:pPr>
          </w:p>
        </w:tc>
      </w:tr>
      <w:tr w14:paraId="74686E77">
        <w:tblPrEx>
          <w:tblCellMar>
            <w:top w:w="0" w:type="dxa"/>
            <w:left w:w="10" w:type="dxa"/>
            <w:bottom w:w="0" w:type="dxa"/>
            <w:right w:w="10" w:type="dxa"/>
          </w:tblCellMar>
        </w:tblPrEx>
        <w:trPr>
          <w:trHeight w:val="566" w:hRule="exact"/>
        </w:trPr>
        <w:tc>
          <w:tcPr>
            <w:tcW w:w="1205" w:type="dxa"/>
            <w:vMerge w:val="continue"/>
            <w:tcBorders>
              <w:left w:val="single" w:color="auto" w:sz="4" w:space="0"/>
            </w:tcBorders>
            <w:shd w:val="clear" w:color="auto" w:fill="FFFFFF"/>
            <w:vAlign w:val="center"/>
          </w:tcPr>
          <w:p w14:paraId="3483E28C">
            <w:pPr>
              <w:spacing w:line="280" w:lineRule="exact"/>
              <w:rPr>
                <w:rFonts w:ascii="仿宋" w:hAnsi="仿宋" w:eastAsia="仿宋"/>
              </w:rPr>
            </w:pPr>
          </w:p>
        </w:tc>
        <w:tc>
          <w:tcPr>
            <w:tcW w:w="1200" w:type="dxa"/>
            <w:vMerge w:val="continue"/>
            <w:tcBorders>
              <w:left w:val="single" w:color="auto" w:sz="4" w:space="0"/>
            </w:tcBorders>
            <w:shd w:val="clear" w:color="auto" w:fill="FFFFFF"/>
            <w:vAlign w:val="center"/>
          </w:tcPr>
          <w:p w14:paraId="5A9DB004">
            <w:pPr>
              <w:spacing w:line="280" w:lineRule="exact"/>
              <w:jc w:val="center"/>
              <w:rPr>
                <w:rFonts w:ascii="仿宋" w:hAnsi="仿宋" w:eastAsia="仿宋"/>
              </w:rPr>
            </w:pPr>
          </w:p>
        </w:tc>
        <w:tc>
          <w:tcPr>
            <w:tcW w:w="866" w:type="dxa"/>
            <w:tcBorders>
              <w:top w:val="single" w:color="auto" w:sz="4" w:space="0"/>
              <w:left w:val="single" w:color="auto" w:sz="4" w:space="0"/>
            </w:tcBorders>
            <w:shd w:val="clear" w:color="auto" w:fill="FFFFFF"/>
            <w:vAlign w:val="center"/>
          </w:tcPr>
          <w:p w14:paraId="2322D00A">
            <w:pPr>
              <w:pStyle w:val="23"/>
              <w:shd w:val="clear" w:color="auto" w:fill="auto"/>
              <w:spacing w:before="0" w:after="60" w:line="280" w:lineRule="exact"/>
              <w:ind w:firstLine="0"/>
              <w:jc w:val="center"/>
              <w:rPr>
                <w:rFonts w:ascii="仿宋" w:hAnsi="仿宋" w:eastAsia="仿宋"/>
              </w:rPr>
            </w:pPr>
            <w:r>
              <w:rPr>
                <w:rStyle w:val="24"/>
                <w:rFonts w:ascii="仿宋" w:hAnsi="仿宋" w:eastAsia="仿宋"/>
              </w:rPr>
              <w:t>时效</w:t>
            </w:r>
          </w:p>
          <w:p w14:paraId="2E673399">
            <w:pPr>
              <w:pStyle w:val="23"/>
              <w:shd w:val="clear" w:color="auto" w:fill="auto"/>
              <w:spacing w:before="60" w:after="0" w:line="280" w:lineRule="exact"/>
              <w:ind w:firstLine="0"/>
              <w:jc w:val="center"/>
              <w:rPr>
                <w:rFonts w:ascii="仿宋" w:hAnsi="仿宋" w:eastAsia="仿宋"/>
              </w:rPr>
            </w:pPr>
            <w:r>
              <w:rPr>
                <w:rStyle w:val="24"/>
                <w:rFonts w:ascii="仿宋" w:hAnsi="仿宋" w:eastAsia="仿宋"/>
              </w:rPr>
              <w:t>指标</w:t>
            </w:r>
          </w:p>
        </w:tc>
        <w:tc>
          <w:tcPr>
            <w:tcW w:w="1559" w:type="dxa"/>
            <w:gridSpan w:val="3"/>
            <w:tcBorders>
              <w:top w:val="single" w:color="auto" w:sz="4" w:space="0"/>
              <w:left w:val="single" w:color="auto" w:sz="4" w:space="0"/>
            </w:tcBorders>
            <w:shd w:val="clear" w:color="auto" w:fill="FFFFFF"/>
            <w:vAlign w:val="center"/>
          </w:tcPr>
          <w:p w14:paraId="1C16EA84">
            <w:pPr>
              <w:spacing w:line="280" w:lineRule="exact"/>
              <w:jc w:val="center"/>
              <w:rPr>
                <w:rStyle w:val="24"/>
                <w:rFonts w:ascii="仿宋" w:hAnsi="仿宋" w:eastAsia="仿宋"/>
              </w:rPr>
            </w:pPr>
            <w:r>
              <w:rPr>
                <w:rStyle w:val="24"/>
                <w:rFonts w:hint="eastAsia" w:ascii="仿宋" w:hAnsi="仿宋" w:eastAsia="仿宋"/>
              </w:rPr>
              <w:t>完成及时性</w:t>
            </w:r>
          </w:p>
        </w:tc>
        <w:tc>
          <w:tcPr>
            <w:tcW w:w="935" w:type="dxa"/>
            <w:tcBorders>
              <w:top w:val="single" w:color="auto" w:sz="4" w:space="0"/>
              <w:left w:val="single" w:color="auto" w:sz="4" w:space="0"/>
            </w:tcBorders>
            <w:shd w:val="clear" w:color="auto" w:fill="FFFFFF"/>
            <w:vAlign w:val="center"/>
          </w:tcPr>
          <w:p w14:paraId="36CF7570">
            <w:pPr>
              <w:spacing w:line="280" w:lineRule="exact"/>
              <w:jc w:val="center"/>
              <w:rPr>
                <w:rStyle w:val="24"/>
                <w:rFonts w:ascii="仿宋" w:hAnsi="仿宋" w:eastAsia="仿宋"/>
              </w:rPr>
            </w:pPr>
            <w:r>
              <w:rPr>
                <w:rStyle w:val="24"/>
                <w:rFonts w:hint="eastAsia" w:ascii="仿宋" w:hAnsi="仿宋" w:eastAsia="仿宋"/>
              </w:rPr>
              <w:t>2023年12月31日</w:t>
            </w:r>
          </w:p>
        </w:tc>
        <w:tc>
          <w:tcPr>
            <w:tcW w:w="1142" w:type="dxa"/>
            <w:tcBorders>
              <w:top w:val="single" w:color="auto" w:sz="4" w:space="0"/>
              <w:left w:val="single" w:color="auto" w:sz="4" w:space="0"/>
            </w:tcBorders>
            <w:shd w:val="clear" w:color="auto" w:fill="FFFFFF"/>
            <w:vAlign w:val="center"/>
          </w:tcPr>
          <w:p w14:paraId="025C1E1D">
            <w:pPr>
              <w:spacing w:line="280" w:lineRule="exact"/>
              <w:jc w:val="center"/>
              <w:rPr>
                <w:rStyle w:val="24"/>
                <w:rFonts w:ascii="仿宋" w:hAnsi="仿宋" w:eastAsia="仿宋"/>
              </w:rPr>
            </w:pPr>
            <w:r>
              <w:rPr>
                <w:rStyle w:val="24"/>
                <w:rFonts w:hint="eastAsia" w:ascii="仿宋" w:hAnsi="仿宋" w:eastAsia="仿宋"/>
              </w:rPr>
              <w:t>2023年12月31日</w:t>
            </w:r>
          </w:p>
        </w:tc>
        <w:tc>
          <w:tcPr>
            <w:tcW w:w="691" w:type="dxa"/>
            <w:tcBorders>
              <w:top w:val="single" w:color="auto" w:sz="4" w:space="0"/>
              <w:left w:val="single" w:color="auto" w:sz="4" w:space="0"/>
            </w:tcBorders>
            <w:shd w:val="clear" w:color="auto" w:fill="FFFFFF"/>
            <w:vAlign w:val="center"/>
          </w:tcPr>
          <w:p w14:paraId="1CC4A2C2">
            <w:pPr>
              <w:spacing w:line="280" w:lineRule="exact"/>
              <w:jc w:val="center"/>
              <w:rPr>
                <w:rStyle w:val="24"/>
                <w:rFonts w:ascii="仿宋" w:hAnsi="仿宋" w:eastAsia="仿宋"/>
              </w:rPr>
            </w:pPr>
            <w:r>
              <w:rPr>
                <w:rStyle w:val="24"/>
                <w:rFonts w:hint="eastAsia" w:ascii="仿宋" w:hAnsi="仿宋" w:eastAsia="仿宋"/>
              </w:rPr>
              <w:t>10</w:t>
            </w:r>
          </w:p>
        </w:tc>
        <w:tc>
          <w:tcPr>
            <w:tcW w:w="456" w:type="dxa"/>
            <w:tcBorders>
              <w:top w:val="single" w:color="auto" w:sz="4" w:space="0"/>
              <w:left w:val="single" w:color="auto" w:sz="4" w:space="0"/>
            </w:tcBorders>
            <w:shd w:val="clear" w:color="auto" w:fill="FFFFFF"/>
            <w:vAlign w:val="center"/>
          </w:tcPr>
          <w:p w14:paraId="0E9D0F62">
            <w:pPr>
              <w:spacing w:line="280" w:lineRule="exact"/>
              <w:jc w:val="center"/>
              <w:rPr>
                <w:rStyle w:val="24"/>
                <w:rFonts w:ascii="仿宋" w:hAnsi="仿宋" w:eastAsia="仿宋"/>
              </w:rPr>
            </w:pPr>
            <w:r>
              <w:rPr>
                <w:rStyle w:val="24"/>
                <w:rFonts w:hint="eastAsia" w:ascii="仿宋" w:hAnsi="仿宋" w:eastAsia="仿宋"/>
              </w:rPr>
              <w:t>10</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75F9A038">
            <w:pPr>
              <w:spacing w:line="280" w:lineRule="exact"/>
              <w:jc w:val="center"/>
              <w:rPr>
                <w:rStyle w:val="24"/>
                <w:rFonts w:ascii="仿宋" w:hAnsi="仿宋" w:eastAsia="仿宋"/>
              </w:rPr>
            </w:pPr>
          </w:p>
        </w:tc>
      </w:tr>
      <w:tr w14:paraId="4F8F2C7D">
        <w:tblPrEx>
          <w:tblCellMar>
            <w:top w:w="0" w:type="dxa"/>
            <w:left w:w="10" w:type="dxa"/>
            <w:bottom w:w="0" w:type="dxa"/>
            <w:right w:w="10" w:type="dxa"/>
          </w:tblCellMar>
        </w:tblPrEx>
        <w:trPr>
          <w:trHeight w:val="1483" w:hRule="exact"/>
        </w:trPr>
        <w:tc>
          <w:tcPr>
            <w:tcW w:w="1205" w:type="dxa"/>
            <w:vMerge w:val="continue"/>
            <w:tcBorders>
              <w:left w:val="single" w:color="auto" w:sz="4" w:space="0"/>
            </w:tcBorders>
            <w:shd w:val="clear" w:color="auto" w:fill="FFFFFF"/>
            <w:vAlign w:val="center"/>
          </w:tcPr>
          <w:p w14:paraId="55993FDD">
            <w:pPr>
              <w:spacing w:line="280" w:lineRule="exact"/>
              <w:rPr>
                <w:rFonts w:ascii="仿宋" w:hAnsi="仿宋" w:eastAsia="仿宋"/>
              </w:rPr>
            </w:pPr>
          </w:p>
        </w:tc>
        <w:tc>
          <w:tcPr>
            <w:tcW w:w="1200" w:type="dxa"/>
            <w:vMerge w:val="continue"/>
            <w:tcBorders>
              <w:left w:val="single" w:color="auto" w:sz="4" w:space="0"/>
            </w:tcBorders>
            <w:shd w:val="clear" w:color="auto" w:fill="FFFFFF"/>
            <w:vAlign w:val="center"/>
          </w:tcPr>
          <w:p w14:paraId="73D64FA8">
            <w:pPr>
              <w:spacing w:line="280" w:lineRule="exact"/>
              <w:jc w:val="center"/>
              <w:rPr>
                <w:rFonts w:ascii="仿宋" w:hAnsi="仿宋" w:eastAsia="仿宋"/>
              </w:rPr>
            </w:pPr>
          </w:p>
        </w:tc>
        <w:tc>
          <w:tcPr>
            <w:tcW w:w="866" w:type="dxa"/>
            <w:tcBorders>
              <w:top w:val="single" w:color="auto" w:sz="4" w:space="0"/>
              <w:left w:val="single" w:color="auto" w:sz="4" w:space="0"/>
            </w:tcBorders>
            <w:shd w:val="clear" w:color="auto" w:fill="FFFFFF"/>
            <w:vAlign w:val="center"/>
          </w:tcPr>
          <w:p w14:paraId="5D72F2E2">
            <w:pPr>
              <w:pStyle w:val="23"/>
              <w:shd w:val="clear" w:color="auto" w:fill="auto"/>
              <w:spacing w:before="0" w:after="60" w:line="280" w:lineRule="exact"/>
              <w:ind w:firstLine="0"/>
              <w:jc w:val="center"/>
              <w:rPr>
                <w:rFonts w:ascii="仿宋" w:hAnsi="仿宋" w:eastAsia="仿宋"/>
              </w:rPr>
            </w:pPr>
            <w:r>
              <w:rPr>
                <w:rStyle w:val="24"/>
                <w:rFonts w:ascii="仿宋" w:hAnsi="仿宋" w:eastAsia="仿宋"/>
              </w:rPr>
              <w:t>成本</w:t>
            </w:r>
          </w:p>
          <w:p w14:paraId="07AAB38A">
            <w:pPr>
              <w:pStyle w:val="23"/>
              <w:shd w:val="clear" w:color="auto" w:fill="auto"/>
              <w:spacing w:before="60" w:after="0" w:line="280" w:lineRule="exact"/>
              <w:ind w:firstLine="0"/>
              <w:jc w:val="center"/>
              <w:rPr>
                <w:rFonts w:ascii="仿宋" w:hAnsi="仿宋" w:eastAsia="仿宋"/>
              </w:rPr>
            </w:pPr>
            <w:r>
              <w:rPr>
                <w:rStyle w:val="24"/>
                <w:rFonts w:ascii="仿宋" w:hAnsi="仿宋" w:eastAsia="仿宋"/>
              </w:rPr>
              <w:t>指标</w:t>
            </w:r>
          </w:p>
        </w:tc>
        <w:tc>
          <w:tcPr>
            <w:tcW w:w="1559" w:type="dxa"/>
            <w:gridSpan w:val="3"/>
            <w:tcBorders>
              <w:top w:val="single" w:color="auto" w:sz="4" w:space="0"/>
              <w:left w:val="single" w:color="auto" w:sz="4" w:space="0"/>
            </w:tcBorders>
            <w:shd w:val="clear" w:color="auto" w:fill="FFFFFF"/>
            <w:vAlign w:val="center"/>
          </w:tcPr>
          <w:p w14:paraId="7B1DFA5A">
            <w:pPr>
              <w:spacing w:line="280" w:lineRule="exact"/>
              <w:jc w:val="center"/>
              <w:rPr>
                <w:rStyle w:val="24"/>
                <w:rFonts w:ascii="仿宋" w:hAnsi="仿宋" w:eastAsia="仿宋"/>
              </w:rPr>
            </w:pPr>
            <w:r>
              <w:rPr>
                <w:rStyle w:val="24"/>
                <w:rFonts w:hint="eastAsia" w:ascii="仿宋" w:hAnsi="仿宋" w:eastAsia="仿宋"/>
              </w:rPr>
              <w:t>全年预算金额</w:t>
            </w:r>
            <w:r>
              <w:rPr>
                <w:rStyle w:val="24"/>
                <w:rFonts w:ascii="仿宋" w:hAnsi="仿宋" w:eastAsia="仿宋"/>
              </w:rPr>
              <w:t>6978</w:t>
            </w:r>
            <w:r>
              <w:rPr>
                <w:rStyle w:val="24"/>
                <w:rFonts w:hint="eastAsia" w:ascii="仿宋" w:hAnsi="仿宋" w:eastAsia="仿宋"/>
              </w:rPr>
              <w:t>.</w:t>
            </w:r>
            <w:r>
              <w:rPr>
                <w:rStyle w:val="24"/>
                <w:rFonts w:ascii="仿宋" w:hAnsi="仿宋" w:eastAsia="仿宋"/>
              </w:rPr>
              <w:t>9</w:t>
            </w:r>
            <w:r>
              <w:rPr>
                <w:rStyle w:val="24"/>
                <w:rFonts w:hint="eastAsia" w:ascii="仿宋" w:hAnsi="仿宋" w:eastAsia="仿宋"/>
              </w:rPr>
              <w:t>9</w:t>
            </w:r>
            <w:r>
              <w:rPr>
                <w:rStyle w:val="24"/>
                <w:rFonts w:ascii="仿宋" w:hAnsi="仿宋" w:eastAsia="仿宋"/>
              </w:rPr>
              <w:t>万元，全部用于保障</w:t>
            </w:r>
            <w:r>
              <w:rPr>
                <w:rStyle w:val="24"/>
                <w:rFonts w:hint="eastAsia" w:ascii="仿宋" w:hAnsi="仿宋" w:eastAsia="仿宋"/>
              </w:rPr>
              <w:t>全市</w:t>
            </w:r>
            <w:r>
              <w:rPr>
                <w:rStyle w:val="24"/>
                <w:rFonts w:ascii="仿宋" w:hAnsi="仿宋" w:eastAsia="仿宋"/>
              </w:rPr>
              <w:t>教育工作。</w:t>
            </w:r>
          </w:p>
        </w:tc>
        <w:tc>
          <w:tcPr>
            <w:tcW w:w="935" w:type="dxa"/>
            <w:tcBorders>
              <w:top w:val="single" w:color="auto" w:sz="4" w:space="0"/>
              <w:left w:val="single" w:color="auto" w:sz="4" w:space="0"/>
            </w:tcBorders>
            <w:shd w:val="clear" w:color="auto" w:fill="FFFFFF"/>
            <w:vAlign w:val="center"/>
          </w:tcPr>
          <w:p w14:paraId="492C8226">
            <w:pPr>
              <w:spacing w:line="280" w:lineRule="exact"/>
              <w:jc w:val="center"/>
              <w:rPr>
                <w:rStyle w:val="24"/>
                <w:rFonts w:ascii="仿宋" w:hAnsi="仿宋" w:eastAsia="仿宋"/>
              </w:rPr>
            </w:pPr>
            <w:r>
              <w:rPr>
                <w:rStyle w:val="24"/>
                <w:rFonts w:hint="eastAsia" w:ascii="仿宋" w:hAnsi="仿宋" w:eastAsia="仿宋"/>
              </w:rPr>
              <w:t>100%</w:t>
            </w:r>
          </w:p>
        </w:tc>
        <w:tc>
          <w:tcPr>
            <w:tcW w:w="1142" w:type="dxa"/>
            <w:tcBorders>
              <w:top w:val="single" w:color="auto" w:sz="4" w:space="0"/>
              <w:left w:val="single" w:color="auto" w:sz="4" w:space="0"/>
            </w:tcBorders>
            <w:shd w:val="clear" w:color="auto" w:fill="FFFFFF"/>
            <w:vAlign w:val="center"/>
          </w:tcPr>
          <w:p w14:paraId="59010788">
            <w:pPr>
              <w:spacing w:line="280" w:lineRule="exact"/>
              <w:jc w:val="center"/>
              <w:rPr>
                <w:rStyle w:val="24"/>
                <w:rFonts w:ascii="仿宋" w:hAnsi="仿宋" w:eastAsia="仿宋"/>
              </w:rPr>
            </w:pPr>
            <w:r>
              <w:rPr>
                <w:rStyle w:val="24"/>
                <w:rFonts w:hint="eastAsia" w:ascii="仿宋" w:hAnsi="仿宋" w:eastAsia="仿宋"/>
              </w:rPr>
              <w:t>210.36%</w:t>
            </w:r>
          </w:p>
        </w:tc>
        <w:tc>
          <w:tcPr>
            <w:tcW w:w="691" w:type="dxa"/>
            <w:tcBorders>
              <w:top w:val="single" w:color="auto" w:sz="4" w:space="0"/>
              <w:left w:val="single" w:color="auto" w:sz="4" w:space="0"/>
            </w:tcBorders>
            <w:shd w:val="clear" w:color="auto" w:fill="FFFFFF"/>
            <w:vAlign w:val="center"/>
          </w:tcPr>
          <w:p w14:paraId="761FC0BD">
            <w:pPr>
              <w:spacing w:line="280" w:lineRule="exact"/>
              <w:jc w:val="center"/>
              <w:rPr>
                <w:rStyle w:val="24"/>
                <w:rFonts w:ascii="仿宋" w:hAnsi="仿宋" w:eastAsia="仿宋"/>
              </w:rPr>
            </w:pPr>
            <w:r>
              <w:rPr>
                <w:rStyle w:val="24"/>
                <w:rFonts w:hint="eastAsia" w:ascii="仿宋" w:hAnsi="仿宋" w:eastAsia="仿宋"/>
              </w:rPr>
              <w:t>10</w:t>
            </w:r>
          </w:p>
        </w:tc>
        <w:tc>
          <w:tcPr>
            <w:tcW w:w="456" w:type="dxa"/>
            <w:tcBorders>
              <w:top w:val="single" w:color="auto" w:sz="4" w:space="0"/>
              <w:left w:val="single" w:color="auto" w:sz="4" w:space="0"/>
            </w:tcBorders>
            <w:shd w:val="clear" w:color="auto" w:fill="FFFFFF"/>
            <w:vAlign w:val="center"/>
          </w:tcPr>
          <w:p w14:paraId="0D552242">
            <w:pPr>
              <w:spacing w:line="280" w:lineRule="exact"/>
              <w:jc w:val="center"/>
              <w:rPr>
                <w:rStyle w:val="24"/>
                <w:rFonts w:ascii="仿宋" w:hAnsi="仿宋" w:eastAsia="仿宋"/>
              </w:rPr>
            </w:pPr>
            <w:r>
              <w:rPr>
                <w:rStyle w:val="24"/>
                <w:rFonts w:hint="eastAsia" w:ascii="仿宋" w:hAnsi="仿宋" w:eastAsia="仿宋"/>
              </w:rPr>
              <w:t>8.5</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2C057952">
            <w:pPr>
              <w:spacing w:line="280" w:lineRule="exact"/>
              <w:jc w:val="center"/>
              <w:rPr>
                <w:rStyle w:val="24"/>
                <w:rFonts w:ascii="仿宋" w:hAnsi="仿宋" w:eastAsia="仿宋"/>
              </w:rPr>
            </w:pPr>
            <w:r>
              <w:rPr>
                <w:rStyle w:val="24"/>
                <w:rFonts w:hint="eastAsia" w:ascii="仿宋" w:hAnsi="仿宋" w:eastAsia="仿宋"/>
              </w:rPr>
              <w:t>本年度追加非税收入各类考试考务、职称评审等工作经费</w:t>
            </w:r>
            <w:r>
              <w:rPr>
                <w:rStyle w:val="24"/>
                <w:rFonts w:ascii="仿宋" w:hAnsi="仿宋" w:eastAsia="仿宋"/>
              </w:rPr>
              <w:t>1085万元</w:t>
            </w:r>
          </w:p>
        </w:tc>
      </w:tr>
      <w:tr w14:paraId="6A9F94CD">
        <w:tblPrEx>
          <w:tblCellMar>
            <w:top w:w="0" w:type="dxa"/>
            <w:left w:w="10" w:type="dxa"/>
            <w:bottom w:w="0" w:type="dxa"/>
            <w:right w:w="10" w:type="dxa"/>
          </w:tblCellMar>
        </w:tblPrEx>
        <w:trPr>
          <w:trHeight w:val="993" w:hRule="exact"/>
        </w:trPr>
        <w:tc>
          <w:tcPr>
            <w:tcW w:w="1205" w:type="dxa"/>
            <w:vMerge w:val="continue"/>
            <w:tcBorders>
              <w:left w:val="single" w:color="auto" w:sz="4" w:space="0"/>
            </w:tcBorders>
            <w:shd w:val="clear" w:color="auto" w:fill="FFFFFF"/>
            <w:vAlign w:val="center"/>
          </w:tcPr>
          <w:p w14:paraId="0A742230">
            <w:pPr>
              <w:spacing w:line="280" w:lineRule="exact"/>
              <w:rPr>
                <w:rFonts w:ascii="仿宋" w:hAnsi="仿宋" w:eastAsia="仿宋"/>
              </w:rPr>
            </w:pPr>
          </w:p>
        </w:tc>
        <w:tc>
          <w:tcPr>
            <w:tcW w:w="1200" w:type="dxa"/>
            <w:vMerge w:val="restart"/>
            <w:tcBorders>
              <w:top w:val="single" w:color="auto" w:sz="4" w:space="0"/>
              <w:left w:val="single" w:color="auto" w:sz="4" w:space="0"/>
            </w:tcBorders>
            <w:shd w:val="clear" w:color="auto" w:fill="FFFFFF"/>
            <w:vAlign w:val="center"/>
          </w:tcPr>
          <w:p w14:paraId="64D7D613">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 xml:space="preserve">效益指标 </w:t>
            </w:r>
            <w:r>
              <w:rPr>
                <w:rStyle w:val="24"/>
                <w:rFonts w:ascii="仿宋" w:hAnsi="仿宋" w:eastAsia="仿宋"/>
                <w:lang w:eastAsia="en-US" w:bidi="en-US"/>
              </w:rPr>
              <w:t>（30</w:t>
            </w:r>
            <w:r>
              <w:rPr>
                <w:rStyle w:val="24"/>
                <w:rFonts w:ascii="仿宋" w:hAnsi="仿宋" w:eastAsia="仿宋"/>
              </w:rPr>
              <w:t>分）</w:t>
            </w:r>
          </w:p>
        </w:tc>
        <w:tc>
          <w:tcPr>
            <w:tcW w:w="866" w:type="dxa"/>
            <w:tcBorders>
              <w:top w:val="single" w:color="auto" w:sz="4" w:space="0"/>
              <w:left w:val="single" w:color="auto" w:sz="4" w:space="0"/>
            </w:tcBorders>
            <w:shd w:val="clear" w:color="auto" w:fill="FFFFFF"/>
            <w:vAlign w:val="center"/>
          </w:tcPr>
          <w:p w14:paraId="4E559075">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经济效</w:t>
            </w:r>
          </w:p>
          <w:p w14:paraId="087204FB">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益指标</w:t>
            </w:r>
          </w:p>
        </w:tc>
        <w:tc>
          <w:tcPr>
            <w:tcW w:w="1559" w:type="dxa"/>
            <w:gridSpan w:val="3"/>
            <w:tcBorders>
              <w:top w:val="single" w:color="auto" w:sz="4" w:space="0"/>
              <w:left w:val="single" w:color="auto" w:sz="4" w:space="0"/>
            </w:tcBorders>
            <w:shd w:val="clear" w:color="auto" w:fill="FFFFFF"/>
            <w:vAlign w:val="center"/>
          </w:tcPr>
          <w:p w14:paraId="4889C7F2">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优化教育资源配置，提高了教育资金的使用效率，</w:t>
            </w:r>
          </w:p>
        </w:tc>
        <w:tc>
          <w:tcPr>
            <w:tcW w:w="935" w:type="dxa"/>
            <w:tcBorders>
              <w:top w:val="single" w:color="auto" w:sz="4" w:space="0"/>
              <w:left w:val="single" w:color="auto" w:sz="4" w:space="0"/>
            </w:tcBorders>
            <w:shd w:val="clear" w:color="auto" w:fill="FFFFFF"/>
            <w:vAlign w:val="center"/>
          </w:tcPr>
          <w:p w14:paraId="4877B76A">
            <w:pPr>
              <w:spacing w:line="280" w:lineRule="exact"/>
              <w:jc w:val="center"/>
              <w:rPr>
                <w:rStyle w:val="24"/>
                <w:rFonts w:ascii="仿宋" w:hAnsi="仿宋" w:eastAsia="仿宋"/>
              </w:rPr>
            </w:pPr>
            <w:r>
              <w:rPr>
                <w:rStyle w:val="24"/>
                <w:rFonts w:hint="eastAsia" w:ascii="仿宋" w:hAnsi="仿宋" w:eastAsia="仿宋"/>
              </w:rPr>
              <w:t>效果明显</w:t>
            </w:r>
          </w:p>
        </w:tc>
        <w:tc>
          <w:tcPr>
            <w:tcW w:w="1142" w:type="dxa"/>
            <w:tcBorders>
              <w:top w:val="single" w:color="auto" w:sz="4" w:space="0"/>
              <w:left w:val="single" w:color="auto" w:sz="4" w:space="0"/>
            </w:tcBorders>
            <w:shd w:val="clear" w:color="auto" w:fill="FFFFFF"/>
            <w:vAlign w:val="center"/>
          </w:tcPr>
          <w:p w14:paraId="2C49DB6F">
            <w:pPr>
              <w:spacing w:line="280" w:lineRule="exact"/>
              <w:jc w:val="center"/>
              <w:rPr>
                <w:rStyle w:val="24"/>
                <w:rFonts w:ascii="仿宋" w:hAnsi="仿宋" w:eastAsia="仿宋"/>
              </w:rPr>
            </w:pPr>
            <w:r>
              <w:rPr>
                <w:rStyle w:val="24"/>
                <w:rFonts w:hint="eastAsia" w:ascii="仿宋" w:hAnsi="仿宋" w:eastAsia="仿宋"/>
              </w:rPr>
              <w:t>效果明显</w:t>
            </w:r>
          </w:p>
        </w:tc>
        <w:tc>
          <w:tcPr>
            <w:tcW w:w="691" w:type="dxa"/>
            <w:tcBorders>
              <w:top w:val="single" w:color="auto" w:sz="4" w:space="0"/>
              <w:left w:val="single" w:color="auto" w:sz="4" w:space="0"/>
            </w:tcBorders>
            <w:shd w:val="clear" w:color="auto" w:fill="FFFFFF"/>
            <w:vAlign w:val="center"/>
          </w:tcPr>
          <w:p w14:paraId="0C5EADAF">
            <w:pPr>
              <w:spacing w:line="280" w:lineRule="exact"/>
              <w:jc w:val="center"/>
              <w:rPr>
                <w:rStyle w:val="24"/>
                <w:rFonts w:ascii="仿宋" w:hAnsi="仿宋" w:eastAsia="仿宋"/>
              </w:rPr>
            </w:pPr>
            <w:r>
              <w:rPr>
                <w:rStyle w:val="24"/>
                <w:rFonts w:hint="eastAsia" w:ascii="仿宋" w:hAnsi="仿宋" w:eastAsia="仿宋"/>
              </w:rPr>
              <w:t>8</w:t>
            </w:r>
          </w:p>
        </w:tc>
        <w:tc>
          <w:tcPr>
            <w:tcW w:w="456" w:type="dxa"/>
            <w:tcBorders>
              <w:top w:val="single" w:color="auto" w:sz="4" w:space="0"/>
              <w:left w:val="single" w:color="auto" w:sz="4" w:space="0"/>
            </w:tcBorders>
            <w:shd w:val="clear" w:color="auto" w:fill="FFFFFF"/>
            <w:vAlign w:val="center"/>
          </w:tcPr>
          <w:p w14:paraId="5CB69701">
            <w:pPr>
              <w:spacing w:line="280" w:lineRule="exact"/>
              <w:jc w:val="center"/>
              <w:rPr>
                <w:rStyle w:val="24"/>
                <w:rFonts w:ascii="仿宋" w:hAnsi="仿宋" w:eastAsia="仿宋"/>
              </w:rPr>
            </w:pPr>
            <w:r>
              <w:rPr>
                <w:rStyle w:val="24"/>
                <w:rFonts w:hint="eastAsia" w:ascii="仿宋" w:hAnsi="仿宋" w:eastAsia="仿宋"/>
              </w:rPr>
              <w:t>8</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14DD2B8F">
            <w:pPr>
              <w:spacing w:line="280" w:lineRule="exact"/>
              <w:jc w:val="center"/>
              <w:rPr>
                <w:rStyle w:val="24"/>
                <w:rFonts w:ascii="仿宋" w:hAnsi="仿宋" w:eastAsia="仿宋"/>
              </w:rPr>
            </w:pPr>
          </w:p>
        </w:tc>
      </w:tr>
      <w:tr w14:paraId="26BD939F">
        <w:tblPrEx>
          <w:tblCellMar>
            <w:top w:w="0" w:type="dxa"/>
            <w:left w:w="10" w:type="dxa"/>
            <w:bottom w:w="0" w:type="dxa"/>
            <w:right w:w="10" w:type="dxa"/>
          </w:tblCellMar>
        </w:tblPrEx>
        <w:trPr>
          <w:trHeight w:val="839" w:hRule="exact"/>
        </w:trPr>
        <w:tc>
          <w:tcPr>
            <w:tcW w:w="1205" w:type="dxa"/>
            <w:vMerge w:val="continue"/>
            <w:tcBorders>
              <w:left w:val="single" w:color="auto" w:sz="4" w:space="0"/>
            </w:tcBorders>
            <w:shd w:val="clear" w:color="auto" w:fill="FFFFFF"/>
            <w:vAlign w:val="center"/>
          </w:tcPr>
          <w:p w14:paraId="4FA8F49F">
            <w:pPr>
              <w:spacing w:line="280" w:lineRule="exact"/>
              <w:rPr>
                <w:rFonts w:ascii="仿宋" w:hAnsi="仿宋" w:eastAsia="仿宋"/>
              </w:rPr>
            </w:pPr>
          </w:p>
        </w:tc>
        <w:tc>
          <w:tcPr>
            <w:tcW w:w="1200" w:type="dxa"/>
            <w:vMerge w:val="continue"/>
            <w:tcBorders>
              <w:left w:val="single" w:color="auto" w:sz="4" w:space="0"/>
            </w:tcBorders>
            <w:shd w:val="clear" w:color="auto" w:fill="FFFFFF"/>
            <w:vAlign w:val="center"/>
          </w:tcPr>
          <w:p w14:paraId="74FCB459">
            <w:pPr>
              <w:spacing w:line="280" w:lineRule="exact"/>
              <w:jc w:val="center"/>
              <w:rPr>
                <w:rFonts w:ascii="仿宋" w:hAnsi="仿宋" w:eastAsia="仿宋"/>
              </w:rPr>
            </w:pPr>
          </w:p>
        </w:tc>
        <w:tc>
          <w:tcPr>
            <w:tcW w:w="866" w:type="dxa"/>
            <w:tcBorders>
              <w:top w:val="single" w:color="auto" w:sz="4" w:space="0"/>
              <w:left w:val="single" w:color="auto" w:sz="4" w:space="0"/>
            </w:tcBorders>
            <w:shd w:val="clear" w:color="auto" w:fill="FFFFFF"/>
            <w:vAlign w:val="center"/>
          </w:tcPr>
          <w:p w14:paraId="293FD71B">
            <w:pPr>
              <w:pStyle w:val="23"/>
              <w:shd w:val="clear" w:color="auto" w:fill="auto"/>
              <w:spacing w:before="0" w:after="60" w:line="280" w:lineRule="exact"/>
              <w:ind w:firstLine="0"/>
              <w:jc w:val="center"/>
              <w:rPr>
                <w:rFonts w:ascii="仿宋" w:hAnsi="仿宋" w:eastAsia="仿宋"/>
              </w:rPr>
            </w:pPr>
            <w:r>
              <w:rPr>
                <w:rStyle w:val="24"/>
                <w:rFonts w:ascii="仿宋" w:hAnsi="仿宋" w:eastAsia="仿宋"/>
              </w:rPr>
              <w:t>社会效</w:t>
            </w:r>
          </w:p>
          <w:p w14:paraId="2AF143CF">
            <w:pPr>
              <w:pStyle w:val="23"/>
              <w:shd w:val="clear" w:color="auto" w:fill="auto"/>
              <w:spacing w:before="60" w:after="0" w:line="280" w:lineRule="exact"/>
              <w:ind w:firstLine="0"/>
              <w:jc w:val="center"/>
              <w:rPr>
                <w:rFonts w:ascii="仿宋" w:hAnsi="仿宋" w:eastAsia="仿宋"/>
              </w:rPr>
            </w:pPr>
            <w:r>
              <w:rPr>
                <w:rStyle w:val="24"/>
                <w:rFonts w:ascii="仿宋" w:hAnsi="仿宋" w:eastAsia="仿宋"/>
              </w:rPr>
              <w:t>益指标</w:t>
            </w:r>
          </w:p>
        </w:tc>
        <w:tc>
          <w:tcPr>
            <w:tcW w:w="1559" w:type="dxa"/>
            <w:gridSpan w:val="3"/>
            <w:tcBorders>
              <w:top w:val="single" w:color="auto" w:sz="4" w:space="0"/>
              <w:left w:val="single" w:color="auto" w:sz="4" w:space="0"/>
            </w:tcBorders>
            <w:shd w:val="clear" w:color="auto" w:fill="FFFFFF"/>
            <w:vAlign w:val="center"/>
          </w:tcPr>
          <w:p w14:paraId="01EE1E81">
            <w:pPr>
              <w:spacing w:line="280" w:lineRule="exact"/>
              <w:jc w:val="center"/>
              <w:rPr>
                <w:rStyle w:val="24"/>
                <w:rFonts w:ascii="仿宋" w:hAnsi="仿宋" w:eastAsia="仿宋"/>
              </w:rPr>
            </w:pPr>
            <w:r>
              <w:rPr>
                <w:rStyle w:val="24"/>
                <w:rFonts w:ascii="仿宋" w:hAnsi="仿宋" w:eastAsia="仿宋"/>
              </w:rPr>
              <w:t>推动教育公平，提高教育质量，促进社会稳定</w:t>
            </w:r>
            <w:r>
              <w:rPr>
                <w:rStyle w:val="24"/>
                <w:rFonts w:hint="eastAsia" w:ascii="仿宋" w:hAnsi="仿宋" w:eastAsia="仿宋"/>
              </w:rPr>
              <w:t>。</w:t>
            </w:r>
          </w:p>
        </w:tc>
        <w:tc>
          <w:tcPr>
            <w:tcW w:w="935" w:type="dxa"/>
            <w:tcBorders>
              <w:top w:val="single" w:color="auto" w:sz="4" w:space="0"/>
              <w:left w:val="single" w:color="auto" w:sz="4" w:space="0"/>
            </w:tcBorders>
            <w:shd w:val="clear" w:color="auto" w:fill="FFFFFF"/>
            <w:vAlign w:val="center"/>
          </w:tcPr>
          <w:p w14:paraId="7E6A6637">
            <w:pPr>
              <w:spacing w:line="280" w:lineRule="exact"/>
              <w:jc w:val="center"/>
              <w:rPr>
                <w:rStyle w:val="24"/>
                <w:rFonts w:ascii="仿宋" w:hAnsi="仿宋" w:eastAsia="仿宋"/>
              </w:rPr>
            </w:pPr>
            <w:r>
              <w:rPr>
                <w:rStyle w:val="24"/>
                <w:rFonts w:hint="eastAsia" w:ascii="仿宋" w:hAnsi="仿宋" w:eastAsia="仿宋"/>
              </w:rPr>
              <w:t>效果明显</w:t>
            </w:r>
          </w:p>
        </w:tc>
        <w:tc>
          <w:tcPr>
            <w:tcW w:w="1142" w:type="dxa"/>
            <w:tcBorders>
              <w:top w:val="single" w:color="auto" w:sz="4" w:space="0"/>
              <w:left w:val="single" w:color="auto" w:sz="4" w:space="0"/>
            </w:tcBorders>
            <w:shd w:val="clear" w:color="auto" w:fill="FFFFFF"/>
            <w:vAlign w:val="center"/>
          </w:tcPr>
          <w:p w14:paraId="2EB183BD">
            <w:pPr>
              <w:spacing w:line="280" w:lineRule="exact"/>
              <w:jc w:val="center"/>
              <w:rPr>
                <w:rStyle w:val="24"/>
                <w:rFonts w:ascii="仿宋" w:hAnsi="仿宋" w:eastAsia="仿宋"/>
              </w:rPr>
            </w:pPr>
            <w:r>
              <w:rPr>
                <w:rStyle w:val="24"/>
                <w:rFonts w:hint="eastAsia" w:ascii="仿宋" w:hAnsi="仿宋" w:eastAsia="仿宋"/>
              </w:rPr>
              <w:t>效果明显</w:t>
            </w:r>
          </w:p>
        </w:tc>
        <w:tc>
          <w:tcPr>
            <w:tcW w:w="691" w:type="dxa"/>
            <w:tcBorders>
              <w:top w:val="single" w:color="auto" w:sz="4" w:space="0"/>
              <w:left w:val="single" w:color="auto" w:sz="4" w:space="0"/>
            </w:tcBorders>
            <w:shd w:val="clear" w:color="auto" w:fill="FFFFFF"/>
            <w:vAlign w:val="center"/>
          </w:tcPr>
          <w:p w14:paraId="17BAF7CF">
            <w:pPr>
              <w:spacing w:line="280" w:lineRule="exact"/>
              <w:jc w:val="center"/>
              <w:rPr>
                <w:rStyle w:val="24"/>
                <w:rFonts w:ascii="仿宋" w:hAnsi="仿宋" w:eastAsia="仿宋"/>
              </w:rPr>
            </w:pPr>
            <w:r>
              <w:rPr>
                <w:rStyle w:val="24"/>
                <w:rFonts w:hint="eastAsia" w:ascii="仿宋" w:hAnsi="仿宋" w:eastAsia="仿宋"/>
              </w:rPr>
              <w:t>7</w:t>
            </w:r>
          </w:p>
        </w:tc>
        <w:tc>
          <w:tcPr>
            <w:tcW w:w="456" w:type="dxa"/>
            <w:tcBorders>
              <w:top w:val="single" w:color="auto" w:sz="4" w:space="0"/>
              <w:left w:val="single" w:color="auto" w:sz="4" w:space="0"/>
            </w:tcBorders>
            <w:shd w:val="clear" w:color="auto" w:fill="FFFFFF"/>
            <w:vAlign w:val="center"/>
          </w:tcPr>
          <w:p w14:paraId="72C6762A">
            <w:pPr>
              <w:spacing w:line="280" w:lineRule="exact"/>
              <w:jc w:val="center"/>
              <w:rPr>
                <w:rStyle w:val="24"/>
                <w:rFonts w:ascii="仿宋" w:hAnsi="仿宋" w:eastAsia="仿宋"/>
              </w:rPr>
            </w:pPr>
            <w:r>
              <w:rPr>
                <w:rStyle w:val="24"/>
                <w:rFonts w:hint="eastAsia" w:ascii="仿宋" w:hAnsi="仿宋" w:eastAsia="仿宋"/>
              </w:rPr>
              <w:t>7</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6205DCE7">
            <w:pPr>
              <w:spacing w:line="280" w:lineRule="exact"/>
              <w:jc w:val="center"/>
              <w:rPr>
                <w:rStyle w:val="24"/>
                <w:rFonts w:ascii="仿宋" w:hAnsi="仿宋" w:eastAsia="仿宋"/>
              </w:rPr>
            </w:pPr>
          </w:p>
        </w:tc>
      </w:tr>
      <w:tr w14:paraId="022370B3">
        <w:tblPrEx>
          <w:tblCellMar>
            <w:top w:w="0" w:type="dxa"/>
            <w:left w:w="10" w:type="dxa"/>
            <w:bottom w:w="0" w:type="dxa"/>
            <w:right w:w="10" w:type="dxa"/>
          </w:tblCellMar>
        </w:tblPrEx>
        <w:trPr>
          <w:trHeight w:val="1431" w:hRule="exact"/>
        </w:trPr>
        <w:tc>
          <w:tcPr>
            <w:tcW w:w="1205" w:type="dxa"/>
            <w:vMerge w:val="continue"/>
            <w:tcBorders>
              <w:left w:val="single" w:color="auto" w:sz="4" w:space="0"/>
            </w:tcBorders>
            <w:shd w:val="clear" w:color="auto" w:fill="FFFFFF"/>
            <w:vAlign w:val="center"/>
          </w:tcPr>
          <w:p w14:paraId="40608FE4">
            <w:pPr>
              <w:spacing w:line="280" w:lineRule="exact"/>
              <w:rPr>
                <w:rFonts w:ascii="仿宋" w:hAnsi="仿宋" w:eastAsia="仿宋"/>
              </w:rPr>
            </w:pPr>
          </w:p>
        </w:tc>
        <w:tc>
          <w:tcPr>
            <w:tcW w:w="1200" w:type="dxa"/>
            <w:vMerge w:val="continue"/>
            <w:tcBorders>
              <w:left w:val="single" w:color="auto" w:sz="4" w:space="0"/>
            </w:tcBorders>
            <w:shd w:val="clear" w:color="auto" w:fill="FFFFFF"/>
            <w:vAlign w:val="center"/>
          </w:tcPr>
          <w:p w14:paraId="61FCE148">
            <w:pPr>
              <w:spacing w:line="280" w:lineRule="exact"/>
              <w:jc w:val="center"/>
              <w:rPr>
                <w:rFonts w:ascii="仿宋" w:hAnsi="仿宋" w:eastAsia="仿宋"/>
              </w:rPr>
            </w:pPr>
          </w:p>
        </w:tc>
        <w:tc>
          <w:tcPr>
            <w:tcW w:w="866" w:type="dxa"/>
            <w:tcBorders>
              <w:top w:val="single" w:color="auto" w:sz="4" w:space="0"/>
              <w:left w:val="single" w:color="auto" w:sz="4" w:space="0"/>
            </w:tcBorders>
            <w:shd w:val="clear" w:color="auto" w:fill="FFFFFF"/>
            <w:vAlign w:val="center"/>
          </w:tcPr>
          <w:p w14:paraId="4CD48CA4">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生态效</w:t>
            </w:r>
          </w:p>
          <w:p w14:paraId="1D6C5F67">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益指标</w:t>
            </w:r>
          </w:p>
        </w:tc>
        <w:tc>
          <w:tcPr>
            <w:tcW w:w="1559" w:type="dxa"/>
            <w:gridSpan w:val="3"/>
            <w:tcBorders>
              <w:top w:val="single" w:color="auto" w:sz="4" w:space="0"/>
              <w:left w:val="single" w:color="auto" w:sz="4" w:space="0"/>
            </w:tcBorders>
            <w:shd w:val="clear" w:color="auto" w:fill="FFFFFF"/>
            <w:vAlign w:val="center"/>
          </w:tcPr>
          <w:p w14:paraId="64299FCF">
            <w:pPr>
              <w:spacing w:line="280" w:lineRule="exact"/>
              <w:jc w:val="center"/>
              <w:rPr>
                <w:rStyle w:val="24"/>
                <w:rFonts w:ascii="仿宋" w:hAnsi="仿宋" w:eastAsia="仿宋"/>
              </w:rPr>
            </w:pPr>
            <w:r>
              <w:rPr>
                <w:rStyle w:val="24"/>
                <w:rFonts w:ascii="仿宋" w:hAnsi="仿宋" w:eastAsia="仿宋"/>
              </w:rPr>
              <w:t>推广绿色教育理念，促进全社会形成绿色发展的生活方式和价值取向。</w:t>
            </w:r>
          </w:p>
        </w:tc>
        <w:tc>
          <w:tcPr>
            <w:tcW w:w="935" w:type="dxa"/>
            <w:tcBorders>
              <w:top w:val="single" w:color="auto" w:sz="4" w:space="0"/>
              <w:left w:val="single" w:color="auto" w:sz="4" w:space="0"/>
            </w:tcBorders>
            <w:shd w:val="clear" w:color="auto" w:fill="FFFFFF"/>
            <w:vAlign w:val="center"/>
          </w:tcPr>
          <w:p w14:paraId="2232B011">
            <w:pPr>
              <w:spacing w:line="280" w:lineRule="exact"/>
              <w:jc w:val="center"/>
              <w:rPr>
                <w:rStyle w:val="24"/>
                <w:rFonts w:ascii="仿宋" w:hAnsi="仿宋" w:eastAsia="仿宋"/>
              </w:rPr>
            </w:pPr>
            <w:r>
              <w:rPr>
                <w:rStyle w:val="24"/>
                <w:rFonts w:hint="eastAsia" w:ascii="仿宋" w:hAnsi="仿宋" w:eastAsia="仿宋"/>
              </w:rPr>
              <w:t>效果明显</w:t>
            </w:r>
          </w:p>
        </w:tc>
        <w:tc>
          <w:tcPr>
            <w:tcW w:w="1142" w:type="dxa"/>
            <w:tcBorders>
              <w:top w:val="single" w:color="auto" w:sz="4" w:space="0"/>
              <w:left w:val="single" w:color="auto" w:sz="4" w:space="0"/>
            </w:tcBorders>
            <w:shd w:val="clear" w:color="auto" w:fill="FFFFFF"/>
            <w:vAlign w:val="center"/>
          </w:tcPr>
          <w:p w14:paraId="7631C8E9">
            <w:pPr>
              <w:spacing w:line="280" w:lineRule="exact"/>
              <w:jc w:val="center"/>
              <w:rPr>
                <w:rStyle w:val="24"/>
                <w:rFonts w:ascii="仿宋" w:hAnsi="仿宋" w:eastAsia="仿宋"/>
              </w:rPr>
            </w:pPr>
            <w:r>
              <w:rPr>
                <w:rStyle w:val="24"/>
                <w:rFonts w:hint="eastAsia" w:ascii="仿宋" w:hAnsi="仿宋" w:eastAsia="仿宋"/>
              </w:rPr>
              <w:t>效果明显</w:t>
            </w:r>
          </w:p>
        </w:tc>
        <w:tc>
          <w:tcPr>
            <w:tcW w:w="691" w:type="dxa"/>
            <w:tcBorders>
              <w:top w:val="single" w:color="auto" w:sz="4" w:space="0"/>
              <w:left w:val="single" w:color="auto" w:sz="4" w:space="0"/>
            </w:tcBorders>
            <w:shd w:val="clear" w:color="auto" w:fill="FFFFFF"/>
            <w:vAlign w:val="center"/>
          </w:tcPr>
          <w:p w14:paraId="0C2CD7EA">
            <w:pPr>
              <w:spacing w:line="280" w:lineRule="exact"/>
              <w:jc w:val="center"/>
              <w:rPr>
                <w:rStyle w:val="24"/>
                <w:rFonts w:ascii="仿宋" w:hAnsi="仿宋" w:eastAsia="仿宋"/>
              </w:rPr>
            </w:pPr>
            <w:r>
              <w:rPr>
                <w:rStyle w:val="24"/>
                <w:rFonts w:hint="eastAsia" w:ascii="仿宋" w:hAnsi="仿宋" w:eastAsia="仿宋"/>
              </w:rPr>
              <w:t>7</w:t>
            </w:r>
          </w:p>
        </w:tc>
        <w:tc>
          <w:tcPr>
            <w:tcW w:w="456" w:type="dxa"/>
            <w:tcBorders>
              <w:top w:val="single" w:color="auto" w:sz="4" w:space="0"/>
              <w:left w:val="single" w:color="auto" w:sz="4" w:space="0"/>
            </w:tcBorders>
            <w:shd w:val="clear" w:color="auto" w:fill="FFFFFF"/>
            <w:vAlign w:val="center"/>
          </w:tcPr>
          <w:p w14:paraId="3B396E62">
            <w:pPr>
              <w:spacing w:line="280" w:lineRule="exact"/>
              <w:jc w:val="center"/>
              <w:rPr>
                <w:rStyle w:val="24"/>
                <w:rFonts w:ascii="仿宋" w:hAnsi="仿宋" w:eastAsia="仿宋"/>
              </w:rPr>
            </w:pPr>
            <w:r>
              <w:rPr>
                <w:rStyle w:val="24"/>
                <w:rFonts w:hint="eastAsia" w:ascii="仿宋" w:hAnsi="仿宋" w:eastAsia="仿宋"/>
              </w:rPr>
              <w:t>7</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3D7BF150">
            <w:pPr>
              <w:spacing w:line="280" w:lineRule="exact"/>
              <w:jc w:val="center"/>
              <w:rPr>
                <w:rStyle w:val="24"/>
                <w:rFonts w:ascii="仿宋" w:hAnsi="仿宋" w:eastAsia="仿宋"/>
              </w:rPr>
            </w:pPr>
          </w:p>
        </w:tc>
      </w:tr>
      <w:tr w14:paraId="6B852EF3">
        <w:tblPrEx>
          <w:tblCellMar>
            <w:top w:w="0" w:type="dxa"/>
            <w:left w:w="10" w:type="dxa"/>
            <w:bottom w:w="0" w:type="dxa"/>
            <w:right w:w="10" w:type="dxa"/>
          </w:tblCellMar>
        </w:tblPrEx>
        <w:trPr>
          <w:trHeight w:val="1692" w:hRule="exact"/>
        </w:trPr>
        <w:tc>
          <w:tcPr>
            <w:tcW w:w="1205" w:type="dxa"/>
            <w:vMerge w:val="continue"/>
            <w:tcBorders>
              <w:left w:val="single" w:color="auto" w:sz="4" w:space="0"/>
            </w:tcBorders>
            <w:shd w:val="clear" w:color="auto" w:fill="FFFFFF"/>
            <w:vAlign w:val="center"/>
          </w:tcPr>
          <w:p w14:paraId="22E5E773">
            <w:pPr>
              <w:spacing w:line="280" w:lineRule="exact"/>
              <w:rPr>
                <w:rFonts w:ascii="仿宋" w:hAnsi="仿宋" w:eastAsia="仿宋"/>
              </w:rPr>
            </w:pPr>
          </w:p>
        </w:tc>
        <w:tc>
          <w:tcPr>
            <w:tcW w:w="1200" w:type="dxa"/>
            <w:vMerge w:val="continue"/>
            <w:tcBorders>
              <w:left w:val="single" w:color="auto" w:sz="4" w:space="0"/>
            </w:tcBorders>
            <w:shd w:val="clear" w:color="auto" w:fill="FFFFFF"/>
            <w:vAlign w:val="center"/>
          </w:tcPr>
          <w:p w14:paraId="12100BC9">
            <w:pPr>
              <w:spacing w:line="280" w:lineRule="exact"/>
              <w:jc w:val="center"/>
              <w:rPr>
                <w:rFonts w:ascii="仿宋" w:hAnsi="仿宋" w:eastAsia="仿宋"/>
              </w:rPr>
            </w:pPr>
          </w:p>
        </w:tc>
        <w:tc>
          <w:tcPr>
            <w:tcW w:w="866" w:type="dxa"/>
            <w:tcBorders>
              <w:top w:val="single" w:color="auto" w:sz="4" w:space="0"/>
              <w:left w:val="single" w:color="auto" w:sz="4" w:space="0"/>
            </w:tcBorders>
            <w:shd w:val="clear" w:color="auto" w:fill="FFFFFF"/>
            <w:vAlign w:val="center"/>
          </w:tcPr>
          <w:p w14:paraId="714047D8">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可持续影 响指标</w:t>
            </w:r>
          </w:p>
        </w:tc>
        <w:tc>
          <w:tcPr>
            <w:tcW w:w="1559" w:type="dxa"/>
            <w:gridSpan w:val="3"/>
            <w:tcBorders>
              <w:top w:val="single" w:color="auto" w:sz="4" w:space="0"/>
              <w:left w:val="single" w:color="auto" w:sz="4" w:space="0"/>
            </w:tcBorders>
            <w:shd w:val="clear" w:color="auto" w:fill="FFFFFF"/>
            <w:vAlign w:val="center"/>
          </w:tcPr>
          <w:p w14:paraId="0EDE7C59">
            <w:pPr>
              <w:spacing w:line="280" w:lineRule="exact"/>
              <w:jc w:val="center"/>
              <w:rPr>
                <w:rStyle w:val="24"/>
                <w:rFonts w:ascii="仿宋" w:hAnsi="仿宋" w:eastAsia="仿宋"/>
              </w:rPr>
            </w:pPr>
            <w:r>
              <w:rPr>
                <w:rStyle w:val="24"/>
                <w:rFonts w:ascii="仿宋" w:hAnsi="仿宋" w:eastAsia="仿宋"/>
              </w:rPr>
              <w:t>不断优化教育资源配置、提高教育质量，为</w:t>
            </w:r>
            <w:r>
              <w:rPr>
                <w:rStyle w:val="24"/>
                <w:rFonts w:hint="eastAsia" w:ascii="仿宋" w:hAnsi="仿宋" w:eastAsia="仿宋"/>
              </w:rPr>
              <w:t>我市</w:t>
            </w:r>
            <w:r>
              <w:rPr>
                <w:rStyle w:val="24"/>
                <w:rFonts w:ascii="仿宋" w:hAnsi="仿宋" w:eastAsia="仿宋"/>
              </w:rPr>
              <w:t>教育事业的可持续发展注入了新的动力和活力。</w:t>
            </w:r>
          </w:p>
        </w:tc>
        <w:tc>
          <w:tcPr>
            <w:tcW w:w="935" w:type="dxa"/>
            <w:tcBorders>
              <w:top w:val="single" w:color="auto" w:sz="4" w:space="0"/>
              <w:left w:val="single" w:color="auto" w:sz="4" w:space="0"/>
            </w:tcBorders>
            <w:shd w:val="clear" w:color="auto" w:fill="FFFFFF"/>
            <w:vAlign w:val="center"/>
          </w:tcPr>
          <w:p w14:paraId="64C041AF">
            <w:pPr>
              <w:spacing w:line="280" w:lineRule="exact"/>
              <w:jc w:val="center"/>
              <w:rPr>
                <w:rStyle w:val="24"/>
                <w:rFonts w:ascii="仿宋" w:hAnsi="仿宋" w:eastAsia="仿宋"/>
              </w:rPr>
            </w:pPr>
            <w:r>
              <w:rPr>
                <w:rStyle w:val="24"/>
                <w:rFonts w:hint="eastAsia" w:ascii="仿宋" w:hAnsi="仿宋" w:eastAsia="仿宋"/>
              </w:rPr>
              <w:t>效果明显</w:t>
            </w:r>
          </w:p>
        </w:tc>
        <w:tc>
          <w:tcPr>
            <w:tcW w:w="1142" w:type="dxa"/>
            <w:tcBorders>
              <w:top w:val="single" w:color="auto" w:sz="4" w:space="0"/>
              <w:left w:val="single" w:color="auto" w:sz="4" w:space="0"/>
            </w:tcBorders>
            <w:shd w:val="clear" w:color="auto" w:fill="FFFFFF"/>
            <w:vAlign w:val="center"/>
          </w:tcPr>
          <w:p w14:paraId="0607CF34">
            <w:pPr>
              <w:spacing w:line="280" w:lineRule="exact"/>
              <w:jc w:val="center"/>
              <w:rPr>
                <w:rStyle w:val="24"/>
                <w:rFonts w:ascii="仿宋" w:hAnsi="仿宋" w:eastAsia="仿宋"/>
              </w:rPr>
            </w:pPr>
            <w:r>
              <w:rPr>
                <w:rStyle w:val="24"/>
                <w:rFonts w:hint="eastAsia" w:ascii="仿宋" w:hAnsi="仿宋" w:eastAsia="仿宋"/>
              </w:rPr>
              <w:t>效果明显</w:t>
            </w:r>
          </w:p>
        </w:tc>
        <w:tc>
          <w:tcPr>
            <w:tcW w:w="691" w:type="dxa"/>
            <w:tcBorders>
              <w:top w:val="single" w:color="auto" w:sz="4" w:space="0"/>
              <w:left w:val="single" w:color="auto" w:sz="4" w:space="0"/>
            </w:tcBorders>
            <w:shd w:val="clear" w:color="auto" w:fill="FFFFFF"/>
            <w:vAlign w:val="center"/>
          </w:tcPr>
          <w:p w14:paraId="1B60EC5C">
            <w:pPr>
              <w:spacing w:line="280" w:lineRule="exact"/>
              <w:jc w:val="center"/>
              <w:rPr>
                <w:rStyle w:val="24"/>
                <w:rFonts w:ascii="仿宋" w:hAnsi="仿宋" w:eastAsia="仿宋"/>
              </w:rPr>
            </w:pPr>
            <w:r>
              <w:rPr>
                <w:rStyle w:val="24"/>
                <w:rFonts w:hint="eastAsia" w:ascii="仿宋" w:hAnsi="仿宋" w:eastAsia="仿宋"/>
              </w:rPr>
              <w:t>8</w:t>
            </w:r>
          </w:p>
        </w:tc>
        <w:tc>
          <w:tcPr>
            <w:tcW w:w="456" w:type="dxa"/>
            <w:tcBorders>
              <w:top w:val="single" w:color="auto" w:sz="4" w:space="0"/>
              <w:left w:val="single" w:color="auto" w:sz="4" w:space="0"/>
            </w:tcBorders>
            <w:shd w:val="clear" w:color="auto" w:fill="FFFFFF"/>
            <w:vAlign w:val="center"/>
          </w:tcPr>
          <w:p w14:paraId="22C29267">
            <w:pPr>
              <w:spacing w:line="280" w:lineRule="exact"/>
              <w:jc w:val="center"/>
              <w:rPr>
                <w:rStyle w:val="24"/>
                <w:rFonts w:ascii="仿宋" w:hAnsi="仿宋" w:eastAsia="仿宋"/>
              </w:rPr>
            </w:pPr>
            <w:r>
              <w:rPr>
                <w:rStyle w:val="24"/>
                <w:rFonts w:hint="eastAsia" w:ascii="仿宋" w:hAnsi="仿宋" w:eastAsia="仿宋"/>
              </w:rPr>
              <w:t>8</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4DD059C0">
            <w:pPr>
              <w:spacing w:line="280" w:lineRule="exact"/>
              <w:jc w:val="center"/>
              <w:rPr>
                <w:rStyle w:val="24"/>
                <w:rFonts w:ascii="仿宋" w:hAnsi="仿宋" w:eastAsia="仿宋"/>
              </w:rPr>
            </w:pPr>
          </w:p>
        </w:tc>
      </w:tr>
      <w:tr w14:paraId="6289DC3A">
        <w:tblPrEx>
          <w:tblCellMar>
            <w:top w:w="0" w:type="dxa"/>
            <w:left w:w="10" w:type="dxa"/>
            <w:bottom w:w="0" w:type="dxa"/>
            <w:right w:w="10" w:type="dxa"/>
          </w:tblCellMar>
        </w:tblPrEx>
        <w:trPr>
          <w:trHeight w:val="1121" w:hRule="exact"/>
        </w:trPr>
        <w:tc>
          <w:tcPr>
            <w:tcW w:w="1205" w:type="dxa"/>
            <w:vMerge w:val="continue"/>
            <w:tcBorders>
              <w:left w:val="single" w:color="auto" w:sz="4" w:space="0"/>
            </w:tcBorders>
            <w:shd w:val="clear" w:color="auto" w:fill="FFFFFF"/>
            <w:vAlign w:val="center"/>
          </w:tcPr>
          <w:p w14:paraId="7140FC92">
            <w:pPr>
              <w:spacing w:line="280" w:lineRule="exact"/>
              <w:rPr>
                <w:rFonts w:ascii="仿宋" w:hAnsi="仿宋" w:eastAsia="仿宋"/>
              </w:rPr>
            </w:pPr>
          </w:p>
        </w:tc>
        <w:tc>
          <w:tcPr>
            <w:tcW w:w="1200" w:type="dxa"/>
            <w:tcBorders>
              <w:top w:val="single" w:color="auto" w:sz="4" w:space="0"/>
              <w:left w:val="single" w:color="auto" w:sz="4" w:space="0"/>
            </w:tcBorders>
            <w:shd w:val="clear" w:color="auto" w:fill="FFFFFF"/>
            <w:vAlign w:val="center"/>
          </w:tcPr>
          <w:p w14:paraId="5B3C2D44">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满意度</w:t>
            </w:r>
          </w:p>
          <w:p w14:paraId="5F44886A">
            <w:pPr>
              <w:pStyle w:val="23"/>
              <w:shd w:val="clear" w:color="auto" w:fill="auto"/>
              <w:spacing w:before="0" w:after="0" w:line="280" w:lineRule="exact"/>
              <w:ind w:firstLine="0"/>
              <w:jc w:val="center"/>
              <w:rPr>
                <w:rStyle w:val="24"/>
                <w:rFonts w:ascii="仿宋" w:hAnsi="仿宋" w:eastAsia="仿宋"/>
              </w:rPr>
            </w:pPr>
            <w:r>
              <w:rPr>
                <w:rStyle w:val="24"/>
                <w:rFonts w:ascii="仿宋" w:hAnsi="仿宋" w:eastAsia="仿宋"/>
              </w:rPr>
              <w:t>指标</w:t>
            </w:r>
          </w:p>
          <w:p w14:paraId="7A8908DE">
            <w:pPr>
              <w:pStyle w:val="23"/>
              <w:shd w:val="clear" w:color="auto" w:fill="auto"/>
              <w:spacing w:before="0" w:after="0" w:line="280" w:lineRule="exact"/>
              <w:ind w:firstLine="0"/>
              <w:jc w:val="center"/>
              <w:rPr>
                <w:rFonts w:ascii="仿宋" w:hAnsi="仿宋" w:eastAsia="仿宋"/>
              </w:rPr>
            </w:pPr>
            <w:r>
              <w:rPr>
                <w:rStyle w:val="24"/>
                <w:rFonts w:ascii="仿宋" w:hAnsi="仿宋" w:eastAsia="仿宋"/>
                <w:lang w:eastAsia="en-US" w:bidi="en-US"/>
              </w:rPr>
              <w:t>（</w:t>
            </w:r>
            <w:r>
              <w:rPr>
                <w:rStyle w:val="24"/>
                <w:rFonts w:ascii="仿宋" w:hAnsi="仿宋" w:eastAsia="仿宋"/>
              </w:rPr>
              <w:t>10 分）</w:t>
            </w:r>
          </w:p>
        </w:tc>
        <w:tc>
          <w:tcPr>
            <w:tcW w:w="866" w:type="dxa"/>
            <w:tcBorders>
              <w:top w:val="single" w:color="auto" w:sz="4" w:space="0"/>
              <w:left w:val="single" w:color="auto" w:sz="4" w:space="0"/>
            </w:tcBorders>
            <w:shd w:val="clear" w:color="auto" w:fill="FFFFFF"/>
            <w:vAlign w:val="center"/>
          </w:tcPr>
          <w:p w14:paraId="2CDE0877">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服务对象 满意度指 标</w:t>
            </w:r>
          </w:p>
        </w:tc>
        <w:tc>
          <w:tcPr>
            <w:tcW w:w="1559" w:type="dxa"/>
            <w:gridSpan w:val="3"/>
            <w:tcBorders>
              <w:top w:val="single" w:color="auto" w:sz="4" w:space="0"/>
              <w:left w:val="single" w:color="auto" w:sz="4" w:space="0"/>
            </w:tcBorders>
            <w:shd w:val="clear" w:color="auto" w:fill="FFFFFF"/>
            <w:vAlign w:val="center"/>
          </w:tcPr>
          <w:p w14:paraId="0F482B2B">
            <w:pPr>
              <w:spacing w:line="280" w:lineRule="exact"/>
              <w:jc w:val="center"/>
              <w:rPr>
                <w:rStyle w:val="24"/>
                <w:rFonts w:ascii="仿宋" w:hAnsi="仿宋" w:eastAsia="仿宋"/>
              </w:rPr>
            </w:pPr>
            <w:r>
              <w:rPr>
                <w:rStyle w:val="24"/>
                <w:rFonts w:hint="eastAsia" w:ascii="仿宋" w:hAnsi="仿宋" w:eastAsia="仿宋"/>
              </w:rPr>
              <w:t>服务人员满意度</w:t>
            </w:r>
          </w:p>
        </w:tc>
        <w:tc>
          <w:tcPr>
            <w:tcW w:w="935" w:type="dxa"/>
            <w:tcBorders>
              <w:top w:val="single" w:color="auto" w:sz="4" w:space="0"/>
              <w:left w:val="single" w:color="auto" w:sz="4" w:space="0"/>
            </w:tcBorders>
            <w:shd w:val="clear" w:color="auto" w:fill="FFFFFF"/>
            <w:vAlign w:val="center"/>
          </w:tcPr>
          <w:p w14:paraId="0FAB9CEC">
            <w:pPr>
              <w:spacing w:line="280" w:lineRule="exact"/>
              <w:jc w:val="center"/>
              <w:rPr>
                <w:rStyle w:val="24"/>
                <w:rFonts w:ascii="仿宋" w:hAnsi="仿宋" w:eastAsia="仿宋"/>
              </w:rPr>
            </w:pPr>
            <w:r>
              <w:rPr>
                <w:rStyle w:val="24"/>
                <w:rFonts w:hint="eastAsia" w:ascii="仿宋" w:hAnsi="仿宋" w:eastAsia="仿宋"/>
              </w:rPr>
              <w:t>≥90%</w:t>
            </w:r>
          </w:p>
        </w:tc>
        <w:tc>
          <w:tcPr>
            <w:tcW w:w="1142" w:type="dxa"/>
            <w:tcBorders>
              <w:top w:val="single" w:color="auto" w:sz="4" w:space="0"/>
              <w:left w:val="single" w:color="auto" w:sz="4" w:space="0"/>
            </w:tcBorders>
            <w:shd w:val="clear" w:color="auto" w:fill="FFFFFF"/>
            <w:vAlign w:val="center"/>
          </w:tcPr>
          <w:p w14:paraId="6E2F75E2">
            <w:pPr>
              <w:spacing w:line="280" w:lineRule="exact"/>
              <w:jc w:val="center"/>
              <w:rPr>
                <w:rStyle w:val="24"/>
                <w:rFonts w:ascii="仿宋" w:hAnsi="仿宋" w:eastAsia="仿宋"/>
              </w:rPr>
            </w:pPr>
            <w:r>
              <w:rPr>
                <w:rStyle w:val="24"/>
                <w:rFonts w:hint="eastAsia" w:ascii="仿宋" w:hAnsi="仿宋" w:eastAsia="仿宋"/>
              </w:rPr>
              <w:t>92.31%</w:t>
            </w:r>
          </w:p>
        </w:tc>
        <w:tc>
          <w:tcPr>
            <w:tcW w:w="691" w:type="dxa"/>
            <w:tcBorders>
              <w:top w:val="single" w:color="auto" w:sz="4" w:space="0"/>
              <w:left w:val="single" w:color="auto" w:sz="4" w:space="0"/>
            </w:tcBorders>
            <w:shd w:val="clear" w:color="auto" w:fill="FFFFFF"/>
            <w:vAlign w:val="center"/>
          </w:tcPr>
          <w:p w14:paraId="6ABF7FC6">
            <w:pPr>
              <w:spacing w:line="280" w:lineRule="exact"/>
              <w:jc w:val="center"/>
              <w:rPr>
                <w:rStyle w:val="24"/>
                <w:rFonts w:ascii="仿宋" w:hAnsi="仿宋" w:eastAsia="仿宋"/>
              </w:rPr>
            </w:pPr>
            <w:r>
              <w:rPr>
                <w:rStyle w:val="24"/>
                <w:rFonts w:hint="eastAsia" w:ascii="仿宋" w:hAnsi="仿宋" w:eastAsia="仿宋"/>
              </w:rPr>
              <w:t>10</w:t>
            </w:r>
          </w:p>
        </w:tc>
        <w:tc>
          <w:tcPr>
            <w:tcW w:w="456" w:type="dxa"/>
            <w:tcBorders>
              <w:top w:val="single" w:color="auto" w:sz="4" w:space="0"/>
              <w:left w:val="single" w:color="auto" w:sz="4" w:space="0"/>
            </w:tcBorders>
            <w:shd w:val="clear" w:color="auto" w:fill="FFFFFF"/>
            <w:vAlign w:val="center"/>
          </w:tcPr>
          <w:p w14:paraId="0E823286">
            <w:pPr>
              <w:spacing w:line="280" w:lineRule="exact"/>
              <w:jc w:val="center"/>
              <w:rPr>
                <w:rStyle w:val="24"/>
                <w:rFonts w:ascii="仿宋" w:hAnsi="仿宋" w:eastAsia="仿宋"/>
              </w:rPr>
            </w:pPr>
            <w:r>
              <w:rPr>
                <w:rStyle w:val="24"/>
                <w:rFonts w:hint="eastAsia" w:ascii="仿宋" w:hAnsi="仿宋" w:eastAsia="仿宋"/>
              </w:rPr>
              <w:t>10</w:t>
            </w:r>
          </w:p>
        </w:tc>
        <w:tc>
          <w:tcPr>
            <w:tcW w:w="1238" w:type="dxa"/>
            <w:gridSpan w:val="2"/>
            <w:tcBorders>
              <w:top w:val="single" w:color="auto" w:sz="4" w:space="0"/>
              <w:left w:val="single" w:color="auto" w:sz="4" w:space="0"/>
              <w:right w:val="single" w:color="auto" w:sz="4" w:space="0"/>
            </w:tcBorders>
            <w:shd w:val="clear" w:color="auto" w:fill="FFFFFF"/>
            <w:vAlign w:val="center"/>
          </w:tcPr>
          <w:p w14:paraId="17AA6855">
            <w:pPr>
              <w:spacing w:line="280" w:lineRule="exact"/>
              <w:jc w:val="center"/>
              <w:rPr>
                <w:rStyle w:val="24"/>
                <w:rFonts w:ascii="仿宋" w:hAnsi="仿宋" w:eastAsia="仿宋"/>
              </w:rPr>
            </w:pPr>
          </w:p>
        </w:tc>
      </w:tr>
      <w:tr w14:paraId="796A7683">
        <w:tblPrEx>
          <w:tblCellMar>
            <w:top w:w="0" w:type="dxa"/>
            <w:left w:w="10" w:type="dxa"/>
            <w:bottom w:w="0" w:type="dxa"/>
            <w:right w:w="10" w:type="dxa"/>
          </w:tblCellMar>
        </w:tblPrEx>
        <w:trPr>
          <w:trHeight w:val="370" w:hRule="exact"/>
        </w:trPr>
        <w:tc>
          <w:tcPr>
            <w:tcW w:w="6907" w:type="dxa"/>
            <w:gridSpan w:val="8"/>
            <w:tcBorders>
              <w:top w:val="single" w:color="auto" w:sz="4" w:space="0"/>
              <w:left w:val="single" w:color="auto" w:sz="4" w:space="0"/>
              <w:bottom w:val="single" w:color="auto" w:sz="4" w:space="0"/>
            </w:tcBorders>
            <w:shd w:val="clear" w:color="auto" w:fill="FFFFFF"/>
            <w:vAlign w:val="center"/>
          </w:tcPr>
          <w:p w14:paraId="10710A0A">
            <w:pPr>
              <w:pStyle w:val="23"/>
              <w:shd w:val="clear" w:color="auto" w:fill="auto"/>
              <w:spacing w:before="0" w:after="0" w:line="280" w:lineRule="exact"/>
              <w:ind w:firstLine="0"/>
              <w:jc w:val="center"/>
              <w:rPr>
                <w:rFonts w:ascii="仿宋" w:hAnsi="仿宋" w:eastAsia="仿宋"/>
              </w:rPr>
            </w:pPr>
            <w:r>
              <w:rPr>
                <w:rStyle w:val="24"/>
                <w:rFonts w:ascii="仿宋" w:hAnsi="仿宋" w:eastAsia="仿宋"/>
              </w:rPr>
              <w:t>总分</w:t>
            </w:r>
          </w:p>
        </w:tc>
        <w:tc>
          <w:tcPr>
            <w:tcW w:w="691" w:type="dxa"/>
            <w:tcBorders>
              <w:top w:val="single" w:color="auto" w:sz="4" w:space="0"/>
              <w:left w:val="single" w:color="auto" w:sz="4" w:space="0"/>
              <w:bottom w:val="single" w:color="auto" w:sz="4" w:space="0"/>
            </w:tcBorders>
            <w:shd w:val="clear" w:color="auto" w:fill="FFFFFF"/>
            <w:vAlign w:val="center"/>
          </w:tcPr>
          <w:p w14:paraId="33EA52C2">
            <w:pPr>
              <w:pStyle w:val="23"/>
              <w:shd w:val="clear" w:color="auto" w:fill="auto"/>
              <w:spacing w:before="0" w:after="0" w:line="280" w:lineRule="exact"/>
              <w:ind w:left="240" w:firstLine="0"/>
              <w:jc w:val="center"/>
              <w:rPr>
                <w:rFonts w:ascii="仿宋" w:hAnsi="仿宋" w:eastAsia="仿宋"/>
              </w:rPr>
            </w:pPr>
            <w:r>
              <w:rPr>
                <w:rStyle w:val="24"/>
                <w:rFonts w:ascii="仿宋" w:hAnsi="仿宋" w:eastAsia="仿宋"/>
              </w:rPr>
              <w:t>100</w:t>
            </w:r>
          </w:p>
        </w:tc>
        <w:tc>
          <w:tcPr>
            <w:tcW w:w="456" w:type="dxa"/>
            <w:tcBorders>
              <w:top w:val="single" w:color="auto" w:sz="4" w:space="0"/>
              <w:left w:val="single" w:color="auto" w:sz="4" w:space="0"/>
              <w:bottom w:val="single" w:color="auto" w:sz="4" w:space="0"/>
            </w:tcBorders>
            <w:shd w:val="clear" w:color="auto" w:fill="FFFFFF"/>
            <w:vAlign w:val="center"/>
          </w:tcPr>
          <w:p w14:paraId="1B584E71">
            <w:pPr>
              <w:spacing w:line="280" w:lineRule="exact"/>
              <w:jc w:val="center"/>
              <w:rPr>
                <w:rStyle w:val="24"/>
                <w:rFonts w:ascii="仿宋" w:hAnsi="仿宋" w:eastAsia="仿宋"/>
              </w:rPr>
            </w:pPr>
            <w:r>
              <w:rPr>
                <w:rStyle w:val="24"/>
                <w:rFonts w:hint="eastAsia" w:ascii="仿宋" w:hAnsi="仿宋" w:eastAsia="仿宋"/>
              </w:rPr>
              <w:t>98.5</w:t>
            </w:r>
          </w:p>
        </w:tc>
        <w:tc>
          <w:tcPr>
            <w:tcW w:w="123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EBCCD66">
            <w:pPr>
              <w:spacing w:line="280" w:lineRule="exact"/>
              <w:jc w:val="center"/>
              <w:rPr>
                <w:rStyle w:val="24"/>
                <w:rFonts w:ascii="仿宋" w:hAnsi="仿宋" w:eastAsia="仿宋"/>
              </w:rPr>
            </w:pPr>
          </w:p>
        </w:tc>
      </w:tr>
    </w:tbl>
    <w:p w14:paraId="034B2019">
      <w:pPr>
        <w:pStyle w:val="21"/>
        <w:shd w:val="clear" w:color="auto" w:fill="auto"/>
        <w:spacing w:line="280" w:lineRule="exact"/>
        <w:jc w:val="center"/>
        <w:rPr>
          <w:rStyle w:val="22"/>
          <w:rFonts w:ascii="仿宋" w:hAnsi="仿宋" w:eastAsia="仿宋"/>
          <w:w w:val="100"/>
        </w:rPr>
      </w:pPr>
    </w:p>
    <w:p w14:paraId="5D5E8B31">
      <w:pPr>
        <w:pStyle w:val="21"/>
        <w:shd w:val="clear" w:color="auto" w:fill="auto"/>
        <w:spacing w:line="280" w:lineRule="exact"/>
        <w:jc w:val="center"/>
        <w:rPr>
          <w:rFonts w:asciiTheme="minorEastAsia" w:hAnsiTheme="minorEastAsia" w:eastAsiaTheme="minorEastAsia"/>
        </w:rPr>
      </w:pPr>
      <w:r>
        <w:rPr>
          <w:rStyle w:val="22"/>
          <w:rFonts w:hint="eastAsia" w:ascii="仿宋" w:hAnsi="仿宋" w:eastAsia="仿宋"/>
          <w:w w:val="100"/>
        </w:rPr>
        <w:t>填表人：刘思思           填报日期：2024/6/30       联系电话：</w:t>
      </w:r>
      <w:r>
        <w:rPr>
          <w:rStyle w:val="22"/>
          <w:rFonts w:ascii="仿宋" w:hAnsi="仿宋" w:eastAsia="仿宋"/>
          <w:w w:val="100"/>
        </w:rPr>
        <w:t>2718270</w:t>
      </w:r>
    </w:p>
    <w:p w14:paraId="110FDB68">
      <w:pPr>
        <w:jc w:val="left"/>
        <w:rPr>
          <w:rFonts w:cs="黑体" w:asciiTheme="minorEastAsia" w:hAnsiTheme="minorEastAsia"/>
          <w:color w:val="000000"/>
          <w:kern w:val="0"/>
          <w:sz w:val="32"/>
          <w:szCs w:val="32"/>
        </w:rPr>
      </w:pPr>
      <w:bookmarkStart w:id="5" w:name="_GoBack"/>
      <w:bookmarkEnd w:id="5"/>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4C86B7-25A0-4297-82EC-EDF0650D552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embedRegular r:id="rId2" w:fontKey="{0C28920D-F8AC-4DC7-8BDF-BEF562216B77}"/>
  </w:font>
  <w:font w:name="方正小标宋_GBK">
    <w:altName w:val="微软雅黑"/>
    <w:panose1 w:val="03000509000000000000"/>
    <w:charset w:val="86"/>
    <w:family w:val="script"/>
    <w:pitch w:val="default"/>
    <w:sig w:usb0="00000000" w:usb1="00000000" w:usb2="00000000" w:usb3="00000000" w:csb0="00040000" w:csb1="00000000"/>
    <w:embedRegular r:id="rId3" w:fontKey="{001CE685-AA34-4859-954F-FC2B5A27CB51}"/>
  </w:font>
  <w:font w:name="仿宋_GB2312">
    <w:altName w:val="仿宋"/>
    <w:panose1 w:val="02010609030101010101"/>
    <w:charset w:val="86"/>
    <w:family w:val="modern"/>
    <w:pitch w:val="default"/>
    <w:sig w:usb0="00000000" w:usb1="00000000" w:usb2="00000000" w:usb3="00000000" w:csb0="00040000" w:csb1="00000000"/>
    <w:embedRegular r:id="rId4" w:fontKey="{20F97B05-CF89-4C23-B519-EA6CED39F81B}"/>
  </w:font>
  <w:font w:name="仿宋">
    <w:panose1 w:val="02010609060101010101"/>
    <w:charset w:val="86"/>
    <w:family w:val="auto"/>
    <w:pitch w:val="default"/>
    <w:sig w:usb0="800002BF" w:usb1="38CF7CFA" w:usb2="00000016" w:usb3="00000000" w:csb0="00040001" w:csb1="00000000"/>
    <w:embedRegular r:id="rId5" w:fontKey="{503BB39C-1F01-46FA-84E2-D9A74D68D156}"/>
  </w:font>
  <w:font w:name="华文中宋">
    <w:altName w:val="宋体"/>
    <w:panose1 w:val="02010600040101010101"/>
    <w:charset w:val="86"/>
    <w:family w:val="auto"/>
    <w:pitch w:val="default"/>
    <w:sig w:usb0="00000000" w:usb1="00000000" w:usb2="00000000" w:usb3="00000000" w:csb0="0004009F" w:csb1="DFD70000"/>
    <w:embedRegular r:id="rId6" w:fontKey="{DAD4E5C7-31B8-4609-8D81-53241CFFD80F}"/>
  </w:font>
  <w:font w:name="方正仿宋_GB2312">
    <w:panose1 w:val="02000000000000000000"/>
    <w:charset w:val="86"/>
    <w:family w:val="auto"/>
    <w:pitch w:val="default"/>
    <w:sig w:usb0="A00002BF" w:usb1="184F6CFA" w:usb2="00000012" w:usb3="00000000" w:csb0="00040001" w:csb1="00000000"/>
    <w:embedRegular r:id="rId7" w:fontKey="{2D76FEC8-2055-4DBA-A7F0-B5353CF9E8DA}"/>
  </w:font>
  <w:font w:name="Segoe UI">
    <w:panose1 w:val="020B0502040204020203"/>
    <w:charset w:val="00"/>
    <w:family w:val="swiss"/>
    <w:pitch w:val="default"/>
    <w:sig w:usb0="E10022FF" w:usb1="C000E47F" w:usb2="00000029" w:usb3="00000000" w:csb0="200001DF" w:csb1="20000000"/>
    <w:embedRegular r:id="rId8" w:fontKey="{31BA9066-F923-4891-82D1-0BD0E455C378}"/>
  </w:font>
  <w:font w:name="楷体_GB2312">
    <w:altName w:val="楷体"/>
    <w:panose1 w:val="00000000000000000000"/>
    <w:charset w:val="00"/>
    <w:family w:val="modern"/>
    <w:pitch w:val="default"/>
    <w:sig w:usb0="00000000" w:usb1="00000000" w:usb2="00000000" w:usb3="00000000" w:csb0="00040000" w:csb1="00000000"/>
    <w:embedRegular r:id="rId9" w:fontKey="{E6839F89-3405-4D50-A193-B7DFCEF84D48}"/>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NjQyYTI4MGM2NzJhMDhkYzIwOWE5MmQ2YTAwOD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F143AE"/>
    <w:rsid w:val="020974AF"/>
    <w:rsid w:val="02344C5D"/>
    <w:rsid w:val="02635771"/>
    <w:rsid w:val="044B0E5E"/>
    <w:rsid w:val="12604AFB"/>
    <w:rsid w:val="12A0030F"/>
    <w:rsid w:val="162E0AC3"/>
    <w:rsid w:val="19CC6629"/>
    <w:rsid w:val="1D3C4017"/>
    <w:rsid w:val="1D97DEFF"/>
    <w:rsid w:val="1DFF72E5"/>
    <w:rsid w:val="1EFC6F07"/>
    <w:rsid w:val="1F811DA6"/>
    <w:rsid w:val="22235254"/>
    <w:rsid w:val="22480259"/>
    <w:rsid w:val="22F41235"/>
    <w:rsid w:val="2341790C"/>
    <w:rsid w:val="242B2467"/>
    <w:rsid w:val="265F25D3"/>
    <w:rsid w:val="27432323"/>
    <w:rsid w:val="27DC13C7"/>
    <w:rsid w:val="288572E0"/>
    <w:rsid w:val="2D8C1F00"/>
    <w:rsid w:val="2DA72988"/>
    <w:rsid w:val="2FDF85B8"/>
    <w:rsid w:val="2FFFEE04"/>
    <w:rsid w:val="32470545"/>
    <w:rsid w:val="34DF85B0"/>
    <w:rsid w:val="35042256"/>
    <w:rsid w:val="35A4756F"/>
    <w:rsid w:val="37427AD3"/>
    <w:rsid w:val="3858699F"/>
    <w:rsid w:val="3B8F36BC"/>
    <w:rsid w:val="3F0742A9"/>
    <w:rsid w:val="3F7871B2"/>
    <w:rsid w:val="47223CD6"/>
    <w:rsid w:val="491FF225"/>
    <w:rsid w:val="49E14F29"/>
    <w:rsid w:val="4AD351BA"/>
    <w:rsid w:val="4B08596D"/>
    <w:rsid w:val="4D785BA5"/>
    <w:rsid w:val="4FFD214C"/>
    <w:rsid w:val="502A2D3A"/>
    <w:rsid w:val="527B67EA"/>
    <w:rsid w:val="546D5D37"/>
    <w:rsid w:val="55BC3D75"/>
    <w:rsid w:val="56626E34"/>
    <w:rsid w:val="5777D4F5"/>
    <w:rsid w:val="59DD8326"/>
    <w:rsid w:val="5C7A309A"/>
    <w:rsid w:val="5C8C7B40"/>
    <w:rsid w:val="5D265497"/>
    <w:rsid w:val="5DE74DAC"/>
    <w:rsid w:val="5DEF592A"/>
    <w:rsid w:val="5FC6BB1E"/>
    <w:rsid w:val="5FF720F1"/>
    <w:rsid w:val="62FC713F"/>
    <w:rsid w:val="63044C87"/>
    <w:rsid w:val="63D06D0B"/>
    <w:rsid w:val="63FF2724"/>
    <w:rsid w:val="641F5CF2"/>
    <w:rsid w:val="65C530C1"/>
    <w:rsid w:val="66706D80"/>
    <w:rsid w:val="67FF5C0B"/>
    <w:rsid w:val="69204750"/>
    <w:rsid w:val="69EE2EAE"/>
    <w:rsid w:val="6AA3015F"/>
    <w:rsid w:val="6BFF52CE"/>
    <w:rsid w:val="6D4A4A10"/>
    <w:rsid w:val="6E3616FC"/>
    <w:rsid w:val="6EFC0924"/>
    <w:rsid w:val="6F9838A8"/>
    <w:rsid w:val="6FB74722"/>
    <w:rsid w:val="6FEF8B7E"/>
    <w:rsid w:val="712C6A9D"/>
    <w:rsid w:val="71A6591B"/>
    <w:rsid w:val="737D59BA"/>
    <w:rsid w:val="74177616"/>
    <w:rsid w:val="76A827A7"/>
    <w:rsid w:val="777C610E"/>
    <w:rsid w:val="77C37683"/>
    <w:rsid w:val="780D4890"/>
    <w:rsid w:val="79FF515B"/>
    <w:rsid w:val="7B586385"/>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MSG_EN_FONT_STYLE_NAME_TEMPLATE_ROLE_LEVEL MSG_EN_FONT_STYLE_NAME_BY_ROLE_HEADING 2"/>
    <w:basedOn w:val="1"/>
    <w:qFormat/>
    <w:uiPriority w:val="0"/>
    <w:pPr>
      <w:shd w:val="clear" w:color="auto" w:fill="FFFFFF"/>
      <w:spacing w:line="360" w:lineRule="exact"/>
      <w:jc w:val="center"/>
      <w:outlineLvl w:val="1"/>
    </w:pPr>
    <w:rPr>
      <w:rFonts w:ascii="宋体" w:hAnsi="宋体" w:eastAsia="宋体" w:cs="宋体"/>
      <w:sz w:val="36"/>
      <w:szCs w:val="36"/>
    </w:rPr>
  </w:style>
  <w:style w:type="paragraph" w:customStyle="1" w:styleId="21">
    <w:name w:val="MSG_EN_FONT_STYLE_NAME_TEMPLATE_ROLE_NUMBER MSG_EN_FONT_STYLE_NAME_BY_ROLE_TEXT 7"/>
    <w:basedOn w:val="1"/>
    <w:qFormat/>
    <w:uiPriority w:val="0"/>
    <w:pPr>
      <w:shd w:val="clear" w:color="auto" w:fill="FFFFFF"/>
      <w:spacing w:line="220" w:lineRule="exact"/>
      <w:jc w:val="left"/>
    </w:pPr>
    <w:rPr>
      <w:rFonts w:ascii="宋体" w:hAnsi="宋体" w:eastAsia="宋体" w:cs="宋体"/>
      <w:sz w:val="22"/>
    </w:rPr>
  </w:style>
  <w:style w:type="character" w:customStyle="1" w:styleId="22">
    <w:name w:val="MSG_EN_FONT_STYLE_NAME_TEMPLATE_ROLE_NUMBER MSG_EN_FONT_STYLE_NAME_BY_ROLE_TEXT 7 Exact"/>
    <w:basedOn w:val="11"/>
    <w:qFormat/>
    <w:uiPriority w:val="0"/>
    <w:rPr>
      <w:rFonts w:ascii="宋体" w:hAnsi="宋体" w:eastAsia="宋体" w:cs="宋体"/>
      <w:sz w:val="22"/>
      <w:szCs w:val="22"/>
      <w:u w:val="none"/>
    </w:rPr>
  </w:style>
  <w:style w:type="paragraph" w:customStyle="1" w:styleId="23">
    <w:name w:val="MSG_EN_FONT_STYLE_NAME_TEMPLATE_ROLE_NUMBER MSG_EN_FONT_STYLE_NAME_BY_ROLE_TEXT 2"/>
    <w:basedOn w:val="1"/>
    <w:link w:val="25"/>
    <w:qFormat/>
    <w:uiPriority w:val="0"/>
    <w:pPr>
      <w:shd w:val="clear" w:color="auto" w:fill="FFFFFF"/>
      <w:spacing w:before="360" w:after="360" w:line="300" w:lineRule="exact"/>
      <w:ind w:hanging="960"/>
      <w:jc w:val="left"/>
    </w:pPr>
    <w:rPr>
      <w:rFonts w:ascii="宋体" w:hAnsi="宋体" w:eastAsia="宋体" w:cs="宋体"/>
      <w:sz w:val="30"/>
      <w:szCs w:val="30"/>
    </w:rPr>
  </w:style>
  <w:style w:type="character" w:customStyle="1" w:styleId="24">
    <w:name w:val="MSG_EN_FONT_STYLE_NAME_TEMPLATE_ROLE_NUMBER MSG_EN_FONT_STYLE_NAME_BY_ROLE_TEXT 2 + MSG_EN_FONT_STYLE_MODIFER_SIZE 9"/>
    <w:basedOn w:val="25"/>
    <w:qFormat/>
    <w:uiPriority w:val="0"/>
    <w:rPr>
      <w:color w:val="000000"/>
      <w:spacing w:val="10"/>
      <w:w w:val="100"/>
      <w:position w:val="0"/>
      <w:sz w:val="18"/>
      <w:szCs w:val="18"/>
      <w:lang w:val="zh-CN" w:eastAsia="zh-CN" w:bidi="zh-CN"/>
    </w:rPr>
  </w:style>
  <w:style w:type="character" w:customStyle="1" w:styleId="25">
    <w:name w:val="MSG_EN_FONT_STYLE_NAME_TEMPLATE_ROLE_NUMBER MSG_EN_FONT_STYLE_NAME_BY_ROLE_TEXT 2_"/>
    <w:basedOn w:val="11"/>
    <w:link w:val="23"/>
    <w:qFormat/>
    <w:uiPriority w:val="0"/>
    <w:rPr>
      <w:rFonts w:ascii="宋体" w:hAnsi="宋体" w:eastAsia="宋体" w:cs="宋体"/>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82</Pages>
  <Words>42369</Words>
  <Characters>47416</Characters>
  <Lines>63</Lines>
  <Paragraphs>18</Paragraphs>
  <TotalTime>21</TotalTime>
  <ScaleCrop>false</ScaleCrop>
  <LinksUpToDate>false</LinksUpToDate>
  <CharactersWithSpaces>48558</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LAN</cp:lastModifiedBy>
  <cp:lastPrinted>2024-08-08T10:20:00Z</cp:lastPrinted>
  <dcterms:modified xsi:type="dcterms:W3CDTF">2024-09-24T08:58:02Z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D81ECEFAEB4543A0811A1B7AD4705155_12</vt:lpwstr>
  </property>
</Properties>
</file>