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DA44F1">
      <w:pPr>
        <w:widowControl/>
        <w:jc w:val="left"/>
        <w:rPr>
          <w:rFonts w:hint="eastAsia" w:ascii="方正楷体简体" w:hAnsi="方正楷体简体" w:eastAsia="方正楷体简体" w:cs="方正楷体简体"/>
          <w:bCs/>
          <w:kern w:val="0"/>
          <w:sz w:val="32"/>
          <w:szCs w:val="32"/>
          <w:lang w:val="en-US" w:eastAsia="zh-CN"/>
        </w:rPr>
      </w:pPr>
      <w:r>
        <w:rPr>
          <w:rFonts w:hint="eastAsia" w:ascii="方正楷体简体" w:hAnsi="方正楷体简体" w:eastAsia="方正楷体简体" w:cs="方正楷体简体"/>
          <w:bCs/>
          <w:kern w:val="0"/>
          <w:sz w:val="32"/>
          <w:szCs w:val="32"/>
        </w:rPr>
        <w:t>附件</w:t>
      </w:r>
      <w:r>
        <w:rPr>
          <w:rFonts w:hint="eastAsia" w:ascii="方正楷体简体" w:hAnsi="方正楷体简体" w:eastAsia="方正楷体简体" w:cs="方正楷体简体"/>
          <w:bCs/>
          <w:kern w:val="0"/>
          <w:sz w:val="32"/>
          <w:szCs w:val="32"/>
          <w:lang w:val="en-US" w:eastAsia="zh-CN"/>
        </w:rPr>
        <w:t>1</w:t>
      </w:r>
    </w:p>
    <w:p w14:paraId="773535F1">
      <w:pPr>
        <w:widowControl/>
        <w:jc w:val="left"/>
        <w:rPr>
          <w:rFonts w:hint="eastAsia"/>
          <w:bCs/>
          <w:kern w:val="0"/>
          <w:sz w:val="32"/>
          <w:szCs w:val="32"/>
          <w:lang w:val="en-US" w:eastAsia="zh-CN"/>
        </w:rPr>
      </w:pPr>
    </w:p>
    <w:p w14:paraId="7C579693">
      <w:pPr>
        <w:widowControl/>
        <w:jc w:val="center"/>
        <w:rPr>
          <w:rFonts w:hint="eastAsia" w:ascii="方正小标宋简体" w:hAnsi="方正小标宋简体" w:eastAsia="方正小标宋简体" w:cs="方正小标宋简体"/>
          <w:b w:val="0"/>
          <w:bCs w:val="0"/>
          <w:kern w:val="0"/>
          <w:sz w:val="44"/>
          <w:szCs w:val="44"/>
        </w:rPr>
      </w:pPr>
      <w:r>
        <w:rPr>
          <w:rFonts w:hint="eastAsia" w:ascii="方正小标宋简体" w:hAnsi="方正小标宋简体" w:eastAsia="方正小标宋简体" w:cs="方正小标宋简体"/>
          <w:b w:val="0"/>
          <w:bCs w:val="0"/>
          <w:kern w:val="0"/>
          <w:sz w:val="44"/>
          <w:szCs w:val="44"/>
        </w:rPr>
        <w:t>2026年度怀化市教育局单位部门</w:t>
      </w:r>
    </w:p>
    <w:p w14:paraId="741759E7">
      <w:pPr>
        <w:widowControl/>
        <w:jc w:val="center"/>
        <w:rPr>
          <w:rFonts w:hint="eastAsia" w:ascii="方正小标宋简体" w:hAnsi="方正小标宋简体" w:eastAsia="方正小标宋简体" w:cs="方正小标宋简体"/>
          <w:b w:val="0"/>
          <w:bCs w:val="0"/>
          <w:kern w:val="0"/>
          <w:sz w:val="44"/>
          <w:szCs w:val="44"/>
        </w:rPr>
      </w:pPr>
      <w:r>
        <w:rPr>
          <w:rFonts w:hint="eastAsia" w:ascii="方正小标宋简体" w:hAnsi="方正小标宋简体" w:eastAsia="方正小标宋简体" w:cs="方正小标宋简体"/>
          <w:b w:val="0"/>
          <w:bCs w:val="0"/>
          <w:kern w:val="0"/>
          <w:sz w:val="44"/>
          <w:szCs w:val="44"/>
        </w:rPr>
        <w:t>预算公开说明</w:t>
      </w:r>
    </w:p>
    <w:p w14:paraId="5F742420">
      <w:pPr>
        <w:keepNext w:val="0"/>
        <w:keepLines w:val="0"/>
        <w:pageBreakBefore w:val="0"/>
        <w:widowControl/>
        <w:kinsoku/>
        <w:wordWrap/>
        <w:overflowPunct/>
        <w:topLinePunct w:val="0"/>
        <w:autoSpaceDE/>
        <w:autoSpaceDN/>
        <w:bidi w:val="0"/>
        <w:adjustRightInd/>
        <w:snapToGrid/>
        <w:spacing w:before="156" w:beforeLines="50" w:line="500" w:lineRule="exact"/>
        <w:ind w:left="0" w:leftChars="0" w:right="0" w:rightChars="0"/>
        <w:jc w:val="left"/>
        <w:textAlignment w:val="auto"/>
        <w:outlineLvl w:val="9"/>
        <w:rPr>
          <w:rFonts w:hint="eastAsia" w:eastAsia="楷体_GB2312"/>
          <w:b/>
          <w:bCs w:val="0"/>
          <w:kern w:val="0"/>
          <w:sz w:val="32"/>
          <w:szCs w:val="32"/>
          <w:lang w:val="en-US" w:eastAsia="zh-CN"/>
        </w:rPr>
      </w:pPr>
    </w:p>
    <w:p w14:paraId="79D9505D">
      <w:pPr>
        <w:keepNext w:val="0"/>
        <w:keepLines w:val="0"/>
        <w:pageBreakBefore w:val="0"/>
        <w:widowControl/>
        <w:kinsoku/>
        <w:wordWrap/>
        <w:overflowPunct/>
        <w:topLinePunct w:val="0"/>
        <w:autoSpaceDE/>
        <w:autoSpaceDN/>
        <w:bidi w:val="0"/>
        <w:adjustRightInd/>
        <w:snapToGrid/>
        <w:spacing w:line="500" w:lineRule="auto"/>
        <w:ind w:left="0" w:leftChars="0" w:right="0" w:rightChars="0" w:firstLine="627" w:firstLineChars="196"/>
        <w:jc w:val="left"/>
        <w:textAlignment w:val="auto"/>
        <w:outlineLvl w:val="9"/>
        <w:rPr>
          <w:rFonts w:hint="eastAsia" w:eastAsia="黑体"/>
          <w:bCs/>
          <w:kern w:val="0"/>
          <w:sz w:val="32"/>
          <w:szCs w:val="32"/>
          <w:lang w:eastAsia="zh-CN"/>
        </w:rPr>
      </w:pPr>
    </w:p>
    <w:p w14:paraId="69DFF496">
      <w:pPr>
        <w:keepNext w:val="0"/>
        <w:keepLines w:val="0"/>
        <w:pageBreakBefore w:val="0"/>
        <w:widowControl w:val="0"/>
        <w:kinsoku/>
        <w:wordWrap/>
        <w:overflowPunct/>
        <w:topLinePunct w:val="0"/>
        <w:autoSpaceDE/>
        <w:autoSpaceDN/>
        <w:bidi w:val="0"/>
        <w:adjustRightInd/>
        <w:snapToGrid/>
        <w:spacing w:line="500" w:lineRule="auto"/>
        <w:ind w:left="0" w:leftChars="0" w:right="0" w:rightChars="0" w:firstLine="627" w:firstLineChars="196"/>
        <w:jc w:val="center"/>
        <w:textAlignment w:val="auto"/>
        <w:outlineLvl w:val="9"/>
        <w:rPr>
          <w:rFonts w:hint="default" w:ascii="Times New Roman" w:hAnsi="Times New Roman" w:eastAsia="黑体" w:cs="Times New Roman"/>
          <w:bCs/>
          <w:color w:val="auto"/>
          <w:kern w:val="0"/>
          <w:sz w:val="32"/>
          <w:szCs w:val="32"/>
          <w:lang w:eastAsia="zh-CN"/>
        </w:rPr>
      </w:pPr>
      <w:r>
        <w:rPr>
          <w:rFonts w:hint="default" w:ascii="Times New Roman" w:hAnsi="Times New Roman" w:eastAsia="黑体" w:cs="Times New Roman"/>
          <w:bCs/>
          <w:color w:val="auto"/>
          <w:kern w:val="0"/>
          <w:sz w:val="32"/>
          <w:szCs w:val="32"/>
          <w:lang w:eastAsia="zh-CN"/>
        </w:rPr>
        <w:t>目录</w:t>
      </w:r>
    </w:p>
    <w:p w14:paraId="23425979">
      <w:pPr>
        <w:keepNext w:val="0"/>
        <w:keepLines w:val="0"/>
        <w:pageBreakBefore w:val="0"/>
        <w:widowControl w:val="0"/>
        <w:kinsoku/>
        <w:wordWrap/>
        <w:overflowPunct/>
        <w:topLinePunct w:val="0"/>
        <w:autoSpaceDE/>
        <w:autoSpaceDN/>
        <w:bidi w:val="0"/>
        <w:adjustRightInd/>
        <w:snapToGrid/>
        <w:spacing w:line="500" w:lineRule="auto"/>
        <w:ind w:right="0" w:rightChars="0" w:firstLine="320" w:firstLineChars="100"/>
        <w:jc w:val="left"/>
        <w:textAlignment w:val="auto"/>
        <w:outlineLvl w:val="9"/>
        <w:rPr>
          <w:rFonts w:hint="default" w:ascii="Times New Roman" w:hAnsi="Times New Roman" w:eastAsia="黑体" w:cs="Times New Roman"/>
          <w:bCs/>
          <w:color w:val="auto"/>
          <w:kern w:val="0"/>
          <w:sz w:val="32"/>
          <w:szCs w:val="32"/>
          <w:lang w:val="en-US" w:eastAsia="zh-CN"/>
        </w:rPr>
      </w:pPr>
      <w:r>
        <w:rPr>
          <w:rFonts w:hint="eastAsia" w:eastAsia="黑体" w:cs="Times New Roman"/>
          <w:bCs/>
          <w:color w:val="auto"/>
          <w:kern w:val="0"/>
          <w:sz w:val="32"/>
          <w:szCs w:val="32"/>
          <w:lang w:eastAsia="zh-CN"/>
        </w:rPr>
        <w:t>第一部分</w:t>
      </w:r>
      <w:r>
        <w:rPr>
          <w:rFonts w:hint="eastAsia" w:eastAsia="黑体" w:cs="Times New Roman"/>
          <w:bCs/>
          <w:color w:val="auto"/>
          <w:kern w:val="0"/>
          <w:sz w:val="32"/>
          <w:szCs w:val="32"/>
          <w:lang w:val="en-US" w:eastAsia="zh-CN"/>
        </w:rPr>
        <w:t>2026年部门预算说明</w:t>
      </w:r>
    </w:p>
    <w:p w14:paraId="7AE9EAA5">
      <w:pPr>
        <w:keepNext w:val="0"/>
        <w:keepLines w:val="0"/>
        <w:pageBreakBefore w:val="0"/>
        <w:widowControl w:val="0"/>
        <w:kinsoku/>
        <w:wordWrap/>
        <w:overflowPunct/>
        <w:topLinePunct w:val="0"/>
        <w:autoSpaceDE/>
        <w:autoSpaceDN/>
        <w:bidi w:val="0"/>
        <w:adjustRightInd/>
        <w:snapToGrid/>
        <w:spacing w:line="500" w:lineRule="auto"/>
        <w:ind w:left="0" w:leftChars="0" w:right="0" w:rightChars="0" w:firstLine="627" w:firstLineChars="196"/>
        <w:jc w:val="left"/>
        <w:textAlignment w:val="auto"/>
        <w:outlineLvl w:val="9"/>
        <w:rPr>
          <w:rFonts w:hint="eastAsia" w:ascii="仿宋" w:hAnsi="仿宋" w:eastAsia="仿宋" w:cs="仿宋"/>
          <w:b w:val="0"/>
          <w:bCs/>
          <w:color w:val="auto"/>
          <w:kern w:val="0"/>
          <w:sz w:val="32"/>
          <w:szCs w:val="32"/>
        </w:rPr>
      </w:pPr>
      <w:r>
        <w:rPr>
          <w:rFonts w:hint="eastAsia" w:ascii="仿宋" w:hAnsi="仿宋" w:eastAsia="仿宋" w:cs="仿宋"/>
          <w:b w:val="0"/>
          <w:bCs/>
          <w:color w:val="auto"/>
          <w:kern w:val="0"/>
          <w:sz w:val="32"/>
          <w:szCs w:val="32"/>
        </w:rPr>
        <w:t>一、部门</w:t>
      </w:r>
      <w:r>
        <w:rPr>
          <w:rFonts w:hint="eastAsia" w:ascii="仿宋" w:hAnsi="仿宋" w:eastAsia="仿宋" w:cs="仿宋"/>
          <w:b w:val="0"/>
          <w:bCs/>
          <w:color w:val="auto"/>
          <w:kern w:val="0"/>
          <w:sz w:val="32"/>
          <w:szCs w:val="32"/>
          <w:lang w:eastAsia="zh-CN"/>
        </w:rPr>
        <w:t>基本概况</w:t>
      </w:r>
    </w:p>
    <w:p w14:paraId="2DE342DF">
      <w:pPr>
        <w:keepNext w:val="0"/>
        <w:keepLines w:val="0"/>
        <w:pageBreakBefore w:val="0"/>
        <w:widowControl w:val="0"/>
        <w:numPr>
          <w:ilvl w:val="0"/>
          <w:numId w:val="1"/>
        </w:numPr>
        <w:kinsoku/>
        <w:wordWrap/>
        <w:overflowPunct/>
        <w:topLinePunct w:val="0"/>
        <w:autoSpaceDE/>
        <w:autoSpaceDN/>
        <w:bidi w:val="0"/>
        <w:adjustRightInd/>
        <w:snapToGrid/>
        <w:spacing w:line="500" w:lineRule="auto"/>
        <w:ind w:left="0" w:leftChars="0" w:right="0" w:rightChars="0" w:firstLine="627" w:firstLineChars="196"/>
        <w:jc w:val="left"/>
        <w:textAlignment w:val="auto"/>
        <w:outlineLvl w:val="9"/>
        <w:rPr>
          <w:rFonts w:hint="eastAsia" w:ascii="仿宋" w:hAnsi="仿宋" w:eastAsia="仿宋" w:cs="仿宋"/>
          <w:b w:val="0"/>
          <w:bCs/>
          <w:color w:val="auto"/>
          <w:kern w:val="0"/>
          <w:sz w:val="32"/>
          <w:szCs w:val="32"/>
          <w:lang w:eastAsia="zh-CN"/>
        </w:rPr>
      </w:pPr>
      <w:r>
        <w:rPr>
          <w:rFonts w:hint="eastAsia" w:ascii="仿宋" w:hAnsi="仿宋" w:eastAsia="仿宋" w:cs="仿宋"/>
          <w:b w:val="0"/>
          <w:bCs/>
          <w:color w:val="auto"/>
          <w:kern w:val="0"/>
          <w:sz w:val="32"/>
          <w:szCs w:val="32"/>
          <w:lang w:eastAsia="zh-CN"/>
        </w:rPr>
        <w:t>部门预算单位构成</w:t>
      </w:r>
    </w:p>
    <w:p w14:paraId="02B9D715">
      <w:pPr>
        <w:keepNext w:val="0"/>
        <w:keepLines w:val="0"/>
        <w:pageBreakBefore w:val="0"/>
        <w:widowControl w:val="0"/>
        <w:kinsoku/>
        <w:wordWrap/>
        <w:overflowPunct/>
        <w:topLinePunct w:val="0"/>
        <w:autoSpaceDE/>
        <w:autoSpaceDN/>
        <w:bidi w:val="0"/>
        <w:adjustRightInd/>
        <w:snapToGrid/>
        <w:spacing w:line="500" w:lineRule="auto"/>
        <w:ind w:left="0" w:leftChars="0" w:right="0" w:rightChars="0" w:firstLine="627" w:firstLineChars="196"/>
        <w:jc w:val="left"/>
        <w:textAlignment w:val="auto"/>
        <w:outlineLvl w:val="9"/>
        <w:rPr>
          <w:rFonts w:hint="eastAsia" w:ascii="仿宋" w:hAnsi="仿宋" w:eastAsia="仿宋" w:cs="仿宋"/>
          <w:b w:val="0"/>
          <w:bCs/>
          <w:color w:val="auto"/>
          <w:kern w:val="0"/>
          <w:sz w:val="32"/>
          <w:szCs w:val="32"/>
        </w:rPr>
      </w:pPr>
      <w:r>
        <w:rPr>
          <w:rFonts w:hint="eastAsia" w:ascii="仿宋" w:hAnsi="仿宋" w:eastAsia="仿宋" w:cs="仿宋"/>
          <w:b w:val="0"/>
          <w:bCs/>
          <w:color w:val="auto"/>
          <w:kern w:val="0"/>
          <w:sz w:val="32"/>
          <w:szCs w:val="32"/>
          <w:lang w:eastAsia="zh-CN"/>
        </w:rPr>
        <w:t>三</w:t>
      </w:r>
      <w:r>
        <w:rPr>
          <w:rFonts w:hint="eastAsia" w:ascii="仿宋" w:hAnsi="仿宋" w:eastAsia="仿宋" w:cs="仿宋"/>
          <w:b w:val="0"/>
          <w:bCs/>
          <w:color w:val="auto"/>
          <w:kern w:val="0"/>
          <w:sz w:val="32"/>
          <w:szCs w:val="32"/>
        </w:rPr>
        <w:t>、</w:t>
      </w:r>
      <w:r>
        <w:rPr>
          <w:rFonts w:hint="eastAsia" w:ascii="仿宋" w:hAnsi="仿宋" w:eastAsia="仿宋" w:cs="仿宋"/>
          <w:b w:val="0"/>
          <w:bCs/>
          <w:color w:val="auto"/>
          <w:kern w:val="0"/>
          <w:sz w:val="32"/>
          <w:szCs w:val="32"/>
          <w:lang w:eastAsia="zh-CN"/>
        </w:rPr>
        <w:t>部门收支总体情况</w:t>
      </w:r>
    </w:p>
    <w:p w14:paraId="50C0F441">
      <w:pPr>
        <w:keepNext w:val="0"/>
        <w:keepLines w:val="0"/>
        <w:pageBreakBefore w:val="0"/>
        <w:widowControl w:val="0"/>
        <w:numPr>
          <w:ilvl w:val="0"/>
          <w:numId w:val="2"/>
        </w:numPr>
        <w:kinsoku/>
        <w:wordWrap/>
        <w:overflowPunct/>
        <w:topLinePunct w:val="0"/>
        <w:autoSpaceDE/>
        <w:autoSpaceDN/>
        <w:bidi w:val="0"/>
        <w:adjustRightInd/>
        <w:snapToGrid/>
        <w:spacing w:line="500" w:lineRule="auto"/>
        <w:ind w:left="0" w:leftChars="0" w:right="0" w:rightChars="0" w:firstLine="627" w:firstLineChars="196"/>
        <w:jc w:val="left"/>
        <w:textAlignment w:val="auto"/>
        <w:outlineLvl w:val="9"/>
        <w:rPr>
          <w:rFonts w:hint="eastAsia" w:ascii="仿宋" w:hAnsi="仿宋" w:eastAsia="仿宋" w:cs="仿宋"/>
          <w:b w:val="0"/>
          <w:bCs/>
          <w:color w:val="auto"/>
          <w:kern w:val="0"/>
          <w:sz w:val="32"/>
          <w:szCs w:val="32"/>
          <w:lang w:eastAsia="zh-CN"/>
        </w:rPr>
      </w:pPr>
      <w:r>
        <w:rPr>
          <w:rFonts w:hint="eastAsia" w:ascii="仿宋" w:hAnsi="仿宋" w:eastAsia="仿宋" w:cs="仿宋"/>
          <w:b w:val="0"/>
          <w:bCs/>
          <w:color w:val="auto"/>
          <w:kern w:val="0"/>
          <w:sz w:val="32"/>
          <w:szCs w:val="32"/>
          <w:lang w:eastAsia="zh-CN"/>
        </w:rPr>
        <w:t>一般公共预算财政拨款支出</w:t>
      </w:r>
    </w:p>
    <w:p w14:paraId="764F02DA">
      <w:pPr>
        <w:keepNext w:val="0"/>
        <w:keepLines w:val="0"/>
        <w:pageBreakBefore w:val="0"/>
        <w:widowControl w:val="0"/>
        <w:numPr>
          <w:ilvl w:val="0"/>
          <w:numId w:val="2"/>
        </w:numPr>
        <w:kinsoku/>
        <w:wordWrap/>
        <w:overflowPunct/>
        <w:topLinePunct w:val="0"/>
        <w:autoSpaceDE/>
        <w:autoSpaceDN/>
        <w:bidi w:val="0"/>
        <w:adjustRightInd/>
        <w:snapToGrid/>
        <w:spacing w:line="500" w:lineRule="auto"/>
        <w:ind w:left="0" w:leftChars="0" w:right="0" w:rightChars="0" w:firstLine="627" w:firstLineChars="196"/>
        <w:jc w:val="left"/>
        <w:textAlignment w:val="auto"/>
        <w:outlineLvl w:val="9"/>
        <w:rPr>
          <w:rFonts w:hint="eastAsia" w:ascii="仿宋" w:hAnsi="仿宋" w:eastAsia="仿宋" w:cs="仿宋"/>
          <w:b w:val="0"/>
          <w:bCs/>
          <w:color w:val="auto"/>
          <w:kern w:val="0"/>
          <w:sz w:val="32"/>
          <w:szCs w:val="32"/>
          <w:lang w:eastAsia="zh-CN"/>
        </w:rPr>
      </w:pPr>
      <w:r>
        <w:rPr>
          <w:rFonts w:hint="eastAsia" w:ascii="仿宋" w:hAnsi="仿宋" w:eastAsia="仿宋" w:cs="仿宋"/>
          <w:b w:val="0"/>
          <w:bCs/>
          <w:color w:val="auto"/>
          <w:kern w:val="0"/>
          <w:sz w:val="32"/>
          <w:szCs w:val="32"/>
          <w:lang w:eastAsia="zh-CN"/>
        </w:rPr>
        <w:t>政府性基金预算支出</w:t>
      </w:r>
    </w:p>
    <w:p w14:paraId="684E01EB">
      <w:pPr>
        <w:keepNext w:val="0"/>
        <w:keepLines w:val="0"/>
        <w:pageBreakBefore w:val="0"/>
        <w:widowControl w:val="0"/>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ascii="仿宋" w:hAnsi="仿宋" w:eastAsia="仿宋" w:cs="仿宋"/>
          <w:b w:val="0"/>
          <w:bCs/>
          <w:color w:val="auto"/>
          <w:kern w:val="0"/>
          <w:sz w:val="32"/>
          <w:szCs w:val="32"/>
          <w:lang w:eastAsia="zh-CN"/>
        </w:rPr>
      </w:pPr>
      <w:r>
        <w:rPr>
          <w:rFonts w:hint="eastAsia" w:ascii="仿宋" w:hAnsi="仿宋" w:eastAsia="仿宋" w:cs="仿宋"/>
          <w:b w:val="0"/>
          <w:bCs/>
          <w:color w:val="auto"/>
          <w:kern w:val="0"/>
          <w:sz w:val="32"/>
          <w:szCs w:val="32"/>
          <w:lang w:eastAsia="zh-CN"/>
        </w:rPr>
        <w:t>六、其他重要事项的情况说明</w:t>
      </w:r>
    </w:p>
    <w:p w14:paraId="259EC6DC">
      <w:pPr>
        <w:keepNext w:val="0"/>
        <w:keepLines w:val="0"/>
        <w:pageBreakBefore w:val="0"/>
        <w:widowControl w:val="0"/>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ascii="仿宋" w:hAnsi="仿宋" w:eastAsia="仿宋" w:cs="仿宋"/>
          <w:b w:val="0"/>
          <w:bCs/>
          <w:color w:val="auto"/>
          <w:sz w:val="32"/>
          <w:szCs w:val="32"/>
        </w:rPr>
      </w:pPr>
      <w:r>
        <w:rPr>
          <w:rFonts w:hint="eastAsia" w:ascii="仿宋" w:hAnsi="仿宋" w:eastAsia="仿宋" w:cs="仿宋"/>
          <w:b w:val="0"/>
          <w:bCs/>
          <w:color w:val="auto"/>
          <w:sz w:val="32"/>
          <w:szCs w:val="32"/>
          <w:lang w:val="en-US" w:eastAsia="zh-CN"/>
        </w:rPr>
        <w:t>七、</w:t>
      </w:r>
      <w:r>
        <w:rPr>
          <w:rFonts w:hint="eastAsia" w:ascii="仿宋" w:hAnsi="仿宋" w:eastAsia="仿宋" w:cs="仿宋"/>
          <w:b w:val="0"/>
          <w:bCs/>
          <w:color w:val="auto"/>
          <w:sz w:val="32"/>
          <w:szCs w:val="32"/>
        </w:rPr>
        <w:t>名词解释</w:t>
      </w:r>
    </w:p>
    <w:p w14:paraId="2AB683C1">
      <w:pPr>
        <w:keepNext w:val="0"/>
        <w:keepLines w:val="0"/>
        <w:pageBreakBefore w:val="0"/>
        <w:widowControl w:val="0"/>
        <w:numPr>
          <w:ilvl w:val="0"/>
          <w:numId w:val="0"/>
        </w:numPr>
        <w:kinsoku/>
        <w:wordWrap/>
        <w:overflowPunct/>
        <w:topLinePunct w:val="0"/>
        <w:autoSpaceDE/>
        <w:autoSpaceDN/>
        <w:bidi w:val="0"/>
        <w:adjustRightInd/>
        <w:snapToGrid/>
        <w:ind w:firstLine="320" w:firstLineChars="100"/>
        <w:textAlignment w:val="auto"/>
        <w:rPr>
          <w:rFonts w:hint="default" w:ascii="Times New Roman" w:hAnsi="Times New Roman" w:eastAsia="黑体" w:cs="Times New Roman"/>
          <w:b w:val="0"/>
          <w:bCs w:val="0"/>
          <w:color w:val="auto"/>
          <w:sz w:val="32"/>
          <w:szCs w:val="32"/>
          <w:lang w:val="en-US" w:eastAsia="zh-CN"/>
        </w:rPr>
      </w:pPr>
      <w:r>
        <w:rPr>
          <w:rFonts w:hint="eastAsia" w:eastAsia="黑体" w:cs="Times New Roman"/>
          <w:b w:val="0"/>
          <w:bCs w:val="0"/>
          <w:color w:val="auto"/>
          <w:sz w:val="32"/>
          <w:szCs w:val="32"/>
          <w:lang w:val="en-US" w:eastAsia="zh-CN"/>
        </w:rPr>
        <w:t>第二部分2026年部门预算表</w:t>
      </w:r>
    </w:p>
    <w:p w14:paraId="02A1EDA4">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1.</w:t>
      </w:r>
      <w:r>
        <w:rPr>
          <w:rFonts w:eastAsia="仿宋_GB2312"/>
          <w:color w:val="000000"/>
          <w:sz w:val="32"/>
          <w:szCs w:val="32"/>
        </w:rPr>
        <w:t>收支</w:t>
      </w:r>
      <w:r>
        <w:rPr>
          <w:rFonts w:hint="eastAsia" w:eastAsia="仿宋_GB2312"/>
          <w:color w:val="000000"/>
          <w:sz w:val="32"/>
          <w:szCs w:val="32"/>
          <w:lang w:eastAsia="zh-CN"/>
        </w:rPr>
        <w:t>预算</w:t>
      </w:r>
      <w:r>
        <w:rPr>
          <w:rFonts w:eastAsia="仿宋_GB2312"/>
          <w:color w:val="000000"/>
          <w:sz w:val="32"/>
          <w:szCs w:val="32"/>
        </w:rPr>
        <w:t>总表</w:t>
      </w:r>
    </w:p>
    <w:p w14:paraId="3947F7C5">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2.</w:t>
      </w:r>
      <w:r>
        <w:rPr>
          <w:rFonts w:eastAsia="仿宋_GB2312"/>
          <w:color w:val="000000"/>
          <w:sz w:val="32"/>
          <w:szCs w:val="32"/>
        </w:rPr>
        <w:t>收入</w:t>
      </w:r>
      <w:r>
        <w:rPr>
          <w:rFonts w:hint="eastAsia" w:eastAsia="仿宋_GB2312"/>
          <w:color w:val="000000"/>
          <w:sz w:val="32"/>
          <w:szCs w:val="32"/>
          <w:lang w:eastAsia="zh-CN"/>
        </w:rPr>
        <w:t>预算总</w:t>
      </w:r>
      <w:r>
        <w:rPr>
          <w:rFonts w:eastAsia="仿宋_GB2312"/>
          <w:color w:val="000000"/>
          <w:sz w:val="32"/>
          <w:szCs w:val="32"/>
        </w:rPr>
        <w:t>表</w:t>
      </w:r>
    </w:p>
    <w:p w14:paraId="338F3555">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3.</w:t>
      </w:r>
      <w:r>
        <w:rPr>
          <w:rFonts w:eastAsia="仿宋_GB2312"/>
          <w:color w:val="000000"/>
          <w:sz w:val="32"/>
          <w:szCs w:val="32"/>
        </w:rPr>
        <w:t>支出</w:t>
      </w:r>
      <w:r>
        <w:rPr>
          <w:rFonts w:hint="eastAsia" w:eastAsia="仿宋_GB2312"/>
          <w:color w:val="000000"/>
          <w:sz w:val="32"/>
          <w:szCs w:val="32"/>
          <w:lang w:eastAsia="zh-CN"/>
        </w:rPr>
        <w:t>预算总</w:t>
      </w:r>
      <w:r>
        <w:rPr>
          <w:rFonts w:eastAsia="仿宋_GB2312"/>
          <w:color w:val="000000"/>
          <w:sz w:val="32"/>
          <w:szCs w:val="32"/>
        </w:rPr>
        <w:t>表</w:t>
      </w:r>
    </w:p>
    <w:p w14:paraId="036CCCC1">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bCs w:val="0"/>
          <w:color w:val="auto"/>
          <w:sz w:val="32"/>
          <w:szCs w:val="32"/>
          <w:lang w:val="en-US" w:eastAsia="zh-CN"/>
        </w:rPr>
        <w:t>4.</w:t>
      </w:r>
      <w:r>
        <w:rPr>
          <w:rFonts w:eastAsia="仿宋_GB2312"/>
          <w:color w:val="000000"/>
          <w:sz w:val="32"/>
          <w:szCs w:val="32"/>
        </w:rPr>
        <w:t>财政拨款收支</w:t>
      </w:r>
      <w:r>
        <w:rPr>
          <w:rFonts w:hint="eastAsia" w:eastAsia="仿宋_GB2312"/>
          <w:color w:val="000000"/>
          <w:sz w:val="32"/>
          <w:szCs w:val="32"/>
          <w:lang w:eastAsia="zh-CN"/>
        </w:rPr>
        <w:t>预算</w:t>
      </w:r>
      <w:r>
        <w:rPr>
          <w:rFonts w:eastAsia="仿宋_GB2312"/>
          <w:color w:val="000000"/>
          <w:sz w:val="32"/>
          <w:szCs w:val="32"/>
        </w:rPr>
        <w:t>总表</w:t>
      </w:r>
    </w:p>
    <w:p w14:paraId="65D6185C">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eastAsia="仿宋_GB2312"/>
          <w:color w:val="000000"/>
          <w:sz w:val="32"/>
          <w:szCs w:val="32"/>
        </w:rPr>
      </w:pPr>
      <w:r>
        <w:rPr>
          <w:rFonts w:hint="default" w:ascii="Times New Roman" w:hAnsi="Times New Roman" w:eastAsia="仿宋_GB2312" w:cs="Times New Roman"/>
          <w:b w:val="0"/>
          <w:bCs w:val="0"/>
          <w:color w:val="auto"/>
          <w:sz w:val="32"/>
          <w:szCs w:val="32"/>
          <w:lang w:val="en-US" w:eastAsia="zh-CN"/>
        </w:rPr>
        <w:t>5.</w:t>
      </w:r>
      <w:r>
        <w:rPr>
          <w:rFonts w:eastAsia="仿宋_GB2312"/>
          <w:color w:val="000000"/>
          <w:sz w:val="32"/>
          <w:szCs w:val="32"/>
        </w:rPr>
        <w:t>一般公共预算支出</w:t>
      </w:r>
      <w:r>
        <w:rPr>
          <w:rFonts w:hint="eastAsia" w:eastAsia="仿宋_GB2312"/>
          <w:color w:val="000000"/>
          <w:sz w:val="32"/>
          <w:szCs w:val="32"/>
          <w:lang w:eastAsia="zh-CN"/>
        </w:rPr>
        <w:t>预算</w:t>
      </w:r>
      <w:r>
        <w:rPr>
          <w:rFonts w:eastAsia="仿宋_GB2312"/>
          <w:color w:val="000000"/>
          <w:sz w:val="32"/>
          <w:szCs w:val="32"/>
        </w:rPr>
        <w:t>表</w:t>
      </w:r>
    </w:p>
    <w:p w14:paraId="11EC182D">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6.</w:t>
      </w:r>
      <w:r>
        <w:rPr>
          <w:rFonts w:eastAsia="仿宋_GB2312"/>
          <w:color w:val="000000"/>
          <w:sz w:val="32"/>
          <w:szCs w:val="32"/>
        </w:rPr>
        <w:t>一般公共预算基本支出</w:t>
      </w:r>
      <w:r>
        <w:rPr>
          <w:rFonts w:hint="eastAsia" w:eastAsia="仿宋_GB2312"/>
          <w:color w:val="000000"/>
          <w:sz w:val="32"/>
          <w:szCs w:val="32"/>
          <w:lang w:eastAsia="zh-CN"/>
        </w:rPr>
        <w:t>预算</w:t>
      </w:r>
      <w:r>
        <w:rPr>
          <w:rFonts w:eastAsia="仿宋_GB2312"/>
          <w:color w:val="000000"/>
          <w:sz w:val="32"/>
          <w:szCs w:val="32"/>
        </w:rPr>
        <w:t>表</w:t>
      </w:r>
    </w:p>
    <w:p w14:paraId="1BA36F4A">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bCs w:val="0"/>
          <w:color w:val="auto"/>
          <w:sz w:val="32"/>
          <w:szCs w:val="32"/>
          <w:lang w:val="en-US" w:eastAsia="zh-CN"/>
        </w:rPr>
        <w:t>7.</w:t>
      </w:r>
      <w:r>
        <w:rPr>
          <w:rFonts w:hint="eastAsia" w:eastAsia="仿宋_GB2312" w:cs="Times New Roman"/>
          <w:b w:val="0"/>
          <w:bCs w:val="0"/>
          <w:color w:val="auto"/>
          <w:sz w:val="32"/>
          <w:szCs w:val="32"/>
          <w:lang w:val="en-US" w:eastAsia="zh-CN"/>
        </w:rPr>
        <w:t>一般公共预算</w:t>
      </w:r>
      <w:r>
        <w:rPr>
          <w:rFonts w:eastAsia="仿宋_GB2312"/>
          <w:color w:val="000000"/>
          <w:sz w:val="32"/>
          <w:szCs w:val="32"/>
        </w:rPr>
        <w:t>“三公”经费支出</w:t>
      </w:r>
      <w:r>
        <w:rPr>
          <w:rFonts w:hint="eastAsia" w:eastAsia="仿宋_GB2312"/>
          <w:color w:val="000000"/>
          <w:sz w:val="32"/>
          <w:szCs w:val="32"/>
          <w:lang w:eastAsia="zh-CN"/>
        </w:rPr>
        <w:t>预算</w:t>
      </w:r>
      <w:r>
        <w:rPr>
          <w:rFonts w:eastAsia="仿宋_GB2312"/>
          <w:color w:val="000000"/>
          <w:sz w:val="32"/>
          <w:szCs w:val="32"/>
        </w:rPr>
        <w:t>表</w:t>
      </w:r>
    </w:p>
    <w:p w14:paraId="38BB6335">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bCs w:val="0"/>
          <w:color w:val="auto"/>
          <w:sz w:val="32"/>
          <w:szCs w:val="32"/>
          <w:lang w:val="en-US" w:eastAsia="zh-CN"/>
        </w:rPr>
        <w:t>8.</w:t>
      </w:r>
      <w:r>
        <w:rPr>
          <w:rFonts w:eastAsia="仿宋_GB2312"/>
          <w:color w:val="000000"/>
          <w:sz w:val="32"/>
          <w:szCs w:val="32"/>
        </w:rPr>
        <w:t>政府性基金预算支</w:t>
      </w:r>
      <w:r>
        <w:rPr>
          <w:rFonts w:hint="eastAsia" w:eastAsia="仿宋_GB2312"/>
          <w:color w:val="000000"/>
          <w:sz w:val="32"/>
          <w:szCs w:val="32"/>
          <w:lang w:eastAsia="zh-CN"/>
        </w:rPr>
        <w:t>出预算</w:t>
      </w:r>
      <w:r>
        <w:rPr>
          <w:rFonts w:eastAsia="仿宋_GB2312"/>
          <w:color w:val="000000"/>
          <w:sz w:val="32"/>
          <w:szCs w:val="32"/>
        </w:rPr>
        <w:t>表</w:t>
      </w:r>
    </w:p>
    <w:p w14:paraId="5F45FA5F">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Times New Roman"/>
          <w:color w:val="auto"/>
          <w:sz w:val="32"/>
          <w:szCs w:val="32"/>
          <w:lang w:val="en-US" w:eastAsia="zh-CN"/>
        </w:rPr>
      </w:pPr>
      <w:r>
        <w:rPr>
          <w:rFonts w:hint="eastAsia" w:eastAsia="仿宋_GB2312" w:cs="Times New Roman"/>
          <w:color w:val="auto"/>
          <w:sz w:val="32"/>
          <w:szCs w:val="32"/>
          <w:lang w:val="en-US" w:eastAsia="zh-CN"/>
        </w:rPr>
        <w:t>9.</w:t>
      </w:r>
      <w:r>
        <w:rPr>
          <w:rFonts w:hint="eastAsia" w:eastAsia="仿宋_GB2312"/>
          <w:color w:val="000000"/>
          <w:sz w:val="32"/>
          <w:szCs w:val="32"/>
          <w:lang w:eastAsia="zh-CN"/>
        </w:rPr>
        <w:t>项目支出预算表</w:t>
      </w:r>
    </w:p>
    <w:p w14:paraId="05136655">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b w:val="0"/>
          <w:bCs w:val="0"/>
          <w:color w:val="auto"/>
          <w:sz w:val="32"/>
          <w:szCs w:val="32"/>
          <w:lang w:val="en-US" w:eastAsia="zh-CN"/>
        </w:rPr>
        <w:t>10</w:t>
      </w:r>
      <w:r>
        <w:rPr>
          <w:rFonts w:hint="default" w:ascii="Times New Roman" w:hAnsi="Times New Roman" w:eastAsia="仿宋_GB2312" w:cs="Times New Roman"/>
          <w:b w:val="0"/>
          <w:bCs w:val="0"/>
          <w:color w:val="auto"/>
          <w:sz w:val="32"/>
          <w:szCs w:val="32"/>
          <w:lang w:val="en-US" w:eastAsia="zh-CN"/>
        </w:rPr>
        <w:t>.</w:t>
      </w:r>
      <w:r>
        <w:rPr>
          <w:rFonts w:hint="eastAsia" w:eastAsia="仿宋_GB2312"/>
          <w:color w:val="000000"/>
          <w:sz w:val="32"/>
          <w:szCs w:val="32"/>
          <w:lang w:eastAsia="zh-CN"/>
        </w:rPr>
        <w:t>国有资本经营预算支出预算表</w:t>
      </w:r>
    </w:p>
    <w:p w14:paraId="2C568E3B">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eastAsia="仿宋_GB2312" w:cs="Times New Roman"/>
          <w:color w:val="auto"/>
          <w:sz w:val="32"/>
          <w:szCs w:val="32"/>
          <w:lang w:val="en-US" w:eastAsia="zh-CN"/>
        </w:rPr>
      </w:pPr>
      <w:r>
        <w:rPr>
          <w:rFonts w:hint="eastAsia" w:eastAsia="仿宋_GB2312" w:cs="Times New Roman"/>
          <w:color w:val="auto"/>
          <w:sz w:val="32"/>
          <w:szCs w:val="32"/>
          <w:lang w:val="en-US" w:eastAsia="zh-CN"/>
        </w:rPr>
        <w:t>11.项目支出绩效目标表</w:t>
      </w:r>
    </w:p>
    <w:p w14:paraId="751AA226">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eastAsia="仿宋_GB2312" w:cs="Times New Roman"/>
          <w:color w:val="auto"/>
          <w:sz w:val="32"/>
          <w:szCs w:val="32"/>
          <w:lang w:val="en-US" w:eastAsia="zh-CN"/>
        </w:rPr>
      </w:pPr>
      <w:r>
        <w:rPr>
          <w:rFonts w:hint="eastAsia" w:eastAsia="仿宋_GB2312" w:cs="Times New Roman"/>
          <w:color w:val="auto"/>
          <w:sz w:val="32"/>
          <w:szCs w:val="32"/>
          <w:lang w:val="en-US" w:eastAsia="zh-CN"/>
        </w:rPr>
        <w:t>12.部门整体支出绩效目标表</w:t>
      </w:r>
    </w:p>
    <w:p w14:paraId="1F51D25B">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eastAsia="仿宋_GB2312" w:cs="Times New Roman"/>
          <w:color w:val="auto"/>
          <w:sz w:val="32"/>
          <w:szCs w:val="32"/>
          <w:lang w:val="en-US" w:eastAsia="zh-CN"/>
        </w:rPr>
      </w:pPr>
      <w:r>
        <w:rPr>
          <w:rFonts w:hint="eastAsia" w:eastAsia="仿宋_GB2312" w:cs="Times New Roman"/>
          <w:color w:val="auto"/>
          <w:sz w:val="32"/>
          <w:szCs w:val="32"/>
          <w:lang w:val="en-US" w:eastAsia="zh-CN"/>
        </w:rPr>
        <w:t>注：以上部门预算报表中，空表表示本部门无相关收支情况</w:t>
      </w:r>
    </w:p>
    <w:p w14:paraId="0C1DEE78">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color w:val="auto"/>
          <w:sz w:val="32"/>
          <w:szCs w:val="32"/>
          <w:lang w:val="en-US" w:eastAsia="zh-CN"/>
        </w:rPr>
      </w:pPr>
    </w:p>
    <w:p w14:paraId="7ABECEB0">
      <w:pPr>
        <w:keepNext w:val="0"/>
        <w:keepLines w:val="0"/>
        <w:pageBreakBefore w:val="0"/>
        <w:widowControl/>
        <w:kinsoku/>
        <w:wordWrap/>
        <w:overflowPunct/>
        <w:topLinePunct w:val="0"/>
        <w:autoSpaceDE/>
        <w:autoSpaceDN/>
        <w:bidi w:val="0"/>
        <w:adjustRightInd/>
        <w:snapToGrid/>
        <w:spacing w:before="156" w:beforeLines="50" w:line="500" w:lineRule="exact"/>
        <w:ind w:left="0" w:leftChars="0" w:right="0" w:rightChars="0"/>
        <w:jc w:val="left"/>
        <w:textAlignment w:val="auto"/>
        <w:outlineLvl w:val="9"/>
        <w:rPr>
          <w:rFonts w:hint="eastAsia" w:eastAsia="楷体_GB2312"/>
          <w:b/>
          <w:bCs w:val="0"/>
          <w:kern w:val="0"/>
          <w:sz w:val="32"/>
          <w:szCs w:val="32"/>
          <w:lang w:val="en-US" w:eastAsia="zh-CN"/>
        </w:rPr>
      </w:pPr>
    </w:p>
    <w:p w14:paraId="71C12AA9">
      <w:pPr>
        <w:keepNext w:val="0"/>
        <w:keepLines w:val="0"/>
        <w:pageBreakBefore w:val="0"/>
        <w:widowControl/>
        <w:kinsoku/>
        <w:wordWrap/>
        <w:overflowPunct/>
        <w:topLinePunct w:val="0"/>
        <w:autoSpaceDE/>
        <w:autoSpaceDN/>
        <w:bidi w:val="0"/>
        <w:adjustRightInd/>
        <w:snapToGrid/>
        <w:spacing w:before="156" w:beforeLines="50" w:line="500" w:lineRule="exact"/>
        <w:ind w:left="0" w:leftChars="0" w:right="0" w:rightChars="0"/>
        <w:jc w:val="left"/>
        <w:textAlignment w:val="auto"/>
        <w:outlineLvl w:val="9"/>
        <w:rPr>
          <w:rFonts w:hint="eastAsia" w:eastAsia="楷体_GB2312"/>
          <w:b/>
          <w:bCs w:val="0"/>
          <w:kern w:val="0"/>
          <w:sz w:val="32"/>
          <w:szCs w:val="32"/>
          <w:lang w:val="en-US" w:eastAsia="zh-CN"/>
        </w:rPr>
      </w:pPr>
    </w:p>
    <w:p w14:paraId="4C999931">
      <w:pPr>
        <w:bidi w:val="0"/>
        <w:rPr>
          <w:rFonts w:hint="eastAsia"/>
          <w:lang w:val="en-US" w:eastAsia="zh-CN"/>
        </w:rPr>
      </w:pPr>
    </w:p>
    <w:p w14:paraId="132913ED">
      <w:pPr>
        <w:bidi w:val="0"/>
        <w:rPr>
          <w:rFonts w:hint="eastAsia"/>
          <w:lang w:val="en-US" w:eastAsia="zh-CN"/>
        </w:rPr>
      </w:pPr>
    </w:p>
    <w:p w14:paraId="32CA245B">
      <w:pPr>
        <w:bidi w:val="0"/>
        <w:rPr>
          <w:rFonts w:hint="eastAsia"/>
          <w:lang w:val="en-US" w:eastAsia="zh-CN"/>
        </w:rPr>
      </w:pPr>
    </w:p>
    <w:p w14:paraId="172EE815">
      <w:pPr>
        <w:bidi w:val="0"/>
        <w:rPr>
          <w:rFonts w:hint="eastAsia"/>
          <w:lang w:val="en-US" w:eastAsia="zh-CN"/>
        </w:rPr>
      </w:pPr>
    </w:p>
    <w:p w14:paraId="4C368DCC">
      <w:pPr>
        <w:bidi w:val="0"/>
        <w:rPr>
          <w:rFonts w:hint="eastAsia"/>
          <w:lang w:val="en-US" w:eastAsia="zh-CN"/>
        </w:rPr>
      </w:pPr>
    </w:p>
    <w:p w14:paraId="4ADD009C">
      <w:pPr>
        <w:bidi w:val="0"/>
        <w:rPr>
          <w:rFonts w:hint="eastAsia"/>
          <w:lang w:val="en-US" w:eastAsia="zh-CN"/>
        </w:rPr>
      </w:pPr>
    </w:p>
    <w:p w14:paraId="52E7FB5A">
      <w:pPr>
        <w:bidi w:val="0"/>
        <w:jc w:val="left"/>
        <w:rPr>
          <w:rFonts w:hint="eastAsia"/>
          <w:lang w:val="en-US" w:eastAsia="zh-CN"/>
        </w:rPr>
      </w:pPr>
      <w:r>
        <w:rPr>
          <w:rFonts w:hint="eastAsia"/>
          <w:lang w:val="en-US" w:eastAsia="zh-CN"/>
        </w:rPr>
        <w:br w:type="page"/>
      </w:r>
    </w:p>
    <w:p w14:paraId="3A666E9D">
      <w:pPr>
        <w:keepNext w:val="0"/>
        <w:keepLines w:val="0"/>
        <w:pageBreakBefore w:val="0"/>
        <w:widowControl/>
        <w:kinsoku/>
        <w:wordWrap/>
        <w:overflowPunct/>
        <w:topLinePunct w:val="0"/>
        <w:autoSpaceDE/>
        <w:autoSpaceDN/>
        <w:bidi w:val="0"/>
        <w:adjustRightInd/>
        <w:snapToGrid/>
        <w:spacing w:line="500" w:lineRule="auto"/>
        <w:ind w:left="0" w:leftChars="0" w:right="0" w:rightChars="0" w:firstLine="627" w:firstLineChars="196"/>
        <w:jc w:val="left"/>
        <w:textAlignment w:val="auto"/>
        <w:outlineLvl w:val="9"/>
        <w:rPr>
          <w:rFonts w:hint="eastAsia" w:eastAsia="黑体" w:cs="Times New Roman"/>
          <w:bCs/>
          <w:kern w:val="0"/>
          <w:sz w:val="32"/>
          <w:szCs w:val="32"/>
        </w:rPr>
      </w:pPr>
      <w:r>
        <w:rPr>
          <w:rFonts w:hint="eastAsia" w:eastAsia="黑体" w:cs="Times New Roman"/>
          <w:bCs/>
          <w:kern w:val="0"/>
          <w:sz w:val="32"/>
          <w:szCs w:val="32"/>
        </w:rPr>
        <w:t>一、部门基本概况</w:t>
      </w:r>
    </w:p>
    <w:p w14:paraId="753ABD23">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02" w:firstLineChars="200"/>
        <w:jc w:val="left"/>
        <w:textAlignment w:val="auto"/>
        <w:outlineLvl w:val="9"/>
        <w:rPr>
          <w:rFonts w:hint="eastAsia" w:ascii="仿宋" w:hAnsi="仿宋" w:eastAsia="仿宋" w:cs="仿宋"/>
          <w:b/>
          <w:bCs w:val="0"/>
          <w:kern w:val="0"/>
          <w:sz w:val="30"/>
          <w:szCs w:val="30"/>
        </w:rPr>
      </w:pPr>
      <w:r>
        <w:rPr>
          <w:rFonts w:hint="eastAsia" w:ascii="仿宋" w:hAnsi="仿宋" w:eastAsia="仿宋" w:cs="仿宋"/>
          <w:b/>
          <w:bCs w:val="0"/>
          <w:kern w:val="0"/>
          <w:sz w:val="30"/>
          <w:szCs w:val="30"/>
        </w:rPr>
        <w:t>（一）部门职责</w:t>
      </w:r>
    </w:p>
    <w:p w14:paraId="04E77518">
      <w:pPr>
        <w:pStyle w:val="5"/>
        <w:spacing w:before="0" w:beforeAutospacing="0" w:after="0" w:afterAutospacing="0" w:line="23" w:lineRule="atLeast"/>
        <w:ind w:firstLine="645"/>
        <w:rPr>
          <w:rFonts w:hint="eastAsia" w:ascii="仿宋" w:hAnsi="仿宋" w:eastAsia="仿宋" w:cs="仿宋"/>
          <w:color w:val="auto"/>
          <w:sz w:val="30"/>
          <w:szCs w:val="30"/>
          <w:shd w:val="clear" w:color="auto" w:fill="FFFFFF"/>
        </w:rPr>
      </w:pPr>
      <w:r>
        <w:rPr>
          <w:rFonts w:hint="eastAsia" w:ascii="仿宋" w:hAnsi="仿宋" w:eastAsia="仿宋" w:cs="仿宋"/>
          <w:color w:val="auto"/>
          <w:sz w:val="30"/>
          <w:szCs w:val="30"/>
          <w:shd w:val="clear" w:color="auto" w:fill="FFFFFF"/>
        </w:rPr>
        <w:t>1.贯彻落实国家教育工作的方针、政策和法律、法规，拟定全市教育改革与发展战略、方针、政策和规划，并组织实施。</w:t>
      </w:r>
    </w:p>
    <w:p w14:paraId="66A5BCCD">
      <w:pPr>
        <w:pStyle w:val="5"/>
        <w:spacing w:before="0" w:beforeAutospacing="0" w:after="0" w:afterAutospacing="0" w:line="23" w:lineRule="atLeast"/>
        <w:ind w:firstLine="645"/>
        <w:rPr>
          <w:rFonts w:hint="eastAsia" w:ascii="仿宋" w:hAnsi="仿宋" w:eastAsia="仿宋" w:cs="仿宋"/>
          <w:color w:val="auto"/>
          <w:sz w:val="30"/>
          <w:szCs w:val="30"/>
          <w:shd w:val="clear" w:color="auto" w:fill="FFFFFF"/>
        </w:rPr>
      </w:pPr>
      <w:r>
        <w:rPr>
          <w:rFonts w:hint="eastAsia" w:ascii="仿宋" w:hAnsi="仿宋" w:eastAsia="仿宋" w:cs="仿宋"/>
          <w:color w:val="auto"/>
          <w:sz w:val="30"/>
          <w:szCs w:val="30"/>
          <w:shd w:val="clear" w:color="auto" w:fill="FFFFFF"/>
        </w:rPr>
        <w:t>2.负责各级各类教育的统筹规划和协调管理，会同有关部门制订各级各类学校的设置标准，指导各级各类学校的教育教学改革，负责教育基本信息的统计、分析和发布。</w:t>
      </w:r>
    </w:p>
    <w:p w14:paraId="506389C5">
      <w:pPr>
        <w:pStyle w:val="5"/>
        <w:spacing w:before="0" w:beforeAutospacing="0" w:after="0" w:afterAutospacing="0" w:line="23" w:lineRule="atLeast"/>
        <w:ind w:firstLine="645"/>
        <w:rPr>
          <w:rFonts w:hint="eastAsia" w:ascii="仿宋" w:hAnsi="仿宋" w:eastAsia="仿宋" w:cs="仿宋"/>
          <w:color w:val="auto"/>
          <w:sz w:val="30"/>
          <w:szCs w:val="30"/>
          <w:shd w:val="clear" w:color="auto" w:fill="FFFFFF"/>
        </w:rPr>
      </w:pPr>
      <w:r>
        <w:rPr>
          <w:rFonts w:hint="eastAsia" w:ascii="仿宋" w:hAnsi="仿宋" w:eastAsia="仿宋" w:cs="仿宋"/>
          <w:color w:val="auto"/>
          <w:sz w:val="30"/>
          <w:szCs w:val="30"/>
          <w:shd w:val="clear" w:color="auto" w:fill="FFFFFF"/>
        </w:rPr>
        <w:t>3.负责推进义务教育均衡发展和促进教育公平，负责义务教育的宏观指导和协调；指导普通高中教育、幼儿教育和特殊教育工作。落实基础教育教学基本要求和教学基本文件，组织、参与基础教育地方教材的审定，全面实施素质教育。</w:t>
      </w:r>
    </w:p>
    <w:p w14:paraId="76BE717D">
      <w:pPr>
        <w:pStyle w:val="5"/>
        <w:spacing w:before="0" w:beforeAutospacing="0" w:after="0" w:afterAutospacing="0" w:line="23" w:lineRule="atLeast"/>
        <w:ind w:firstLine="645"/>
        <w:rPr>
          <w:rFonts w:hint="eastAsia" w:ascii="仿宋" w:hAnsi="仿宋" w:eastAsia="仿宋" w:cs="仿宋"/>
          <w:color w:val="auto"/>
          <w:sz w:val="30"/>
          <w:szCs w:val="30"/>
          <w:shd w:val="clear" w:color="auto" w:fill="FFFFFF"/>
        </w:rPr>
      </w:pPr>
      <w:r>
        <w:rPr>
          <w:rFonts w:hint="eastAsia" w:ascii="仿宋" w:hAnsi="仿宋" w:eastAsia="仿宋" w:cs="仿宋"/>
          <w:color w:val="auto"/>
          <w:sz w:val="30"/>
          <w:szCs w:val="30"/>
          <w:shd w:val="clear" w:color="auto" w:fill="FFFFFF"/>
        </w:rPr>
        <w:t>4.指导以就</w:t>
      </w:r>
      <w:bookmarkStart w:id="0" w:name="_GoBack"/>
      <w:bookmarkEnd w:id="0"/>
      <w:r>
        <w:rPr>
          <w:rFonts w:hint="eastAsia" w:ascii="仿宋" w:hAnsi="仿宋" w:eastAsia="仿宋" w:cs="仿宋"/>
          <w:color w:val="auto"/>
          <w:sz w:val="30"/>
          <w:szCs w:val="30"/>
          <w:shd w:val="clear" w:color="auto" w:fill="FFFFFF"/>
        </w:rPr>
        <w:t>业为导向的职业教育的发展与改革，落实教学指导文件和教学评估标准，指导中等职业教育教材建设和职业指导工作。</w:t>
      </w:r>
    </w:p>
    <w:p w14:paraId="0C5C3602">
      <w:pPr>
        <w:pStyle w:val="5"/>
        <w:spacing w:before="0" w:beforeAutospacing="0" w:after="0" w:afterAutospacing="0" w:line="23" w:lineRule="atLeast"/>
        <w:ind w:firstLine="645"/>
        <w:rPr>
          <w:rFonts w:hint="eastAsia" w:ascii="仿宋" w:hAnsi="仿宋" w:eastAsia="仿宋" w:cs="仿宋"/>
          <w:color w:val="auto"/>
          <w:sz w:val="30"/>
          <w:szCs w:val="30"/>
          <w:shd w:val="clear" w:color="auto" w:fill="FFFFFF"/>
        </w:rPr>
      </w:pPr>
      <w:r>
        <w:rPr>
          <w:rFonts w:hint="eastAsia" w:ascii="仿宋" w:hAnsi="仿宋" w:eastAsia="仿宋" w:cs="仿宋"/>
          <w:color w:val="auto"/>
          <w:sz w:val="30"/>
          <w:szCs w:val="30"/>
          <w:shd w:val="clear" w:color="auto" w:fill="FFFFFF"/>
        </w:rPr>
        <w:t>5.统筹指导全市基础教育、普通高等教育、职业技术教育、成人高等教育、高等教育自学考试以及民办教育等工作；指导、协调各县（市、区）和各部门有关教育工作；组织对普及九年义务教育的督导与评估。</w:t>
      </w:r>
    </w:p>
    <w:p w14:paraId="3ED3C30F">
      <w:pPr>
        <w:pStyle w:val="5"/>
        <w:spacing w:before="0" w:beforeAutospacing="0" w:after="0" w:afterAutospacing="0" w:line="23" w:lineRule="atLeast"/>
        <w:ind w:firstLine="645"/>
        <w:rPr>
          <w:rFonts w:hint="eastAsia" w:ascii="仿宋" w:hAnsi="仿宋" w:eastAsia="仿宋" w:cs="仿宋"/>
          <w:color w:val="auto"/>
          <w:sz w:val="30"/>
          <w:szCs w:val="30"/>
          <w:shd w:val="clear" w:color="auto" w:fill="FFFFFF"/>
        </w:rPr>
      </w:pPr>
      <w:r>
        <w:rPr>
          <w:rFonts w:hint="eastAsia" w:ascii="仿宋" w:hAnsi="仿宋" w:eastAsia="仿宋" w:cs="仿宋"/>
          <w:color w:val="auto"/>
          <w:sz w:val="30"/>
          <w:szCs w:val="30"/>
          <w:shd w:val="clear" w:color="auto" w:fill="FFFFFF"/>
        </w:rPr>
        <w:t>6.统筹管理本部门教育经费；参与拟订全市教育经费筹措、教育拨款、教育基建投资的政策性措施；负责统计和监测全市教育经费的投入和使用情况；接有关规定管理香港、澳门特别行政区和台湾地区以及国外政府和组织对我市的教育援助和教育贷款；指导、管理全市资助经济困难学生和助学贷款工作；指导和组织实施教育系统内部审计工作。</w:t>
      </w:r>
    </w:p>
    <w:p w14:paraId="3CA68EAA">
      <w:pPr>
        <w:pStyle w:val="5"/>
        <w:spacing w:before="0" w:beforeAutospacing="0" w:after="0" w:afterAutospacing="0" w:line="23" w:lineRule="atLeast"/>
        <w:ind w:firstLine="645"/>
        <w:rPr>
          <w:rFonts w:hint="eastAsia" w:ascii="仿宋" w:hAnsi="仿宋" w:eastAsia="仿宋" w:cs="仿宋"/>
          <w:color w:val="auto"/>
          <w:sz w:val="30"/>
          <w:szCs w:val="30"/>
          <w:shd w:val="clear" w:color="auto" w:fill="FFFFFF"/>
        </w:rPr>
      </w:pPr>
      <w:r>
        <w:rPr>
          <w:rFonts w:hint="eastAsia" w:ascii="仿宋" w:hAnsi="仿宋" w:eastAsia="仿宋" w:cs="仿宋"/>
          <w:color w:val="auto"/>
          <w:sz w:val="30"/>
          <w:szCs w:val="30"/>
          <w:shd w:val="clear" w:color="auto" w:fill="FFFFFF"/>
        </w:rPr>
        <w:t>7.统筹和指导少数民族教育工作，协调对少数民族地区和贫困地区的教育援助。</w:t>
      </w:r>
    </w:p>
    <w:p w14:paraId="630FBAB1">
      <w:pPr>
        <w:pStyle w:val="5"/>
        <w:spacing w:before="0" w:beforeAutospacing="0" w:after="0" w:afterAutospacing="0" w:line="23" w:lineRule="atLeast"/>
        <w:ind w:firstLine="645"/>
        <w:rPr>
          <w:rFonts w:hint="eastAsia" w:ascii="仿宋" w:hAnsi="仿宋" w:eastAsia="仿宋" w:cs="仿宋"/>
          <w:color w:val="auto"/>
          <w:sz w:val="30"/>
          <w:szCs w:val="30"/>
          <w:shd w:val="clear" w:color="auto" w:fill="FFFFFF"/>
        </w:rPr>
      </w:pPr>
      <w:r>
        <w:rPr>
          <w:rFonts w:hint="eastAsia" w:ascii="仿宋" w:hAnsi="仿宋" w:eastAsia="仿宋" w:cs="仿宋"/>
          <w:color w:val="auto"/>
          <w:sz w:val="30"/>
          <w:szCs w:val="30"/>
          <w:shd w:val="clear" w:color="auto" w:fill="FFFFFF"/>
        </w:rPr>
        <w:t>8.指导各级各类学校精神文明建设工作（增加的职责），指导各级各类学校的思想政治工作、德育工作、体育卫生、艺术教育和国防教育工作，指导和协调教育系统的稳定工作。</w:t>
      </w:r>
    </w:p>
    <w:p w14:paraId="2DBC0E53">
      <w:pPr>
        <w:pStyle w:val="5"/>
        <w:spacing w:before="0" w:beforeAutospacing="0" w:after="0" w:afterAutospacing="0" w:line="23" w:lineRule="atLeast"/>
        <w:ind w:firstLine="645"/>
        <w:rPr>
          <w:rFonts w:hint="eastAsia" w:ascii="仿宋" w:hAnsi="仿宋" w:eastAsia="仿宋" w:cs="仿宋"/>
          <w:color w:val="auto"/>
          <w:sz w:val="30"/>
          <w:szCs w:val="30"/>
          <w:shd w:val="clear" w:color="auto" w:fill="FFFFFF"/>
        </w:rPr>
      </w:pPr>
      <w:r>
        <w:rPr>
          <w:rFonts w:hint="eastAsia" w:ascii="仿宋" w:hAnsi="仿宋" w:eastAsia="仿宋" w:cs="仿宋"/>
          <w:color w:val="auto"/>
          <w:sz w:val="30"/>
          <w:szCs w:val="30"/>
          <w:shd w:val="clear" w:color="auto" w:fill="FFFFFF"/>
        </w:rPr>
        <w:t>9.依据《教师法》规定，在职责范围内，主管全市</w:t>
      </w:r>
      <w:r>
        <w:rPr>
          <w:rFonts w:hint="eastAsia" w:ascii="仿宋" w:hAnsi="仿宋" w:eastAsia="仿宋" w:cs="仿宋"/>
          <w:color w:val="auto"/>
          <w:sz w:val="30"/>
          <w:szCs w:val="30"/>
          <w:shd w:val="clear" w:color="auto" w:fill="FFFFFF"/>
          <w:lang w:eastAsia="zh-CN"/>
        </w:rPr>
        <w:t>教</w:t>
      </w:r>
      <w:r>
        <w:rPr>
          <w:rFonts w:hint="eastAsia" w:ascii="仿宋" w:hAnsi="仿宋" w:eastAsia="仿宋" w:cs="仿宋"/>
          <w:color w:val="auto"/>
          <w:sz w:val="30"/>
          <w:szCs w:val="30"/>
          <w:shd w:val="clear" w:color="auto" w:fill="FFFFFF"/>
        </w:rPr>
        <w:t>师工作；组织指导中小学教师的资格认定、招聘录用、职务评聘、培养培训、调配交流、档案管理和考核奖惩等工作；会同有关部门研究制定市内各级各类学校编制标准，并监督执行；指导教育系统人才队伍建设。</w:t>
      </w:r>
    </w:p>
    <w:p w14:paraId="596DC54B">
      <w:pPr>
        <w:pStyle w:val="5"/>
        <w:spacing w:before="0" w:beforeAutospacing="0" w:after="0" w:afterAutospacing="0" w:line="23" w:lineRule="atLeast"/>
        <w:ind w:firstLine="645"/>
        <w:rPr>
          <w:rFonts w:hint="eastAsia" w:ascii="仿宋" w:hAnsi="仿宋" w:eastAsia="仿宋" w:cs="仿宋"/>
          <w:color w:val="auto"/>
          <w:sz w:val="30"/>
          <w:szCs w:val="30"/>
          <w:shd w:val="clear" w:color="auto" w:fill="FFFFFF"/>
        </w:rPr>
      </w:pPr>
      <w:r>
        <w:rPr>
          <w:rFonts w:hint="eastAsia" w:ascii="仿宋" w:hAnsi="仿宋" w:eastAsia="仿宋" w:cs="仿宋"/>
          <w:color w:val="auto"/>
          <w:sz w:val="30"/>
          <w:szCs w:val="30"/>
          <w:shd w:val="clear" w:color="auto" w:fill="FFFFFF"/>
        </w:rPr>
        <w:t>10.统筹管理各类高等、中等学历教育的招生考试工作；负责高校毕业生和中专毕业生的就业指工作；参与高等学校、中等专业学校毕业生就业制度改革，指导高等学校、中等专业学校毕业生就业创业工作。</w:t>
      </w:r>
    </w:p>
    <w:p w14:paraId="1CA706AB">
      <w:pPr>
        <w:pStyle w:val="5"/>
        <w:spacing w:before="0" w:beforeAutospacing="0" w:after="0" w:afterAutospacing="0" w:line="23" w:lineRule="atLeast"/>
        <w:ind w:firstLine="645"/>
        <w:rPr>
          <w:rFonts w:hint="eastAsia" w:ascii="仿宋" w:hAnsi="仿宋" w:eastAsia="仿宋" w:cs="仿宋"/>
          <w:color w:val="auto"/>
          <w:sz w:val="30"/>
          <w:szCs w:val="30"/>
          <w:shd w:val="clear" w:color="auto" w:fill="FFFFFF"/>
        </w:rPr>
      </w:pPr>
      <w:r>
        <w:rPr>
          <w:rFonts w:hint="eastAsia" w:ascii="仿宋" w:hAnsi="仿宋" w:eastAsia="仿宋" w:cs="仿宋"/>
          <w:color w:val="auto"/>
          <w:sz w:val="30"/>
          <w:szCs w:val="30"/>
          <w:shd w:val="clear" w:color="auto" w:fill="FFFFFF"/>
        </w:rPr>
        <w:t>11.组织指导教育方面的国际交流与合作，统筹管理出国留学、来怀留学、中外合作办学，开展与香港、澳门特别行政区和台湾地区的教育合作与交</w:t>
      </w:r>
      <w:r>
        <w:rPr>
          <w:rFonts w:hint="eastAsia" w:ascii="仿宋" w:hAnsi="仿宋" w:eastAsia="仿宋" w:cs="仿宋"/>
          <w:color w:val="auto"/>
          <w:sz w:val="30"/>
          <w:szCs w:val="30"/>
          <w:shd w:val="clear" w:color="auto" w:fill="FFFFFF"/>
          <w:lang w:eastAsia="zh-CN"/>
        </w:rPr>
        <w:t>流</w:t>
      </w:r>
      <w:r>
        <w:rPr>
          <w:rFonts w:hint="eastAsia" w:ascii="仿宋" w:hAnsi="仿宋" w:eastAsia="仿宋" w:cs="仿宋"/>
          <w:color w:val="auto"/>
          <w:sz w:val="30"/>
          <w:szCs w:val="30"/>
          <w:shd w:val="clear" w:color="auto" w:fill="FFFFFF"/>
        </w:rPr>
        <w:t>，会同有关部门依法监督管理自费留学中介服务机构。</w:t>
      </w:r>
    </w:p>
    <w:p w14:paraId="3DB93583">
      <w:pPr>
        <w:pStyle w:val="5"/>
        <w:spacing w:before="0" w:beforeAutospacing="0" w:after="0" w:afterAutospacing="0" w:line="23" w:lineRule="atLeast"/>
        <w:ind w:firstLine="645"/>
        <w:rPr>
          <w:rFonts w:hint="eastAsia" w:ascii="仿宋" w:hAnsi="仿宋" w:eastAsia="仿宋" w:cs="仿宋"/>
          <w:color w:val="auto"/>
          <w:sz w:val="30"/>
          <w:szCs w:val="30"/>
          <w:shd w:val="clear" w:color="auto" w:fill="FFFFFF"/>
        </w:rPr>
      </w:pPr>
      <w:r>
        <w:rPr>
          <w:rFonts w:hint="eastAsia" w:ascii="仿宋" w:hAnsi="仿宋" w:eastAsia="仿宋" w:cs="仿宋"/>
          <w:color w:val="auto"/>
          <w:sz w:val="30"/>
          <w:szCs w:val="30"/>
          <w:shd w:val="clear" w:color="auto" w:fill="FFFFFF"/>
        </w:rPr>
        <w:t>12.组织、指导全市教育督导工作。</w:t>
      </w:r>
    </w:p>
    <w:p w14:paraId="646CA6AC">
      <w:pPr>
        <w:pStyle w:val="5"/>
        <w:spacing w:before="0" w:beforeAutospacing="0" w:after="0" w:afterAutospacing="0" w:line="23" w:lineRule="atLeast"/>
        <w:ind w:firstLine="645"/>
        <w:rPr>
          <w:rFonts w:hint="eastAsia" w:ascii="仿宋" w:hAnsi="仿宋" w:eastAsia="仿宋" w:cs="仿宋"/>
          <w:color w:val="auto"/>
          <w:sz w:val="30"/>
          <w:szCs w:val="30"/>
          <w:shd w:val="clear" w:color="auto" w:fill="FFFFFF"/>
        </w:rPr>
      </w:pPr>
      <w:r>
        <w:rPr>
          <w:rFonts w:hint="eastAsia" w:ascii="仿宋" w:hAnsi="仿宋" w:eastAsia="仿宋" w:cs="仿宋"/>
          <w:color w:val="auto"/>
          <w:sz w:val="30"/>
          <w:szCs w:val="30"/>
          <w:shd w:val="clear" w:color="auto" w:fill="FFFFFF"/>
        </w:rPr>
        <w:t>13.统筹管理全市语言文字工作，制定全市语言文字规划并组织实施，指导推广普通话和规范字及普通话师资培训工作。</w:t>
      </w:r>
    </w:p>
    <w:p w14:paraId="14727BDE">
      <w:pPr>
        <w:pStyle w:val="5"/>
        <w:spacing w:before="0" w:beforeAutospacing="0" w:after="0" w:afterAutospacing="0" w:line="23" w:lineRule="atLeast"/>
        <w:ind w:firstLine="645"/>
        <w:rPr>
          <w:rFonts w:hint="eastAsia" w:ascii="仿宋" w:hAnsi="仿宋" w:eastAsia="仿宋" w:cs="仿宋"/>
          <w:color w:val="auto"/>
          <w:sz w:val="30"/>
          <w:szCs w:val="30"/>
          <w:shd w:val="clear" w:color="auto" w:fill="FFFFFF"/>
        </w:rPr>
      </w:pPr>
      <w:r>
        <w:rPr>
          <w:rFonts w:hint="eastAsia" w:ascii="仿宋" w:hAnsi="仿宋" w:eastAsia="仿宋" w:cs="仿宋"/>
          <w:color w:val="auto"/>
          <w:sz w:val="30"/>
          <w:szCs w:val="30"/>
          <w:shd w:val="clear" w:color="auto" w:fill="FFFFFF"/>
        </w:rPr>
        <w:t>14.协助市委织组织部考察和管理学校领导班子和领导干部。</w:t>
      </w:r>
    </w:p>
    <w:p w14:paraId="46AE6D39">
      <w:pPr>
        <w:pStyle w:val="5"/>
        <w:spacing w:before="0" w:beforeAutospacing="0" w:after="0" w:afterAutospacing="0" w:line="23" w:lineRule="atLeast"/>
        <w:ind w:firstLine="645"/>
        <w:rPr>
          <w:rFonts w:hint="eastAsia" w:ascii="仿宋" w:hAnsi="仿宋" w:eastAsia="仿宋" w:cs="仿宋"/>
          <w:color w:val="auto"/>
          <w:sz w:val="30"/>
          <w:szCs w:val="30"/>
          <w:shd w:val="clear" w:color="auto" w:fill="FFFFFF"/>
        </w:rPr>
      </w:pPr>
      <w:r>
        <w:rPr>
          <w:rFonts w:hint="eastAsia" w:ascii="仿宋" w:hAnsi="仿宋" w:eastAsia="仿宋" w:cs="仿宋"/>
          <w:color w:val="auto"/>
          <w:sz w:val="30"/>
          <w:szCs w:val="30"/>
          <w:shd w:val="clear" w:color="auto" w:fill="FFFFFF"/>
        </w:rPr>
        <w:t>15.行政审批事项：取消、下放、调整、增加由市人民政府公布予以变动的行政审批事项。</w:t>
      </w:r>
    </w:p>
    <w:p w14:paraId="4B63D805">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00" w:firstLineChars="200"/>
        <w:jc w:val="left"/>
        <w:textAlignment w:val="auto"/>
        <w:outlineLvl w:val="9"/>
        <w:rPr>
          <w:rFonts w:hint="eastAsia" w:ascii="仿宋" w:hAnsi="仿宋" w:eastAsia="仿宋" w:cs="仿宋"/>
          <w:bCs/>
          <w:kern w:val="0"/>
          <w:sz w:val="30"/>
          <w:szCs w:val="30"/>
        </w:rPr>
      </w:pPr>
      <w:r>
        <w:rPr>
          <w:rFonts w:hint="eastAsia" w:ascii="仿宋" w:hAnsi="仿宋" w:eastAsia="仿宋" w:cs="仿宋"/>
          <w:color w:val="auto"/>
          <w:sz w:val="30"/>
          <w:szCs w:val="30"/>
          <w:shd w:val="clear" w:color="auto" w:fill="FFFFFF"/>
        </w:rPr>
        <w:t>16.承办市人民政府交办的其他事项。</w:t>
      </w:r>
    </w:p>
    <w:p w14:paraId="4FAB4904">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02" w:firstLineChars="200"/>
        <w:jc w:val="left"/>
        <w:textAlignment w:val="auto"/>
        <w:outlineLvl w:val="9"/>
        <w:rPr>
          <w:rFonts w:hint="eastAsia" w:ascii="仿宋" w:hAnsi="仿宋" w:eastAsia="仿宋" w:cs="仿宋"/>
          <w:b/>
          <w:bCs w:val="0"/>
          <w:kern w:val="0"/>
          <w:sz w:val="30"/>
          <w:szCs w:val="30"/>
        </w:rPr>
      </w:pPr>
      <w:r>
        <w:rPr>
          <w:rFonts w:hint="eastAsia" w:ascii="仿宋" w:hAnsi="仿宋" w:eastAsia="仿宋" w:cs="仿宋"/>
          <w:b/>
          <w:bCs w:val="0"/>
          <w:kern w:val="0"/>
          <w:sz w:val="30"/>
          <w:szCs w:val="30"/>
        </w:rPr>
        <w:t>（二）机构设置情况</w:t>
      </w:r>
    </w:p>
    <w:p w14:paraId="29E3E86B">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00" w:firstLineChars="200"/>
        <w:jc w:val="left"/>
        <w:textAlignment w:val="auto"/>
        <w:outlineLvl w:val="9"/>
        <w:rPr>
          <w:rFonts w:hint="eastAsia" w:ascii="仿宋" w:hAnsi="仿宋" w:eastAsia="仿宋" w:cs="仿宋"/>
          <w:bCs/>
          <w:kern w:val="0"/>
          <w:sz w:val="30"/>
          <w:szCs w:val="30"/>
        </w:rPr>
      </w:pPr>
      <w:r>
        <w:rPr>
          <w:rFonts w:hint="eastAsia" w:ascii="仿宋" w:hAnsi="仿宋" w:eastAsia="仿宋" w:cs="仿宋"/>
          <w:sz w:val="30"/>
          <w:szCs w:val="30"/>
          <w:lang w:eastAsia="zh-CN"/>
        </w:rPr>
        <w:t>怀化市教育局作为一级部门预算单位，内设科室为：</w:t>
      </w:r>
      <w:r>
        <w:rPr>
          <w:rFonts w:hint="eastAsia" w:ascii="仿宋" w:hAnsi="仿宋" w:eastAsia="仿宋" w:cs="仿宋"/>
          <w:b w:val="0"/>
          <w:bCs w:val="0"/>
          <w:sz w:val="30"/>
          <w:szCs w:val="30"/>
          <w:lang w:eastAsia="zh-CN"/>
        </w:rPr>
        <w:t>办公室（市委教育工作领导小组秘书组秘书科）、行政审批服务科(政策法规科)、发展规划与财务建设科(审计科)、师资教育科、基础教育科(民族教育科)、职业教育与成人教育科、体育卫生与艺术教育科、教育督导科、校外教育培训监管科、安全监督管理科、人事科（毕业生就业指导办公室）。机关党委（单列）。所属事业单位现共有9个：怀化市教育考试院、怀化市教师发展中心、怀化市学校安全服务中心、怀化市教育装备服务中心、怀化市教育科学研究院、怀化市民办教育服务中心、怀化市勤工俭学站、怀化市学生资助中心、怀化市教育信息中心。</w:t>
      </w:r>
    </w:p>
    <w:p w14:paraId="5200A8D6">
      <w:pPr>
        <w:keepNext w:val="0"/>
        <w:keepLines w:val="0"/>
        <w:pageBreakBefore w:val="0"/>
        <w:widowControl/>
        <w:kinsoku/>
        <w:wordWrap/>
        <w:overflowPunct/>
        <w:topLinePunct w:val="0"/>
        <w:autoSpaceDE/>
        <w:autoSpaceDN/>
        <w:bidi w:val="0"/>
        <w:adjustRightInd/>
        <w:snapToGrid/>
        <w:spacing w:line="500" w:lineRule="auto"/>
        <w:ind w:left="0" w:leftChars="0" w:right="0" w:rightChars="0" w:firstLine="627" w:firstLineChars="196"/>
        <w:jc w:val="left"/>
        <w:textAlignment w:val="auto"/>
        <w:outlineLvl w:val="9"/>
        <w:rPr>
          <w:rFonts w:hint="eastAsia" w:eastAsia="黑体" w:cs="Times New Roman"/>
          <w:bCs/>
          <w:kern w:val="0"/>
          <w:sz w:val="32"/>
          <w:szCs w:val="32"/>
        </w:rPr>
      </w:pPr>
      <w:r>
        <w:rPr>
          <w:rFonts w:hint="eastAsia" w:eastAsia="黑体" w:cs="Times New Roman"/>
          <w:bCs/>
          <w:kern w:val="0"/>
          <w:sz w:val="32"/>
          <w:szCs w:val="32"/>
        </w:rPr>
        <w:t>二、部门预算单位构成</w:t>
      </w:r>
    </w:p>
    <w:p w14:paraId="446AF700">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00" w:firstLineChars="200"/>
        <w:jc w:val="left"/>
        <w:textAlignment w:val="auto"/>
        <w:outlineLvl w:val="9"/>
        <w:rPr>
          <w:rFonts w:hint="eastAsia" w:ascii="仿宋" w:hAnsi="仿宋" w:eastAsia="仿宋" w:cs="仿宋"/>
          <w:bCs/>
          <w:kern w:val="0"/>
          <w:sz w:val="30"/>
          <w:szCs w:val="30"/>
        </w:rPr>
      </w:pPr>
      <w:r>
        <w:rPr>
          <w:rFonts w:hint="eastAsia" w:ascii="仿宋" w:hAnsi="仿宋" w:eastAsia="仿宋" w:cs="仿宋"/>
          <w:bCs/>
          <w:kern w:val="0"/>
          <w:sz w:val="30"/>
          <w:szCs w:val="30"/>
        </w:rPr>
        <w:t>纳入2026年怀化市教育局部门预算编制范围的包括：怀化市教育局部门本级，无下属二级预算单位。</w:t>
      </w:r>
    </w:p>
    <w:p w14:paraId="1DD7868B">
      <w:pPr>
        <w:keepNext w:val="0"/>
        <w:keepLines w:val="0"/>
        <w:pageBreakBefore w:val="0"/>
        <w:widowControl/>
        <w:kinsoku/>
        <w:wordWrap/>
        <w:overflowPunct/>
        <w:topLinePunct w:val="0"/>
        <w:autoSpaceDE/>
        <w:autoSpaceDN/>
        <w:bidi w:val="0"/>
        <w:adjustRightInd/>
        <w:snapToGrid/>
        <w:spacing w:line="500" w:lineRule="auto"/>
        <w:ind w:left="0" w:leftChars="0" w:right="0" w:rightChars="0" w:firstLine="627" w:firstLineChars="196"/>
        <w:jc w:val="left"/>
        <w:textAlignment w:val="auto"/>
        <w:outlineLvl w:val="9"/>
        <w:rPr>
          <w:rFonts w:hint="eastAsia" w:eastAsia="黑体" w:cs="Times New Roman"/>
          <w:bCs/>
          <w:kern w:val="0"/>
          <w:sz w:val="32"/>
          <w:szCs w:val="32"/>
        </w:rPr>
      </w:pPr>
      <w:r>
        <w:rPr>
          <w:rFonts w:hint="eastAsia" w:eastAsia="黑体" w:cs="Times New Roman"/>
          <w:bCs/>
          <w:kern w:val="0"/>
          <w:sz w:val="32"/>
          <w:szCs w:val="32"/>
        </w:rPr>
        <w:t>三、部门收支总体情况</w:t>
      </w:r>
    </w:p>
    <w:p w14:paraId="63A9D817">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00" w:firstLineChars="200"/>
        <w:jc w:val="left"/>
        <w:textAlignment w:val="auto"/>
        <w:outlineLvl w:val="9"/>
        <w:rPr>
          <w:rFonts w:hint="eastAsia" w:ascii="仿宋" w:hAnsi="仿宋" w:eastAsia="仿宋" w:cs="仿宋"/>
          <w:bCs/>
          <w:kern w:val="0"/>
          <w:sz w:val="30"/>
          <w:szCs w:val="30"/>
        </w:rPr>
      </w:pPr>
      <w:r>
        <w:rPr>
          <w:rFonts w:hint="eastAsia" w:ascii="仿宋" w:hAnsi="仿宋" w:eastAsia="仿宋" w:cs="仿宋"/>
          <w:bCs/>
          <w:kern w:val="0"/>
          <w:sz w:val="30"/>
          <w:szCs w:val="30"/>
        </w:rPr>
        <w:t>2026年部门预算包括本单位预算内的收支情况。</w:t>
      </w:r>
    </w:p>
    <w:p w14:paraId="1C74016F">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02" w:firstLineChars="200"/>
        <w:jc w:val="left"/>
        <w:textAlignment w:val="auto"/>
        <w:outlineLvl w:val="9"/>
        <w:rPr>
          <w:rFonts w:hint="eastAsia" w:ascii="仿宋" w:hAnsi="仿宋" w:eastAsia="仿宋" w:cs="仿宋"/>
          <w:b/>
          <w:bCs w:val="0"/>
          <w:kern w:val="0"/>
          <w:sz w:val="30"/>
          <w:szCs w:val="30"/>
        </w:rPr>
      </w:pPr>
      <w:r>
        <w:rPr>
          <w:rFonts w:hint="eastAsia" w:ascii="仿宋" w:hAnsi="仿宋" w:eastAsia="仿宋" w:cs="仿宋"/>
          <w:b/>
          <w:bCs w:val="0"/>
          <w:kern w:val="0"/>
          <w:sz w:val="30"/>
          <w:szCs w:val="30"/>
        </w:rPr>
        <w:t>（一）收入预算</w:t>
      </w:r>
    </w:p>
    <w:p w14:paraId="5C6D0595">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00" w:firstLineChars="200"/>
        <w:jc w:val="left"/>
        <w:textAlignment w:val="auto"/>
        <w:outlineLvl w:val="9"/>
        <w:rPr>
          <w:rFonts w:hint="eastAsia" w:ascii="仿宋" w:hAnsi="仿宋" w:eastAsia="仿宋" w:cs="仿宋"/>
          <w:bCs/>
          <w:kern w:val="0"/>
          <w:sz w:val="30"/>
          <w:szCs w:val="30"/>
        </w:rPr>
      </w:pPr>
      <w:r>
        <w:rPr>
          <w:rFonts w:hint="eastAsia" w:ascii="仿宋" w:hAnsi="仿宋" w:eastAsia="仿宋" w:cs="仿宋"/>
          <w:bCs/>
          <w:kern w:val="0"/>
          <w:sz w:val="30"/>
          <w:szCs w:val="30"/>
        </w:rPr>
        <w:t>包括一般公共预算、政府性基金、国有资本经营预算等财政拨款收入，以及经营收入、事业收入等单位资金。2026年年初本部门收入预算3728.63万元，其中，一般公共预算拨款2588.63万元，政府性基金预算拨款0万元，纳入财政专户管理的非税收入拨款1140.00万元，国有资本经营预算拨款0万元，上年结转结余0万元。同口径对比，收入较上年减少243.17万元，增长率-6.12%，主要原因是持续贯彻厉行节约要求，压减非刚性支出，同时财政专户管理的非税收入较上年有所下降。</w:t>
      </w:r>
    </w:p>
    <w:p w14:paraId="54F17605">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02" w:firstLineChars="200"/>
        <w:jc w:val="left"/>
        <w:textAlignment w:val="auto"/>
        <w:outlineLvl w:val="9"/>
        <w:rPr>
          <w:rFonts w:hint="eastAsia" w:ascii="仿宋" w:hAnsi="仿宋" w:eastAsia="仿宋" w:cs="仿宋"/>
          <w:b/>
          <w:bCs w:val="0"/>
          <w:kern w:val="0"/>
          <w:sz w:val="30"/>
          <w:szCs w:val="30"/>
        </w:rPr>
      </w:pPr>
      <w:r>
        <w:rPr>
          <w:rFonts w:hint="eastAsia" w:ascii="仿宋" w:hAnsi="仿宋" w:eastAsia="仿宋" w:cs="仿宋"/>
          <w:b/>
          <w:bCs w:val="0"/>
          <w:kern w:val="0"/>
          <w:sz w:val="30"/>
          <w:szCs w:val="30"/>
        </w:rPr>
        <w:t>（二）支出预算</w:t>
      </w:r>
    </w:p>
    <w:p w14:paraId="2D8A8C40">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00" w:firstLineChars="200"/>
        <w:jc w:val="left"/>
        <w:textAlignment w:val="auto"/>
        <w:outlineLvl w:val="9"/>
        <w:rPr>
          <w:rFonts w:hint="eastAsia" w:ascii="仿宋" w:hAnsi="仿宋" w:eastAsia="仿宋" w:cs="仿宋"/>
          <w:bCs/>
          <w:kern w:val="0"/>
          <w:sz w:val="30"/>
          <w:szCs w:val="30"/>
        </w:rPr>
      </w:pPr>
      <w:r>
        <w:rPr>
          <w:rFonts w:hint="eastAsia" w:ascii="仿宋" w:hAnsi="仿宋" w:eastAsia="仿宋" w:cs="仿宋"/>
          <w:bCs/>
          <w:kern w:val="0"/>
          <w:sz w:val="30"/>
          <w:szCs w:val="30"/>
        </w:rPr>
        <w:t>2026年本部门支出预算数3728.63万元，其中，教育支出3728.63万元，占总支出的100%；一般公共服务支出、社会保障和就业支出、卫生健康支出、住房保障支出等其他支出均为0万元（支出科目归类优化调整）。同口径对比，支出较上年减少243.17万元，增长率-6.12%，主要原因是同步压减公用经费和部分专项支出，聚焦教育核心业务保障。</w:t>
      </w:r>
    </w:p>
    <w:p w14:paraId="5E58EB59">
      <w:pPr>
        <w:keepNext w:val="0"/>
        <w:keepLines w:val="0"/>
        <w:pageBreakBefore w:val="0"/>
        <w:widowControl/>
        <w:kinsoku/>
        <w:wordWrap/>
        <w:overflowPunct/>
        <w:topLinePunct w:val="0"/>
        <w:autoSpaceDE/>
        <w:autoSpaceDN/>
        <w:bidi w:val="0"/>
        <w:adjustRightInd/>
        <w:snapToGrid/>
        <w:spacing w:line="500" w:lineRule="auto"/>
        <w:ind w:left="0" w:leftChars="0" w:right="0" w:rightChars="0" w:firstLine="627" w:firstLineChars="196"/>
        <w:jc w:val="left"/>
        <w:textAlignment w:val="auto"/>
        <w:outlineLvl w:val="9"/>
        <w:rPr>
          <w:rFonts w:hint="eastAsia" w:eastAsia="黑体" w:cs="Times New Roman"/>
          <w:bCs/>
          <w:kern w:val="0"/>
          <w:sz w:val="32"/>
          <w:szCs w:val="32"/>
        </w:rPr>
      </w:pPr>
      <w:r>
        <w:rPr>
          <w:rFonts w:hint="eastAsia" w:eastAsia="黑体" w:cs="Times New Roman"/>
          <w:bCs/>
          <w:kern w:val="0"/>
          <w:sz w:val="32"/>
          <w:szCs w:val="32"/>
        </w:rPr>
        <w:t>四、一般公共预算财政拨款收支情况</w:t>
      </w:r>
    </w:p>
    <w:p w14:paraId="1CB0BF0B">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00" w:firstLineChars="200"/>
        <w:jc w:val="left"/>
        <w:textAlignment w:val="auto"/>
        <w:outlineLvl w:val="9"/>
        <w:rPr>
          <w:rFonts w:hint="eastAsia" w:ascii="仿宋" w:hAnsi="仿宋" w:eastAsia="仿宋" w:cs="仿宋"/>
          <w:bCs/>
          <w:kern w:val="0"/>
          <w:sz w:val="30"/>
          <w:szCs w:val="30"/>
        </w:rPr>
      </w:pPr>
      <w:r>
        <w:rPr>
          <w:rFonts w:hint="eastAsia" w:ascii="仿宋" w:hAnsi="仿宋" w:eastAsia="仿宋" w:cs="仿宋"/>
          <w:bCs/>
          <w:kern w:val="0"/>
          <w:sz w:val="30"/>
          <w:szCs w:val="30"/>
        </w:rPr>
        <w:t>2026年本部门一般公共预算拨款支出为2588.63万元，全部为教育支出，占一般公共预算拨款支出的100%。具体安排情况如下：</w:t>
      </w:r>
    </w:p>
    <w:p w14:paraId="75AFA2A7">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02" w:firstLineChars="200"/>
        <w:jc w:val="left"/>
        <w:textAlignment w:val="auto"/>
        <w:outlineLvl w:val="9"/>
        <w:rPr>
          <w:rFonts w:hint="eastAsia" w:ascii="仿宋" w:hAnsi="仿宋" w:eastAsia="仿宋" w:cs="仿宋"/>
          <w:b/>
          <w:bCs w:val="0"/>
          <w:kern w:val="0"/>
          <w:sz w:val="30"/>
          <w:szCs w:val="30"/>
        </w:rPr>
      </w:pPr>
      <w:r>
        <w:rPr>
          <w:rFonts w:hint="eastAsia" w:ascii="仿宋" w:hAnsi="仿宋" w:eastAsia="仿宋" w:cs="仿宋"/>
          <w:b/>
          <w:bCs w:val="0"/>
          <w:kern w:val="0"/>
          <w:sz w:val="30"/>
          <w:szCs w:val="30"/>
        </w:rPr>
        <w:t>（一）基本支出</w:t>
      </w:r>
    </w:p>
    <w:p w14:paraId="6BF73D7E">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00" w:firstLineChars="200"/>
        <w:jc w:val="left"/>
        <w:textAlignment w:val="auto"/>
        <w:outlineLvl w:val="9"/>
        <w:rPr>
          <w:rFonts w:hint="eastAsia" w:ascii="仿宋" w:hAnsi="仿宋" w:eastAsia="仿宋" w:cs="仿宋"/>
          <w:bCs/>
          <w:kern w:val="0"/>
          <w:sz w:val="30"/>
          <w:szCs w:val="30"/>
        </w:rPr>
      </w:pPr>
      <w:r>
        <w:rPr>
          <w:rFonts w:hint="eastAsia" w:ascii="仿宋" w:hAnsi="仿宋" w:eastAsia="仿宋" w:cs="仿宋"/>
          <w:bCs/>
          <w:kern w:val="0"/>
          <w:sz w:val="30"/>
          <w:szCs w:val="30"/>
        </w:rPr>
        <w:t>2026年年初预算数为2503.63万元，是指为保障单位机构正常运转、完成日常工作任务而发生的各项支出。其中：</w:t>
      </w:r>
    </w:p>
    <w:p w14:paraId="4F232AC2">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00" w:firstLineChars="200"/>
        <w:jc w:val="left"/>
        <w:textAlignment w:val="auto"/>
        <w:outlineLvl w:val="9"/>
        <w:rPr>
          <w:rFonts w:hint="eastAsia" w:ascii="仿宋" w:hAnsi="仿宋" w:eastAsia="仿宋" w:cs="仿宋"/>
          <w:bCs/>
          <w:kern w:val="0"/>
          <w:sz w:val="30"/>
          <w:szCs w:val="30"/>
        </w:rPr>
      </w:pPr>
      <w:r>
        <w:rPr>
          <w:rFonts w:hint="eastAsia" w:ascii="仿宋" w:hAnsi="仿宋" w:eastAsia="仿宋" w:cs="仿宋"/>
          <w:bCs/>
          <w:kern w:val="0"/>
          <w:sz w:val="30"/>
          <w:szCs w:val="30"/>
          <w:lang w:val="en-US" w:eastAsia="zh-CN"/>
        </w:rPr>
        <w:t>1.</w:t>
      </w:r>
      <w:r>
        <w:rPr>
          <w:rFonts w:hint="eastAsia" w:ascii="仿宋" w:hAnsi="仿宋" w:eastAsia="仿宋" w:cs="仿宋"/>
          <w:bCs/>
          <w:kern w:val="0"/>
          <w:sz w:val="30"/>
          <w:szCs w:val="30"/>
        </w:rPr>
        <w:t>人员经费2107.38万元，主要用于基本工资692.69万元、津贴补贴83.08万元、奖金361.30万元、绩效工资248.69万元、职工基本医疗保险缴费91.45万元、其他社会保障缴费62.50万元、机关事业单位基本养老保险缴费205.07万元、住房公积金170.93万元、退休费11.40万元、其他对个人和家庭的补助180.27万元、奖励金0.05万元等；</w:t>
      </w:r>
    </w:p>
    <w:p w14:paraId="1D97868C">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00" w:firstLineChars="200"/>
        <w:jc w:val="left"/>
        <w:textAlignment w:val="auto"/>
        <w:outlineLvl w:val="9"/>
        <w:rPr>
          <w:rFonts w:hint="eastAsia" w:ascii="仿宋" w:hAnsi="仿宋" w:eastAsia="仿宋" w:cs="仿宋"/>
          <w:bCs/>
          <w:kern w:val="0"/>
          <w:sz w:val="30"/>
          <w:szCs w:val="30"/>
        </w:rPr>
      </w:pPr>
      <w:r>
        <w:rPr>
          <w:rFonts w:hint="eastAsia" w:ascii="仿宋" w:hAnsi="仿宋" w:eastAsia="仿宋" w:cs="仿宋"/>
          <w:bCs/>
          <w:kern w:val="0"/>
          <w:sz w:val="30"/>
          <w:szCs w:val="30"/>
          <w:lang w:val="en-US" w:eastAsia="zh-CN"/>
        </w:rPr>
        <w:t>2.</w:t>
      </w:r>
      <w:r>
        <w:rPr>
          <w:rFonts w:hint="eastAsia" w:ascii="仿宋" w:hAnsi="仿宋" w:eastAsia="仿宋" w:cs="仿宋"/>
          <w:bCs/>
          <w:kern w:val="0"/>
          <w:sz w:val="30"/>
          <w:szCs w:val="30"/>
        </w:rPr>
        <w:t>公用经费396.26万元，主要用于办公费64.97万元、印刷费10.00万元、水费13.00万元、电费28.00万元、邮电费11.00万元、物业管理费26.45万元、差旅费30.00万元、维修（护）费9.00万元、租赁费5.40万元、会议费8.00万元、培训费5.00万元、公务接待费1.00万元、劳务费13.25万元、委托业务费5.00万元、工会经费45.34万元（25.34万元+20.00万元）、公务用车运行维护费5.80万元、其他交通费用73.57万元、其他商品和服务支出16.10万元等。</w:t>
      </w:r>
    </w:p>
    <w:p w14:paraId="3651196C">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02" w:firstLineChars="200"/>
        <w:jc w:val="left"/>
        <w:textAlignment w:val="auto"/>
        <w:outlineLvl w:val="9"/>
        <w:rPr>
          <w:rFonts w:hint="eastAsia" w:ascii="仿宋" w:hAnsi="仿宋" w:eastAsia="仿宋" w:cs="仿宋"/>
          <w:b/>
          <w:bCs w:val="0"/>
          <w:kern w:val="0"/>
          <w:sz w:val="30"/>
          <w:szCs w:val="30"/>
        </w:rPr>
      </w:pPr>
      <w:r>
        <w:rPr>
          <w:rFonts w:hint="eastAsia" w:ascii="仿宋" w:hAnsi="仿宋" w:eastAsia="仿宋" w:cs="仿宋"/>
          <w:b/>
          <w:bCs w:val="0"/>
          <w:kern w:val="0"/>
          <w:sz w:val="30"/>
          <w:szCs w:val="30"/>
        </w:rPr>
        <w:t>（二）项目支出</w:t>
      </w:r>
    </w:p>
    <w:p w14:paraId="727235BD">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00" w:firstLineChars="200"/>
        <w:jc w:val="left"/>
        <w:textAlignment w:val="auto"/>
        <w:outlineLvl w:val="9"/>
        <w:rPr>
          <w:rFonts w:hint="eastAsia" w:ascii="仿宋" w:hAnsi="仿宋" w:eastAsia="仿宋" w:cs="仿宋"/>
          <w:bCs/>
          <w:kern w:val="0"/>
          <w:sz w:val="30"/>
          <w:szCs w:val="30"/>
        </w:rPr>
      </w:pPr>
      <w:r>
        <w:rPr>
          <w:rFonts w:hint="eastAsia" w:ascii="仿宋" w:hAnsi="仿宋" w:eastAsia="仿宋" w:cs="仿宋"/>
          <w:bCs/>
          <w:kern w:val="0"/>
          <w:sz w:val="30"/>
          <w:szCs w:val="30"/>
        </w:rPr>
        <w:t>2026年年初预算数为85.00万元，是指单位为完成特定行政工作任务或事业发展目标而发生的支出。其中：</w:t>
      </w:r>
    </w:p>
    <w:p w14:paraId="303ACC57">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00" w:firstLineChars="200"/>
        <w:jc w:val="left"/>
        <w:textAlignment w:val="auto"/>
        <w:outlineLvl w:val="9"/>
        <w:rPr>
          <w:rFonts w:hint="eastAsia" w:ascii="仿宋" w:hAnsi="仿宋" w:eastAsia="仿宋" w:cs="仿宋"/>
          <w:bCs/>
          <w:kern w:val="0"/>
          <w:sz w:val="30"/>
          <w:szCs w:val="30"/>
        </w:rPr>
      </w:pPr>
      <w:r>
        <w:rPr>
          <w:rFonts w:hint="eastAsia" w:ascii="仿宋" w:hAnsi="仿宋" w:eastAsia="仿宋" w:cs="仿宋"/>
          <w:bCs/>
          <w:kern w:val="0"/>
          <w:sz w:val="30"/>
          <w:szCs w:val="30"/>
          <w:lang w:val="en-US" w:eastAsia="zh-CN"/>
        </w:rPr>
        <w:t>1.</w:t>
      </w:r>
      <w:r>
        <w:rPr>
          <w:rFonts w:hint="eastAsia" w:ascii="仿宋" w:hAnsi="仿宋" w:eastAsia="仿宋" w:cs="仿宋"/>
          <w:bCs/>
          <w:kern w:val="0"/>
          <w:sz w:val="30"/>
          <w:szCs w:val="30"/>
        </w:rPr>
        <w:t>教育督导经费5.00万元，主要用于开展常态化教育督导与专项督导工作，规范学校办学行为，强化教育质量监测与校园安全管控；</w:t>
      </w:r>
    </w:p>
    <w:p w14:paraId="73791101">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00" w:firstLineChars="200"/>
        <w:jc w:val="left"/>
        <w:textAlignment w:val="auto"/>
        <w:outlineLvl w:val="9"/>
        <w:rPr>
          <w:rFonts w:hint="eastAsia" w:ascii="仿宋" w:hAnsi="仿宋" w:eastAsia="仿宋" w:cs="仿宋"/>
          <w:bCs/>
          <w:kern w:val="0"/>
          <w:sz w:val="30"/>
          <w:szCs w:val="30"/>
        </w:rPr>
      </w:pPr>
      <w:r>
        <w:rPr>
          <w:rFonts w:hint="eastAsia" w:ascii="仿宋" w:hAnsi="仿宋" w:eastAsia="仿宋" w:cs="仿宋"/>
          <w:bCs/>
          <w:kern w:val="0"/>
          <w:sz w:val="30"/>
          <w:szCs w:val="30"/>
          <w:lang w:val="en-US" w:eastAsia="zh-CN"/>
        </w:rPr>
        <w:t>2.</w:t>
      </w:r>
      <w:r>
        <w:rPr>
          <w:rFonts w:hint="eastAsia" w:ascii="仿宋" w:hAnsi="仿宋" w:eastAsia="仿宋" w:cs="仿宋"/>
          <w:bCs/>
          <w:kern w:val="0"/>
          <w:sz w:val="30"/>
          <w:szCs w:val="30"/>
        </w:rPr>
        <w:t>考试考务职称评审等工作经费80.00万元，主要用于各类考试考务组织、职称评审相关工作，保障考试公平公正和评审工作规范有序开展。</w:t>
      </w:r>
    </w:p>
    <w:p w14:paraId="66EAD44F">
      <w:pPr>
        <w:keepNext w:val="0"/>
        <w:keepLines w:val="0"/>
        <w:pageBreakBefore w:val="0"/>
        <w:widowControl/>
        <w:kinsoku/>
        <w:wordWrap/>
        <w:overflowPunct/>
        <w:topLinePunct w:val="0"/>
        <w:autoSpaceDE/>
        <w:autoSpaceDN/>
        <w:bidi w:val="0"/>
        <w:adjustRightInd/>
        <w:snapToGrid/>
        <w:spacing w:line="500" w:lineRule="auto"/>
        <w:ind w:left="0" w:leftChars="0" w:right="0" w:rightChars="0" w:firstLine="627" w:firstLineChars="196"/>
        <w:jc w:val="left"/>
        <w:textAlignment w:val="auto"/>
        <w:outlineLvl w:val="9"/>
        <w:rPr>
          <w:rFonts w:hint="eastAsia" w:eastAsia="黑体" w:cs="Times New Roman"/>
          <w:bCs/>
          <w:kern w:val="0"/>
          <w:sz w:val="32"/>
          <w:szCs w:val="32"/>
        </w:rPr>
      </w:pPr>
      <w:r>
        <w:rPr>
          <w:rFonts w:hint="eastAsia" w:eastAsia="黑体" w:cs="Times New Roman"/>
          <w:bCs/>
          <w:kern w:val="0"/>
          <w:sz w:val="32"/>
          <w:szCs w:val="32"/>
        </w:rPr>
        <w:t>五、政府性基金支出情况</w:t>
      </w:r>
    </w:p>
    <w:p w14:paraId="308370AB">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00" w:firstLineChars="200"/>
        <w:jc w:val="left"/>
        <w:textAlignment w:val="auto"/>
        <w:outlineLvl w:val="9"/>
        <w:rPr>
          <w:rFonts w:hint="eastAsia" w:ascii="仿宋" w:hAnsi="仿宋" w:eastAsia="仿宋" w:cs="仿宋"/>
          <w:bCs/>
          <w:kern w:val="0"/>
          <w:sz w:val="30"/>
          <w:szCs w:val="30"/>
        </w:rPr>
      </w:pPr>
      <w:r>
        <w:rPr>
          <w:rFonts w:hint="eastAsia" w:ascii="仿宋" w:hAnsi="仿宋" w:eastAsia="仿宋" w:cs="仿宋"/>
          <w:bCs/>
          <w:kern w:val="0"/>
          <w:sz w:val="30"/>
          <w:szCs w:val="30"/>
        </w:rPr>
        <w:t>2026年无政府性基金预算支出。</w:t>
      </w:r>
    </w:p>
    <w:p w14:paraId="6869A226">
      <w:pPr>
        <w:keepNext w:val="0"/>
        <w:keepLines w:val="0"/>
        <w:pageBreakBefore w:val="0"/>
        <w:widowControl/>
        <w:kinsoku/>
        <w:wordWrap/>
        <w:overflowPunct/>
        <w:topLinePunct w:val="0"/>
        <w:autoSpaceDE/>
        <w:autoSpaceDN/>
        <w:bidi w:val="0"/>
        <w:adjustRightInd/>
        <w:snapToGrid/>
        <w:spacing w:line="500" w:lineRule="auto"/>
        <w:ind w:left="0" w:leftChars="0" w:right="0" w:rightChars="0" w:firstLine="627" w:firstLineChars="196"/>
        <w:jc w:val="left"/>
        <w:textAlignment w:val="auto"/>
        <w:outlineLvl w:val="9"/>
        <w:rPr>
          <w:rFonts w:hint="eastAsia" w:eastAsia="黑体" w:cs="Times New Roman"/>
          <w:bCs/>
          <w:kern w:val="0"/>
          <w:sz w:val="32"/>
          <w:szCs w:val="32"/>
        </w:rPr>
      </w:pPr>
      <w:r>
        <w:rPr>
          <w:rFonts w:hint="eastAsia" w:eastAsia="黑体" w:cs="Times New Roman"/>
          <w:bCs/>
          <w:kern w:val="0"/>
          <w:sz w:val="32"/>
          <w:szCs w:val="32"/>
        </w:rPr>
        <w:t>六、其他重要事项的情况说明</w:t>
      </w:r>
    </w:p>
    <w:p w14:paraId="2D756E97">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02" w:firstLineChars="200"/>
        <w:jc w:val="left"/>
        <w:textAlignment w:val="auto"/>
        <w:outlineLvl w:val="9"/>
        <w:rPr>
          <w:rFonts w:hint="eastAsia" w:ascii="仿宋" w:hAnsi="仿宋" w:eastAsia="仿宋" w:cs="仿宋"/>
          <w:b/>
          <w:bCs w:val="0"/>
          <w:kern w:val="0"/>
          <w:sz w:val="30"/>
          <w:szCs w:val="30"/>
        </w:rPr>
      </w:pPr>
      <w:r>
        <w:rPr>
          <w:rFonts w:hint="eastAsia" w:ascii="仿宋" w:hAnsi="仿宋" w:eastAsia="仿宋" w:cs="仿宋"/>
          <w:b/>
          <w:bCs w:val="0"/>
          <w:kern w:val="0"/>
          <w:sz w:val="30"/>
          <w:szCs w:val="30"/>
        </w:rPr>
        <w:t>（一）一般公共预算“三公”经费预算</w:t>
      </w:r>
    </w:p>
    <w:p w14:paraId="0A8A299D">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00" w:firstLineChars="200"/>
        <w:jc w:val="left"/>
        <w:textAlignment w:val="auto"/>
        <w:outlineLvl w:val="9"/>
        <w:rPr>
          <w:rFonts w:hint="eastAsia" w:ascii="仿宋" w:hAnsi="仿宋" w:eastAsia="仿宋" w:cs="仿宋"/>
          <w:bCs/>
          <w:kern w:val="0"/>
          <w:sz w:val="30"/>
          <w:szCs w:val="30"/>
        </w:rPr>
      </w:pPr>
      <w:r>
        <w:rPr>
          <w:rFonts w:hint="eastAsia" w:ascii="仿宋" w:hAnsi="仿宋" w:eastAsia="仿宋" w:cs="仿宋"/>
          <w:bCs/>
          <w:kern w:val="0"/>
          <w:sz w:val="30"/>
          <w:szCs w:val="30"/>
        </w:rPr>
        <w:t>2026年怀化市教育局安排一般公共预算“三公”经费预算数为6.80万元，其中，公务接待费1.00万元，公务用车购置费0万元，公务用车运行维护费5.80万元，因公出国（境）费0万元。2026年一般公共预算“三公”经费预算较上年预算数减少2.00万元，下降22.73%，主要因为严格按照“三公”经费“只减不增”原则，从严从紧安排支出，压缩非必要公务接待。</w:t>
      </w:r>
    </w:p>
    <w:p w14:paraId="78DCEFFC">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02" w:firstLineChars="200"/>
        <w:jc w:val="left"/>
        <w:textAlignment w:val="auto"/>
        <w:outlineLvl w:val="9"/>
        <w:rPr>
          <w:rFonts w:hint="eastAsia" w:ascii="仿宋" w:hAnsi="仿宋" w:eastAsia="仿宋" w:cs="仿宋"/>
          <w:b/>
          <w:bCs w:val="0"/>
          <w:kern w:val="0"/>
          <w:sz w:val="30"/>
          <w:szCs w:val="30"/>
        </w:rPr>
      </w:pPr>
      <w:r>
        <w:rPr>
          <w:rFonts w:hint="eastAsia" w:ascii="仿宋" w:hAnsi="仿宋" w:eastAsia="仿宋" w:cs="仿宋"/>
          <w:b/>
          <w:bCs w:val="0"/>
          <w:kern w:val="0"/>
          <w:sz w:val="30"/>
          <w:szCs w:val="30"/>
        </w:rPr>
        <w:t>（二）机关运行经费</w:t>
      </w:r>
    </w:p>
    <w:p w14:paraId="23E2B9BA">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00" w:firstLineChars="200"/>
        <w:jc w:val="left"/>
        <w:textAlignment w:val="auto"/>
        <w:outlineLvl w:val="9"/>
        <w:rPr>
          <w:rFonts w:hint="eastAsia" w:ascii="仿宋" w:hAnsi="仿宋" w:eastAsia="仿宋" w:cs="仿宋"/>
          <w:bCs/>
          <w:kern w:val="0"/>
          <w:sz w:val="30"/>
          <w:szCs w:val="30"/>
        </w:rPr>
      </w:pPr>
      <w:r>
        <w:rPr>
          <w:rFonts w:hint="eastAsia" w:ascii="仿宋" w:hAnsi="仿宋" w:eastAsia="仿宋" w:cs="仿宋"/>
          <w:bCs/>
          <w:kern w:val="0"/>
          <w:sz w:val="30"/>
          <w:szCs w:val="30"/>
        </w:rPr>
        <w:t>2026年怀化市教育局机关运行经费396.26万元（公开表6公用经费安排的商品和服务支出），同口径对比，比上年预算数增加141.37万元，提高55.46%，主要因为本年度机关运行经费核算范围优化，将部分上年未纳入的工会经费、物业管理费等刚性支出足额纳入预算保障。主要用于：办公费64.97万元、差旅费30.00万元、公务用车运行维护费5.80万元、物业管理费26.45万元、工会经费45.34万元等。</w:t>
      </w:r>
    </w:p>
    <w:p w14:paraId="37FAC4F5">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02" w:firstLineChars="200"/>
        <w:jc w:val="left"/>
        <w:textAlignment w:val="auto"/>
        <w:outlineLvl w:val="9"/>
        <w:rPr>
          <w:rFonts w:hint="eastAsia" w:ascii="仿宋" w:hAnsi="仿宋" w:eastAsia="仿宋" w:cs="仿宋"/>
          <w:b/>
          <w:bCs w:val="0"/>
          <w:kern w:val="0"/>
          <w:sz w:val="30"/>
          <w:szCs w:val="30"/>
        </w:rPr>
      </w:pPr>
      <w:r>
        <w:rPr>
          <w:rFonts w:hint="eastAsia" w:ascii="仿宋" w:hAnsi="仿宋" w:eastAsia="仿宋" w:cs="仿宋"/>
          <w:b/>
          <w:bCs w:val="0"/>
          <w:kern w:val="0"/>
          <w:sz w:val="30"/>
          <w:szCs w:val="30"/>
        </w:rPr>
        <w:t>（三）政府采购情况</w:t>
      </w:r>
    </w:p>
    <w:p w14:paraId="662CD8E2">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00" w:firstLineChars="200"/>
        <w:jc w:val="left"/>
        <w:textAlignment w:val="auto"/>
        <w:outlineLvl w:val="9"/>
        <w:rPr>
          <w:rFonts w:hint="eastAsia" w:ascii="仿宋" w:hAnsi="仿宋" w:eastAsia="仿宋" w:cs="仿宋"/>
          <w:bCs/>
          <w:kern w:val="0"/>
          <w:sz w:val="30"/>
          <w:szCs w:val="30"/>
        </w:rPr>
      </w:pPr>
      <w:r>
        <w:rPr>
          <w:rFonts w:hint="eastAsia" w:ascii="仿宋" w:hAnsi="仿宋" w:eastAsia="仿宋" w:cs="仿宋"/>
          <w:bCs/>
          <w:kern w:val="0"/>
          <w:sz w:val="30"/>
          <w:szCs w:val="30"/>
        </w:rPr>
        <w:t>2026年怀化市教育局政府采购预算总额26.45万元，其中，政府采购货物预算0万元、政府采购工程预算0万元、政府采购服务预算26.45万元。较上年政府采购预算总额减少3.55万元，主要因为减少了非必要货物采购，聚焦核心服务保障。</w:t>
      </w:r>
    </w:p>
    <w:p w14:paraId="76CEFD08">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02" w:firstLineChars="200"/>
        <w:jc w:val="left"/>
        <w:textAlignment w:val="auto"/>
        <w:outlineLvl w:val="9"/>
        <w:rPr>
          <w:rFonts w:hint="eastAsia" w:ascii="仿宋" w:hAnsi="仿宋" w:eastAsia="仿宋" w:cs="仿宋"/>
          <w:b/>
          <w:bCs w:val="0"/>
          <w:kern w:val="0"/>
          <w:sz w:val="30"/>
          <w:szCs w:val="30"/>
        </w:rPr>
      </w:pPr>
      <w:r>
        <w:rPr>
          <w:rFonts w:hint="eastAsia" w:ascii="仿宋" w:hAnsi="仿宋" w:eastAsia="仿宋" w:cs="仿宋"/>
          <w:b/>
          <w:bCs w:val="0"/>
          <w:kern w:val="0"/>
          <w:sz w:val="30"/>
          <w:szCs w:val="30"/>
        </w:rPr>
        <w:t>（四）预算绩效管理情况</w:t>
      </w:r>
    </w:p>
    <w:p w14:paraId="70DEF369">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00" w:firstLineChars="200"/>
        <w:jc w:val="left"/>
        <w:textAlignment w:val="auto"/>
        <w:outlineLvl w:val="9"/>
        <w:rPr>
          <w:rFonts w:hint="eastAsia" w:ascii="仿宋" w:hAnsi="仿宋" w:eastAsia="仿宋" w:cs="仿宋"/>
          <w:bCs/>
          <w:kern w:val="0"/>
          <w:sz w:val="30"/>
          <w:szCs w:val="30"/>
        </w:rPr>
      </w:pPr>
      <w:r>
        <w:rPr>
          <w:rFonts w:hint="eastAsia" w:ascii="仿宋" w:hAnsi="仿宋" w:eastAsia="仿宋" w:cs="仿宋"/>
          <w:bCs/>
          <w:kern w:val="0"/>
          <w:sz w:val="30"/>
          <w:szCs w:val="30"/>
        </w:rPr>
        <w:t>按照市本级预算绩效管理工作的总体要求，2026年我单位整体支出3728.63万元，全部实行整体支出绩效目标管理；编报绩效目标的项目3个，涉及项目支出1025.00万元，其中教育督导经费5.00万元、考试考务等工作经费940.00万元、考试考务职称评审等工作经费80.00万元，全部实行项目支出绩效目标管理。</w:t>
      </w:r>
    </w:p>
    <w:p w14:paraId="2761A367">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02" w:firstLineChars="200"/>
        <w:jc w:val="left"/>
        <w:textAlignment w:val="auto"/>
        <w:outlineLvl w:val="9"/>
        <w:rPr>
          <w:rFonts w:hint="eastAsia" w:ascii="仿宋" w:hAnsi="仿宋" w:eastAsia="仿宋" w:cs="仿宋"/>
          <w:b/>
          <w:bCs w:val="0"/>
          <w:kern w:val="0"/>
          <w:sz w:val="30"/>
          <w:szCs w:val="30"/>
        </w:rPr>
      </w:pPr>
      <w:r>
        <w:rPr>
          <w:rFonts w:hint="eastAsia" w:ascii="仿宋" w:hAnsi="仿宋" w:eastAsia="仿宋" w:cs="仿宋"/>
          <w:b/>
          <w:bCs w:val="0"/>
          <w:kern w:val="0"/>
          <w:sz w:val="30"/>
          <w:szCs w:val="30"/>
        </w:rPr>
        <w:t>（五）国有资产占用情况</w:t>
      </w:r>
    </w:p>
    <w:p w14:paraId="7D018621">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00" w:firstLineChars="200"/>
        <w:jc w:val="left"/>
        <w:textAlignment w:val="auto"/>
        <w:outlineLvl w:val="9"/>
        <w:rPr>
          <w:rFonts w:hint="eastAsia" w:ascii="仿宋" w:hAnsi="仿宋" w:eastAsia="仿宋" w:cs="仿宋"/>
          <w:bCs/>
          <w:kern w:val="0"/>
          <w:sz w:val="30"/>
          <w:szCs w:val="30"/>
        </w:rPr>
      </w:pPr>
      <w:r>
        <w:rPr>
          <w:rFonts w:hint="eastAsia" w:ascii="仿宋" w:hAnsi="仿宋" w:eastAsia="仿宋" w:cs="仿宋"/>
          <w:bCs/>
          <w:kern w:val="0"/>
          <w:sz w:val="30"/>
          <w:szCs w:val="30"/>
          <w:lang w:val="en-US" w:eastAsia="zh-CN"/>
        </w:rPr>
        <w:t>1.</w:t>
      </w:r>
      <w:r>
        <w:rPr>
          <w:rFonts w:hint="eastAsia" w:ascii="仿宋" w:hAnsi="仿宋" w:eastAsia="仿宋" w:cs="仿宋"/>
          <w:bCs/>
          <w:kern w:val="0"/>
          <w:sz w:val="30"/>
          <w:szCs w:val="30"/>
        </w:rPr>
        <w:t>截至2025年12月31日，本部门共有车辆2辆，其中，一般公务用车</w:t>
      </w:r>
      <w:r>
        <w:rPr>
          <w:rFonts w:hint="eastAsia" w:ascii="仿宋" w:hAnsi="仿宋" w:eastAsia="仿宋" w:cs="仿宋"/>
          <w:bCs/>
          <w:kern w:val="0"/>
          <w:sz w:val="30"/>
          <w:szCs w:val="30"/>
          <w:lang w:val="en-US" w:eastAsia="zh-CN"/>
        </w:rPr>
        <w:t>1</w:t>
      </w:r>
      <w:r>
        <w:rPr>
          <w:rFonts w:hint="eastAsia" w:ascii="仿宋" w:hAnsi="仿宋" w:eastAsia="仿宋" w:cs="仿宋"/>
          <w:bCs/>
          <w:kern w:val="0"/>
          <w:sz w:val="30"/>
          <w:szCs w:val="30"/>
        </w:rPr>
        <w:t>辆、一般执法执勤用车0辆、特种专业技术用车0辆、其他用车</w:t>
      </w:r>
      <w:r>
        <w:rPr>
          <w:rFonts w:hint="eastAsia" w:ascii="仿宋" w:hAnsi="仿宋" w:eastAsia="仿宋" w:cs="仿宋"/>
          <w:bCs/>
          <w:kern w:val="0"/>
          <w:sz w:val="30"/>
          <w:szCs w:val="30"/>
          <w:lang w:val="en-US" w:eastAsia="zh-CN"/>
        </w:rPr>
        <w:t>1</w:t>
      </w:r>
      <w:r>
        <w:rPr>
          <w:rFonts w:hint="eastAsia" w:ascii="仿宋" w:hAnsi="仿宋" w:eastAsia="仿宋" w:cs="仿宋"/>
          <w:bCs/>
          <w:kern w:val="0"/>
          <w:sz w:val="30"/>
          <w:szCs w:val="30"/>
        </w:rPr>
        <w:t>辆。单位价值50万元以上通用设备0台（套），单价100万元以上专用设备0台（套）。</w:t>
      </w:r>
    </w:p>
    <w:p w14:paraId="4D5D474E">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00" w:firstLineChars="200"/>
        <w:jc w:val="left"/>
        <w:textAlignment w:val="auto"/>
        <w:outlineLvl w:val="9"/>
        <w:rPr>
          <w:rFonts w:hint="eastAsia" w:ascii="仿宋" w:hAnsi="仿宋" w:eastAsia="仿宋" w:cs="仿宋"/>
          <w:bCs/>
          <w:kern w:val="0"/>
          <w:sz w:val="30"/>
          <w:szCs w:val="30"/>
        </w:rPr>
      </w:pPr>
      <w:r>
        <w:rPr>
          <w:rFonts w:hint="eastAsia" w:ascii="仿宋" w:hAnsi="仿宋" w:eastAsia="仿宋" w:cs="仿宋"/>
          <w:bCs/>
          <w:kern w:val="0"/>
          <w:sz w:val="30"/>
          <w:szCs w:val="30"/>
          <w:lang w:val="en-US" w:eastAsia="zh-CN"/>
        </w:rPr>
        <w:t>2.</w:t>
      </w:r>
      <w:r>
        <w:rPr>
          <w:rFonts w:hint="eastAsia" w:ascii="仿宋" w:hAnsi="仿宋" w:eastAsia="仿宋" w:cs="仿宋"/>
          <w:bCs/>
          <w:kern w:val="0"/>
          <w:sz w:val="30"/>
          <w:szCs w:val="30"/>
        </w:rPr>
        <w:t>2026年，本部门无拟新增公务用车、单价50万元以上通用设备及单价100万元以上专用设备的计划。</w:t>
      </w:r>
    </w:p>
    <w:p w14:paraId="3FAD88F1">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02" w:firstLineChars="200"/>
        <w:jc w:val="left"/>
        <w:textAlignment w:val="auto"/>
        <w:outlineLvl w:val="9"/>
        <w:rPr>
          <w:rFonts w:hint="eastAsia" w:ascii="仿宋" w:hAnsi="仿宋" w:eastAsia="仿宋" w:cs="仿宋"/>
          <w:b/>
          <w:bCs w:val="0"/>
          <w:kern w:val="0"/>
          <w:sz w:val="30"/>
          <w:szCs w:val="30"/>
        </w:rPr>
      </w:pPr>
      <w:r>
        <w:rPr>
          <w:rFonts w:hint="eastAsia" w:ascii="仿宋" w:hAnsi="仿宋" w:eastAsia="仿宋" w:cs="仿宋"/>
          <w:b/>
          <w:bCs w:val="0"/>
          <w:kern w:val="0"/>
          <w:sz w:val="30"/>
          <w:szCs w:val="30"/>
        </w:rPr>
        <w:t>（六）预算绩效目标说明</w:t>
      </w:r>
    </w:p>
    <w:p w14:paraId="44C37A12">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00" w:firstLineChars="200"/>
        <w:jc w:val="left"/>
        <w:textAlignment w:val="auto"/>
        <w:outlineLvl w:val="9"/>
        <w:rPr>
          <w:rFonts w:hint="eastAsia" w:ascii="仿宋" w:hAnsi="仿宋" w:eastAsia="仿宋" w:cs="仿宋"/>
          <w:bCs/>
          <w:kern w:val="0"/>
          <w:sz w:val="30"/>
          <w:szCs w:val="30"/>
        </w:rPr>
      </w:pPr>
      <w:r>
        <w:rPr>
          <w:rFonts w:hint="eastAsia" w:ascii="仿宋" w:hAnsi="仿宋" w:eastAsia="仿宋" w:cs="仿宋"/>
          <w:bCs/>
          <w:kern w:val="0"/>
          <w:sz w:val="30"/>
          <w:szCs w:val="30"/>
        </w:rPr>
        <w:t>本部门所有支出实行绩效目标管理。纳入2026年部门整体支出绩效目标的金额为3728.63万元，其中，基本支出2703.63万元，项目支出1025.00万元。具体绩效目标详见《部门整体支出绩效目标表》及《项目支出绩效目标表》。</w:t>
      </w:r>
    </w:p>
    <w:p w14:paraId="5B5993D6">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02" w:firstLineChars="200"/>
        <w:jc w:val="left"/>
        <w:textAlignment w:val="auto"/>
        <w:outlineLvl w:val="9"/>
        <w:rPr>
          <w:rFonts w:hint="eastAsia" w:ascii="仿宋" w:hAnsi="仿宋" w:eastAsia="仿宋" w:cs="仿宋"/>
          <w:b/>
          <w:bCs w:val="0"/>
          <w:kern w:val="0"/>
          <w:sz w:val="30"/>
          <w:szCs w:val="30"/>
        </w:rPr>
      </w:pPr>
      <w:r>
        <w:rPr>
          <w:rFonts w:hint="eastAsia" w:ascii="仿宋" w:hAnsi="仿宋" w:eastAsia="仿宋" w:cs="仿宋"/>
          <w:b/>
          <w:bCs w:val="0"/>
          <w:kern w:val="0"/>
          <w:sz w:val="30"/>
          <w:szCs w:val="30"/>
        </w:rPr>
        <w:t>（七）一般性支出情况</w:t>
      </w:r>
    </w:p>
    <w:p w14:paraId="76FDC13C">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00" w:firstLineChars="200"/>
        <w:jc w:val="left"/>
        <w:textAlignment w:val="auto"/>
        <w:outlineLvl w:val="9"/>
        <w:rPr>
          <w:rFonts w:hint="eastAsia" w:ascii="仿宋" w:hAnsi="仿宋" w:eastAsia="仿宋" w:cs="仿宋"/>
          <w:bCs/>
          <w:kern w:val="0"/>
          <w:sz w:val="30"/>
          <w:szCs w:val="30"/>
        </w:rPr>
      </w:pPr>
      <w:r>
        <w:rPr>
          <w:rFonts w:hint="eastAsia" w:ascii="仿宋" w:hAnsi="仿宋" w:eastAsia="仿宋" w:cs="仿宋"/>
          <w:bCs/>
          <w:kern w:val="0"/>
          <w:sz w:val="30"/>
          <w:szCs w:val="30"/>
          <w:lang w:val="en-US" w:eastAsia="zh-CN"/>
        </w:rPr>
        <w:t>1.</w:t>
      </w:r>
      <w:r>
        <w:rPr>
          <w:rFonts w:hint="eastAsia" w:ascii="仿宋" w:hAnsi="仿宋" w:eastAsia="仿宋" w:cs="仿宋"/>
          <w:bCs/>
          <w:kern w:val="0"/>
          <w:sz w:val="30"/>
          <w:szCs w:val="30"/>
        </w:rPr>
        <w:t>2026年，本部门会议费预算13.00万元，具体为：日常行政会议预算8.00万元，内容为教育工作部署、政策传达等，预计参会人数根据会议内容合理安排；考试考务相关会议预算5.00万元，内容为考试组织协调、考务工作部署等，预计参会人数按需确定。较上年会议费预算减少19.00万元，主要因为精简会议规模和频次，推行线上线下结合会议模式。</w:t>
      </w:r>
    </w:p>
    <w:p w14:paraId="3172B3FA">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00" w:firstLineChars="200"/>
        <w:jc w:val="left"/>
        <w:textAlignment w:val="auto"/>
        <w:outlineLvl w:val="9"/>
        <w:rPr>
          <w:rFonts w:hint="eastAsia" w:ascii="仿宋" w:hAnsi="仿宋" w:eastAsia="仿宋" w:cs="仿宋"/>
          <w:bCs/>
          <w:kern w:val="0"/>
          <w:sz w:val="30"/>
          <w:szCs w:val="30"/>
        </w:rPr>
      </w:pPr>
      <w:r>
        <w:rPr>
          <w:rFonts w:hint="eastAsia" w:ascii="仿宋" w:hAnsi="仿宋" w:eastAsia="仿宋" w:cs="仿宋"/>
          <w:bCs/>
          <w:kern w:val="0"/>
          <w:sz w:val="30"/>
          <w:szCs w:val="30"/>
          <w:lang w:val="en-US" w:eastAsia="zh-CN"/>
        </w:rPr>
        <w:t>2.</w:t>
      </w:r>
      <w:r>
        <w:rPr>
          <w:rFonts w:hint="eastAsia" w:ascii="仿宋" w:hAnsi="仿宋" w:eastAsia="仿宋" w:cs="仿宋"/>
          <w:bCs/>
          <w:kern w:val="0"/>
          <w:sz w:val="30"/>
          <w:szCs w:val="30"/>
        </w:rPr>
        <w:t>2026年，本部门培训费预算9.00万元，具体为：日常业务培训预算5.00万元，内容为教育管理业务、政策法规学习等，预计人数根据培训需求确定；考试考务相关培训预算4.00万元，内容为考务工作规范、流程操作等，预计人数按需确定。较上年培训费预算减少21.00万元，主要因为优化培训方式，聚焦核心业务开展精准培训，减少通用性培训。</w:t>
      </w:r>
    </w:p>
    <w:p w14:paraId="07CD8E06">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00" w:firstLineChars="200"/>
        <w:jc w:val="left"/>
        <w:textAlignment w:val="auto"/>
        <w:outlineLvl w:val="9"/>
        <w:rPr>
          <w:rFonts w:hint="eastAsia" w:ascii="仿宋" w:hAnsi="仿宋" w:eastAsia="仿宋" w:cs="仿宋"/>
          <w:bCs/>
          <w:kern w:val="0"/>
          <w:sz w:val="30"/>
          <w:szCs w:val="30"/>
        </w:rPr>
      </w:pPr>
      <w:r>
        <w:rPr>
          <w:rFonts w:hint="eastAsia" w:ascii="仿宋" w:hAnsi="仿宋" w:eastAsia="仿宋" w:cs="仿宋"/>
          <w:bCs/>
          <w:kern w:val="0"/>
          <w:sz w:val="30"/>
          <w:szCs w:val="30"/>
          <w:lang w:val="en-US" w:eastAsia="zh-CN"/>
        </w:rPr>
        <w:t>3.</w:t>
      </w:r>
      <w:r>
        <w:rPr>
          <w:rFonts w:hint="eastAsia" w:ascii="仿宋" w:hAnsi="仿宋" w:eastAsia="仿宋" w:cs="仿宋"/>
          <w:bCs/>
          <w:kern w:val="0"/>
          <w:sz w:val="30"/>
          <w:szCs w:val="30"/>
        </w:rPr>
        <w:t>2026年，本部门无举办节庆、晚会、论坛、赛事等相关预算，与上年保持一致。</w:t>
      </w:r>
    </w:p>
    <w:p w14:paraId="5A39C9F5">
      <w:pPr>
        <w:keepNext w:val="0"/>
        <w:keepLines w:val="0"/>
        <w:pageBreakBefore w:val="0"/>
        <w:widowControl/>
        <w:kinsoku/>
        <w:wordWrap/>
        <w:overflowPunct/>
        <w:topLinePunct w:val="0"/>
        <w:autoSpaceDE/>
        <w:autoSpaceDN/>
        <w:bidi w:val="0"/>
        <w:adjustRightInd/>
        <w:snapToGrid/>
        <w:spacing w:line="500" w:lineRule="auto"/>
        <w:ind w:left="0" w:leftChars="0" w:right="0" w:rightChars="0" w:firstLine="627" w:firstLineChars="196"/>
        <w:jc w:val="left"/>
        <w:textAlignment w:val="auto"/>
        <w:outlineLvl w:val="9"/>
        <w:rPr>
          <w:rFonts w:hint="eastAsia" w:eastAsia="黑体" w:cs="Times New Roman"/>
          <w:bCs/>
          <w:kern w:val="0"/>
          <w:sz w:val="32"/>
          <w:szCs w:val="32"/>
        </w:rPr>
      </w:pPr>
      <w:r>
        <w:rPr>
          <w:rFonts w:hint="eastAsia" w:eastAsia="黑体" w:cs="Times New Roman"/>
          <w:bCs/>
          <w:kern w:val="0"/>
          <w:sz w:val="32"/>
          <w:szCs w:val="32"/>
        </w:rPr>
        <w:t>七、专业名词解释</w:t>
      </w:r>
    </w:p>
    <w:p w14:paraId="5E491939">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00" w:firstLineChars="200"/>
        <w:jc w:val="left"/>
        <w:textAlignment w:val="auto"/>
        <w:outlineLvl w:val="9"/>
        <w:rPr>
          <w:rFonts w:hint="eastAsia" w:ascii="仿宋" w:hAnsi="仿宋" w:eastAsia="仿宋" w:cs="仿宋"/>
          <w:bCs/>
          <w:kern w:val="0"/>
          <w:sz w:val="30"/>
          <w:szCs w:val="30"/>
        </w:rPr>
      </w:pPr>
      <w:r>
        <w:rPr>
          <w:rFonts w:hint="eastAsia" w:ascii="楷体" w:hAnsi="楷体" w:eastAsia="楷体" w:cs="楷体"/>
          <w:bCs/>
          <w:kern w:val="0"/>
          <w:sz w:val="30"/>
          <w:szCs w:val="30"/>
        </w:rPr>
        <w:t>机关运行经费：</w:t>
      </w:r>
      <w:r>
        <w:rPr>
          <w:rFonts w:hint="eastAsia" w:ascii="仿宋" w:hAnsi="仿宋" w:eastAsia="仿宋" w:cs="仿宋"/>
          <w:bCs/>
          <w:kern w:val="0"/>
          <w:sz w:val="30"/>
          <w:szCs w:val="30"/>
        </w:rPr>
        <w:t>为保障行政单位（包括参照公务员法管理的事业单位）运行，用一般公共预算拨款安排用于购买货物和服务的各项资金，包括办公及印刷费、邮电费、差旅费、会议费、福利费、日常维修费、办公用房水电费、办公用房物业管理费、公务用车运行维护费以及其他费用。</w:t>
      </w:r>
    </w:p>
    <w:p w14:paraId="3FA97B4D">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00" w:firstLineChars="200"/>
        <w:jc w:val="left"/>
        <w:textAlignment w:val="auto"/>
        <w:outlineLvl w:val="9"/>
        <w:rPr>
          <w:rFonts w:hint="eastAsia" w:eastAsia="仿宋_GB2312"/>
          <w:sz w:val="32"/>
          <w:szCs w:val="32"/>
          <w:lang w:val="en-US" w:eastAsia="zh-CN"/>
        </w:rPr>
      </w:pPr>
      <w:r>
        <w:rPr>
          <w:rFonts w:hint="eastAsia" w:ascii="楷体" w:hAnsi="楷体" w:eastAsia="楷体" w:cs="楷体"/>
          <w:bCs/>
          <w:kern w:val="0"/>
          <w:sz w:val="30"/>
          <w:szCs w:val="30"/>
        </w:rPr>
        <w:t>一般公共预算“三公”经费：</w:t>
      </w:r>
      <w:r>
        <w:rPr>
          <w:rFonts w:hint="eastAsia" w:ascii="仿宋" w:hAnsi="仿宋" w:eastAsia="仿宋" w:cs="仿宋"/>
          <w:bCs/>
          <w:kern w:val="0"/>
          <w:sz w:val="30"/>
          <w:szCs w:val="30"/>
        </w:rPr>
        <w:t>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667FE901">
      <w:pPr>
        <w:keepNext w:val="0"/>
        <w:keepLines w:val="0"/>
        <w:pageBreakBefore w:val="0"/>
        <w:widowControl/>
        <w:numPr>
          <w:ilvl w:val="0"/>
          <w:numId w:val="0"/>
        </w:numPr>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eastAsia="仿宋_GB2312"/>
          <w:sz w:val="32"/>
          <w:szCs w:val="32"/>
          <w:lang w:val="en-US" w:eastAsia="zh-CN"/>
        </w:rPr>
      </w:pPr>
    </w:p>
    <w:sectPr>
      <w:headerReference r:id="rId3" w:type="default"/>
      <w:footerReference r:id="rId4" w:type="default"/>
      <w:footerReference r:id="rId5"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C0FFD55-B828-4672-B620-ABD809F25624}"/>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楷体简体">
    <w:altName w:val="宋体"/>
    <w:panose1 w:val="02000000000000000000"/>
    <w:charset w:val="86"/>
    <w:family w:val="auto"/>
    <w:pitch w:val="default"/>
    <w:sig w:usb0="00000000" w:usb1="00000000" w:usb2="00000012" w:usb3="00000000" w:csb0="00040001" w:csb1="00000000"/>
    <w:embedRegular r:id="rId2" w:fontKey="{8E975ECE-3AB1-4F11-B788-A0E4FA29FF10}"/>
  </w:font>
  <w:font w:name="方正小标宋简体">
    <w:panose1 w:val="02000000000000000000"/>
    <w:charset w:val="86"/>
    <w:family w:val="auto"/>
    <w:pitch w:val="default"/>
    <w:sig w:usb0="00000001" w:usb1="08000000" w:usb2="00000000" w:usb3="00000000" w:csb0="00040000" w:csb1="00000000"/>
    <w:embedRegular r:id="rId3" w:fontKey="{E7FBC357-4CDA-4EB7-98F7-E4F38249830C}"/>
  </w:font>
  <w:font w:name="楷体_GB2312">
    <w:altName w:val="楷体"/>
    <w:panose1 w:val="02010609030101010101"/>
    <w:charset w:val="86"/>
    <w:family w:val="modern"/>
    <w:pitch w:val="default"/>
    <w:sig w:usb0="00000000" w:usb1="00000000" w:usb2="00000000" w:usb3="00000000" w:csb0="00040000" w:csb1="00000000"/>
    <w:embedRegular r:id="rId4" w:fontKey="{39BAE929-8E95-46B2-8D59-29ACDFD84B57}"/>
  </w:font>
  <w:font w:name="楷体">
    <w:panose1 w:val="02010609060101010101"/>
    <w:charset w:val="86"/>
    <w:family w:val="auto"/>
    <w:pitch w:val="default"/>
    <w:sig w:usb0="800002BF" w:usb1="38CF7CFA" w:usb2="00000016" w:usb3="00000000" w:csb0="00040001" w:csb1="00000000"/>
    <w:embedRegular r:id="rId5" w:fontKey="{36A8B4EA-5378-4DA1-B382-755ECCCA30E9}"/>
  </w:font>
  <w:font w:name="仿宋">
    <w:panose1 w:val="02010609060101010101"/>
    <w:charset w:val="86"/>
    <w:family w:val="auto"/>
    <w:pitch w:val="default"/>
    <w:sig w:usb0="800002BF" w:usb1="38CF7CFA" w:usb2="00000016" w:usb3="00000000" w:csb0="00040001" w:csb1="00000000"/>
    <w:embedRegular r:id="rId6" w:fontKey="{565A4FE8-61B7-4813-8B0A-4C72A09E0D9C}"/>
  </w:font>
  <w:font w:name="仿宋_GB2312">
    <w:altName w:val="仿宋"/>
    <w:panose1 w:val="02010609030101010101"/>
    <w:charset w:val="86"/>
    <w:family w:val="modern"/>
    <w:pitch w:val="default"/>
    <w:sig w:usb0="00000000" w:usb1="00000000" w:usb2="00000000" w:usb3="00000000" w:csb0="00040000" w:csb1="00000000"/>
    <w:embedRegular r:id="rId7" w:fontKey="{626006DE-07AD-4F16-ABE1-9C524999BC92}"/>
  </w:font>
  <w:font w:name="WPSEMBED1">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340AD2">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A1F825">
    <w:pPr>
      <w:pStyle w:val="3"/>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26670" cy="131445"/>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6670" cy="131445"/>
                      </a:xfrm>
                      <a:prstGeom prst="rect">
                        <a:avLst/>
                      </a:prstGeom>
                      <a:noFill/>
                      <a:ln>
                        <a:noFill/>
                      </a:ln>
                    </wps:spPr>
                    <wps:txbx>
                      <w:txbxContent>
                        <w:p w14:paraId="4A072EFC">
                          <w:pPr>
                            <w:pStyle w:val="3"/>
                            <w:rPr>
                              <w:rStyle w:val="9"/>
                            </w:rPr>
                          </w:pPr>
                          <w:r>
                            <w:fldChar w:fldCharType="begin"/>
                          </w:r>
                          <w:r>
                            <w:rPr>
                              <w:rStyle w:val="9"/>
                            </w:rPr>
                            <w:instrText xml:space="preserve">PAGE  </w:instrText>
                          </w:r>
                          <w:r>
                            <w:fldChar w:fldCharType="separate"/>
                          </w:r>
                          <w:r>
                            <w:rPr>
                              <w:rStyle w:val="9"/>
                            </w:rPr>
                            <w:t>1</w:t>
                          </w:r>
                          <w:r>
                            <w:fldChar w:fldCharType="end"/>
                          </w:r>
                        </w:p>
                      </w:txbxContent>
                    </wps:txbx>
                    <wps:bodyPr wrap="none" lIns="0" tIns="0" rIns="0" bIns="0" upright="1">
                      <a:spAutoFit/>
                    </wps:bodyPr>
                  </wps:wsp>
                </a:graphicData>
              </a:graphic>
            </wp:anchor>
          </w:drawing>
        </mc:Choice>
        <mc:Fallback>
          <w:pict>
            <v:shape id="Text Box 1" o:spid="_x0000_s1026" o:spt="202" type="#_x0000_t202" style="position:absolute;left:0pt;margin-top:0pt;height:10.35pt;width:2.1pt;mso-position-horizontal:center;mso-position-horizontal-relative:margin;mso-wrap-distance-bottom:0pt;mso-wrap-distance-left:0pt;mso-wrap-distance-right:0pt;mso-wrap-distance-top:0pt;mso-wrap-style:none;z-index:251659264;mso-width-relative:page;mso-height-relative:page;" filled="f" stroked="f" coordsize="21600,21600" o:gfxdata="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CNR4T90AAAAAIBAAAPAAAAAAAAAAEAIAAAACIAAABkcnMvZG93bnJldi54bWxQSwECFAAUAAAA&#10;CACHTuJAa3zF770BAACVAwAADgAAAAAAAAABACAAAAAfAQAAZHJzL2Uyb0RvYy54bWxQSwUGAAAA&#10;AAYABgBZAQAATgUAAAAA&#10;">
              <v:fill on="f" focussize="0,0"/>
              <v:stroke on="f"/>
              <v:imagedata o:title=""/>
              <o:lock v:ext="edit" aspectratio="f"/>
              <v:textbox inset="0mm,0mm,0mm,0mm" style="mso-fit-shape-to-text:t;">
                <w:txbxContent>
                  <w:p w14:paraId="4A072EFC">
                    <w:pPr>
                      <w:pStyle w:val="3"/>
                      <w:rPr>
                        <w:rStyle w:val="9"/>
                      </w:rPr>
                    </w:pPr>
                    <w:r>
                      <w:fldChar w:fldCharType="begin"/>
                    </w:r>
                    <w:r>
                      <w:rPr>
                        <w:rStyle w:val="9"/>
                      </w:rPr>
                      <w:instrText xml:space="preserve">PAGE  </w:instrText>
                    </w:r>
                    <w:r>
                      <w:fldChar w:fldCharType="separate"/>
                    </w:r>
                    <w:r>
                      <w:rPr>
                        <w:rStyle w:val="9"/>
                      </w:rPr>
                      <w:t>1</w:t>
                    </w:r>
                    <w:r>
                      <w:fldChar w:fldCharType="end"/>
                    </w:r>
                  </w:p>
                </w:txbxContent>
              </v:textbox>
              <w10:wrap type="square"/>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858D22">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7FA2B7"/>
    <w:multiLevelType w:val="singleLevel"/>
    <w:tmpl w:val="5A7FA2B7"/>
    <w:lvl w:ilvl="0" w:tentative="0">
      <w:start w:val="2"/>
      <w:numFmt w:val="chineseCounting"/>
      <w:suff w:val="nothing"/>
      <w:lvlText w:val="%1、"/>
      <w:lvlJc w:val="left"/>
    </w:lvl>
  </w:abstractNum>
  <w:abstractNum w:abstractNumId="1">
    <w:nsid w:val="5A7FA837"/>
    <w:multiLevelType w:val="singleLevel"/>
    <w:tmpl w:val="5A7FA837"/>
    <w:lvl w:ilvl="0" w:tentative="0">
      <w:start w:val="4"/>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c0NGEzMGUwNWJjMTc3MjYwM2EyOTY0MWE0ZmM0MzEifQ=="/>
  </w:docVars>
  <w:rsids>
    <w:rsidRoot w:val="004E6E3D"/>
    <w:rsid w:val="03023DA5"/>
    <w:rsid w:val="042228D2"/>
    <w:rsid w:val="04433323"/>
    <w:rsid w:val="05881A2C"/>
    <w:rsid w:val="05A425EB"/>
    <w:rsid w:val="07D74632"/>
    <w:rsid w:val="08466C90"/>
    <w:rsid w:val="09E5774A"/>
    <w:rsid w:val="0DB66903"/>
    <w:rsid w:val="14671B45"/>
    <w:rsid w:val="1496682F"/>
    <w:rsid w:val="157C6B16"/>
    <w:rsid w:val="18250522"/>
    <w:rsid w:val="1A5051A5"/>
    <w:rsid w:val="1ED6141B"/>
    <w:rsid w:val="218527E0"/>
    <w:rsid w:val="250E7A8A"/>
    <w:rsid w:val="268C786C"/>
    <w:rsid w:val="276F0967"/>
    <w:rsid w:val="28932515"/>
    <w:rsid w:val="2A0C345E"/>
    <w:rsid w:val="2E2477F7"/>
    <w:rsid w:val="2F830D35"/>
    <w:rsid w:val="31636116"/>
    <w:rsid w:val="32741650"/>
    <w:rsid w:val="39A141FC"/>
    <w:rsid w:val="3B9C74B3"/>
    <w:rsid w:val="3DAD604A"/>
    <w:rsid w:val="416B09D2"/>
    <w:rsid w:val="43A43CCA"/>
    <w:rsid w:val="45D61E36"/>
    <w:rsid w:val="4A67245D"/>
    <w:rsid w:val="506435A4"/>
    <w:rsid w:val="51077170"/>
    <w:rsid w:val="535836AB"/>
    <w:rsid w:val="556F46EC"/>
    <w:rsid w:val="55D67AAD"/>
    <w:rsid w:val="56CE5063"/>
    <w:rsid w:val="56FF5133"/>
    <w:rsid w:val="5AA4755C"/>
    <w:rsid w:val="5C04693A"/>
    <w:rsid w:val="5C5B50CB"/>
    <w:rsid w:val="5D7D47EF"/>
    <w:rsid w:val="601E4B2A"/>
    <w:rsid w:val="60E22426"/>
    <w:rsid w:val="620509C2"/>
    <w:rsid w:val="6361064F"/>
    <w:rsid w:val="642858BB"/>
    <w:rsid w:val="6A0478CB"/>
    <w:rsid w:val="6AB10152"/>
    <w:rsid w:val="6B260820"/>
    <w:rsid w:val="6BE62B36"/>
    <w:rsid w:val="72D775EE"/>
    <w:rsid w:val="79156D7B"/>
    <w:rsid w:val="79D6799A"/>
    <w:rsid w:val="7AFB76B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semiHidden="0" w:name="FollowedHyperlink"/>
    <w:lsdException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uiPriority="99" w:semiHidden="0" w:name="HTML Acronym"/>
    <w:lsdException w:uiPriority="99" w:name="HTML Address"/>
    <w:lsdException w:uiPriority="99" w:semiHidden="0" w:name="HTML Cite"/>
    <w:lsdException w:uiPriority="99" w:semiHidden="0" w:name="HTML Code"/>
    <w:lsdException w:uiPriority="99" w:semiHidden="0" w:name="HTML Definition"/>
    <w:lsdException w:uiPriority="99" w:name="HTML Keyboard"/>
    <w:lsdException w:uiPriority="99" w:name="HTML Preformatted"/>
    <w:lsdException w:uiPriority="99" w:name="HTML Sample"/>
    <w:lsdException w:uiPriority="99" w:name="HTML Typewriter"/>
    <w:lsdException w:uiPriority="99" w:semiHidden="0"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qFormat/>
    <w:uiPriority w:val="0"/>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qFormat/>
    <w:uiPriority w:val="0"/>
    <w:rPr>
      <w:sz w:val="18"/>
      <w:szCs w:val="18"/>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iPriority w:val="0"/>
    <w:pPr>
      <w:widowControl/>
      <w:spacing w:before="100" w:beforeAutospacing="1" w:after="100" w:afterAutospacing="1"/>
      <w:jc w:val="left"/>
    </w:pPr>
    <w:rPr>
      <w:rFonts w:ascii="宋体" w:cs="宋体"/>
      <w:kern w:val="0"/>
      <w:sz w:val="24"/>
      <w:lang w:bidi="ar-SA"/>
    </w:rPr>
  </w:style>
  <w:style w:type="character" w:styleId="8">
    <w:name w:val="Strong"/>
    <w:uiPriority w:val="0"/>
    <w:rPr>
      <w:b/>
      <w:bCs/>
    </w:rPr>
  </w:style>
  <w:style w:type="character" w:styleId="9">
    <w:name w:val="page number"/>
    <w:basedOn w:val="7"/>
    <w:uiPriority w:val="0"/>
  </w:style>
  <w:style w:type="character" w:styleId="10">
    <w:name w:val="FollowedHyperlink"/>
    <w:basedOn w:val="7"/>
    <w:unhideWhenUsed/>
    <w:uiPriority w:val="99"/>
    <w:rPr>
      <w:color w:val="333333"/>
      <w:u w:val="none"/>
    </w:rPr>
  </w:style>
  <w:style w:type="character" w:styleId="11">
    <w:name w:val="Emphasis"/>
    <w:basedOn w:val="7"/>
    <w:qFormat/>
    <w:uiPriority w:val="20"/>
  </w:style>
  <w:style w:type="character" w:styleId="12">
    <w:name w:val="HTML Definition"/>
    <w:basedOn w:val="7"/>
    <w:unhideWhenUsed/>
    <w:uiPriority w:val="99"/>
  </w:style>
  <w:style w:type="character" w:styleId="13">
    <w:name w:val="HTML Acronym"/>
    <w:basedOn w:val="7"/>
    <w:unhideWhenUsed/>
    <w:uiPriority w:val="99"/>
  </w:style>
  <w:style w:type="character" w:styleId="14">
    <w:name w:val="HTML Variable"/>
    <w:basedOn w:val="7"/>
    <w:unhideWhenUsed/>
    <w:uiPriority w:val="99"/>
  </w:style>
  <w:style w:type="character" w:styleId="15">
    <w:name w:val="Hyperlink"/>
    <w:basedOn w:val="7"/>
    <w:unhideWhenUsed/>
    <w:uiPriority w:val="99"/>
    <w:rPr>
      <w:color w:val="333333"/>
      <w:u w:val="none"/>
    </w:rPr>
  </w:style>
  <w:style w:type="character" w:styleId="16">
    <w:name w:val="HTML Code"/>
    <w:basedOn w:val="7"/>
    <w:unhideWhenUsed/>
    <w:uiPriority w:val="99"/>
    <w:rPr>
      <w:rFonts w:ascii="Courier New" w:hAnsi="Courier New"/>
      <w:sz w:val="20"/>
    </w:rPr>
  </w:style>
  <w:style w:type="character" w:styleId="17">
    <w:name w:val="HTML Cite"/>
    <w:basedOn w:val="7"/>
    <w:unhideWhenUsed/>
    <w:uiPriority w:val="99"/>
  </w:style>
  <w:style w:type="character" w:customStyle="1" w:styleId="18">
    <w:name w:val="hj-easyread-speakerprocesser-position-action-icon"/>
    <w:basedOn w:val="7"/>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微软中国</Company>
  <Pages>11</Pages>
  <Words>4028</Words>
  <Characters>4497</Characters>
  <Lines>0</Lines>
  <Paragraphs>0</Paragraphs>
  <TotalTime>18</TotalTime>
  <ScaleCrop>false</ScaleCrop>
  <LinksUpToDate>false</LinksUpToDate>
  <CharactersWithSpaces>4497</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2016-08-17T01:21:00Z</dcterms:created>
  <dc:creator>微软用户</dc:creator>
  <cp:lastModifiedBy>LAN</cp:lastModifiedBy>
  <cp:lastPrinted>2022-01-21T06:49:00Z</cp:lastPrinted>
  <dcterms:modified xsi:type="dcterms:W3CDTF">2026-01-26T01:40:42Z</dcterms:modified>
  <dc:title>科学技术部2012年部门预算</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SaveFontToCloudKey">
    <vt:lpwstr>362188443_cloud</vt:lpwstr>
  </property>
  <property fmtid="{D5CDD505-2E9C-101B-9397-08002B2CF9AE}" pid="4" name="ICV">
    <vt:lpwstr>32D48C6E4ED948BEB54F65104032DF78_13</vt:lpwstr>
  </property>
  <property fmtid="{D5CDD505-2E9C-101B-9397-08002B2CF9AE}" pid="5" name="KSOTemplateDocerSaveRecord">
    <vt:lpwstr>eyJoZGlkIjoiNzhmNjQyYTI4MGM2NzJhMDhkYzIwOWE5MmQ2YTAwODAiLCJ1c2VySWQiOiI0MTAwOTE3ODgifQ==</vt:lpwstr>
  </property>
</Properties>
</file>