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color w:val="auto"/>
          <w:sz w:val="56"/>
          <w:szCs w:val="56"/>
          <w:highlight w:val="none"/>
        </w:rPr>
      </w:pPr>
    </w:p>
    <w:p>
      <w:pPr>
        <w:pStyle w:val="10"/>
        <w:jc w:val="center"/>
        <w:rPr>
          <w:color w:val="auto"/>
          <w:sz w:val="56"/>
          <w:szCs w:val="56"/>
          <w:highlight w:val="none"/>
        </w:rPr>
      </w:pPr>
    </w:p>
    <w:p>
      <w:pPr>
        <w:pStyle w:val="10"/>
        <w:jc w:val="center"/>
        <w:rPr>
          <w:color w:val="auto"/>
          <w:sz w:val="84"/>
          <w:szCs w:val="84"/>
          <w:highlight w:val="none"/>
        </w:rPr>
      </w:pPr>
    </w:p>
    <w:p>
      <w:pPr>
        <w:pStyle w:val="10"/>
        <w:jc w:val="center"/>
        <w:rPr>
          <w:color w:val="auto"/>
          <w:sz w:val="84"/>
          <w:szCs w:val="84"/>
          <w:highlight w:val="none"/>
        </w:rPr>
      </w:pPr>
    </w:p>
    <w:p>
      <w:pPr>
        <w:pStyle w:val="10"/>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2</w:t>
      </w:r>
      <w:r>
        <w:rPr>
          <w:rFonts w:hint="eastAsia" w:ascii="方正小标宋_GBK" w:hAnsi="方正小标宋_GBK" w:eastAsia="方正小标宋_GBK" w:cs="方正小标宋_GBK"/>
          <w:color w:val="auto"/>
          <w:sz w:val="84"/>
          <w:szCs w:val="84"/>
          <w:highlight w:val="none"/>
        </w:rPr>
        <w:t>年度</w:t>
      </w:r>
    </w:p>
    <w:p>
      <w:pPr>
        <w:pStyle w:val="10"/>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怀化市科技局</w:t>
      </w:r>
      <w:r>
        <w:rPr>
          <w:rFonts w:hint="eastAsia" w:ascii="方正小标宋_GBK" w:hAnsi="方正小标宋_GBK" w:eastAsia="方正小标宋_GBK" w:cs="方正小标宋_GBK"/>
          <w:color w:val="auto"/>
          <w:sz w:val="84"/>
          <w:szCs w:val="84"/>
          <w:highlight w:val="none"/>
        </w:rPr>
        <w:t>部门决算</w:t>
      </w:r>
    </w:p>
    <w:p>
      <w:pPr>
        <w:pStyle w:val="10"/>
        <w:jc w:val="center"/>
        <w:rPr>
          <w:rFonts w:hint="eastAsia" w:ascii="方正小标宋_GBK" w:hAnsi="方正小标宋_GBK" w:eastAsia="方正小标宋_GBK" w:cs="方正小标宋_GBK"/>
          <w:color w:val="auto"/>
          <w:sz w:val="56"/>
          <w:szCs w:val="56"/>
          <w:highlight w:val="none"/>
        </w:rPr>
      </w:pPr>
    </w:p>
    <w:p>
      <w:pPr>
        <w:pStyle w:val="10"/>
        <w:jc w:val="center"/>
        <w:rPr>
          <w:color w:val="auto"/>
          <w:sz w:val="56"/>
          <w:szCs w:val="56"/>
          <w:highlight w:val="none"/>
        </w:rPr>
      </w:pPr>
    </w:p>
    <w:p>
      <w:pPr>
        <w:pStyle w:val="10"/>
        <w:jc w:val="center"/>
        <w:rPr>
          <w:color w:val="auto"/>
          <w:sz w:val="56"/>
          <w:szCs w:val="56"/>
          <w:highlight w:val="none"/>
        </w:rPr>
      </w:pPr>
    </w:p>
    <w:p>
      <w:pPr>
        <w:pStyle w:val="10"/>
        <w:jc w:val="center"/>
        <w:rPr>
          <w:color w:val="auto"/>
          <w:sz w:val="56"/>
          <w:szCs w:val="56"/>
          <w:highlight w:val="none"/>
        </w:rPr>
      </w:pPr>
    </w:p>
    <w:p>
      <w:pPr>
        <w:pStyle w:val="10"/>
        <w:jc w:val="center"/>
        <w:rPr>
          <w:color w:val="auto"/>
          <w:sz w:val="32"/>
          <w:szCs w:val="32"/>
          <w:highlight w:val="none"/>
        </w:rPr>
      </w:pPr>
    </w:p>
    <w:p>
      <w:pPr>
        <w:pStyle w:val="10"/>
        <w:jc w:val="center"/>
        <w:rPr>
          <w:color w:val="auto"/>
          <w:sz w:val="32"/>
          <w:szCs w:val="32"/>
          <w:highlight w:val="none"/>
        </w:rPr>
      </w:pPr>
    </w:p>
    <w:p>
      <w:pPr>
        <w:pStyle w:val="10"/>
        <w:jc w:val="center"/>
        <w:rPr>
          <w:color w:val="auto"/>
          <w:sz w:val="32"/>
          <w:szCs w:val="32"/>
          <w:highlight w:val="none"/>
        </w:rPr>
      </w:pPr>
    </w:p>
    <w:p>
      <w:pPr>
        <w:pStyle w:val="10"/>
        <w:jc w:val="center"/>
        <w:rPr>
          <w:color w:val="auto"/>
          <w:sz w:val="32"/>
          <w:szCs w:val="32"/>
          <w:highlight w:val="none"/>
        </w:rPr>
      </w:pPr>
    </w:p>
    <w:p>
      <w:pPr>
        <w:pStyle w:val="10"/>
        <w:jc w:val="center"/>
        <w:rPr>
          <w:color w:val="auto"/>
          <w:sz w:val="32"/>
          <w:szCs w:val="32"/>
          <w:highlight w:val="none"/>
        </w:rPr>
      </w:pPr>
    </w:p>
    <w:p>
      <w:pPr>
        <w:pStyle w:val="10"/>
        <w:spacing w:line="540" w:lineRule="exact"/>
        <w:jc w:val="center"/>
        <w:rPr>
          <w:color w:val="auto"/>
          <w:sz w:val="56"/>
          <w:szCs w:val="56"/>
          <w:highlight w:val="none"/>
        </w:rPr>
      </w:pPr>
    </w:p>
    <w:p>
      <w:pPr>
        <w:pStyle w:val="10"/>
        <w:spacing w:line="500" w:lineRule="exact"/>
        <w:jc w:val="both"/>
        <w:rPr>
          <w:b/>
          <w:color w:val="auto"/>
          <w:sz w:val="36"/>
          <w:szCs w:val="28"/>
          <w:highlight w:val="none"/>
        </w:rPr>
      </w:pPr>
    </w:p>
    <w:p>
      <w:pPr>
        <w:pStyle w:val="10"/>
        <w:spacing w:line="500" w:lineRule="exact"/>
        <w:jc w:val="center"/>
        <w:rPr>
          <w:b/>
          <w:color w:val="auto"/>
          <w:sz w:val="36"/>
          <w:szCs w:val="28"/>
          <w:highlight w:val="none"/>
        </w:rPr>
      </w:pPr>
      <w:r>
        <w:rPr>
          <w:rFonts w:hint="eastAsia"/>
          <w:b/>
          <w:color w:val="auto"/>
          <w:sz w:val="36"/>
          <w:szCs w:val="28"/>
          <w:highlight w:val="none"/>
        </w:rPr>
        <w:t>目录</w:t>
      </w:r>
    </w:p>
    <w:p>
      <w:pPr>
        <w:pStyle w:val="10"/>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第一部分</w:t>
      </w:r>
      <w:r>
        <w:rPr>
          <w:rFonts w:hint="default" w:hAnsi="黑体" w:cs="黑体"/>
          <w:b w:val="0"/>
          <w:bCs/>
          <w:color w:val="auto"/>
          <w:sz w:val="32"/>
          <w:szCs w:val="32"/>
          <w:highlight w:val="none"/>
        </w:rPr>
        <w:t xml:space="preserve"> </w:t>
      </w:r>
      <w:r>
        <w:rPr>
          <w:rFonts w:hint="default" w:hAnsi="黑体" w:cs="黑体"/>
          <w:b w:val="0"/>
          <w:bCs/>
          <w:color w:val="auto"/>
          <w:sz w:val="32"/>
          <w:szCs w:val="32"/>
          <w:highlight w:val="none"/>
          <w:lang w:eastAsia="zh-CN"/>
        </w:rPr>
        <w:t>怀化市科技局</w:t>
      </w:r>
      <w:r>
        <w:rPr>
          <w:rFonts w:hint="eastAsia" w:ascii="黑体" w:hAnsi="黑体" w:eastAsia="黑体" w:cs="黑体"/>
          <w:b w:val="0"/>
          <w:bCs/>
          <w:color w:val="auto"/>
          <w:sz w:val="32"/>
          <w:szCs w:val="32"/>
          <w:highlight w:val="none"/>
        </w:rPr>
        <w:t>概况</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一、部门职责</w:t>
      </w:r>
    </w:p>
    <w:p>
      <w:pPr>
        <w:pStyle w:val="10"/>
        <w:spacing w:line="500" w:lineRule="exact"/>
        <w:ind w:firstLine="8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32"/>
          <w:szCs w:val="32"/>
          <w:highlight w:val="none"/>
        </w:rPr>
        <w:t>二、机构设置</w:t>
      </w:r>
    </w:p>
    <w:p>
      <w:pPr>
        <w:pStyle w:val="10"/>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第二部分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部门决算表</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一、收入支出决算总表</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二、收入决算表</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三、支出决算表</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四、财政拨款收入支出决算总表</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五、一般公共预算财政拨款支出决算表</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六、一般公共预算财政拨款基本支出决算明细表</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七、政府性基金预算财政拨款收入支出决算表</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八、国有资本经营预算财政拨款支出决算表</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九、财政拨款“三公”经费支出决算表</w:t>
      </w:r>
    </w:p>
    <w:p>
      <w:pPr>
        <w:pStyle w:val="10"/>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第三部分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部门决算情况说明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一、收入支出决算总体情况说明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二、收入决算情况说明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三、支出决算情况说明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四、财政拨款收入支出决算总体情况说明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五、一般公共预算财政拨款支出决算情况说明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六、一般公共预算财政拨款基本支出决算情况说明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七、一般公共预算财政拨款三公经费支出决算情况说明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八、政府性基金预算</w:t>
      </w:r>
      <w:r>
        <w:rPr>
          <w:rFonts w:hint="default" w:ascii="仿宋_GB2312" w:hAnsi="仿宋_GB2312" w:eastAsia="仿宋_GB2312" w:cs="仿宋_GB2312"/>
          <w:color w:val="auto"/>
          <w:sz w:val="32"/>
          <w:szCs w:val="32"/>
          <w:highlight w:val="none"/>
        </w:rPr>
        <w:t>财政拨款</w:t>
      </w:r>
      <w:r>
        <w:rPr>
          <w:rFonts w:hint="eastAsia" w:ascii="仿宋_GB2312" w:hAnsi="仿宋_GB2312" w:eastAsia="仿宋_GB2312" w:cs="仿宋_GB2312"/>
          <w:color w:val="auto"/>
          <w:sz w:val="32"/>
          <w:szCs w:val="32"/>
          <w:highlight w:val="none"/>
        </w:rPr>
        <w:t>收入支出决算情况</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九、国有资本经营预算财政拨款</w:t>
      </w:r>
      <w:r>
        <w:rPr>
          <w:rFonts w:hint="default" w:ascii="仿宋_GB2312" w:hAnsi="仿宋_GB2312" w:eastAsia="仿宋_GB2312" w:cs="仿宋_GB2312"/>
          <w:color w:val="auto"/>
          <w:sz w:val="32"/>
          <w:szCs w:val="32"/>
          <w:highlight w:val="none"/>
        </w:rPr>
        <w:t>收入</w:t>
      </w:r>
      <w:r>
        <w:rPr>
          <w:rFonts w:hint="eastAsia" w:ascii="仿宋_GB2312" w:hAnsi="仿宋_GB2312" w:eastAsia="仿宋_GB2312" w:cs="仿宋_GB2312"/>
          <w:color w:val="auto"/>
          <w:sz w:val="32"/>
          <w:szCs w:val="32"/>
          <w:highlight w:val="none"/>
        </w:rPr>
        <w:t>支出决算情况说明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十、</w:t>
      </w:r>
      <w:r>
        <w:rPr>
          <w:rFonts w:hint="eastAsia" w:ascii="仿宋_GB2312" w:hAnsi="仿宋_GB2312" w:eastAsia="仿宋_GB2312" w:cs="仿宋_GB2312"/>
          <w:color w:val="auto"/>
          <w:sz w:val="32"/>
          <w:szCs w:val="32"/>
          <w:highlight w:val="none"/>
        </w:rPr>
        <w:t>关于机关运行经费支出说明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default"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rPr>
        <w:t>、一般性支出情况说明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default"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rPr>
        <w:t>、关于政府采购支出说明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default" w:ascii="仿宋_GB2312" w:hAnsi="仿宋_GB2312" w:eastAsia="仿宋_GB2312" w:cs="仿宋_GB2312"/>
          <w:color w:val="auto"/>
          <w:sz w:val="32"/>
          <w:szCs w:val="32"/>
          <w:highlight w:val="none"/>
        </w:rPr>
        <w:t>三</w:t>
      </w:r>
      <w:r>
        <w:rPr>
          <w:rFonts w:hint="eastAsia" w:ascii="仿宋_GB2312" w:hAnsi="仿宋_GB2312" w:eastAsia="仿宋_GB2312" w:cs="仿宋_GB2312"/>
          <w:color w:val="auto"/>
          <w:sz w:val="32"/>
          <w:szCs w:val="32"/>
          <w:highlight w:val="none"/>
        </w:rPr>
        <w:t>、关于国有资产占用情况说明</w:t>
      </w:r>
    </w:p>
    <w:p>
      <w:pPr>
        <w:pStyle w:val="10"/>
        <w:spacing w:line="500" w:lineRule="exact"/>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w:t>
      </w:r>
      <w:r>
        <w:rPr>
          <w:rFonts w:hint="default" w:ascii="仿宋_GB2312" w:hAnsi="仿宋_GB2312" w:eastAsia="仿宋_GB2312" w:cs="仿宋_GB2312"/>
          <w:color w:val="auto"/>
          <w:sz w:val="32"/>
          <w:szCs w:val="32"/>
          <w:highlight w:val="none"/>
        </w:rPr>
        <w:t>四</w:t>
      </w:r>
      <w:r>
        <w:rPr>
          <w:rFonts w:hint="eastAsia" w:ascii="仿宋_GB2312" w:hAnsi="仿宋_GB2312" w:eastAsia="仿宋_GB2312" w:cs="仿宋_GB2312"/>
          <w:color w:val="auto"/>
          <w:sz w:val="32"/>
          <w:szCs w:val="32"/>
          <w:highlight w:val="none"/>
        </w:rPr>
        <w:t>、关于预算绩效情况的说明</w:t>
      </w:r>
    </w:p>
    <w:p>
      <w:pPr>
        <w:pStyle w:val="10"/>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第四部分</w:t>
      </w:r>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名词解释</w:t>
      </w:r>
    </w:p>
    <w:p>
      <w:pPr>
        <w:pStyle w:val="10"/>
        <w:spacing w:line="500" w:lineRule="exac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第五部分</w:t>
      </w:r>
      <w:r>
        <w:rPr>
          <w:rFonts w:hint="eastAsia" w:hAnsi="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附件</w:t>
      </w:r>
    </w:p>
    <w:p>
      <w:pPr>
        <w:pStyle w:val="10"/>
        <w:spacing w:line="500" w:lineRule="exact"/>
        <w:rPr>
          <w:rFonts w:hint="eastAsia" w:ascii="黑体" w:hAnsi="黑体" w:eastAsia="黑体" w:cs="黑体"/>
          <w:b w:val="0"/>
          <w:bCs/>
          <w:color w:val="auto"/>
          <w:sz w:val="32"/>
          <w:szCs w:val="32"/>
          <w:highlight w:val="none"/>
        </w:rPr>
      </w:pPr>
    </w:p>
    <w:p>
      <w:pPr>
        <w:pStyle w:val="10"/>
        <w:spacing w:line="500" w:lineRule="exact"/>
        <w:rPr>
          <w:rFonts w:hint="eastAsia" w:ascii="黑体" w:hAnsi="黑体" w:eastAsia="黑体" w:cs="黑体"/>
          <w:b w:val="0"/>
          <w:bCs/>
          <w:color w:val="auto"/>
          <w:sz w:val="32"/>
          <w:szCs w:val="32"/>
          <w:highlight w:val="none"/>
        </w:rPr>
      </w:pPr>
    </w:p>
    <w:p>
      <w:pPr>
        <w:pStyle w:val="10"/>
        <w:spacing w:line="500" w:lineRule="exact"/>
        <w:rPr>
          <w:rFonts w:hint="eastAsia" w:ascii="黑体" w:hAnsi="黑体" w:eastAsia="黑体" w:cs="黑体"/>
          <w:b w:val="0"/>
          <w:bCs/>
          <w:color w:val="auto"/>
          <w:sz w:val="32"/>
          <w:szCs w:val="32"/>
          <w:highlight w:val="none"/>
        </w:rPr>
      </w:pPr>
    </w:p>
    <w:p>
      <w:pPr>
        <w:pStyle w:val="10"/>
        <w:spacing w:line="500" w:lineRule="exact"/>
        <w:rPr>
          <w:rFonts w:hint="eastAsia" w:ascii="黑体" w:hAnsi="黑体" w:eastAsia="黑体" w:cs="黑体"/>
          <w:b w:val="0"/>
          <w:bCs/>
          <w:color w:val="auto"/>
          <w:sz w:val="32"/>
          <w:szCs w:val="32"/>
          <w:highlight w:val="none"/>
        </w:rPr>
      </w:pPr>
    </w:p>
    <w:p>
      <w:pPr>
        <w:pStyle w:val="10"/>
        <w:spacing w:line="500" w:lineRule="exact"/>
        <w:rPr>
          <w:rFonts w:hint="eastAsia" w:ascii="黑体" w:hAnsi="黑体" w:eastAsia="黑体" w:cs="黑体"/>
          <w:b w:val="0"/>
          <w:bCs/>
          <w:color w:val="auto"/>
          <w:sz w:val="32"/>
          <w:szCs w:val="32"/>
          <w:highlight w:val="none"/>
        </w:rPr>
      </w:pPr>
    </w:p>
    <w:p>
      <w:pPr>
        <w:pStyle w:val="10"/>
        <w:jc w:val="center"/>
        <w:rPr>
          <w:rFonts w:hint="eastAsia" w:ascii="黑体" w:hAnsi="黑体" w:eastAsia="黑体" w:cs="黑体"/>
          <w:color w:val="auto"/>
          <w:sz w:val="72"/>
          <w:szCs w:val="72"/>
          <w:highlight w:val="none"/>
        </w:rPr>
      </w:pPr>
      <w:r>
        <w:rPr>
          <w:rFonts w:hint="eastAsia" w:ascii="黑体" w:hAnsi="黑体" w:eastAsia="黑体" w:cs="黑体"/>
          <w:color w:val="auto"/>
          <w:sz w:val="72"/>
          <w:szCs w:val="72"/>
          <w:highlight w:val="none"/>
        </w:rPr>
        <w:t xml:space="preserve">第一部分 </w:t>
      </w:r>
    </w:p>
    <w:p>
      <w:pPr>
        <w:pStyle w:val="10"/>
        <w:jc w:val="center"/>
        <w:rPr>
          <w:rFonts w:hint="eastAsia" w:ascii="黑体" w:hAnsi="黑体" w:eastAsia="黑体" w:cs="黑体"/>
          <w:color w:val="auto"/>
          <w:sz w:val="72"/>
          <w:szCs w:val="72"/>
          <w:highlight w:val="none"/>
        </w:rPr>
      </w:pPr>
    </w:p>
    <w:p>
      <w:pPr>
        <w:pStyle w:val="10"/>
        <w:jc w:val="center"/>
        <w:rPr>
          <w:rFonts w:hint="eastAsia" w:ascii="黑体" w:hAnsi="黑体" w:eastAsia="黑体" w:cs="黑体"/>
          <w:color w:val="auto"/>
          <w:sz w:val="72"/>
          <w:szCs w:val="72"/>
          <w:highlight w:val="none"/>
        </w:rPr>
      </w:pPr>
      <w:r>
        <w:rPr>
          <w:rFonts w:hint="eastAsia" w:ascii="黑体" w:hAnsi="黑体" w:eastAsia="黑体" w:cs="黑体"/>
          <w:color w:val="auto"/>
          <w:sz w:val="72"/>
          <w:szCs w:val="72"/>
          <w:highlight w:val="none"/>
          <w:lang w:eastAsia="zh-CN"/>
        </w:rPr>
        <w:t>怀化市科技局</w:t>
      </w:r>
      <w:r>
        <w:rPr>
          <w:rFonts w:hint="eastAsia" w:ascii="黑体" w:hAnsi="黑体" w:eastAsia="黑体" w:cs="黑体"/>
          <w:color w:val="auto"/>
          <w:sz w:val="72"/>
          <w:szCs w:val="72"/>
          <w:highlight w:val="none"/>
        </w:rPr>
        <w:t>概况</w:t>
      </w: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both"/>
        <w:rPr>
          <w:rFonts w:hint="eastAsia" w:ascii="黑体" w:hAnsi="黑体" w:eastAsia="黑体" w:cs="黑体"/>
          <w:color w:val="auto"/>
          <w:sz w:val="44"/>
          <w:szCs w:val="44"/>
          <w:highlight w:val="none"/>
        </w:rPr>
      </w:pPr>
    </w:p>
    <w:p>
      <w:pPr>
        <w:pStyle w:val="11"/>
        <w:numPr>
          <w:ilvl w:val="0"/>
          <w:numId w:val="0"/>
        </w:numPr>
        <w:ind w:leftChars="0" w:firstLine="640" w:firstLineChars="200"/>
        <w:jc w:val="left"/>
        <w:rPr>
          <w:rFonts w:hint="eastAsia" w:ascii="黑体" w:hAnsi="黑体" w:eastAsia="黑体" w:cs="黑体"/>
          <w:b w:val="0"/>
          <w:bCs w:val="0"/>
          <w:color w:val="auto"/>
          <w:sz w:val="32"/>
          <w:szCs w:val="32"/>
          <w:highlight w:val="none"/>
        </w:rPr>
      </w:pPr>
      <w:r>
        <w:rPr>
          <w:rFonts w:hint="default" w:ascii="黑体" w:hAnsi="黑体" w:eastAsia="黑体" w:cs="黑体"/>
          <w:b w:val="0"/>
          <w:bCs w:val="0"/>
          <w:color w:val="auto"/>
          <w:sz w:val="32"/>
          <w:szCs w:val="32"/>
          <w:highlight w:val="none"/>
        </w:rPr>
        <w:t>一、</w:t>
      </w:r>
      <w:r>
        <w:rPr>
          <w:rFonts w:hint="eastAsia" w:ascii="黑体" w:hAnsi="黑体" w:eastAsia="黑体" w:cs="黑体"/>
          <w:b w:val="0"/>
          <w:bCs w:val="0"/>
          <w:color w:val="auto"/>
          <w:sz w:val="32"/>
          <w:szCs w:val="32"/>
          <w:highlight w:val="none"/>
        </w:rPr>
        <w:t>部门职责</w:t>
      </w:r>
    </w:p>
    <w:p>
      <w:pPr>
        <w:pStyle w:val="10"/>
        <w:spacing w:line="5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主要职责是负责全市科学技术进步的宏观管理和统筹协调。负责组织实施科技重大专项。负责组织实施市级科技计划工作，负责市级科技经费预决算和经费使用的监督管理。牵头组织全市农村和社会发展领域的科技进步工作。牵头组织协调促进全市产学研结合工作。主管全市高新技术的研究开发、成果转化以及产业化工作。会同有关部门提出全市科技体制改革的政策和措施建议，推进全市创新体系建设。负责全市科学技术普及工作。负责全市科技人才有关工作等。</w:t>
      </w:r>
    </w:p>
    <w:p>
      <w:pPr>
        <w:widowControl/>
        <w:spacing w:line="600" w:lineRule="exact"/>
        <w:ind w:firstLine="640" w:firstLineChars="200"/>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二、机构设置及决算单位构成</w:t>
      </w:r>
    </w:p>
    <w:p>
      <w:pPr>
        <w:pStyle w:val="10"/>
        <w:spacing w:line="5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内设机构设置。怀化市科技局作为一级部门决算单位，内设科室为五科一室：办公室、战略规划与政策法规科、高新技术发展与产业化科、农村与社会发展科技科、成果转化与科技合作科、科技人才与基础研究科。</w:t>
      </w:r>
    </w:p>
    <w:p>
      <w:pPr>
        <w:pStyle w:val="10"/>
        <w:spacing w:line="5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（二）决算单位构成。市科技局20</w:t>
      </w:r>
      <w:r>
        <w:rPr>
          <w:rFonts w:hint="default" w:ascii="仿宋_GB2312" w:hAnsi="仿宋_GB2312" w:eastAsia="仿宋_GB2312" w:cs="仿宋_GB2312"/>
          <w:color w:val="auto"/>
          <w:sz w:val="32"/>
          <w:szCs w:val="32"/>
          <w:highlight w:val="none"/>
        </w:rPr>
        <w:t>22</w:t>
      </w:r>
      <w:r>
        <w:rPr>
          <w:rFonts w:hint="eastAsia" w:ascii="仿宋_GB2312" w:hAnsi="仿宋_GB2312" w:eastAsia="仿宋_GB2312" w:cs="仿宋_GB2312"/>
          <w:color w:val="auto"/>
          <w:sz w:val="32"/>
          <w:szCs w:val="32"/>
          <w:highlight w:val="none"/>
        </w:rPr>
        <w:t>年部门决算汇总公开单位构成包括：怀化市科技局本级。</w:t>
      </w:r>
    </w:p>
    <w:p>
      <w:pPr>
        <w:jc w:val="left"/>
        <w:rPr>
          <w:rFonts w:ascii="仿宋_GB2312" w:eastAsia="仿宋_GB2312" w:hAnsiTheme="minorEastAsia"/>
          <w:color w:val="auto"/>
          <w:sz w:val="28"/>
          <w:szCs w:val="32"/>
          <w:highlight w:val="none"/>
        </w:rPr>
      </w:pPr>
    </w:p>
    <w:p>
      <w:pPr>
        <w:pStyle w:val="10"/>
        <w:jc w:val="center"/>
        <w:rPr>
          <w:rFonts w:hint="eastAsia" w:ascii="方正小标宋_GBK" w:hAnsi="方正小标宋_GBK" w:eastAsia="方正小标宋_GBK" w:cs="方正小标宋_GBK"/>
          <w:color w:val="auto"/>
          <w:sz w:val="84"/>
          <w:szCs w:val="84"/>
          <w:highlight w:val="none"/>
        </w:rPr>
      </w:pPr>
    </w:p>
    <w:p>
      <w:pPr>
        <w:pStyle w:val="10"/>
        <w:jc w:val="center"/>
        <w:rPr>
          <w:rFonts w:hint="eastAsia" w:ascii="方正小标宋_GBK" w:hAnsi="方正小标宋_GBK" w:eastAsia="方正小标宋_GBK" w:cs="方正小标宋_GBK"/>
          <w:color w:val="auto"/>
          <w:sz w:val="84"/>
          <w:szCs w:val="84"/>
          <w:highlight w:val="none"/>
        </w:rPr>
      </w:pPr>
    </w:p>
    <w:p>
      <w:pPr>
        <w:pStyle w:val="10"/>
        <w:jc w:val="center"/>
        <w:rPr>
          <w:rFonts w:hint="eastAsia" w:ascii="方正小标宋_GBK" w:hAnsi="方正小标宋_GBK" w:eastAsia="方正小标宋_GBK" w:cs="方正小标宋_GBK"/>
          <w:color w:val="auto"/>
          <w:sz w:val="84"/>
          <w:szCs w:val="84"/>
          <w:highlight w:val="none"/>
        </w:rPr>
      </w:pPr>
    </w:p>
    <w:p>
      <w:pPr>
        <w:pStyle w:val="10"/>
        <w:jc w:val="center"/>
        <w:rPr>
          <w:rFonts w:hint="eastAsia" w:ascii="方正小标宋_GBK" w:hAnsi="方正小标宋_GBK" w:eastAsia="方正小标宋_GBK" w:cs="方正小标宋_GBK"/>
          <w:color w:val="auto"/>
          <w:sz w:val="84"/>
          <w:szCs w:val="84"/>
          <w:highlight w:val="none"/>
        </w:rPr>
      </w:pPr>
    </w:p>
    <w:p>
      <w:pPr>
        <w:pStyle w:val="10"/>
        <w:jc w:val="center"/>
        <w:rPr>
          <w:rFonts w:hint="eastAsia" w:ascii="方正小标宋_GBK" w:hAnsi="方正小标宋_GBK" w:eastAsia="方正小标宋_GBK" w:cs="方正小标宋_GBK"/>
          <w:color w:val="auto"/>
          <w:sz w:val="84"/>
          <w:szCs w:val="84"/>
          <w:highlight w:val="none"/>
        </w:rPr>
      </w:pPr>
    </w:p>
    <w:p>
      <w:pPr>
        <w:pStyle w:val="10"/>
        <w:jc w:val="center"/>
        <w:rPr>
          <w:rFonts w:hint="eastAsia" w:ascii="方正小标宋_GBK" w:hAnsi="方正小标宋_GBK" w:eastAsia="方正小标宋_GBK" w:cs="方正小标宋_GBK"/>
          <w:color w:val="auto"/>
          <w:sz w:val="84"/>
          <w:szCs w:val="84"/>
          <w:highlight w:val="none"/>
        </w:rPr>
      </w:pPr>
    </w:p>
    <w:p>
      <w:pPr>
        <w:pStyle w:val="10"/>
        <w:jc w:val="center"/>
        <w:rPr>
          <w:rFonts w:hint="eastAsia" w:ascii="黑体" w:hAnsi="黑体" w:eastAsia="黑体" w:cs="黑体"/>
          <w:color w:val="auto"/>
          <w:sz w:val="72"/>
          <w:szCs w:val="72"/>
          <w:highlight w:val="none"/>
        </w:rPr>
      </w:pPr>
    </w:p>
    <w:p>
      <w:pPr>
        <w:pStyle w:val="10"/>
        <w:jc w:val="center"/>
        <w:rPr>
          <w:rFonts w:hint="eastAsia" w:ascii="黑体" w:hAnsi="黑体" w:eastAsia="黑体" w:cs="黑体"/>
          <w:color w:val="auto"/>
          <w:sz w:val="72"/>
          <w:szCs w:val="72"/>
          <w:highlight w:val="none"/>
        </w:rPr>
      </w:pPr>
    </w:p>
    <w:p>
      <w:pPr>
        <w:pStyle w:val="10"/>
        <w:jc w:val="center"/>
        <w:rPr>
          <w:rFonts w:hint="eastAsia" w:ascii="黑体" w:hAnsi="黑体" w:eastAsia="黑体" w:cs="黑体"/>
          <w:color w:val="auto"/>
          <w:sz w:val="72"/>
          <w:szCs w:val="72"/>
          <w:highlight w:val="none"/>
        </w:rPr>
      </w:pPr>
      <w:r>
        <w:rPr>
          <w:rFonts w:hint="eastAsia" w:ascii="黑体" w:hAnsi="黑体" w:eastAsia="黑体" w:cs="黑体"/>
          <w:color w:val="auto"/>
          <w:sz w:val="72"/>
          <w:szCs w:val="72"/>
          <w:highlight w:val="none"/>
        </w:rPr>
        <w:t>第二部分</w:t>
      </w:r>
    </w:p>
    <w:p>
      <w:pPr>
        <w:pStyle w:val="10"/>
        <w:jc w:val="center"/>
        <w:rPr>
          <w:rFonts w:hint="eastAsia" w:ascii="黑体" w:hAnsi="黑体" w:eastAsia="黑体" w:cs="黑体"/>
          <w:color w:val="auto"/>
          <w:sz w:val="72"/>
          <w:szCs w:val="72"/>
          <w:highlight w:val="none"/>
        </w:rPr>
      </w:pPr>
    </w:p>
    <w:p>
      <w:pPr>
        <w:pStyle w:val="10"/>
        <w:jc w:val="center"/>
        <w:rPr>
          <w:rFonts w:hint="eastAsia" w:ascii="黑体" w:hAnsi="黑体" w:eastAsia="黑体" w:cs="黑体"/>
          <w:color w:val="auto"/>
          <w:sz w:val="72"/>
          <w:szCs w:val="72"/>
          <w:highlight w:val="none"/>
        </w:rPr>
      </w:pPr>
      <w:r>
        <w:rPr>
          <w:rFonts w:hint="eastAsia" w:ascii="黑体" w:hAnsi="黑体" w:eastAsia="黑体" w:cs="黑体"/>
          <w:color w:val="auto"/>
          <w:sz w:val="72"/>
          <w:szCs w:val="72"/>
          <w:highlight w:val="none"/>
        </w:rPr>
        <w:t>部门决算表</w:t>
      </w:r>
    </w:p>
    <w:p>
      <w:pPr>
        <w:jc w:val="left"/>
        <w:rPr>
          <w:color w:val="auto"/>
          <w:sz w:val="32"/>
          <w:szCs w:val="32"/>
          <w:highlight w:val="none"/>
        </w:rPr>
      </w:pPr>
    </w:p>
    <w:p>
      <w:pPr>
        <w:jc w:val="left"/>
        <w:rPr>
          <w:rFonts w:asciiTheme="minorEastAsia" w:hAnsiTheme="minorEastAsia"/>
          <w:color w:val="auto"/>
          <w:sz w:val="32"/>
          <w:szCs w:val="32"/>
          <w:highlight w:val="none"/>
        </w:rPr>
        <w:sectPr>
          <w:pgSz w:w="11906" w:h="16838"/>
          <w:pgMar w:top="720" w:right="720" w:bottom="720" w:left="720" w:header="851" w:footer="992" w:gutter="0"/>
          <w:cols w:space="425" w:num="1"/>
          <w:docGrid w:type="lines" w:linePitch="312" w:charSpace="0"/>
        </w:sectPr>
      </w:pPr>
    </w:p>
    <w:tbl>
      <w:tblPr>
        <w:tblStyle w:val="6"/>
        <w:tblW w:w="15428" w:type="dxa"/>
        <w:tblInd w:w="0" w:type="dxa"/>
        <w:tblLayout w:type="fixed"/>
        <w:tblCellMar>
          <w:top w:w="0" w:type="dxa"/>
          <w:left w:w="0" w:type="dxa"/>
          <w:bottom w:w="0" w:type="dxa"/>
          <w:right w:w="0" w:type="dxa"/>
        </w:tblCellMar>
      </w:tblPr>
      <w:tblGrid>
        <w:gridCol w:w="277"/>
        <w:gridCol w:w="567"/>
        <w:gridCol w:w="1725"/>
        <w:gridCol w:w="1470"/>
        <w:gridCol w:w="1604"/>
        <w:gridCol w:w="1805"/>
        <w:gridCol w:w="1805"/>
        <w:gridCol w:w="1805"/>
        <w:gridCol w:w="1805"/>
        <w:gridCol w:w="2565"/>
      </w:tblGrid>
      <w:tr>
        <w:tblPrEx>
          <w:tblCellMar>
            <w:top w:w="0" w:type="dxa"/>
            <w:left w:w="0" w:type="dxa"/>
            <w:bottom w:w="0" w:type="dxa"/>
            <w:right w:w="0" w:type="dxa"/>
          </w:tblCellMar>
        </w:tblPrEx>
        <w:trPr>
          <w:trHeight w:val="683"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23053"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61"/>
              <w:gridCol w:w="731"/>
              <w:gridCol w:w="1334"/>
              <w:gridCol w:w="4769"/>
              <w:gridCol w:w="1547"/>
              <w:gridCol w:w="487"/>
              <w:gridCol w:w="553"/>
              <w:gridCol w:w="1916"/>
              <w:gridCol w:w="2886"/>
              <w:gridCol w:w="47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655" w:type="dxa"/>
                <w:trHeight w:val="459"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655" w:type="dxa"/>
                <w:trHeight w:val="304" w:hRule="atLeast"/>
              </w:trPr>
              <w:tc>
                <w:tcPr>
                  <w:tcW w:w="4061" w:type="dxa"/>
                  <w:tcBorders>
                    <w:top w:val="nil"/>
                    <w:left w:val="nil"/>
                    <w:bottom w:val="nil"/>
                    <w:right w:val="nil"/>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auto"/>
                      <w:sz w:val="24"/>
                      <w:szCs w:val="24"/>
                      <w:highlight w:val="none"/>
                      <w:u w:val="none"/>
                    </w:rPr>
                  </w:pPr>
                </w:p>
              </w:tc>
              <w:tc>
                <w:tcPr>
                  <w:tcW w:w="731" w:type="dxa"/>
                  <w:tcBorders>
                    <w:top w:val="nil"/>
                    <w:left w:val="nil"/>
                    <w:bottom w:val="nil"/>
                    <w:right w:val="nil"/>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auto"/>
                      <w:sz w:val="24"/>
                      <w:szCs w:val="24"/>
                      <w:highlight w:val="none"/>
                      <w:u w:val="none"/>
                    </w:rPr>
                  </w:pPr>
                </w:p>
              </w:tc>
              <w:tc>
                <w:tcPr>
                  <w:tcW w:w="1334" w:type="dxa"/>
                  <w:tcBorders>
                    <w:top w:val="nil"/>
                    <w:left w:val="nil"/>
                    <w:bottom w:val="nil"/>
                    <w:right w:val="nil"/>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auto"/>
                      <w:sz w:val="24"/>
                      <w:szCs w:val="24"/>
                      <w:highlight w:val="none"/>
                      <w:u w:val="none"/>
                    </w:rPr>
                  </w:pPr>
                </w:p>
              </w:tc>
              <w:tc>
                <w:tcPr>
                  <w:tcW w:w="4769" w:type="dxa"/>
                  <w:tcBorders>
                    <w:top w:val="nil"/>
                    <w:left w:val="nil"/>
                    <w:bottom w:val="nil"/>
                    <w:right w:val="nil"/>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auto"/>
                      <w:sz w:val="24"/>
                      <w:szCs w:val="24"/>
                      <w:highlight w:val="none"/>
                      <w:u w:val="none"/>
                    </w:rPr>
                  </w:pPr>
                </w:p>
              </w:tc>
              <w:tc>
                <w:tcPr>
                  <w:tcW w:w="2034" w:type="dxa"/>
                  <w:gridSpan w:val="2"/>
                  <w:tcBorders>
                    <w:top w:val="nil"/>
                    <w:left w:val="nil"/>
                    <w:bottom w:val="nil"/>
                    <w:right w:val="nil"/>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auto"/>
                      <w:sz w:val="24"/>
                      <w:szCs w:val="24"/>
                      <w:highlight w:val="none"/>
                      <w:u w:val="none"/>
                    </w:rPr>
                  </w:pPr>
                </w:p>
              </w:tc>
              <w:tc>
                <w:tcPr>
                  <w:tcW w:w="2469" w:type="dxa"/>
                  <w:gridSpan w:val="2"/>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655" w:type="dxa"/>
                <w:trHeight w:val="304" w:hRule="atLeast"/>
              </w:trPr>
              <w:tc>
                <w:tcPr>
                  <w:tcW w:w="4061" w:type="dxa"/>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731" w:type="dxa"/>
                  <w:tcBorders>
                    <w:top w:val="nil"/>
                    <w:left w:val="nil"/>
                    <w:bottom w:val="nil"/>
                    <w:right w:val="nil"/>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auto"/>
                      <w:sz w:val="24"/>
                      <w:szCs w:val="24"/>
                      <w:highlight w:val="none"/>
                      <w:u w:val="none"/>
                    </w:rPr>
                  </w:pPr>
                </w:p>
              </w:tc>
              <w:tc>
                <w:tcPr>
                  <w:tcW w:w="1334" w:type="dxa"/>
                  <w:tcBorders>
                    <w:top w:val="nil"/>
                    <w:left w:val="nil"/>
                    <w:bottom w:val="nil"/>
                    <w:right w:val="nil"/>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auto"/>
                      <w:sz w:val="24"/>
                      <w:szCs w:val="24"/>
                      <w:highlight w:val="none"/>
                      <w:u w:val="none"/>
                    </w:rPr>
                  </w:pPr>
                </w:p>
              </w:tc>
              <w:tc>
                <w:tcPr>
                  <w:tcW w:w="4769" w:type="dxa"/>
                  <w:tcBorders>
                    <w:top w:val="nil"/>
                    <w:left w:val="nil"/>
                    <w:bottom w:val="nil"/>
                    <w:right w:val="nil"/>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auto"/>
                      <w:sz w:val="24"/>
                      <w:szCs w:val="24"/>
                      <w:highlight w:val="none"/>
                      <w:u w:val="none"/>
                    </w:rPr>
                  </w:pPr>
                </w:p>
              </w:tc>
              <w:tc>
                <w:tcPr>
                  <w:tcW w:w="2034" w:type="dxa"/>
                  <w:gridSpan w:val="2"/>
                  <w:tcBorders>
                    <w:top w:val="nil"/>
                    <w:left w:val="nil"/>
                    <w:bottom w:val="nil"/>
                    <w:right w:val="nil"/>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220" w:lineRule="exact"/>
                    <w:jc w:val="right"/>
                    <w:rPr>
                      <w:rFonts w:hint="eastAsia" w:ascii="宋体" w:hAnsi="宋体" w:eastAsia="宋体" w:cs="宋体"/>
                      <w:i w:val="0"/>
                      <w:color w:val="auto"/>
                      <w:sz w:val="24"/>
                      <w:szCs w:val="24"/>
                      <w:highlight w:val="none"/>
                      <w:u w:val="none"/>
                    </w:rPr>
                  </w:pPr>
                </w:p>
              </w:tc>
              <w:tc>
                <w:tcPr>
                  <w:tcW w:w="2469" w:type="dxa"/>
                  <w:gridSpan w:val="2"/>
                  <w:tcBorders>
                    <w:top w:val="nil"/>
                    <w:left w:val="nil"/>
                    <w:bottom w:val="nil"/>
                    <w:right w:val="nil"/>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64" w:hRule="atLeast"/>
              </w:trPr>
              <w:tc>
                <w:tcPr>
                  <w:tcW w:w="6126"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收入</w:t>
                  </w:r>
                </w:p>
              </w:tc>
              <w:tc>
                <w:tcPr>
                  <w:tcW w:w="735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52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项    目</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行次</w:t>
                  </w:r>
                </w:p>
              </w:tc>
              <w:tc>
                <w:tcPr>
                  <w:tcW w:w="13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决算数</w:t>
                  </w:r>
                </w:p>
              </w:tc>
              <w:tc>
                <w:tcPr>
                  <w:tcW w:w="47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项    目</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行次</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4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栏    次</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 w:hAnsi="仿宋" w:eastAsia="仿宋" w:cs="仿宋"/>
                      <w:i w:val="0"/>
                      <w:color w:val="auto"/>
                      <w:sz w:val="21"/>
                      <w:szCs w:val="21"/>
                      <w:highlight w:val="none"/>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w:t>
                  </w:r>
                </w:p>
              </w:tc>
              <w:tc>
                <w:tcPr>
                  <w:tcW w:w="47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栏    次</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 w:hAnsi="仿宋" w:eastAsia="仿宋" w:cs="仿宋"/>
                      <w:i w:val="0"/>
                      <w:color w:val="auto"/>
                      <w:sz w:val="21"/>
                      <w:szCs w:val="21"/>
                      <w:highlight w:val="none"/>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4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一、一般公共预算财政拨款收入</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lang w:eastAsia="zh-CN"/>
                    </w:rPr>
                  </w:pPr>
                  <w:r>
                    <w:rPr>
                      <w:rFonts w:hint="eastAsia" w:ascii="仿宋" w:hAnsi="仿宋" w:eastAsia="仿宋" w:cs="仿宋"/>
                      <w:i w:val="0"/>
                      <w:color w:val="auto"/>
                      <w:sz w:val="21"/>
                      <w:szCs w:val="21"/>
                      <w:highlight w:val="none"/>
                      <w:u w:val="none"/>
                      <w:lang w:val="en-US" w:eastAsia="zh-CN"/>
                    </w:rPr>
                    <w:t>1460.6</w:t>
                  </w:r>
                  <w:r>
                    <w:rPr>
                      <w:rFonts w:hint="eastAsia" w:ascii="仿宋" w:hAnsi="仿宋" w:eastAsia="仿宋" w:cs="仿宋"/>
                      <w:i w:val="0"/>
                      <w:color w:val="auto"/>
                      <w:sz w:val="21"/>
                      <w:szCs w:val="21"/>
                      <w:highlight w:val="none"/>
                      <w:u w:val="none"/>
                      <w:lang w:eastAsia="zh-CN"/>
                    </w:rPr>
                    <w:t>0</w:t>
                  </w:r>
                </w:p>
              </w:tc>
              <w:tc>
                <w:tcPr>
                  <w:tcW w:w="47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一、一般公共服务支出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14</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98.6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4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二、政府性基金预算财政拨款收入</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c>
                <w:tcPr>
                  <w:tcW w:w="47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二、外交支出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15</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4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三、国有资本经营预算财政拨款收入</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c>
                <w:tcPr>
                  <w:tcW w:w="47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三、国防支出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16</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4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四、上级补助收入</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4</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c>
                <w:tcPr>
                  <w:tcW w:w="47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四、公共安全支出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17</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73" w:hRule="atLeast"/>
              </w:trPr>
              <w:tc>
                <w:tcPr>
                  <w:tcW w:w="4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五、事业收入</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5</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c>
                <w:tcPr>
                  <w:tcW w:w="47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五、教育支出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18</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4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六、经营收入</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6</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c>
                <w:tcPr>
                  <w:tcW w:w="47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六、科学技术支出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19</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1263.82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4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七、附属单位上缴收入</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7</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七、文化旅游体育与传媒支出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20</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23" w:hRule="atLeast"/>
              </w:trPr>
              <w:tc>
                <w:tcPr>
                  <w:tcW w:w="4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八、其他收入</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8</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 w:hAnsi="仿宋" w:eastAsia="仿宋" w:cs="仿宋"/>
                      <w:i w:val="0"/>
                      <w:color w:val="auto"/>
                      <w:sz w:val="21"/>
                      <w:szCs w:val="21"/>
                      <w:highlight w:val="none"/>
                      <w:u w:val="none"/>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八、社会保障和就业支出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21</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lang w:val="en-US" w:eastAsia="zh-CN"/>
                    </w:rPr>
                  </w:pPr>
                  <w:r>
                    <w:rPr>
                      <w:rFonts w:hint="eastAsia" w:ascii="仿宋" w:hAnsi="仿宋" w:eastAsia="仿宋" w:cs="仿宋"/>
                      <w:i w:val="0"/>
                      <w:color w:val="auto"/>
                      <w:sz w:val="21"/>
                      <w:szCs w:val="21"/>
                      <w:highlight w:val="none"/>
                      <w:u w:val="none"/>
                      <w:lang w:val="en-US" w:eastAsia="zh-CN"/>
                    </w:rPr>
                    <w:t>73.99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9</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九、卫生健康支出</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22</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b w:val="0"/>
                      <w:bCs/>
                      <w:i w:val="0"/>
                      <w:color w:val="auto"/>
                      <w:sz w:val="21"/>
                      <w:szCs w:val="21"/>
                      <w:highlight w:val="none"/>
                      <w:u w:val="none"/>
                      <w:lang w:val="en-US" w:eastAsia="zh-CN"/>
                    </w:rPr>
                  </w:pPr>
                  <w:r>
                    <w:rPr>
                      <w:rFonts w:hint="eastAsia" w:ascii="仿宋" w:hAnsi="仿宋" w:eastAsia="仿宋" w:cs="仿宋"/>
                      <w:b w:val="0"/>
                      <w:bCs/>
                      <w:i w:val="0"/>
                      <w:color w:val="auto"/>
                      <w:sz w:val="21"/>
                      <w:szCs w:val="21"/>
                      <w:highlight w:val="none"/>
                      <w:u w:val="none"/>
                      <w:lang w:val="en-US" w:eastAsia="zh-CN"/>
                    </w:rPr>
                    <w:t>24.2</w:t>
                  </w:r>
                </w:p>
              </w:tc>
              <w:tc>
                <w:tcPr>
                  <w:tcW w:w="48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color w:val="auto"/>
                      <w:kern w:val="2"/>
                      <w:sz w:val="22"/>
                      <w:szCs w:val="22"/>
                      <w:highlight w:val="none"/>
                      <w:u w:val="none"/>
                      <w:lang w:val="en-US" w:eastAsia="zh-CN" w:bidi="ar-SA"/>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9571" w:type="dxa"/>
                <w:trHeight w:val="44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本年收入合计</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10</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lang w:eastAsia="zh-CN"/>
                    </w:rPr>
                  </w:pPr>
                  <w:r>
                    <w:rPr>
                      <w:rFonts w:hint="eastAsia" w:ascii="仿宋" w:hAnsi="仿宋" w:eastAsia="仿宋" w:cs="仿宋"/>
                      <w:i w:val="0"/>
                      <w:color w:val="auto"/>
                      <w:sz w:val="21"/>
                      <w:szCs w:val="21"/>
                      <w:highlight w:val="none"/>
                      <w:u w:val="none"/>
                      <w:lang w:val="en-US" w:eastAsia="zh-CN"/>
                    </w:rPr>
                    <w:t>1460.6</w:t>
                  </w:r>
                  <w:r>
                    <w:rPr>
                      <w:rFonts w:hint="eastAsia" w:ascii="仿宋" w:hAnsi="仿宋" w:eastAsia="仿宋" w:cs="仿宋"/>
                      <w:i w:val="0"/>
                      <w:color w:val="auto"/>
                      <w:sz w:val="21"/>
                      <w:szCs w:val="21"/>
                      <w:highlight w:val="none"/>
                      <w:u w:val="none"/>
                      <w:lang w:eastAsia="zh-CN"/>
                    </w:rPr>
                    <w:t>0</w:t>
                  </w:r>
                </w:p>
              </w:tc>
              <w:tc>
                <w:tcPr>
                  <w:tcW w:w="4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本年支出合计</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23</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lang w:eastAsia="zh-CN"/>
                    </w:rPr>
                  </w:pPr>
                  <w:r>
                    <w:rPr>
                      <w:rFonts w:hint="eastAsia" w:ascii="仿宋" w:hAnsi="仿宋" w:eastAsia="仿宋" w:cs="仿宋"/>
                      <w:i w:val="0"/>
                      <w:color w:val="auto"/>
                      <w:sz w:val="21"/>
                      <w:szCs w:val="21"/>
                      <w:highlight w:val="none"/>
                      <w:u w:val="none"/>
                      <w:lang w:val="en-US" w:eastAsia="zh-CN"/>
                    </w:rPr>
                    <w:t>1460.6</w:t>
                  </w:r>
                  <w:r>
                    <w:rPr>
                      <w:rFonts w:hint="eastAsia" w:ascii="仿宋" w:hAnsi="仿宋" w:eastAsia="仿宋" w:cs="仿宋"/>
                      <w:i w:val="0"/>
                      <w:color w:val="auto"/>
                      <w:sz w:val="21"/>
                      <w:szCs w:val="21"/>
                      <w:highlight w:val="none"/>
                      <w:u w:val="none"/>
                      <w:lang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4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 xml:space="preserve">         使用非财政拨款结余</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11</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 xml:space="preserve">                结余分配</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24</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62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 xml:space="preserve">         年初结转和结余</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12</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c>
                <w:tcPr>
                  <w:tcW w:w="4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 xml:space="preserve">                年末结转和结余</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25</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571" w:type="dxa"/>
                <w:trHeight w:val="448" w:hRule="atLeast"/>
              </w:trPr>
              <w:tc>
                <w:tcPr>
                  <w:tcW w:w="40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总计</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13</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i w:val="0"/>
                      <w:color w:val="auto"/>
                      <w:sz w:val="21"/>
                      <w:szCs w:val="21"/>
                      <w:highlight w:val="none"/>
                      <w:u w:val="none"/>
                      <w:lang w:eastAsia="zh-CN"/>
                    </w:rPr>
                  </w:pPr>
                  <w:r>
                    <w:rPr>
                      <w:rFonts w:hint="eastAsia" w:ascii="仿宋" w:hAnsi="仿宋" w:eastAsia="仿宋" w:cs="仿宋"/>
                      <w:i w:val="0"/>
                      <w:color w:val="auto"/>
                      <w:sz w:val="21"/>
                      <w:szCs w:val="21"/>
                      <w:highlight w:val="none"/>
                      <w:u w:val="none"/>
                      <w:lang w:val="en-US" w:eastAsia="zh-CN"/>
                    </w:rPr>
                    <w:t>1460.6</w:t>
                  </w:r>
                  <w:r>
                    <w:rPr>
                      <w:rFonts w:hint="eastAsia" w:ascii="仿宋" w:hAnsi="仿宋" w:eastAsia="仿宋" w:cs="仿宋"/>
                      <w:i w:val="0"/>
                      <w:color w:val="auto"/>
                      <w:sz w:val="21"/>
                      <w:szCs w:val="21"/>
                      <w:highlight w:val="none"/>
                      <w:u w:val="none"/>
                      <w:lang w:eastAsia="zh-CN"/>
                    </w:rPr>
                    <w:t>0</w:t>
                  </w:r>
                </w:p>
              </w:tc>
              <w:tc>
                <w:tcPr>
                  <w:tcW w:w="47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总计</w:t>
                  </w:r>
                </w:p>
              </w:tc>
              <w:tc>
                <w:tcPr>
                  <w:tcW w:w="15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仿宋" w:hAnsi="仿宋" w:eastAsia="仿宋" w:cs="仿宋"/>
                      <w:b w:val="0"/>
                      <w:bCs w:val="0"/>
                      <w:i w:val="0"/>
                      <w:color w:val="auto"/>
                      <w:sz w:val="21"/>
                      <w:szCs w:val="21"/>
                      <w:highlight w:val="none"/>
                      <w:u w:val="none"/>
                    </w:rPr>
                  </w:pPr>
                  <w:r>
                    <w:rPr>
                      <w:rFonts w:hint="eastAsia" w:ascii="仿宋" w:hAnsi="仿宋" w:eastAsia="仿宋" w:cs="仿宋"/>
                      <w:b w:val="0"/>
                      <w:bCs w:val="0"/>
                      <w:i w:val="0"/>
                      <w:color w:val="auto"/>
                      <w:kern w:val="0"/>
                      <w:sz w:val="21"/>
                      <w:szCs w:val="21"/>
                      <w:highlight w:val="none"/>
                      <w:u w:val="none"/>
                      <w:lang w:val="en-US" w:eastAsia="zh-CN" w:bidi="ar"/>
                    </w:rPr>
                    <w:t>26</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rPr>
                      <w:rFonts w:hint="eastAsia" w:ascii="仿宋" w:hAnsi="仿宋" w:eastAsia="仿宋" w:cs="仿宋"/>
                      <w:b w:val="0"/>
                      <w:bCs w:val="0"/>
                      <w:i w:val="0"/>
                      <w:color w:val="auto"/>
                      <w:sz w:val="21"/>
                      <w:szCs w:val="21"/>
                      <w:highlight w:val="none"/>
                      <w:u w:val="none"/>
                      <w:lang w:eastAsia="zh-CN"/>
                    </w:rPr>
                  </w:pPr>
                  <w:r>
                    <w:rPr>
                      <w:rFonts w:hint="eastAsia" w:ascii="仿宋" w:hAnsi="仿宋" w:eastAsia="仿宋" w:cs="仿宋"/>
                      <w:b w:val="0"/>
                      <w:bCs w:val="0"/>
                      <w:i w:val="0"/>
                      <w:color w:val="auto"/>
                      <w:sz w:val="21"/>
                      <w:szCs w:val="21"/>
                      <w:highlight w:val="none"/>
                      <w:u w:val="none"/>
                      <w:lang w:val="en-US" w:eastAsia="zh-CN"/>
                    </w:rPr>
                    <w:t>1460.6</w:t>
                  </w:r>
                  <w:r>
                    <w:rPr>
                      <w:rFonts w:hint="eastAsia" w:ascii="仿宋" w:hAnsi="仿宋" w:eastAsia="仿宋" w:cs="仿宋"/>
                      <w:b w:val="0"/>
                      <w:bCs w:val="0"/>
                      <w:i w:val="0"/>
                      <w:color w:val="auto"/>
                      <w:sz w:val="21"/>
                      <w:szCs w:val="21"/>
                      <w:highlight w:val="none"/>
                      <w:u w:val="none"/>
                      <w:lang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655" w:type="dxa"/>
                <w:trHeight w:val="2240" w:hRule="atLeast"/>
              </w:trPr>
              <w:tc>
                <w:tcPr>
                  <w:tcW w:w="15398" w:type="dxa"/>
                  <w:gridSpan w:val="8"/>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注：1.本表反映部门本年度的总收支和年末结转结余情况。</w:t>
                  </w:r>
                  <w:r>
                    <w:rPr>
                      <w:rFonts w:hint="eastAsia" w:ascii="宋体" w:hAnsi="宋体" w:eastAsia="宋体" w:cs="宋体"/>
                      <w:i w:val="0"/>
                      <w:color w:val="auto"/>
                      <w:kern w:val="0"/>
                      <w:sz w:val="24"/>
                      <w:szCs w:val="24"/>
                      <w:highlight w:val="none"/>
                      <w:u w:val="none"/>
                      <w:lang w:val="en-US" w:eastAsia="zh-CN" w:bidi="ar"/>
                    </w:rPr>
                    <w:br w:type="textWrapping"/>
                  </w:r>
                  <w:r>
                    <w:rPr>
                      <w:rFonts w:hint="eastAsia" w:ascii="宋体" w:hAnsi="宋体" w:eastAsia="宋体" w:cs="宋体"/>
                      <w:i w:val="0"/>
                      <w:color w:val="auto"/>
                      <w:kern w:val="0"/>
                      <w:sz w:val="24"/>
                      <w:szCs w:val="24"/>
                      <w:highlight w:val="none"/>
                      <w:u w:val="none"/>
                      <w:lang w:val="en-US" w:eastAsia="zh-CN" w:bidi="ar"/>
                    </w:rPr>
                    <w:t xml:space="preserve">    2.本套报表金额单位转换时可能存在尾数误差。</w:t>
                  </w:r>
                </w:p>
              </w:tc>
            </w:tr>
          </w:tbl>
          <w:p>
            <w:pPr>
              <w:jc w:val="center"/>
              <w:rPr>
                <w:rFonts w:hint="eastAsia" w:ascii="华文中宋" w:hAnsi="华文中宋" w:eastAsia="华文中宋"/>
                <w:color w:val="auto"/>
                <w:sz w:val="32"/>
                <w:szCs w:val="32"/>
                <w:highlight w:val="none"/>
              </w:rPr>
            </w:pPr>
          </w:p>
          <w:p>
            <w:pPr>
              <w:jc w:val="center"/>
              <w:rPr>
                <w:rFonts w:ascii="华文中宋" w:hAnsi="华文中宋" w:eastAsia="华文中宋" w:cs="宋体"/>
                <w:color w:val="auto"/>
                <w:sz w:val="32"/>
                <w:szCs w:val="32"/>
                <w:highlight w:val="none"/>
              </w:rPr>
            </w:pPr>
            <w:r>
              <w:rPr>
                <w:rFonts w:hint="eastAsia" w:ascii="华文中宋" w:hAnsi="华文中宋" w:eastAsia="华文中宋"/>
                <w:color w:val="auto"/>
                <w:sz w:val="32"/>
                <w:szCs w:val="32"/>
                <w:highlight w:val="none"/>
              </w:rPr>
              <w:t>收入决算表</w:t>
            </w:r>
          </w:p>
        </w:tc>
      </w:tr>
      <w:tr>
        <w:tblPrEx>
          <w:tblCellMar>
            <w:top w:w="0" w:type="dxa"/>
            <w:left w:w="0" w:type="dxa"/>
            <w:bottom w:w="0" w:type="dxa"/>
            <w:right w:w="0" w:type="dxa"/>
          </w:tblCellMar>
        </w:tblPrEx>
        <w:trPr>
          <w:trHeight w:val="285" w:hRule="atLeast"/>
        </w:trPr>
        <w:tc>
          <w:tcPr>
            <w:tcW w:w="277"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ascii="宋体" w:hAnsi="宋体" w:eastAsia="宋体" w:cs="宋体"/>
                <w:color w:val="auto"/>
                <w:sz w:val="24"/>
                <w:szCs w:val="24"/>
                <w:highlight w:val="none"/>
              </w:rPr>
            </w:pPr>
            <w:r>
              <w:rPr>
                <w:rFonts w:hint="eastAsia"/>
                <w:color w:val="auto"/>
                <w:highlight w:val="none"/>
              </w:rPr>
              <w:t>　</w:t>
            </w:r>
          </w:p>
        </w:tc>
        <w:tc>
          <w:tcPr>
            <w:tcW w:w="567"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72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470"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04"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ascii="宋体" w:hAnsi="宋体" w:eastAsia="宋体" w:cs="宋体"/>
                <w:color w:val="auto"/>
                <w:sz w:val="24"/>
                <w:szCs w:val="24"/>
                <w:highlight w:val="none"/>
              </w:rPr>
            </w:pPr>
            <w:r>
              <w:rPr>
                <w:rFonts w:hint="eastAsia"/>
                <w:color w:val="auto"/>
                <w:highlight w:val="none"/>
              </w:rPr>
              <w:t>　</w:t>
            </w:r>
          </w:p>
        </w:tc>
        <w:tc>
          <w:tcPr>
            <w:tcW w:w="256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ascii="宋体" w:hAnsi="宋体" w:eastAsia="宋体" w:cs="宋体"/>
                <w:color w:val="auto"/>
                <w:sz w:val="20"/>
                <w:szCs w:val="20"/>
                <w:highlight w:val="none"/>
              </w:rPr>
            </w:pPr>
            <w:r>
              <w:rPr>
                <w:rFonts w:hint="eastAsia"/>
                <w:color w:val="auto"/>
                <w:sz w:val="20"/>
                <w:szCs w:val="20"/>
                <w:highlight w:val="none"/>
              </w:rPr>
              <w:t>公开02表</w:t>
            </w:r>
          </w:p>
        </w:tc>
      </w:tr>
      <w:tr>
        <w:tblPrEx>
          <w:tblCellMar>
            <w:top w:w="0" w:type="dxa"/>
            <w:left w:w="0" w:type="dxa"/>
            <w:bottom w:w="0" w:type="dxa"/>
            <w:right w:w="0" w:type="dxa"/>
          </w:tblCellMar>
        </w:tblPrEx>
        <w:trPr>
          <w:trHeight w:val="285" w:hRule="atLeast"/>
        </w:trPr>
        <w:tc>
          <w:tcPr>
            <w:tcW w:w="844"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部门：</w:t>
            </w:r>
          </w:p>
        </w:tc>
        <w:tc>
          <w:tcPr>
            <w:tcW w:w="172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p>
        </w:tc>
        <w:tc>
          <w:tcPr>
            <w:tcW w:w="1470"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p>
        </w:tc>
        <w:tc>
          <w:tcPr>
            <w:tcW w:w="1604"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p>
        </w:tc>
        <w:tc>
          <w:tcPr>
            <w:tcW w:w="180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w:t>
            </w:r>
          </w:p>
        </w:tc>
        <w:tc>
          <w:tcPr>
            <w:tcW w:w="2565"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单位：万元</w:t>
            </w:r>
          </w:p>
        </w:tc>
      </w:tr>
      <w:tr>
        <w:tblPrEx>
          <w:tblCellMar>
            <w:top w:w="0" w:type="dxa"/>
            <w:left w:w="0" w:type="dxa"/>
            <w:bottom w:w="0" w:type="dxa"/>
            <w:right w:w="0" w:type="dxa"/>
          </w:tblCellMar>
        </w:tblPrEx>
        <w:trPr>
          <w:trHeight w:val="450" w:hRule="atLeast"/>
        </w:trPr>
        <w:tc>
          <w:tcPr>
            <w:tcW w:w="2569"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    目</w:t>
            </w:r>
          </w:p>
        </w:tc>
        <w:tc>
          <w:tcPr>
            <w:tcW w:w="147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本年收入合计</w:t>
            </w:r>
          </w:p>
        </w:tc>
        <w:tc>
          <w:tcPr>
            <w:tcW w:w="160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财政拨款收入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上级补助收入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事业收入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经营收入</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附属单位上缴收入</w:t>
            </w:r>
          </w:p>
        </w:tc>
        <w:tc>
          <w:tcPr>
            <w:tcW w:w="256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其他收入</w:t>
            </w:r>
          </w:p>
        </w:tc>
      </w:tr>
      <w:tr>
        <w:tblPrEx>
          <w:tblCellMar>
            <w:top w:w="0" w:type="dxa"/>
            <w:left w:w="0" w:type="dxa"/>
            <w:bottom w:w="0" w:type="dxa"/>
            <w:right w:w="0" w:type="dxa"/>
          </w:tblCellMar>
        </w:tblPrEx>
        <w:trPr>
          <w:trHeight w:val="450" w:hRule="atLeast"/>
        </w:trPr>
        <w:tc>
          <w:tcPr>
            <w:tcW w:w="84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功能分类科目编码</w:t>
            </w:r>
          </w:p>
        </w:tc>
        <w:tc>
          <w:tcPr>
            <w:tcW w:w="172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科目名称</w:t>
            </w: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6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25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72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60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c>
          <w:tcPr>
            <w:tcW w:w="25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25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栏次</w:t>
            </w:r>
          </w:p>
        </w:tc>
        <w:tc>
          <w:tcPr>
            <w:tcW w:w="14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60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c>
          <w:tcPr>
            <w:tcW w:w="18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p>
        </w:tc>
        <w:tc>
          <w:tcPr>
            <w:tcW w:w="25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w:t>
            </w:r>
          </w:p>
        </w:tc>
      </w:tr>
      <w:tr>
        <w:tblPrEx>
          <w:tblCellMar>
            <w:top w:w="0" w:type="dxa"/>
            <w:left w:w="0" w:type="dxa"/>
            <w:bottom w:w="0" w:type="dxa"/>
            <w:right w:w="0" w:type="dxa"/>
          </w:tblCellMar>
        </w:tblPrEx>
        <w:trPr>
          <w:trHeight w:val="450" w:hRule="atLeast"/>
        </w:trPr>
        <w:tc>
          <w:tcPr>
            <w:tcW w:w="25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合计</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1460.60　</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1460.60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2013299</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其他组织事务支出</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98.6　</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98.6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2060101</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行政运行</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500.79　</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500.79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2060199</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其他科学技术管理事务支出</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95.91　</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95.91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2060404</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科技成果转化与扩散</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20　</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20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2060702</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科普活动</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15　</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15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2060799</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其他科学技术普及支出</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10　</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10　</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2069999</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其他科学技术支出</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622.12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622.12</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2080505</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机关事业单位基本养老保险缴费支出</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43.99</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43.99</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2080599</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其他行政事业单位养老支出</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30</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2100410</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突发公共卫生事件应急处理</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2.2</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450" w:hRule="atLeast"/>
        </w:trPr>
        <w:tc>
          <w:tcPr>
            <w:tcW w:w="84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2101101</w:t>
            </w:r>
          </w:p>
        </w:tc>
        <w:tc>
          <w:tcPr>
            <w:tcW w:w="17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行政单位医疗</w:t>
            </w:r>
          </w:p>
        </w:tc>
        <w:tc>
          <w:tcPr>
            <w:tcW w:w="14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22</w:t>
            </w: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18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c>
          <w:tcPr>
            <w:tcW w:w="2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sz w:val="21"/>
                <w:szCs w:val="21"/>
                <w:highlight w:val="none"/>
              </w:rPr>
            </w:pP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ascii="宋体" w:hAnsi="宋体" w:eastAsia="宋体" w:cs="宋体"/>
                <w:color w:val="auto"/>
                <w:sz w:val="24"/>
                <w:szCs w:val="24"/>
                <w:highlight w:val="none"/>
              </w:rPr>
            </w:pPr>
            <w:r>
              <w:rPr>
                <w:rFonts w:hint="eastAsia"/>
                <w:color w:val="auto"/>
                <w:highlight w:val="none"/>
              </w:rPr>
              <w:t>注：本表反映部门本年度取得的各项收入情况。</w:t>
            </w:r>
          </w:p>
        </w:tc>
      </w:tr>
    </w:tbl>
    <w:p>
      <w:pPr>
        <w:widowControl/>
        <w:jc w:val="center"/>
        <w:rPr>
          <w:rFonts w:ascii="Times New Roman" w:hAnsi="Times New Roman" w:eastAsia="黑体" w:cs="Times New Roman"/>
          <w:bCs/>
          <w:color w:val="auto"/>
          <w:kern w:val="0"/>
          <w:sz w:val="32"/>
          <w:szCs w:val="32"/>
          <w:highlight w:val="none"/>
        </w:rPr>
      </w:pPr>
    </w:p>
    <w:p>
      <w:pPr>
        <w:widowControl/>
        <w:jc w:val="center"/>
        <w:rPr>
          <w:rFonts w:ascii="Times New Roman" w:hAnsi="Times New Roman" w:eastAsia="黑体" w:cs="Times New Roman"/>
          <w:bCs/>
          <w:color w:val="auto"/>
          <w:kern w:val="0"/>
          <w:sz w:val="32"/>
          <w:szCs w:val="32"/>
          <w:highlight w:val="none"/>
        </w:rPr>
      </w:pPr>
    </w:p>
    <w:tbl>
      <w:tblPr>
        <w:tblStyle w:val="6"/>
        <w:tblW w:w="15640" w:type="dxa"/>
        <w:tblInd w:w="93" w:type="dxa"/>
        <w:tblLayout w:type="fixed"/>
        <w:tblCellMar>
          <w:top w:w="0" w:type="dxa"/>
          <w:left w:w="108" w:type="dxa"/>
          <w:bottom w:w="0" w:type="dxa"/>
          <w:right w:w="108" w:type="dxa"/>
        </w:tblCellMar>
      </w:tblPr>
      <w:tblGrid>
        <w:gridCol w:w="1236"/>
        <w:gridCol w:w="263"/>
        <w:gridCol w:w="2096"/>
        <w:gridCol w:w="639"/>
        <w:gridCol w:w="165"/>
        <w:gridCol w:w="1125"/>
        <w:gridCol w:w="690"/>
        <w:gridCol w:w="1560"/>
        <w:gridCol w:w="746"/>
        <w:gridCol w:w="632"/>
        <w:gridCol w:w="167"/>
        <w:gridCol w:w="268"/>
        <w:gridCol w:w="1573"/>
        <w:gridCol w:w="49"/>
        <w:gridCol w:w="1345"/>
        <w:gridCol w:w="342"/>
        <w:gridCol w:w="1052"/>
        <w:gridCol w:w="1573"/>
        <w:gridCol w:w="119"/>
      </w:tblGrid>
      <w:tr>
        <w:tblPrEx>
          <w:tblCellMar>
            <w:top w:w="0" w:type="dxa"/>
            <w:left w:w="108" w:type="dxa"/>
            <w:bottom w:w="0" w:type="dxa"/>
            <w:right w:w="108" w:type="dxa"/>
          </w:tblCellMar>
        </w:tblPrEx>
        <w:trPr>
          <w:trHeight w:val="504" w:hRule="atLeast"/>
        </w:trPr>
        <w:tc>
          <w:tcPr>
            <w:tcW w:w="15640" w:type="dxa"/>
            <w:gridSpan w:val="1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支出决算表</w:t>
            </w:r>
          </w:p>
        </w:tc>
      </w:tr>
      <w:tr>
        <w:trPr>
          <w:trHeight w:val="403" w:hRule="atLeast"/>
        </w:trPr>
        <w:tc>
          <w:tcPr>
            <w:tcW w:w="1236" w:type="dxa"/>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263" w:type="dxa"/>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2900" w:type="dxa"/>
            <w:gridSpan w:val="3"/>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1815" w:type="dxa"/>
            <w:gridSpan w:val="2"/>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1560" w:type="dxa"/>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1545" w:type="dxa"/>
            <w:gridSpan w:val="3"/>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1890" w:type="dxa"/>
            <w:gridSpan w:val="3"/>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1687" w:type="dxa"/>
            <w:gridSpan w:val="2"/>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2744" w:type="dxa"/>
            <w:gridSpan w:val="3"/>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部门：</w:t>
            </w:r>
          </w:p>
        </w:tc>
        <w:tc>
          <w:tcPr>
            <w:tcW w:w="263" w:type="dxa"/>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2900" w:type="dxa"/>
            <w:gridSpan w:val="3"/>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1815" w:type="dxa"/>
            <w:gridSpan w:val="2"/>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1560" w:type="dxa"/>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1545" w:type="dxa"/>
            <w:gridSpan w:val="3"/>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1890" w:type="dxa"/>
            <w:gridSpan w:val="3"/>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1687" w:type="dxa"/>
            <w:gridSpan w:val="2"/>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w:t>
            </w:r>
          </w:p>
        </w:tc>
        <w:tc>
          <w:tcPr>
            <w:tcW w:w="2744" w:type="dxa"/>
            <w:gridSpan w:val="3"/>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单位：万元</w:t>
            </w:r>
          </w:p>
        </w:tc>
      </w:tr>
      <w:tr>
        <w:trPr>
          <w:trHeight w:val="595" w:hRule="atLeast"/>
        </w:trPr>
        <w:tc>
          <w:tcPr>
            <w:tcW w:w="4399"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项    目</w:t>
            </w:r>
          </w:p>
        </w:tc>
        <w:tc>
          <w:tcPr>
            <w:tcW w:w="181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本年支出合计</w:t>
            </w:r>
          </w:p>
        </w:tc>
        <w:tc>
          <w:tcPr>
            <w:tcW w:w="15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基本支出</w:t>
            </w:r>
          </w:p>
        </w:tc>
        <w:tc>
          <w:tcPr>
            <w:tcW w:w="1545"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项目支出</w:t>
            </w:r>
          </w:p>
        </w:tc>
        <w:tc>
          <w:tcPr>
            <w:tcW w:w="1890"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上缴上级支出</w:t>
            </w:r>
          </w:p>
        </w:tc>
        <w:tc>
          <w:tcPr>
            <w:tcW w:w="168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经营支出</w:t>
            </w:r>
          </w:p>
        </w:tc>
        <w:tc>
          <w:tcPr>
            <w:tcW w:w="2744"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功能分类科目编码</w:t>
            </w:r>
          </w:p>
        </w:tc>
        <w:tc>
          <w:tcPr>
            <w:tcW w:w="2900" w:type="dxa"/>
            <w:gridSpan w:val="3"/>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科目名称</w:t>
            </w:r>
          </w:p>
        </w:tc>
        <w:tc>
          <w:tcPr>
            <w:tcW w:w="1815"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1545"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1890"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1687"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2744"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r>
      <w:tr>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2900" w:type="dxa"/>
            <w:gridSpan w:val="3"/>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1815"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1545"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1890"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1687"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c>
          <w:tcPr>
            <w:tcW w:w="2744"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595" w:hRule="atLeast"/>
        </w:trPr>
        <w:tc>
          <w:tcPr>
            <w:tcW w:w="43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栏次</w:t>
            </w:r>
          </w:p>
        </w:tc>
        <w:tc>
          <w:tcPr>
            <w:tcW w:w="1815" w:type="dxa"/>
            <w:gridSpan w:val="2"/>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560"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p>
        </w:tc>
        <w:tc>
          <w:tcPr>
            <w:tcW w:w="1545"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w:t>
            </w:r>
          </w:p>
        </w:tc>
        <w:tc>
          <w:tcPr>
            <w:tcW w:w="189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w:t>
            </w:r>
          </w:p>
        </w:tc>
        <w:tc>
          <w:tcPr>
            <w:tcW w:w="1687" w:type="dxa"/>
            <w:gridSpan w:val="2"/>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w:t>
            </w:r>
          </w:p>
        </w:tc>
        <w:tc>
          <w:tcPr>
            <w:tcW w:w="2744"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6</w:t>
            </w:r>
          </w:p>
        </w:tc>
      </w:tr>
      <w:tr>
        <w:trPr>
          <w:trHeight w:val="595" w:hRule="atLeast"/>
        </w:trPr>
        <w:tc>
          <w:tcPr>
            <w:tcW w:w="439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合计</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1460.60　</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622.88　</w:t>
            </w: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837.72　</w:t>
            </w: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2013299</w:t>
            </w:r>
          </w:p>
        </w:tc>
        <w:tc>
          <w:tcPr>
            <w:tcW w:w="290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其他组织事务支出</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98.6　</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98.6　</w:t>
            </w: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2060101</w:t>
            </w:r>
          </w:p>
        </w:tc>
        <w:tc>
          <w:tcPr>
            <w:tcW w:w="290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行政运行</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500.79</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428.79　</w:t>
            </w: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72　</w:t>
            </w: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2060199</w:t>
            </w:r>
          </w:p>
        </w:tc>
        <w:tc>
          <w:tcPr>
            <w:tcW w:w="290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其他科学技术管理事务支出</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95.91　</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95.91　</w:t>
            </w: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2060404</w:t>
            </w:r>
          </w:p>
        </w:tc>
        <w:tc>
          <w:tcPr>
            <w:tcW w:w="290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科技成果转化与扩散</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　</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　</w:t>
            </w: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2060702</w:t>
            </w:r>
          </w:p>
        </w:tc>
        <w:tc>
          <w:tcPr>
            <w:tcW w:w="290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科普活动</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15</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15　</w:t>
            </w: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2060799</w:t>
            </w:r>
          </w:p>
        </w:tc>
        <w:tc>
          <w:tcPr>
            <w:tcW w:w="290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其他科学技术普及支出</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　</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　</w:t>
            </w: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2069999</w:t>
            </w:r>
          </w:p>
        </w:tc>
        <w:tc>
          <w:tcPr>
            <w:tcW w:w="290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其他科学技术支出</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622.12</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622.12</w:t>
            </w: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2080505</w:t>
            </w:r>
          </w:p>
        </w:tc>
        <w:tc>
          <w:tcPr>
            <w:tcW w:w="290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机关事业单位基本养老保险缴费支出</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43.99</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43.99</w:t>
            </w: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2080599</w:t>
            </w:r>
          </w:p>
        </w:tc>
        <w:tc>
          <w:tcPr>
            <w:tcW w:w="290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其他行政事业单位养老支出</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w:t>
            </w: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r>
      <w:tr>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2100410</w:t>
            </w:r>
          </w:p>
        </w:tc>
        <w:tc>
          <w:tcPr>
            <w:tcW w:w="290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突发公共卫生事件应急处理</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2.2</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2.2</w:t>
            </w: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2101101</w:t>
            </w:r>
          </w:p>
        </w:tc>
        <w:tc>
          <w:tcPr>
            <w:tcW w:w="2900"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行政单位医疗</w:t>
            </w:r>
          </w:p>
        </w:tc>
        <w:tc>
          <w:tcPr>
            <w:tcW w:w="1815"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22</w:t>
            </w:r>
          </w:p>
        </w:tc>
        <w:tc>
          <w:tcPr>
            <w:tcW w:w="156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22</w:t>
            </w:r>
          </w:p>
        </w:tc>
        <w:tc>
          <w:tcPr>
            <w:tcW w:w="1545"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1890"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168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c>
          <w:tcPr>
            <w:tcW w:w="2744"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仿宋" w:hAnsi="仿宋" w:eastAsia="仿宋" w:cs="仿宋"/>
                <w:color w:val="auto"/>
                <w:kern w:val="0"/>
                <w:sz w:val="21"/>
                <w:szCs w:val="21"/>
                <w:highlight w:val="none"/>
              </w:rPr>
            </w:pPr>
          </w:p>
        </w:tc>
      </w:tr>
      <w:tr>
        <w:trPr>
          <w:trHeight w:val="828" w:hRule="atLeast"/>
        </w:trPr>
        <w:tc>
          <w:tcPr>
            <w:tcW w:w="15640" w:type="dxa"/>
            <w:gridSpan w:val="19"/>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注：本表反映部门本年度各项支出情况。</w:t>
            </w:r>
          </w:p>
        </w:tc>
      </w:tr>
      <w:tr>
        <w:tblPrEx>
          <w:tblCellMar>
            <w:top w:w="0" w:type="dxa"/>
            <w:left w:w="108" w:type="dxa"/>
            <w:bottom w:w="0" w:type="dxa"/>
            <w:right w:w="108" w:type="dxa"/>
          </w:tblCellMar>
        </w:tblPrEx>
        <w:trPr>
          <w:gridAfter w:val="1"/>
          <w:wAfter w:w="119" w:type="dxa"/>
          <w:trHeight w:val="360" w:hRule="atLeast"/>
        </w:trPr>
        <w:tc>
          <w:tcPr>
            <w:tcW w:w="15521" w:type="dxa"/>
            <w:gridSpan w:val="18"/>
            <w:tcBorders>
              <w:top w:val="nil"/>
              <w:left w:val="nil"/>
              <w:bottom w:val="nil"/>
              <w:right w:val="nil"/>
            </w:tcBorders>
            <w:shd w:val="clear" w:color="auto" w:fill="auto"/>
            <w:noWrap/>
            <w:vAlign w:val="center"/>
          </w:tcPr>
          <w:p>
            <w:pPr>
              <w:widowControl/>
              <w:jc w:val="center"/>
              <w:rPr>
                <w:rFonts w:hint="eastAsia" w:ascii="华文中宋" w:hAnsi="华文中宋" w:eastAsia="华文中宋" w:cs="宋体"/>
                <w:color w:val="auto"/>
                <w:kern w:val="0"/>
                <w:sz w:val="32"/>
                <w:szCs w:val="32"/>
                <w:highlight w:val="none"/>
              </w:rPr>
            </w:pPr>
            <w:bookmarkStart w:id="0" w:name="RANGE!A1:I22"/>
            <w:bookmarkEnd w:id="0"/>
            <w:bookmarkStart w:id="1" w:name="RANGE!A1:F16"/>
          </w:p>
          <w:p>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财政拨款收入支出决算总表</w:t>
            </w:r>
          </w:p>
        </w:tc>
      </w:tr>
      <w:tr>
        <w:trPr>
          <w:gridAfter w:val="1"/>
          <w:wAfter w:w="119" w:type="dxa"/>
          <w:trHeight w:val="199" w:hRule="atLeast"/>
        </w:trPr>
        <w:tc>
          <w:tcPr>
            <w:tcW w:w="3595"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639" w:type="dxa"/>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29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3628" w:type="dxa"/>
            <w:gridSpan w:val="4"/>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公开04表</w:t>
            </w:r>
          </w:p>
        </w:tc>
      </w:tr>
      <w:tr>
        <w:tblPrEx>
          <w:tblCellMar>
            <w:top w:w="0" w:type="dxa"/>
            <w:left w:w="108" w:type="dxa"/>
            <w:bottom w:w="0" w:type="dxa"/>
            <w:right w:w="108" w:type="dxa"/>
          </w:tblCellMar>
        </w:tblPrEx>
        <w:trPr>
          <w:gridAfter w:val="1"/>
          <w:wAfter w:w="119" w:type="dxa"/>
          <w:trHeight w:val="300" w:hRule="atLeast"/>
        </w:trPr>
        <w:tc>
          <w:tcPr>
            <w:tcW w:w="3595" w:type="dxa"/>
            <w:gridSpan w:val="3"/>
            <w:tcBorders>
              <w:top w:val="nil"/>
              <w:left w:val="nil"/>
              <w:bottom w:val="nil"/>
              <w:right w:val="nil"/>
            </w:tcBorders>
            <w:shd w:val="clear" w:color="000000" w:fill="FFFFFF"/>
            <w:noWrap/>
            <w:vAlign w:val="center"/>
          </w:tcPr>
          <w:p>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部门：</w:t>
            </w:r>
          </w:p>
        </w:tc>
        <w:tc>
          <w:tcPr>
            <w:tcW w:w="639" w:type="dxa"/>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290"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3628" w:type="dxa"/>
            <w:gridSpan w:val="4"/>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trPr>
          <w:gridAfter w:val="1"/>
          <w:wAfter w:w="119" w:type="dxa"/>
          <w:trHeight w:val="402" w:hRule="atLeast"/>
        </w:trPr>
        <w:tc>
          <w:tcPr>
            <w:tcW w:w="5524"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收入</w:t>
            </w:r>
          </w:p>
        </w:tc>
        <w:tc>
          <w:tcPr>
            <w:tcW w:w="9997" w:type="dxa"/>
            <w:gridSpan w:val="12"/>
            <w:tcBorders>
              <w:top w:val="single" w:color="auto" w:sz="4" w:space="0"/>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支出</w:t>
            </w:r>
          </w:p>
        </w:tc>
      </w:tr>
      <w:tr>
        <w:tblPrEx>
          <w:tblCellMar>
            <w:top w:w="0" w:type="dxa"/>
            <w:left w:w="108" w:type="dxa"/>
            <w:bottom w:w="0" w:type="dxa"/>
            <w:right w:w="108" w:type="dxa"/>
          </w:tblCellMar>
        </w:tblPrEx>
        <w:trPr>
          <w:gridAfter w:val="1"/>
          <w:wAfter w:w="119" w:type="dxa"/>
          <w:trHeight w:val="630"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项    目</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行次</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金额</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项    目</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行次</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合计</w:t>
            </w:r>
          </w:p>
        </w:tc>
        <w:tc>
          <w:tcPr>
            <w:tcW w:w="1394"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一般公共预算财政拨款</w:t>
            </w:r>
          </w:p>
        </w:tc>
        <w:tc>
          <w:tcPr>
            <w:tcW w:w="1394"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国有资本经营预算财政拨款</w:t>
            </w:r>
          </w:p>
        </w:tc>
      </w:tr>
      <w:tr>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栏    次</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栏    次</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w:t>
            </w:r>
          </w:p>
        </w:tc>
      </w:tr>
      <w:tr>
        <w:tblPrEx>
          <w:tblCellMar>
            <w:top w:w="0" w:type="dxa"/>
            <w:left w:w="108" w:type="dxa"/>
            <w:bottom w:w="0" w:type="dxa"/>
            <w:right w:w="108" w:type="dxa"/>
          </w:tblCellMar>
        </w:tblPrEx>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一、一般公共预算财政拨款</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1460.60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一、一般公共服务支出</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15</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98.60</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98.60</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p>
        </w:tc>
      </w:tr>
      <w:tr>
        <w:trPr>
          <w:gridAfter w:val="1"/>
          <w:wAfter w:w="119" w:type="dxa"/>
          <w:trHeight w:val="609"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二、政府性基金预算财政拨款</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二、外交支出</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16</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三、国有资本经营预算财政拨款</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三、国防支出</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17</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p>
        </w:tc>
      </w:tr>
      <w:tr>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四、公共安全支出</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18</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五、教育支出</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19</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p>
        </w:tc>
      </w:tr>
      <w:tr>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6</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六、科学技术支出</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1263.82</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1263.82</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i w:val="0"/>
                <w:color w:val="auto"/>
                <w:sz w:val="21"/>
                <w:szCs w:val="21"/>
                <w:highlight w:val="none"/>
                <w:u w:val="none"/>
              </w:rPr>
              <w:t>七、文化旅游体育与传媒支出</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21</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p>
        </w:tc>
      </w:tr>
      <w:tr>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8</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i w:val="0"/>
                <w:color w:val="auto"/>
                <w:sz w:val="21"/>
                <w:szCs w:val="21"/>
                <w:highlight w:val="none"/>
                <w:u w:val="none"/>
              </w:rPr>
              <w:t>八、社会保障和就业支出</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22</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73.99</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73.99</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i w:val="0"/>
                <w:color w:val="auto"/>
                <w:sz w:val="21"/>
                <w:szCs w:val="21"/>
                <w:highlight w:val="none"/>
                <w:u w:val="none"/>
              </w:rPr>
              <w:t>九、卫生健康支出</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24.20</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24.20</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r>
      <w:tr>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本年收入合计</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1460.60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本年支出合计</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23</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1460.60</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1460.60</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bCs/>
                <w:color w:val="auto"/>
                <w:kern w:val="0"/>
                <w:sz w:val="21"/>
                <w:szCs w:val="21"/>
                <w:highlight w:val="none"/>
              </w:rPr>
            </w:pPr>
          </w:p>
        </w:tc>
      </w:tr>
      <w:tr>
        <w:tblPrEx>
          <w:tblCellMar>
            <w:top w:w="0" w:type="dxa"/>
            <w:left w:w="108" w:type="dxa"/>
            <w:bottom w:w="0" w:type="dxa"/>
            <w:right w:w="108" w:type="dxa"/>
          </w:tblCellMar>
        </w:tblPrEx>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年初财政拨款结转和结余</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年末财政拨款结转和结余</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24</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p>
        </w:tc>
      </w:tr>
      <w:tr>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一般公共预算财政拨款</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11</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25</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政府性基金预算财政拨款</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26</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p>
        </w:tc>
      </w:tr>
      <w:tr>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国有资本经营预算财政拨款</w:t>
            </w:r>
          </w:p>
        </w:tc>
        <w:tc>
          <w:tcPr>
            <w:tcW w:w="639"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2996"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w:t>
            </w:r>
          </w:p>
        </w:tc>
        <w:tc>
          <w:tcPr>
            <w:tcW w:w="1067"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27</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gridAfter w:val="1"/>
          <w:wAfter w:w="119" w:type="dxa"/>
          <w:trHeight w:val="402" w:hRule="atLeast"/>
        </w:trPr>
        <w:tc>
          <w:tcPr>
            <w:tcW w:w="3595" w:type="dxa"/>
            <w:gridSpan w:val="3"/>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总计</w:t>
            </w:r>
          </w:p>
        </w:tc>
        <w:tc>
          <w:tcPr>
            <w:tcW w:w="639"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14</w:t>
            </w:r>
          </w:p>
        </w:tc>
        <w:tc>
          <w:tcPr>
            <w:tcW w:w="1290"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1460.60　</w:t>
            </w:r>
          </w:p>
        </w:tc>
        <w:tc>
          <w:tcPr>
            <w:tcW w:w="2996"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总计</w:t>
            </w:r>
          </w:p>
        </w:tc>
        <w:tc>
          <w:tcPr>
            <w:tcW w:w="1067" w:type="dxa"/>
            <w:gridSpan w:val="3"/>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28</w:t>
            </w:r>
          </w:p>
        </w:tc>
        <w:tc>
          <w:tcPr>
            <w:tcW w:w="1573"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1460.60</w:t>
            </w:r>
          </w:p>
        </w:tc>
        <w:tc>
          <w:tcPr>
            <w:tcW w:w="1394" w:type="dxa"/>
            <w:gridSpan w:val="2"/>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1460.60</w:t>
            </w:r>
          </w:p>
        </w:tc>
        <w:tc>
          <w:tcPr>
            <w:tcW w:w="1394"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bCs/>
                <w:color w:val="auto"/>
                <w:kern w:val="0"/>
                <w:sz w:val="21"/>
                <w:szCs w:val="21"/>
                <w:highlight w:val="none"/>
              </w:rPr>
            </w:pP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bCs/>
                <w:color w:val="auto"/>
                <w:kern w:val="0"/>
                <w:sz w:val="21"/>
                <w:szCs w:val="21"/>
                <w:highlight w:val="none"/>
              </w:rPr>
            </w:pPr>
          </w:p>
        </w:tc>
      </w:tr>
      <w:tr>
        <w:trPr>
          <w:gridAfter w:val="1"/>
          <w:wAfter w:w="119" w:type="dxa"/>
          <w:trHeight w:val="585" w:hRule="atLeast"/>
        </w:trPr>
        <w:tc>
          <w:tcPr>
            <w:tcW w:w="15521" w:type="dxa"/>
            <w:gridSpan w:val="18"/>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color w:val="auto"/>
          <w:kern w:val="0"/>
          <w:sz w:val="36"/>
          <w:szCs w:val="36"/>
          <w:highlight w:val="none"/>
        </w:rPr>
      </w:pPr>
    </w:p>
    <w:p>
      <w:pPr>
        <w:widowControl/>
        <w:jc w:val="center"/>
        <w:rPr>
          <w:rFonts w:ascii="Times New Roman" w:hAnsi="Times New Roman" w:eastAsia="方正小标宋_GBK" w:cs="Times New Roman"/>
          <w:color w:val="auto"/>
          <w:kern w:val="0"/>
          <w:sz w:val="36"/>
          <w:szCs w:val="36"/>
          <w:highlight w:val="none"/>
        </w:rPr>
      </w:pPr>
    </w:p>
    <w:p>
      <w:pPr>
        <w:widowControl/>
        <w:jc w:val="center"/>
        <w:rPr>
          <w:rFonts w:ascii="Times New Roman" w:hAnsi="Times New Roman" w:eastAsia="方正小标宋_GBK" w:cs="Times New Roman"/>
          <w:color w:val="auto"/>
          <w:kern w:val="0"/>
          <w:sz w:val="36"/>
          <w:szCs w:val="36"/>
          <w:highlight w:val="none"/>
        </w:rPr>
      </w:pPr>
    </w:p>
    <w:p>
      <w:pPr>
        <w:widowControl/>
        <w:jc w:val="center"/>
        <w:rPr>
          <w:rFonts w:ascii="Times New Roman" w:hAnsi="Times New Roman" w:eastAsia="方正小标宋_GBK" w:cs="Times New Roman"/>
          <w:color w:val="auto"/>
          <w:kern w:val="0"/>
          <w:sz w:val="36"/>
          <w:szCs w:val="36"/>
          <w:highlight w:val="none"/>
        </w:rPr>
      </w:pPr>
      <w:r>
        <w:rPr>
          <w:rFonts w:ascii="Times New Roman" w:hAnsi="Times New Roman" w:eastAsia="方正小标宋_GBK" w:cs="Times New Roman"/>
          <w:color w:val="auto"/>
          <w:kern w:val="0"/>
          <w:sz w:val="36"/>
          <w:szCs w:val="36"/>
          <w:highlight w:val="none"/>
        </w:rPr>
        <w:t>一般公共预算财政拨款支出决算表</w:t>
      </w:r>
      <w:bookmarkEnd w:id="1"/>
    </w:p>
    <w:p>
      <w:pPr>
        <w:widowControl/>
        <w:spacing w:before="156" w:beforeLines="50"/>
        <w:jc w:val="left"/>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部门：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公开05表</w:t>
      </w:r>
    </w:p>
    <w:p>
      <w:pPr>
        <w:widowControl/>
        <w:jc w:val="left"/>
        <w:rPr>
          <w:rFonts w:ascii="Times New Roman" w:hAnsi="Times New Roman" w:eastAsia="宋体" w:cs="Times New Roman"/>
          <w:color w:val="auto"/>
          <w:kern w:val="0"/>
          <w:sz w:val="20"/>
          <w:szCs w:val="20"/>
          <w:highlight w:val="none"/>
        </w:rPr>
      </w:pP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color w:val="auto"/>
                <w:kern w:val="0"/>
                <w:szCs w:val="21"/>
                <w:highlight w:val="none"/>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color w:val="auto"/>
                <w:kern w:val="0"/>
                <w:szCs w:val="21"/>
                <w:highlight w:val="none"/>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1460.60　</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622.88　</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837.72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2013299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其他组织事务支出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98.6</w:t>
            </w:r>
            <w:r>
              <w:rPr>
                <w:rFonts w:hint="default" w:asciiTheme="minorEastAsia" w:hAnsiTheme="minorEastAsia" w:cstheme="minorEastAsia"/>
                <w:color w:val="auto"/>
                <w:kern w:val="0"/>
                <w:sz w:val="21"/>
                <w:szCs w:val="21"/>
                <w:highlight w:val="none"/>
              </w:rPr>
              <w:t>0</w:t>
            </w:r>
            <w:r>
              <w:rPr>
                <w:rFonts w:hint="eastAsia" w:asciiTheme="minorEastAsia" w:hAnsiTheme="minorEastAsia" w:eastAsiaTheme="minorEastAsia" w:cstheme="minorEastAsia"/>
                <w:color w:val="auto"/>
                <w:kern w:val="0"/>
                <w:sz w:val="21"/>
                <w:szCs w:val="21"/>
                <w:highlight w:val="none"/>
              </w:rPr>
              <w:t>　</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98.6</w:t>
            </w:r>
            <w:r>
              <w:rPr>
                <w:rFonts w:hint="default" w:asciiTheme="minorEastAsia" w:hAnsiTheme="minorEastAsia" w:cstheme="minorEastAsia"/>
                <w:color w:val="auto"/>
                <w:kern w:val="0"/>
                <w:sz w:val="21"/>
                <w:szCs w:val="21"/>
                <w:highlight w:val="none"/>
              </w:rPr>
              <w:t>0</w:t>
            </w:r>
            <w:r>
              <w:rPr>
                <w:rFonts w:hint="eastAsia" w:asciiTheme="minorEastAsia" w:hAnsiTheme="minorEastAsia" w:eastAsiaTheme="minorEastAsia" w:cstheme="minorEastAsia"/>
                <w:color w:val="auto"/>
                <w:kern w:val="0"/>
                <w:sz w:val="21"/>
                <w:szCs w:val="21"/>
                <w:highlight w:val="none"/>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2060101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行政运行</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500.79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428.79　</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72</w:t>
            </w:r>
            <w:r>
              <w:rPr>
                <w:rFonts w:hint="default" w:asciiTheme="minorEastAsia" w:hAnsiTheme="minorEastAsia" w:cstheme="minorEastAsia"/>
                <w:color w:val="auto"/>
                <w:kern w:val="0"/>
                <w:sz w:val="21"/>
                <w:szCs w:val="21"/>
                <w:highlight w:val="none"/>
              </w:rPr>
              <w:t>.00</w:t>
            </w:r>
            <w:r>
              <w:rPr>
                <w:rFonts w:hint="eastAsia" w:asciiTheme="minorEastAsia" w:hAnsiTheme="minorEastAsia" w:eastAsiaTheme="minorEastAsia" w:cstheme="minorEastAsia"/>
                <w:color w:val="auto"/>
                <w:kern w:val="0"/>
                <w:sz w:val="21"/>
                <w:szCs w:val="21"/>
                <w:highlight w:val="none"/>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2060199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其他科学技术管理事务支出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95.91　</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95.91　</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2060404</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科技成果转化与扩散</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20</w:t>
            </w:r>
            <w:r>
              <w:rPr>
                <w:rFonts w:hint="default" w:asciiTheme="minorEastAsia" w:hAnsiTheme="minorEastAsia" w:cstheme="minorEastAsia"/>
                <w:color w:val="auto"/>
                <w:kern w:val="0"/>
                <w:sz w:val="21"/>
                <w:szCs w:val="21"/>
                <w:highlight w:val="none"/>
              </w:rPr>
              <w:t>.00</w:t>
            </w:r>
            <w:r>
              <w:rPr>
                <w:rFonts w:hint="eastAsia" w:asciiTheme="minorEastAsia" w:hAnsiTheme="minorEastAsia" w:eastAsiaTheme="minorEastAsia" w:cstheme="minorEastAsia"/>
                <w:color w:val="auto"/>
                <w:kern w:val="0"/>
                <w:sz w:val="21"/>
                <w:szCs w:val="21"/>
                <w:highlight w:val="none"/>
              </w:rPr>
              <w:t>　</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20</w:t>
            </w:r>
            <w:r>
              <w:rPr>
                <w:rFonts w:hint="default" w:asciiTheme="minorEastAsia" w:hAnsiTheme="minorEastAsia" w:cstheme="minorEastAsia"/>
                <w:color w:val="auto"/>
                <w:kern w:val="0"/>
                <w:sz w:val="21"/>
                <w:szCs w:val="21"/>
                <w:highlight w:val="none"/>
              </w:rPr>
              <w:t>.00.</w:t>
            </w:r>
            <w:r>
              <w:rPr>
                <w:rFonts w:hint="eastAsia" w:asciiTheme="minorEastAsia" w:hAnsiTheme="minorEastAsia" w:eastAsiaTheme="minorEastAsia" w:cstheme="minorEastAsia"/>
                <w:color w:val="auto"/>
                <w:kern w:val="0"/>
                <w:sz w:val="21"/>
                <w:szCs w:val="21"/>
                <w:highlight w:val="none"/>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2060702</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科普活动</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default"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15</w:t>
            </w:r>
            <w:r>
              <w:rPr>
                <w:rFonts w:hint="default" w:asciiTheme="minorEastAsia" w:hAnsiTheme="minorEastAsia" w:cstheme="minorEastAsia"/>
                <w:color w:val="auto"/>
                <w:kern w:val="0"/>
                <w:sz w:val="21"/>
                <w:szCs w:val="21"/>
                <w:highlight w:val="none"/>
              </w:rPr>
              <w:t>.00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15</w:t>
            </w:r>
            <w:r>
              <w:rPr>
                <w:rFonts w:hint="default" w:asciiTheme="minorEastAsia" w:hAnsiTheme="minorEastAsia" w:cstheme="minorEastAsia"/>
                <w:color w:val="auto"/>
                <w:kern w:val="0"/>
                <w:sz w:val="21"/>
                <w:szCs w:val="21"/>
                <w:highlight w:val="none"/>
              </w:rPr>
              <w:t>.00</w:t>
            </w:r>
            <w:r>
              <w:rPr>
                <w:rFonts w:hint="eastAsia" w:asciiTheme="minorEastAsia" w:hAnsiTheme="minorEastAsia" w:eastAsiaTheme="minorEastAsia" w:cstheme="minorEastAsia"/>
                <w:color w:val="auto"/>
                <w:kern w:val="0"/>
                <w:sz w:val="21"/>
                <w:szCs w:val="21"/>
                <w:highlight w:val="none"/>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2060799</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其他科学技术普及支出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10</w:t>
            </w:r>
            <w:r>
              <w:rPr>
                <w:rFonts w:hint="default" w:asciiTheme="minorEastAsia" w:hAnsiTheme="minorEastAsia" w:cstheme="minorEastAsia"/>
                <w:color w:val="auto"/>
                <w:kern w:val="0"/>
                <w:sz w:val="21"/>
                <w:szCs w:val="21"/>
                <w:highlight w:val="none"/>
              </w:rPr>
              <w:t>.00</w:t>
            </w:r>
            <w:r>
              <w:rPr>
                <w:rFonts w:hint="eastAsia" w:asciiTheme="minorEastAsia" w:hAnsiTheme="minorEastAsia" w:eastAsiaTheme="minorEastAsia" w:cstheme="minorEastAsia"/>
                <w:color w:val="auto"/>
                <w:kern w:val="0"/>
                <w:sz w:val="21"/>
                <w:szCs w:val="21"/>
                <w:highlight w:val="none"/>
              </w:rPr>
              <w:t>　</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　</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10</w:t>
            </w:r>
            <w:r>
              <w:rPr>
                <w:rFonts w:hint="default" w:asciiTheme="minorEastAsia" w:hAnsiTheme="minorEastAsia" w:cstheme="minorEastAsia"/>
                <w:color w:val="auto"/>
                <w:kern w:val="0"/>
                <w:sz w:val="21"/>
                <w:szCs w:val="21"/>
                <w:highlight w:val="none"/>
              </w:rPr>
              <w:t>.00</w:t>
            </w:r>
            <w:r>
              <w:rPr>
                <w:rFonts w:hint="eastAsia" w:asciiTheme="minorEastAsia" w:hAnsiTheme="minorEastAsia" w:eastAsiaTheme="minorEastAsia" w:cstheme="minorEastAsia"/>
                <w:color w:val="auto"/>
                <w:kern w:val="0"/>
                <w:sz w:val="21"/>
                <w:szCs w:val="21"/>
                <w:highlight w:val="none"/>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2069999</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其他科学技术支出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622.12</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p>
        </w:tc>
        <w:tc>
          <w:tcPr>
            <w:tcW w:w="3000"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p>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2080505</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43.99</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43.99</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2080599</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其他行政事业单位养老支出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default"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30</w:t>
            </w:r>
            <w:r>
              <w:rPr>
                <w:rFonts w:hint="default" w:asciiTheme="minorEastAsia" w:hAnsiTheme="minorEastAsia" w:cstheme="minorEastAsia"/>
                <w:color w:val="auto"/>
                <w:kern w:val="0"/>
                <w:sz w:val="21"/>
                <w:szCs w:val="21"/>
                <w:highlight w:val="none"/>
              </w:rPr>
              <w:t>.00</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default"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30</w:t>
            </w:r>
            <w:r>
              <w:rPr>
                <w:rFonts w:hint="default" w:asciiTheme="minorEastAsia" w:hAnsiTheme="minorEastAsia" w:cstheme="minorEastAsia"/>
                <w:color w:val="auto"/>
                <w:kern w:val="0"/>
                <w:sz w:val="21"/>
                <w:szCs w:val="21"/>
                <w:highlight w:val="none"/>
              </w:rPr>
              <w:t>.00</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2100410</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突发公共卫生事件应急处理</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default"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2.2</w:t>
            </w:r>
            <w:r>
              <w:rPr>
                <w:rFonts w:hint="default" w:asciiTheme="minorEastAsia" w:hAnsiTheme="minorEastAsia" w:cstheme="minorEastAsia"/>
                <w:color w:val="auto"/>
                <w:kern w:val="0"/>
                <w:sz w:val="21"/>
                <w:szCs w:val="21"/>
                <w:highlight w:val="none"/>
              </w:rPr>
              <w:t>0</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default"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kern w:val="0"/>
                <w:sz w:val="21"/>
                <w:szCs w:val="21"/>
                <w:highlight w:val="none"/>
              </w:rPr>
              <w:t>2.2</w:t>
            </w:r>
            <w:r>
              <w:rPr>
                <w:rFonts w:hint="default" w:asciiTheme="minorEastAsia" w:hAnsiTheme="minorEastAsia" w:cstheme="minorEastAsia"/>
                <w:color w:val="auto"/>
                <w:kern w:val="0"/>
                <w:sz w:val="21"/>
                <w:szCs w:val="21"/>
                <w:highlight w:val="none"/>
              </w:rPr>
              <w:t>0</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ascii="Times New Roman" w:hAnsi="Times New Roman" w:eastAsia="仿宋_GB2312" w:cs="Times New Roman"/>
                <w:color w:val="auto"/>
                <w:kern w:val="0"/>
                <w:szCs w:val="21"/>
                <w:highlight w:val="none"/>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2101101</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textAlignment w:val="auto"/>
              <w:rPr>
                <w:rFonts w:ascii="Times New Roman" w:hAnsi="Times New Roman" w:eastAsia="仿宋_GB2312" w:cs="Times New Roman"/>
                <w:color w:val="auto"/>
                <w:kern w:val="0"/>
                <w:szCs w:val="21"/>
                <w:highlight w:val="none"/>
              </w:rPr>
            </w:pPr>
            <w:r>
              <w:rPr>
                <w:rFonts w:hint="eastAsia" w:asciiTheme="minorEastAsia" w:hAnsiTheme="minorEastAsia" w:eastAsiaTheme="minorEastAsia" w:cstheme="minorEastAsia"/>
                <w:color w:val="auto"/>
                <w:sz w:val="21"/>
                <w:szCs w:val="21"/>
                <w:highlight w:val="none"/>
              </w:rPr>
              <w:t>行政单位医疗</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default"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w:t>
            </w:r>
            <w:r>
              <w:rPr>
                <w:rFonts w:hint="default" w:asciiTheme="minorEastAsia" w:hAnsiTheme="minorEastAsia" w:cstheme="minorEastAsia"/>
                <w:color w:val="auto"/>
                <w:kern w:val="0"/>
                <w:szCs w:val="21"/>
                <w:highlight w:val="none"/>
              </w:rPr>
              <w:t>.00</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default"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w:t>
            </w:r>
            <w:r>
              <w:rPr>
                <w:rFonts w:hint="default" w:asciiTheme="minorEastAsia" w:hAnsiTheme="minorEastAsia" w:cstheme="minorEastAsia"/>
                <w:color w:val="auto"/>
                <w:kern w:val="0"/>
                <w:szCs w:val="21"/>
                <w:highlight w:val="none"/>
              </w:rPr>
              <w:t>.00</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20" w:lineRule="exact"/>
              <w:jc w:val="right"/>
              <w:textAlignment w:val="auto"/>
              <w:rPr>
                <w:rFonts w:hint="eastAsia" w:asciiTheme="minorEastAsia" w:hAnsiTheme="minorEastAsia" w:eastAsiaTheme="minorEastAsia" w:cstheme="minorEastAsia"/>
                <w:color w:val="auto"/>
                <w:kern w:val="0"/>
                <w:szCs w:val="21"/>
                <w:highlight w:val="none"/>
              </w:rPr>
            </w:pP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注：本表反映部门本年度一般公共预算财政拨款支出情况。</w:t>
            </w:r>
          </w:p>
        </w:tc>
      </w:tr>
    </w:tbl>
    <w:p>
      <w:pPr>
        <w:widowControl/>
        <w:jc w:val="left"/>
        <w:rPr>
          <w:rFonts w:ascii="Times New Roman" w:hAnsi="Times New Roman" w:eastAsia="仿宋_GB2312" w:cs="Times New Roman"/>
          <w:bCs/>
          <w:color w:val="auto"/>
          <w:kern w:val="0"/>
          <w:szCs w:val="21"/>
          <w:highlight w:val="none"/>
        </w:rPr>
      </w:pPr>
    </w:p>
    <w:p>
      <w:pPr>
        <w:widowControl/>
        <w:jc w:val="left"/>
        <w:rPr>
          <w:rFonts w:ascii="Times New Roman" w:hAnsi="Times New Roman" w:eastAsia="仿宋_GB2312" w:cs="Times New Roman"/>
          <w:bCs/>
          <w:color w:val="auto"/>
          <w:kern w:val="0"/>
          <w:szCs w:val="21"/>
          <w:highlight w:val="none"/>
        </w:rPr>
      </w:pPr>
    </w:p>
    <w:p>
      <w:pPr>
        <w:widowControl/>
        <w:jc w:val="left"/>
        <w:rPr>
          <w:rFonts w:ascii="Times New Roman" w:hAnsi="Times New Roman" w:eastAsia="仿宋_GB2312" w:cs="Times New Roman"/>
          <w:bCs/>
          <w:color w:val="auto"/>
          <w:kern w:val="0"/>
          <w:szCs w:val="21"/>
          <w:highlight w:val="none"/>
        </w:rPr>
      </w:pPr>
    </w:p>
    <w:tbl>
      <w:tblPr>
        <w:tblStyle w:val="6"/>
        <w:tblW w:w="15937" w:type="dxa"/>
        <w:tblInd w:w="0" w:type="dxa"/>
        <w:tblLayout w:type="fixed"/>
        <w:tblCellMar>
          <w:top w:w="0" w:type="dxa"/>
          <w:left w:w="108" w:type="dxa"/>
          <w:bottom w:w="0" w:type="dxa"/>
          <w:right w:w="108" w:type="dxa"/>
        </w:tblCellMar>
      </w:tblPr>
      <w:tblGrid>
        <w:gridCol w:w="993"/>
        <w:gridCol w:w="240"/>
        <w:gridCol w:w="94"/>
        <w:gridCol w:w="1293"/>
        <w:gridCol w:w="2035"/>
        <w:gridCol w:w="75"/>
        <w:gridCol w:w="842"/>
        <w:gridCol w:w="1105"/>
        <w:gridCol w:w="306"/>
        <w:gridCol w:w="1982"/>
        <w:gridCol w:w="112"/>
        <w:gridCol w:w="800"/>
        <w:gridCol w:w="1185"/>
        <w:gridCol w:w="111"/>
        <w:gridCol w:w="2094"/>
        <w:gridCol w:w="1704"/>
        <w:gridCol w:w="391"/>
        <w:gridCol w:w="575"/>
      </w:tblGrid>
      <w:tr>
        <w:tblPrEx>
          <w:tblCellMar>
            <w:top w:w="0" w:type="dxa"/>
            <w:left w:w="108" w:type="dxa"/>
            <w:bottom w:w="0" w:type="dxa"/>
            <w:right w:w="108" w:type="dxa"/>
          </w:tblCellMar>
        </w:tblPrEx>
        <w:trPr>
          <w:trHeight w:val="113" w:hRule="atLeast"/>
        </w:trPr>
        <w:tc>
          <w:tcPr>
            <w:tcW w:w="15937" w:type="dxa"/>
            <w:gridSpan w:val="18"/>
            <w:tcBorders>
              <w:top w:val="nil"/>
              <w:left w:val="nil"/>
              <w:bottom w:val="nil"/>
              <w:right w:val="nil"/>
            </w:tcBorders>
            <w:shd w:val="clear" w:color="auto" w:fill="auto"/>
            <w:noWrap/>
            <w:vAlign w:val="center"/>
          </w:tcPr>
          <w:p>
            <w:pPr>
              <w:widowControl/>
              <w:jc w:val="center"/>
              <w:rPr>
                <w:rFonts w:hint="eastAsia" w:ascii="华文中宋" w:hAnsi="华文中宋" w:eastAsia="华文中宋" w:cs="宋体"/>
                <w:color w:val="auto"/>
                <w:kern w:val="0"/>
                <w:sz w:val="32"/>
                <w:szCs w:val="32"/>
                <w:highlight w:val="none"/>
              </w:rPr>
            </w:pPr>
            <w:bookmarkStart w:id="2" w:name="RANGE!A1:I34"/>
          </w:p>
          <w:p>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一般公共预算财政拨款基本支出决算明细表</w:t>
            </w:r>
            <w:bookmarkEnd w:id="2"/>
          </w:p>
          <w:p>
            <w:pPr>
              <w:widowControl/>
              <w:wordWrap w:val="0"/>
              <w:jc w:val="right"/>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部门：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公开06表</w:t>
            </w:r>
          </w:p>
          <w:p>
            <w:pPr>
              <w:widowControl/>
              <w:jc w:val="right"/>
              <w:rPr>
                <w:rFonts w:ascii="华文中宋" w:hAnsi="华文中宋" w:eastAsia="华文中宋" w:cs="宋体"/>
                <w:color w:val="auto"/>
                <w:kern w:val="0"/>
                <w:szCs w:val="32"/>
                <w:highlight w:val="none"/>
              </w:rPr>
            </w:pPr>
            <w:r>
              <w:rPr>
                <w:rFonts w:hint="eastAsia" w:ascii="Times New Roman" w:hAnsi="Times New Roman" w:eastAsia="仿宋_GB2312" w:cs="Times New Roman"/>
                <w:color w:val="auto"/>
                <w:kern w:val="0"/>
                <w:szCs w:val="21"/>
                <w:highlight w:val="none"/>
              </w:rPr>
              <w:t>单位：万元</w:t>
            </w:r>
          </w:p>
        </w:tc>
      </w:tr>
      <w:tr>
        <w:trPr>
          <w:trHeight w:val="113" w:hRule="atLeast"/>
        </w:trPr>
        <w:tc>
          <w:tcPr>
            <w:tcW w:w="132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经济分类科目编码</w:t>
            </w:r>
          </w:p>
        </w:tc>
        <w:tc>
          <w:tcPr>
            <w:tcW w:w="332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科目名称</w:t>
            </w:r>
          </w:p>
        </w:tc>
        <w:tc>
          <w:tcPr>
            <w:tcW w:w="9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决算数</w:t>
            </w:r>
          </w:p>
        </w:tc>
        <w:tc>
          <w:tcPr>
            <w:tcW w:w="110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经济分类科目编码</w:t>
            </w:r>
          </w:p>
        </w:tc>
        <w:tc>
          <w:tcPr>
            <w:tcW w:w="228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科目名称</w:t>
            </w:r>
          </w:p>
        </w:tc>
        <w:tc>
          <w:tcPr>
            <w:tcW w:w="91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决算数</w:t>
            </w:r>
          </w:p>
        </w:tc>
        <w:tc>
          <w:tcPr>
            <w:tcW w:w="11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经济分类科目编码</w:t>
            </w:r>
          </w:p>
        </w:tc>
        <w:tc>
          <w:tcPr>
            <w:tcW w:w="39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科目名称</w:t>
            </w:r>
          </w:p>
        </w:tc>
        <w:tc>
          <w:tcPr>
            <w:tcW w:w="96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决算数</w:t>
            </w: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工资福利支出</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eastAsia="zh-CN" w:bidi="ar"/>
              </w:rPr>
              <w:t>536.</w:t>
            </w:r>
            <w:r>
              <w:rPr>
                <w:rFonts w:hint="eastAsia" w:ascii="仿宋" w:hAnsi="仿宋" w:eastAsia="仿宋" w:cs="仿宋"/>
                <w:i w:val="0"/>
                <w:color w:val="auto"/>
                <w:kern w:val="0"/>
                <w:sz w:val="21"/>
                <w:szCs w:val="21"/>
                <w:highlight w:val="none"/>
                <w:u w:val="none"/>
                <w:lang w:val="en-US" w:eastAsia="zh-CN" w:bidi="ar"/>
              </w:rPr>
              <w:t>19</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商品和服务支出</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49.80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307</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债务利息及费用支出</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30101</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基本工资</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168.52</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30201</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办公费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30701</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国内债务付息</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30102</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津贴补贴</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110.32</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30202</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印刷费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30702</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国外债务付息</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30103</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奖金</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105.79</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30203</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咨询费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资本性支出</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30106</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伙食补助费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30204</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手续费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31001</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房屋建筑物购建</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30107</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绩效工资</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70.83</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30205</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水费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31002</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办公设备购置</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30108</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机关事业单位基本养老保险缴费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43.99</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30206</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电费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31003</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专用设备购置</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30109</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职业年金缴费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30207</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邮电费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31005</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基础设施建设</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30110</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职工基本医疗保险缴费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22.00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30208</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取暖费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31006</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大型修缮</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4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30111</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公务员医疗补助缴费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30209</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物业管理费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31007</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信息网络及软件购置更新</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30112</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其他社会保障缴费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5.24</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30211</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差旅费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31008</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物资储备</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30113</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住房公积金</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30212</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因公出国（境）费用</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31009</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土地补偿</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30114</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医疗费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30213</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维修（护）费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1.17</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31010</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安置补助</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30199</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其他工资福利支出</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9.50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30214</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租赁费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31011</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地上附着物和青苗补偿</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对个人和家庭的补助</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36.89</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30215</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会议费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31012</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拆迁补偿</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30301</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离休费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30216</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培训费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31013</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公务用车购置</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30302</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退休费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30217</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公务接待费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2.36</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31019</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其他交通工具购置</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59"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30303</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退职（役）费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30218</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专用材料费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31021</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文物和陈列品购置</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30304</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抚恤金</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1.92</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30224</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被装购置费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31022</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无形资产购置</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30305</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生活补助</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30.00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30225</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专用燃料费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31099</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其他资本性支出</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30306</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救济费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30226</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劳务费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399</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其他支出</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30307</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医疗费补助</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30227</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委托业务费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39906</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赠与</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30308</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助学金</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30228</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工会经费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10.00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39907</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国家赔偿费用支出</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30309</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奖励金</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1.70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30229</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福利费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39908</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对民间非营利组织和群众性自治组织补贴</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30310</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个人农业生产补贴</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30231</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公务用车运行维护费</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6.25</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39999</w:t>
            </w: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其他支出</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30311</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代缴社会保险费</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30239</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其他交通费用</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24.71</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30399</w:t>
            </w: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其他对个人和家庭的补助</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3.27</w:t>
            </w: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30240</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税金及附加费用</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0.00</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rPr>
          <w:trHeight w:val="284" w:hRule="exact"/>
        </w:trPr>
        <w:tc>
          <w:tcPr>
            <w:tcW w:w="1327" w:type="dxa"/>
            <w:gridSpan w:val="3"/>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c>
          <w:tcPr>
            <w:tcW w:w="332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c>
          <w:tcPr>
            <w:tcW w:w="110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30299</w:t>
            </w:r>
          </w:p>
        </w:tc>
        <w:tc>
          <w:tcPr>
            <w:tcW w:w="2288"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其他商品和服务支出</w:t>
            </w:r>
          </w:p>
        </w:tc>
        <w:tc>
          <w:tcPr>
            <w:tcW w:w="912"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5.31</w:t>
            </w:r>
          </w:p>
        </w:tc>
        <w:tc>
          <w:tcPr>
            <w:tcW w:w="118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c>
          <w:tcPr>
            <w:tcW w:w="3909" w:type="dxa"/>
            <w:gridSpan w:val="3"/>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p>
        </w:tc>
      </w:tr>
      <w:tr>
        <w:tblPrEx>
          <w:tblCellMar>
            <w:top w:w="0" w:type="dxa"/>
            <w:left w:w="108" w:type="dxa"/>
            <w:bottom w:w="0" w:type="dxa"/>
            <w:right w:w="108" w:type="dxa"/>
          </w:tblCellMar>
        </w:tblPrEx>
        <w:trPr>
          <w:trHeight w:val="284" w:hRule="exact"/>
        </w:trPr>
        <w:tc>
          <w:tcPr>
            <w:tcW w:w="465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人员经费合计</w:t>
            </w:r>
          </w:p>
        </w:tc>
        <w:tc>
          <w:tcPr>
            <w:tcW w:w="917"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color w:val="auto"/>
                <w:kern w:val="0"/>
                <w:sz w:val="21"/>
                <w:szCs w:val="21"/>
                <w:highlight w:val="none"/>
                <w:u w:val="none"/>
                <w:lang w:val="en-US" w:eastAsia="zh-CN" w:bidi="ar"/>
              </w:rPr>
              <w:t>573.08</w:t>
            </w:r>
          </w:p>
        </w:tc>
        <w:tc>
          <w:tcPr>
            <w:tcW w:w="9399" w:type="dxa"/>
            <w:gridSpan w:val="9"/>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公用经费合计</w:t>
            </w:r>
          </w:p>
        </w:tc>
        <w:tc>
          <w:tcPr>
            <w:tcW w:w="966" w:type="dxa"/>
            <w:gridSpan w:val="2"/>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49.80</w:t>
            </w:r>
          </w:p>
        </w:tc>
      </w:tr>
      <w:tr>
        <w:trPr>
          <w:trHeight w:val="284" w:hRule="exact"/>
        </w:trPr>
        <w:tc>
          <w:tcPr>
            <w:tcW w:w="15937"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auto"/>
                <w:kern w:val="0"/>
                <w:szCs w:val="24"/>
                <w:highlight w:val="none"/>
              </w:rPr>
            </w:pPr>
            <w:r>
              <w:rPr>
                <w:rFonts w:hint="eastAsia" w:ascii="宋体" w:hAnsi="宋体" w:eastAsia="宋体" w:cs="宋体"/>
                <w:color w:val="auto"/>
                <w:kern w:val="0"/>
                <w:szCs w:val="24"/>
                <w:highlight w:val="none"/>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5" w:type="dxa"/>
          <w:trHeight w:val="690" w:hRule="atLeast"/>
        </w:trPr>
        <w:tc>
          <w:tcPr>
            <w:tcW w:w="15362"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575" w:type="dxa"/>
          <w:trHeight w:val="345" w:hRule="atLeast"/>
        </w:trPr>
        <w:tc>
          <w:tcPr>
            <w:tcW w:w="993" w:type="dxa"/>
            <w:tcBorders>
              <w:top w:val="nil"/>
              <w:left w:val="nil"/>
              <w:bottom w:val="nil"/>
              <w:right w:val="nil"/>
            </w:tcBorders>
            <w:shd w:val="clear" w:color="auto" w:fill="FFFFFF"/>
            <w:vAlign w:val="center"/>
          </w:tcPr>
          <w:p>
            <w:pPr>
              <w:jc w:val="center"/>
              <w:rPr>
                <w:rFonts w:hint="eastAsia" w:ascii="宋体" w:hAnsi="宋体" w:eastAsia="宋体" w:cs="宋体"/>
                <w:i w:val="0"/>
                <w:color w:val="auto"/>
                <w:sz w:val="20"/>
                <w:szCs w:val="20"/>
                <w:highlight w:val="none"/>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auto"/>
                <w:sz w:val="20"/>
                <w:szCs w:val="20"/>
                <w:highlight w:val="none"/>
                <w:u w:val="none"/>
              </w:rPr>
            </w:pPr>
          </w:p>
        </w:tc>
        <w:tc>
          <w:tcPr>
            <w:tcW w:w="1387"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auto"/>
                <w:sz w:val="20"/>
                <w:szCs w:val="20"/>
                <w:highlight w:val="none"/>
                <w:u w:val="none"/>
              </w:rPr>
            </w:pPr>
          </w:p>
        </w:tc>
        <w:tc>
          <w:tcPr>
            <w:tcW w:w="2110" w:type="dxa"/>
            <w:gridSpan w:val="2"/>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2253" w:type="dxa"/>
            <w:gridSpan w:val="3"/>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2094" w:type="dxa"/>
            <w:gridSpan w:val="2"/>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2096" w:type="dxa"/>
            <w:gridSpan w:val="3"/>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2094"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2095"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5" w:type="dxa"/>
          <w:trHeight w:val="690" w:hRule="atLeast"/>
        </w:trPr>
        <w:tc>
          <w:tcPr>
            <w:tcW w:w="993"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auto"/>
                <w:sz w:val="20"/>
                <w:szCs w:val="20"/>
                <w:highlight w:val="none"/>
                <w:u w:val="none"/>
              </w:rPr>
            </w:pPr>
          </w:p>
        </w:tc>
        <w:tc>
          <w:tcPr>
            <w:tcW w:w="1387"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auto"/>
                <w:sz w:val="20"/>
                <w:szCs w:val="20"/>
                <w:highlight w:val="none"/>
                <w:u w:val="none"/>
              </w:rPr>
            </w:pPr>
          </w:p>
        </w:tc>
        <w:tc>
          <w:tcPr>
            <w:tcW w:w="2110" w:type="dxa"/>
            <w:gridSpan w:val="2"/>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2253" w:type="dxa"/>
            <w:gridSpan w:val="3"/>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2094" w:type="dxa"/>
            <w:gridSpan w:val="2"/>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2096" w:type="dxa"/>
            <w:gridSpan w:val="3"/>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2094"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2095"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575" w:type="dxa"/>
          <w:trHeight w:val="459" w:hRule="atLeast"/>
        </w:trPr>
        <w:tc>
          <w:tcPr>
            <w:tcW w:w="2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 xml:space="preserve">项 </w:t>
            </w:r>
            <w:r>
              <w:rPr>
                <w:rStyle w:val="13"/>
                <w:rFonts w:hint="eastAsia" w:ascii="仿宋" w:hAnsi="仿宋" w:eastAsia="仿宋" w:cs="仿宋"/>
                <w:color w:val="auto"/>
                <w:sz w:val="21"/>
                <w:szCs w:val="21"/>
                <w:highlight w:val="none"/>
                <w:lang w:val="en-US" w:eastAsia="zh-CN" w:bidi="ar"/>
              </w:rPr>
              <w:t xml:space="preserve">   </w:t>
            </w:r>
            <w:r>
              <w:rPr>
                <w:rStyle w:val="14"/>
                <w:rFonts w:hint="eastAsia" w:ascii="仿宋" w:hAnsi="仿宋" w:eastAsia="仿宋" w:cs="仿宋"/>
                <w:color w:val="auto"/>
                <w:sz w:val="21"/>
                <w:szCs w:val="21"/>
                <w:highlight w:val="none"/>
                <w:lang w:val="en-US" w:eastAsia="zh-CN" w:bidi="ar"/>
              </w:rPr>
              <w:t>目</w:t>
            </w:r>
          </w:p>
        </w:tc>
        <w:tc>
          <w:tcPr>
            <w:tcW w:w="21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年初结转和结余</w:t>
            </w:r>
          </w:p>
        </w:tc>
        <w:tc>
          <w:tcPr>
            <w:tcW w:w="22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本年收入</w:t>
            </w:r>
          </w:p>
        </w:tc>
        <w:tc>
          <w:tcPr>
            <w:tcW w:w="62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本年支出</w:t>
            </w:r>
          </w:p>
        </w:tc>
        <w:tc>
          <w:tcPr>
            <w:tcW w:w="20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5" w:type="dxa"/>
          <w:trHeight w:val="609" w:hRule="atLeast"/>
        </w:trPr>
        <w:tc>
          <w:tcPr>
            <w:tcW w:w="12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科目代码</w:t>
            </w:r>
          </w:p>
        </w:tc>
        <w:tc>
          <w:tcPr>
            <w:tcW w:w="13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科目名称</w:t>
            </w:r>
          </w:p>
        </w:tc>
        <w:tc>
          <w:tcPr>
            <w:tcW w:w="21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2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09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小计</w:t>
            </w:r>
          </w:p>
        </w:tc>
        <w:tc>
          <w:tcPr>
            <w:tcW w:w="209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 xml:space="preserve">基本支出  </w:t>
            </w:r>
          </w:p>
        </w:tc>
        <w:tc>
          <w:tcPr>
            <w:tcW w:w="2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项目支出</w:t>
            </w:r>
          </w:p>
        </w:tc>
        <w:tc>
          <w:tcPr>
            <w:tcW w:w="20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575" w:type="dxa"/>
          <w:trHeight w:val="409" w:hRule="atLeast"/>
        </w:trPr>
        <w:tc>
          <w:tcPr>
            <w:tcW w:w="1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3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1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2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0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0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0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5" w:type="dxa"/>
          <w:trHeight w:val="509" w:hRule="atLeast"/>
        </w:trPr>
        <w:tc>
          <w:tcPr>
            <w:tcW w:w="1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3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1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2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09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09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0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575" w:type="dxa"/>
          <w:trHeight w:val="509" w:hRule="atLeast"/>
        </w:trPr>
        <w:tc>
          <w:tcPr>
            <w:tcW w:w="2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栏次</w:t>
            </w: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w:t>
            </w:r>
          </w:p>
        </w:tc>
        <w:tc>
          <w:tcPr>
            <w:tcW w:w="22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w:t>
            </w: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4</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5</w:t>
            </w:r>
          </w:p>
        </w:tc>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5" w:type="dxa"/>
          <w:trHeight w:val="509" w:hRule="atLeast"/>
        </w:trPr>
        <w:tc>
          <w:tcPr>
            <w:tcW w:w="26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合计</w:t>
            </w: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c>
          <w:tcPr>
            <w:tcW w:w="22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575" w:type="dxa"/>
          <w:trHeight w:val="509" w:hRule="atLeast"/>
        </w:trPr>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2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5" w:type="dxa"/>
          <w:trHeight w:val="509" w:hRule="atLeast"/>
        </w:trPr>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2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575" w:type="dxa"/>
          <w:trHeight w:val="509" w:hRule="atLeast"/>
        </w:trPr>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2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5" w:type="dxa"/>
          <w:trHeight w:val="509" w:hRule="atLeast"/>
        </w:trPr>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2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575" w:type="dxa"/>
          <w:trHeight w:val="509" w:hRule="atLeast"/>
        </w:trPr>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2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5" w:type="dxa"/>
          <w:trHeight w:val="509" w:hRule="atLeast"/>
        </w:trPr>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1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2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575" w:type="dxa"/>
          <w:trHeight w:val="725" w:hRule="atLeast"/>
        </w:trPr>
        <w:tc>
          <w:tcPr>
            <w:tcW w:w="15362"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仿宋_GB2312" w:hAnsi="仿宋_GB2312" w:eastAsia="仿宋_GB2312" w:cs="仿宋_GB2312"/>
                <w:b w:val="0"/>
                <w:bCs w:val="0"/>
                <w:i w:val="0"/>
                <w:color w:val="auto"/>
                <w:kern w:val="0"/>
                <w:sz w:val="32"/>
                <w:szCs w:val="32"/>
                <w:highlight w:val="none"/>
                <w:u w:val="none"/>
                <w:lang w:val="en-US" w:eastAsia="zh-CN" w:bidi="ar"/>
              </w:rPr>
              <w:t>说明：我单位没有政府性基金收入，也没有使用政府性基金安排的支出，故本表无数据。</w:t>
            </w:r>
          </w:p>
        </w:tc>
      </w:tr>
    </w:tbl>
    <w:p>
      <w:pPr>
        <w:widowControl/>
        <w:jc w:val="center"/>
        <w:rPr>
          <w:rFonts w:hint="eastAsia" w:ascii="Times New Roman" w:hAnsi="Times New Roman" w:eastAsia="方正小标宋_GBK" w:cs="Times New Roman"/>
          <w:color w:val="auto"/>
          <w:kern w:val="0"/>
          <w:sz w:val="36"/>
          <w:szCs w:val="36"/>
          <w:highlight w:val="none"/>
        </w:rPr>
      </w:pPr>
    </w:p>
    <w:p>
      <w:pPr>
        <w:widowControl/>
        <w:jc w:val="center"/>
        <w:rPr>
          <w:rFonts w:hint="eastAsia" w:ascii="Times New Roman" w:hAnsi="Times New Roman" w:eastAsia="方正小标宋_GBK" w:cs="Times New Roman"/>
          <w:color w:val="auto"/>
          <w:kern w:val="0"/>
          <w:sz w:val="36"/>
          <w:szCs w:val="36"/>
          <w:highlight w:val="none"/>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auto"/>
                <w:sz w:val="20"/>
                <w:szCs w:val="20"/>
                <w:highlight w:val="none"/>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auto"/>
                <w:sz w:val="20"/>
                <w:szCs w:val="20"/>
                <w:highlight w:val="none"/>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auto"/>
                <w:sz w:val="20"/>
                <w:szCs w:val="20"/>
                <w:highlight w:val="none"/>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 xml:space="preserve">项    </w:t>
            </w:r>
            <w:r>
              <w:rPr>
                <w:rStyle w:val="15"/>
                <w:rFonts w:hint="eastAsia" w:ascii="仿宋" w:hAnsi="仿宋" w:eastAsia="仿宋" w:cs="仿宋"/>
                <w:color w:val="auto"/>
                <w:sz w:val="21"/>
                <w:szCs w:val="21"/>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仿宋_GB2312" w:hAnsi="仿宋_GB2312" w:eastAsia="仿宋_GB2312" w:cs="仿宋_GB2312"/>
                <w:b w:val="0"/>
                <w:bCs w:val="0"/>
                <w:i w:val="0"/>
                <w:color w:val="auto"/>
                <w:kern w:val="0"/>
                <w:sz w:val="32"/>
                <w:szCs w:val="32"/>
                <w:highlight w:val="none"/>
                <w:u w:val="none"/>
                <w:lang w:val="en-US" w:eastAsia="zh-CN" w:bidi="ar"/>
              </w:rPr>
              <w:t>说明：我单位没有使用国有资本经营预算安排的支出，故本表无数据</w:t>
            </w:r>
            <w:r>
              <w:rPr>
                <w:rFonts w:hint="eastAsia" w:ascii="仿宋_GB2312" w:hAnsi="仿宋_GB2312" w:eastAsia="仿宋_GB2312" w:cs="仿宋_GB2312"/>
                <w:b w:val="0"/>
                <w:bCs w:val="0"/>
                <w:i w:val="0"/>
                <w:color w:val="auto"/>
                <w:kern w:val="0"/>
                <w:sz w:val="24"/>
                <w:szCs w:val="24"/>
                <w:highlight w:val="none"/>
                <w:u w:val="none"/>
                <w:lang w:val="en-US" w:eastAsia="zh-CN" w:bidi="ar"/>
              </w:rPr>
              <w:t>。</w:t>
            </w:r>
          </w:p>
        </w:tc>
      </w:tr>
    </w:tbl>
    <w:p>
      <w:pPr>
        <w:widowControl/>
        <w:jc w:val="center"/>
        <w:rPr>
          <w:rFonts w:hint="eastAsia" w:ascii="Times New Roman" w:hAnsi="Times New Roman" w:eastAsia="方正小标宋_GBK" w:cs="Times New Roman"/>
          <w:color w:val="auto"/>
          <w:kern w:val="0"/>
          <w:sz w:val="36"/>
          <w:szCs w:val="36"/>
          <w:highlight w:val="none"/>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公务用车</w:t>
            </w:r>
            <w:r>
              <w:rPr>
                <w:rFonts w:hint="eastAsia" w:ascii="仿宋" w:hAnsi="仿宋" w:eastAsia="仿宋" w:cs="仿宋"/>
                <w:i w:val="0"/>
                <w:color w:val="auto"/>
                <w:kern w:val="0"/>
                <w:sz w:val="21"/>
                <w:szCs w:val="21"/>
                <w:highlight w:val="none"/>
                <w:u w:val="none"/>
                <w:lang w:val="en-US" w:eastAsia="zh-CN" w:bidi="ar"/>
              </w:rPr>
              <w:br w:type="textWrapping"/>
            </w:r>
            <w:r>
              <w:rPr>
                <w:rFonts w:hint="eastAsia" w:ascii="仿宋" w:hAnsi="仿宋" w:eastAsia="仿宋" w:cs="仿宋"/>
                <w:i w:val="0"/>
                <w:color w:val="auto"/>
                <w:kern w:val="0"/>
                <w:sz w:val="21"/>
                <w:szCs w:val="21"/>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公务用车</w:t>
            </w:r>
            <w:r>
              <w:rPr>
                <w:rFonts w:hint="eastAsia" w:ascii="仿宋" w:hAnsi="仿宋" w:eastAsia="仿宋" w:cs="仿宋"/>
                <w:i w:val="0"/>
                <w:color w:val="auto"/>
                <w:kern w:val="0"/>
                <w:sz w:val="21"/>
                <w:szCs w:val="21"/>
                <w:highlight w:val="none"/>
                <w:u w:val="none"/>
                <w:lang w:val="en-US" w:eastAsia="zh-CN" w:bidi="ar"/>
              </w:rPr>
              <w:br w:type="textWrapping"/>
            </w:r>
            <w:r>
              <w:rPr>
                <w:rFonts w:hint="eastAsia" w:ascii="仿宋" w:hAnsi="仿宋" w:eastAsia="仿宋" w:cs="仿宋"/>
                <w:i w:val="0"/>
                <w:color w:val="auto"/>
                <w:kern w:val="0"/>
                <w:sz w:val="21"/>
                <w:szCs w:val="21"/>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公务用车</w:t>
            </w:r>
            <w:r>
              <w:rPr>
                <w:rFonts w:hint="eastAsia" w:ascii="仿宋" w:hAnsi="仿宋" w:eastAsia="仿宋" w:cs="仿宋"/>
                <w:i w:val="0"/>
                <w:color w:val="auto"/>
                <w:kern w:val="0"/>
                <w:sz w:val="21"/>
                <w:szCs w:val="21"/>
                <w:highlight w:val="none"/>
                <w:u w:val="none"/>
                <w:lang w:val="en-US" w:eastAsia="zh-CN" w:bidi="ar"/>
              </w:rPr>
              <w:br w:type="textWrapping"/>
            </w:r>
            <w:r>
              <w:rPr>
                <w:rFonts w:hint="eastAsia" w:ascii="仿宋" w:hAnsi="仿宋" w:eastAsia="仿宋" w:cs="仿宋"/>
                <w:i w:val="0"/>
                <w:color w:val="auto"/>
                <w:kern w:val="0"/>
                <w:sz w:val="21"/>
                <w:szCs w:val="21"/>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公务用车</w:t>
            </w:r>
            <w:r>
              <w:rPr>
                <w:rFonts w:hint="eastAsia" w:ascii="仿宋" w:hAnsi="仿宋" w:eastAsia="仿宋" w:cs="仿宋"/>
                <w:i w:val="0"/>
                <w:color w:val="auto"/>
                <w:kern w:val="0"/>
                <w:sz w:val="21"/>
                <w:szCs w:val="21"/>
                <w:highlight w:val="none"/>
                <w:u w:val="none"/>
                <w:lang w:val="en-US" w:eastAsia="zh-CN" w:bidi="ar"/>
              </w:rPr>
              <w:br w:type="textWrapping"/>
            </w:r>
            <w:r>
              <w:rPr>
                <w:rFonts w:hint="eastAsia" w:ascii="仿宋" w:hAnsi="仿宋" w:eastAsia="仿宋" w:cs="仿宋"/>
                <w:i w:val="0"/>
                <w:color w:val="auto"/>
                <w:kern w:val="0"/>
                <w:sz w:val="21"/>
                <w:szCs w:val="21"/>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14.33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6.30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6.30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8.03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8.61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6.25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6.25</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sz w:val="21"/>
                <w:szCs w:val="21"/>
                <w:highlight w:val="none"/>
                <w:u w:val="none"/>
              </w:rPr>
              <w:t>2.36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color w:val="auto"/>
          <w:kern w:val="0"/>
          <w:sz w:val="24"/>
          <w:szCs w:val="24"/>
          <w:highlight w:val="none"/>
        </w:rPr>
      </w:pPr>
    </w:p>
    <w:p>
      <w:pPr>
        <w:autoSpaceDE w:val="0"/>
        <w:autoSpaceDN w:val="0"/>
        <w:adjustRightInd w:val="0"/>
        <w:ind w:left="315" w:leftChars="150"/>
        <w:jc w:val="left"/>
        <w:rPr>
          <w:rFonts w:ascii="宋体" w:eastAsia="宋体" w:cs="宋体"/>
          <w:color w:val="auto"/>
          <w:kern w:val="0"/>
          <w:sz w:val="24"/>
          <w:szCs w:val="24"/>
          <w:highlight w:val="none"/>
        </w:rPr>
      </w:pPr>
    </w:p>
    <w:p>
      <w:pPr>
        <w:autoSpaceDE w:val="0"/>
        <w:autoSpaceDN w:val="0"/>
        <w:adjustRightInd w:val="0"/>
        <w:ind w:left="315" w:leftChars="150"/>
        <w:jc w:val="left"/>
        <w:rPr>
          <w:rFonts w:ascii="宋体" w:eastAsia="宋体" w:cs="宋体"/>
          <w:color w:val="auto"/>
          <w:kern w:val="0"/>
          <w:sz w:val="24"/>
          <w:szCs w:val="24"/>
          <w:highlight w:val="none"/>
        </w:rPr>
      </w:pPr>
    </w:p>
    <w:p>
      <w:pPr>
        <w:widowControl/>
        <w:jc w:val="both"/>
        <w:rPr>
          <w:color w:val="auto"/>
          <w:sz w:val="72"/>
          <w:szCs w:val="72"/>
          <w:highlight w:val="none"/>
        </w:rPr>
        <w:sectPr>
          <w:pgSz w:w="16838" w:h="11906" w:orient="landscape"/>
          <w:pgMar w:top="100" w:right="720" w:bottom="-1" w:left="720" w:header="851" w:footer="992" w:gutter="0"/>
          <w:cols w:space="425" w:num="1"/>
          <w:docGrid w:type="lines" w:linePitch="312" w:charSpace="0"/>
        </w:sectPr>
      </w:pPr>
      <w:r>
        <w:rPr>
          <w:rFonts w:ascii="黑体" w:hAnsi="黑体" w:eastAsia="黑体"/>
          <w:color w:val="auto"/>
          <w:szCs w:val="21"/>
          <w:highlight w:val="none"/>
        </w:rPr>
        <w:br w:type="page"/>
      </w: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44"/>
          <w:szCs w:val="44"/>
          <w:highlight w:val="none"/>
        </w:rPr>
      </w:pPr>
    </w:p>
    <w:p>
      <w:pPr>
        <w:pStyle w:val="10"/>
        <w:jc w:val="center"/>
        <w:rPr>
          <w:rFonts w:hint="eastAsia" w:ascii="黑体" w:hAnsi="黑体" w:eastAsia="黑体" w:cs="黑体"/>
          <w:color w:val="auto"/>
          <w:sz w:val="72"/>
          <w:szCs w:val="72"/>
          <w:highlight w:val="none"/>
        </w:rPr>
      </w:pPr>
    </w:p>
    <w:p>
      <w:pPr>
        <w:pStyle w:val="10"/>
        <w:jc w:val="center"/>
        <w:rPr>
          <w:rFonts w:hint="eastAsia" w:ascii="黑体" w:hAnsi="黑体" w:eastAsia="黑体" w:cs="黑体"/>
          <w:color w:val="auto"/>
          <w:sz w:val="72"/>
          <w:szCs w:val="72"/>
          <w:highlight w:val="none"/>
        </w:rPr>
      </w:pPr>
    </w:p>
    <w:p>
      <w:pPr>
        <w:pStyle w:val="10"/>
        <w:jc w:val="center"/>
        <w:rPr>
          <w:rFonts w:hint="eastAsia" w:ascii="黑体" w:hAnsi="黑体" w:eastAsia="黑体" w:cs="黑体"/>
          <w:color w:val="auto"/>
          <w:sz w:val="72"/>
          <w:szCs w:val="72"/>
          <w:highlight w:val="none"/>
        </w:rPr>
      </w:pPr>
    </w:p>
    <w:p>
      <w:pPr>
        <w:pStyle w:val="10"/>
        <w:jc w:val="center"/>
        <w:rPr>
          <w:rFonts w:hint="eastAsia" w:ascii="黑体" w:hAnsi="黑体" w:eastAsia="黑体" w:cs="黑体"/>
          <w:color w:val="auto"/>
          <w:sz w:val="72"/>
          <w:szCs w:val="72"/>
          <w:highlight w:val="none"/>
        </w:rPr>
      </w:pPr>
      <w:r>
        <w:rPr>
          <w:rFonts w:hint="eastAsia" w:ascii="黑体" w:hAnsi="黑体" w:eastAsia="黑体" w:cs="黑体"/>
          <w:color w:val="auto"/>
          <w:sz w:val="72"/>
          <w:szCs w:val="72"/>
          <w:highlight w:val="none"/>
        </w:rPr>
        <w:t>第三部分</w:t>
      </w:r>
    </w:p>
    <w:p>
      <w:pPr>
        <w:pStyle w:val="10"/>
        <w:jc w:val="center"/>
        <w:rPr>
          <w:rFonts w:hint="eastAsia" w:ascii="黑体" w:hAnsi="黑体" w:eastAsia="黑体" w:cs="黑体"/>
          <w:color w:val="auto"/>
          <w:sz w:val="72"/>
          <w:szCs w:val="72"/>
          <w:highlight w:val="none"/>
        </w:rPr>
      </w:pPr>
    </w:p>
    <w:p>
      <w:pPr>
        <w:pStyle w:val="10"/>
        <w:jc w:val="center"/>
        <w:rPr>
          <w:rFonts w:hint="eastAsia" w:ascii="黑体" w:hAnsi="黑体" w:eastAsia="黑体" w:cs="黑体"/>
          <w:color w:val="auto"/>
          <w:sz w:val="72"/>
          <w:szCs w:val="72"/>
          <w:highlight w:val="none"/>
        </w:rPr>
      </w:pPr>
      <w:r>
        <w:rPr>
          <w:rFonts w:hint="eastAsia" w:ascii="黑体" w:hAnsi="黑体" w:eastAsia="黑体" w:cs="黑体"/>
          <w:color w:val="auto"/>
          <w:sz w:val="72"/>
          <w:szCs w:val="72"/>
          <w:highlight w:val="none"/>
        </w:rPr>
        <w:t>202</w:t>
      </w:r>
      <w:r>
        <w:rPr>
          <w:rFonts w:hint="eastAsia" w:ascii="黑体" w:hAnsi="黑体" w:eastAsia="黑体" w:cs="黑体"/>
          <w:color w:val="auto"/>
          <w:sz w:val="72"/>
          <w:szCs w:val="72"/>
          <w:highlight w:val="none"/>
          <w:lang w:val="en-US" w:eastAsia="zh-CN"/>
        </w:rPr>
        <w:t>2</w:t>
      </w:r>
      <w:r>
        <w:rPr>
          <w:rFonts w:hint="eastAsia" w:ascii="黑体" w:hAnsi="黑体" w:eastAsia="黑体" w:cs="黑体"/>
          <w:color w:val="auto"/>
          <w:sz w:val="72"/>
          <w:szCs w:val="72"/>
          <w:highlight w:val="none"/>
        </w:rPr>
        <w:t>年度部门决算情况说明</w:t>
      </w: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widowControl/>
        <w:jc w:val="left"/>
        <w:rPr>
          <w:rFonts w:asciiTheme="minorEastAsia" w:hAnsiTheme="minorEastAsia" w:eastAsiaTheme="minorEastAsia"/>
          <w:color w:val="auto"/>
          <w:sz w:val="32"/>
          <w:szCs w:val="32"/>
          <w:highlight w:val="none"/>
        </w:rPr>
      </w:pP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一、收入支出决算总体情况说明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2022年度收、支总计</w:t>
      </w:r>
      <w:r>
        <w:rPr>
          <w:rFonts w:hint="eastAsia" w:ascii="仿宋" w:hAnsi="仿宋" w:eastAsia="仿宋" w:cs="仿宋"/>
          <w:color w:val="auto"/>
          <w:sz w:val="32"/>
          <w:szCs w:val="32"/>
          <w:highlight w:val="none"/>
        </w:rPr>
        <w:t>均为</w:t>
      </w:r>
      <w:r>
        <w:rPr>
          <w:rFonts w:hint="eastAsia" w:ascii="仿宋_GB2312" w:hAnsi="仿宋_GB2312" w:eastAsia="仿宋_GB2312" w:cs="仿宋_GB2312"/>
          <w:color w:val="auto"/>
          <w:sz w:val="32"/>
          <w:szCs w:val="32"/>
          <w:highlight w:val="none"/>
        </w:rPr>
        <w:t>1460.60万元。与上年相比，增加390.77万元，增长36</w:t>
      </w:r>
      <w:r>
        <w:rPr>
          <w:rFonts w:hint="eastAsia" w:ascii="仿宋_GB2312" w:hAnsi="仿宋_GB2312" w:eastAsia="仿宋_GB2312" w:cs="仿宋_GB2312"/>
          <w:color w:val="auto"/>
          <w:sz w:val="32"/>
          <w:szCs w:val="32"/>
          <w:highlight w:val="none"/>
          <w:lang w:val="en-US" w:eastAsia="zh-CN"/>
        </w:rPr>
        <w:t>.53</w:t>
      </w:r>
      <w:r>
        <w:rPr>
          <w:rFonts w:hint="eastAsia" w:ascii="仿宋_GB2312" w:hAnsi="仿宋_GB2312" w:eastAsia="仿宋_GB2312" w:cs="仿宋_GB2312"/>
          <w:color w:val="auto"/>
          <w:sz w:val="32"/>
          <w:szCs w:val="32"/>
          <w:highlight w:val="none"/>
        </w:rPr>
        <w:t>%，主要是因为专项业务工作增加，专项业务经费相应增加。</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bCs w:val="0"/>
          <w:color w:val="auto"/>
          <w:sz w:val="32"/>
          <w:szCs w:val="32"/>
          <w:highlight w:val="none"/>
        </w:rPr>
        <w:t>二、收入决算情况说明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2022年度收入合计1460.60万元，其中：财政拨款收入1460.60万元，占100%。</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三、支出决算情况说明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2022年度支出合计1460.60万元，其中：基本支出622.88万元，占4</w:t>
      </w:r>
      <w:r>
        <w:rPr>
          <w:rFonts w:hint="eastAsia" w:ascii="仿宋_GB2312" w:hAnsi="仿宋_GB2312" w:eastAsia="仿宋_GB2312" w:cs="仿宋_GB2312"/>
          <w:color w:val="auto"/>
          <w:sz w:val="32"/>
          <w:szCs w:val="32"/>
          <w:highlight w:val="none"/>
          <w:lang w:val="en-US" w:eastAsia="zh-CN"/>
        </w:rPr>
        <w:t>2.65</w:t>
      </w:r>
      <w:r>
        <w:rPr>
          <w:rFonts w:hint="eastAsia" w:ascii="仿宋_GB2312" w:hAnsi="仿宋_GB2312" w:eastAsia="仿宋_GB2312" w:cs="仿宋_GB2312"/>
          <w:color w:val="auto"/>
          <w:sz w:val="32"/>
          <w:szCs w:val="32"/>
          <w:highlight w:val="none"/>
        </w:rPr>
        <w:t>%；项目支出837.82万元，占57</w:t>
      </w:r>
      <w:r>
        <w:rPr>
          <w:rFonts w:hint="eastAsia" w:ascii="仿宋_GB2312" w:hAnsi="仿宋_GB2312" w:eastAsia="仿宋_GB2312" w:cs="仿宋_GB2312"/>
          <w:color w:val="auto"/>
          <w:sz w:val="32"/>
          <w:szCs w:val="32"/>
          <w:highlight w:val="none"/>
          <w:lang w:val="en-US" w:eastAsia="zh-CN"/>
        </w:rPr>
        <w:t>.35</w:t>
      </w:r>
      <w:r>
        <w:rPr>
          <w:rFonts w:hint="eastAsia" w:ascii="仿宋_GB2312" w:hAnsi="仿宋_GB2312" w:eastAsia="仿宋_GB2312" w:cs="仿宋_GB2312"/>
          <w:color w:val="auto"/>
          <w:sz w:val="32"/>
          <w:szCs w:val="32"/>
          <w:highlight w:val="none"/>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四、财政拨款收入支出决算总体情况说明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2022年度财政拨款收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支出总计</w:t>
      </w:r>
      <w:r>
        <w:rPr>
          <w:rFonts w:hint="eastAsia" w:ascii="仿宋" w:hAnsi="仿宋" w:eastAsia="仿宋" w:cs="仿宋"/>
          <w:color w:val="auto"/>
          <w:sz w:val="32"/>
          <w:szCs w:val="32"/>
          <w:highlight w:val="none"/>
        </w:rPr>
        <w:t>均为</w:t>
      </w:r>
      <w:r>
        <w:rPr>
          <w:rFonts w:hint="eastAsia" w:ascii="仿宋_GB2312" w:hAnsi="仿宋_GB2312" w:eastAsia="仿宋_GB2312" w:cs="仿宋_GB2312"/>
          <w:color w:val="auto"/>
          <w:sz w:val="32"/>
          <w:szCs w:val="32"/>
          <w:highlight w:val="none"/>
        </w:rPr>
        <w:t>1460.60万元，与上年相比，增加390.77万元，增加36</w:t>
      </w:r>
      <w:r>
        <w:rPr>
          <w:rFonts w:hint="eastAsia" w:ascii="仿宋_GB2312" w:hAnsi="仿宋_GB2312" w:eastAsia="仿宋_GB2312" w:cs="仿宋_GB2312"/>
          <w:color w:val="auto"/>
          <w:sz w:val="32"/>
          <w:szCs w:val="32"/>
          <w:highlight w:val="none"/>
          <w:lang w:val="en-US" w:eastAsia="zh-CN"/>
        </w:rPr>
        <w:t>.53</w:t>
      </w:r>
      <w:r>
        <w:rPr>
          <w:rFonts w:hint="eastAsia" w:ascii="仿宋_GB2312" w:hAnsi="仿宋_GB2312" w:eastAsia="仿宋_GB2312" w:cs="仿宋_GB2312"/>
          <w:color w:val="auto"/>
          <w:sz w:val="32"/>
          <w:szCs w:val="32"/>
          <w:highlight w:val="none"/>
        </w:rPr>
        <w:t>%，主要是因为专项业务工作增加，专项业务经费相应增加。</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五、一般公共预算财政拨款支出决算情况说明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（一）财政拨款支出决算总体情况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2022年度财政拨款支出1460.60万元，占本年支出合计的100%，与上年相比，财政拨款支出增加390.77万元，增加36</w:t>
      </w:r>
      <w:r>
        <w:rPr>
          <w:rFonts w:hint="eastAsia" w:ascii="仿宋_GB2312" w:hAnsi="仿宋_GB2312" w:eastAsia="仿宋_GB2312" w:cs="仿宋_GB2312"/>
          <w:color w:val="auto"/>
          <w:sz w:val="32"/>
          <w:szCs w:val="32"/>
          <w:highlight w:val="none"/>
          <w:lang w:val="en-US" w:eastAsia="zh-CN"/>
        </w:rPr>
        <w:t>.53</w:t>
      </w:r>
      <w:r>
        <w:rPr>
          <w:rFonts w:hint="eastAsia" w:ascii="仿宋_GB2312" w:hAnsi="仿宋_GB2312" w:eastAsia="仿宋_GB2312" w:cs="仿宋_GB2312"/>
          <w:color w:val="auto"/>
          <w:sz w:val="32"/>
          <w:szCs w:val="32"/>
          <w:highlight w:val="none"/>
        </w:rPr>
        <w:t>%，主要是因为专项业务工作增加，专项业务经费相应增加。</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（二）财政拨款支出决算结构情况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2022年度财政拨款支出1460.60万元，主要用于以下方面：一般公共服务（类）支出</w:t>
      </w:r>
      <w:r>
        <w:rPr>
          <w:rFonts w:hint="eastAsia" w:ascii="仿宋_GB2312" w:hAnsi="仿宋_GB2312" w:eastAsia="仿宋_GB2312" w:cs="仿宋_GB2312"/>
          <w:b w:val="0"/>
          <w:bCs w:val="0"/>
          <w:color w:val="auto"/>
          <w:sz w:val="32"/>
          <w:szCs w:val="32"/>
          <w:highlight w:val="none"/>
        </w:rPr>
        <w:t>98.60</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6.75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shd w:val="clear" w:color="auto" w:fill="FFFFFF"/>
        </w:rPr>
        <w:t>科学技术（类）支出1263.82万元，占86</w:t>
      </w:r>
      <w:r>
        <w:rPr>
          <w:rFonts w:hint="eastAsia" w:ascii="仿宋_GB2312" w:hAnsi="仿宋_GB2312" w:eastAsia="仿宋_GB2312" w:cs="仿宋_GB2312"/>
          <w:color w:val="auto"/>
          <w:sz w:val="32"/>
          <w:szCs w:val="32"/>
          <w:highlight w:val="none"/>
          <w:shd w:val="clear" w:color="auto" w:fill="FFFFFF"/>
          <w:lang w:val="en-US" w:eastAsia="zh-CN"/>
        </w:rPr>
        <w:t>.53</w:t>
      </w:r>
      <w:r>
        <w:rPr>
          <w:rFonts w:hint="eastAsia" w:ascii="仿宋_GB2312" w:hAnsi="仿宋_GB2312" w:eastAsia="仿宋_GB2312" w:cs="仿宋_GB2312"/>
          <w:color w:val="auto"/>
          <w:sz w:val="32"/>
          <w:szCs w:val="32"/>
          <w:highlight w:val="none"/>
          <w:shd w:val="clear" w:color="auto" w:fill="FFFFFF"/>
        </w:rPr>
        <w:t>%；社会保障和就业（类）支出73.99万元，占5</w:t>
      </w:r>
      <w:r>
        <w:rPr>
          <w:rFonts w:hint="eastAsia" w:ascii="仿宋_GB2312" w:hAnsi="仿宋_GB2312" w:eastAsia="仿宋_GB2312" w:cs="仿宋_GB2312"/>
          <w:color w:val="auto"/>
          <w:sz w:val="32"/>
          <w:szCs w:val="32"/>
          <w:highlight w:val="none"/>
          <w:shd w:val="clear" w:color="auto" w:fill="FFFFFF"/>
          <w:lang w:val="en-US" w:eastAsia="zh-CN"/>
        </w:rPr>
        <w:t>.07</w:t>
      </w:r>
      <w:r>
        <w:rPr>
          <w:rFonts w:hint="eastAsia" w:ascii="仿宋_GB2312" w:hAnsi="仿宋_GB2312" w:eastAsia="仿宋_GB2312" w:cs="仿宋_GB2312"/>
          <w:color w:val="auto"/>
          <w:sz w:val="32"/>
          <w:szCs w:val="32"/>
          <w:highlight w:val="none"/>
          <w:shd w:val="clear" w:color="auto" w:fill="FFFFFF"/>
        </w:rPr>
        <w:t>%;卫生健康（类）支出24.20万元，占</w:t>
      </w:r>
      <w:r>
        <w:rPr>
          <w:rFonts w:hint="eastAsia" w:ascii="仿宋_GB2312" w:hAnsi="仿宋_GB2312" w:eastAsia="仿宋_GB2312" w:cs="仿宋_GB2312"/>
          <w:color w:val="auto"/>
          <w:sz w:val="32"/>
          <w:szCs w:val="32"/>
          <w:highlight w:val="none"/>
          <w:shd w:val="clear" w:color="auto" w:fill="FFFFFF"/>
          <w:lang w:val="en-US" w:eastAsia="zh-CN"/>
        </w:rPr>
        <w:t>1.65</w:t>
      </w:r>
      <w:r>
        <w:rPr>
          <w:rFonts w:hint="eastAsia" w:ascii="仿宋_GB2312" w:hAnsi="仿宋_GB2312" w:eastAsia="仿宋_GB2312" w:cs="仿宋_GB2312"/>
          <w:color w:val="auto"/>
          <w:sz w:val="32"/>
          <w:szCs w:val="32"/>
          <w:highlight w:val="none"/>
          <w:shd w:val="clear" w:color="auto" w:fill="FFFFFF"/>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（三）财政拨款支出决算具体情况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年度财政拨款支出年初预算数为1460.60万元，支出决算数为1460.60万元，完成年初预算的100%，其中：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1、一般公共服务（类）组织事务（款）其他组织事务支出（项）。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年初预算为0万元，支出决算为98.60万元，决算数大于年初预算数的主要原因是：</w:t>
      </w:r>
    </w:p>
    <w:p>
      <w:pPr>
        <w:pStyle w:val="16"/>
        <w:keepNext w:val="0"/>
        <w:keepLines w:val="0"/>
        <w:pageBreakBefore w:val="0"/>
        <w:kinsoku/>
        <w:wordWrap/>
        <w:overflowPunct/>
        <w:topLinePunct w:val="0"/>
        <w:bidi w:val="0"/>
        <w:snapToGrid/>
        <w:spacing w:before="0" w:beforeAutospacing="0" w:afterAutospacing="0"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2、科学技术（类）科学技术管理事务（款）行政运行（项）。</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年初预算为471.35万元，支出决算为500.79万元，完成年初预算的106</w:t>
      </w:r>
      <w:r>
        <w:rPr>
          <w:rFonts w:hint="eastAsia" w:ascii="仿宋_GB2312" w:hAnsi="仿宋_GB2312" w:eastAsia="仿宋_GB2312" w:cs="仿宋_GB2312"/>
          <w:color w:val="auto"/>
          <w:sz w:val="32"/>
          <w:szCs w:val="32"/>
          <w:highlight w:val="none"/>
          <w:shd w:val="clear" w:color="auto" w:fill="FFFFFF"/>
          <w:lang w:val="en-US" w:eastAsia="zh-CN"/>
        </w:rPr>
        <w:t>.25</w:t>
      </w:r>
      <w:r>
        <w:rPr>
          <w:rFonts w:hint="eastAsia" w:ascii="仿宋_GB2312" w:hAnsi="仿宋_GB2312" w:eastAsia="仿宋_GB2312" w:cs="仿宋_GB2312"/>
          <w:color w:val="auto"/>
          <w:sz w:val="32"/>
          <w:szCs w:val="32"/>
          <w:highlight w:val="none"/>
          <w:shd w:val="clear" w:color="auto" w:fill="FFFFFF"/>
        </w:rPr>
        <w:t>%，决算数大于年初预算数的主要原因是：1、基本工资正常晋级晋档，2、新增基础绩效奖金。</w:t>
      </w:r>
    </w:p>
    <w:p>
      <w:pPr>
        <w:pStyle w:val="16"/>
        <w:keepNext w:val="0"/>
        <w:keepLines w:val="0"/>
        <w:pageBreakBefore w:val="0"/>
        <w:numPr>
          <w:ilvl w:val="0"/>
          <w:numId w:val="0"/>
        </w:numPr>
        <w:kinsoku/>
        <w:wordWrap/>
        <w:overflowPunct/>
        <w:topLinePunct w:val="0"/>
        <w:bidi w:val="0"/>
        <w:snapToGrid/>
        <w:spacing w:before="0" w:beforeAutospacing="0" w:afterAutospacing="0" w:line="600" w:lineRule="exact"/>
        <w:ind w:firstLine="800" w:firstLineChars="25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3、科学技术（类）科学技术管理事务（款）其他科学技术管理事务支出（项）</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年初预算为0万元，支出决算为95.91万元，决算数大于年初预算数的主要原因是：1、发放2021年绩效奖金；2、发放退休人员春节一次性补助。</w:t>
      </w:r>
    </w:p>
    <w:p>
      <w:pPr>
        <w:pStyle w:val="16"/>
        <w:keepNext w:val="0"/>
        <w:keepLines w:val="0"/>
        <w:pageBreakBefore w:val="0"/>
        <w:numPr>
          <w:ilvl w:val="0"/>
          <w:numId w:val="0"/>
        </w:numPr>
        <w:kinsoku/>
        <w:wordWrap/>
        <w:overflowPunct/>
        <w:topLinePunct w:val="0"/>
        <w:bidi w:val="0"/>
        <w:snapToGrid/>
        <w:spacing w:before="0" w:beforeAutospacing="0" w:afterAutospacing="0"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4、科学技术（类）技术研究与开发（款）科技成果转化与扩散（项）。</w:t>
      </w:r>
    </w:p>
    <w:p>
      <w:pPr>
        <w:pStyle w:val="16"/>
        <w:keepNext w:val="0"/>
        <w:keepLines w:val="0"/>
        <w:pageBreakBefore w:val="0"/>
        <w:kinsoku/>
        <w:wordWrap/>
        <w:overflowPunct/>
        <w:topLinePunct w:val="0"/>
        <w:bidi w:val="0"/>
        <w:snapToGrid/>
        <w:spacing w:before="0" w:beforeAutospacing="0" w:afterAutospacing="0" w:line="60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年初预算为0万元，支出决算为20万元，决算数大于年初预算数的主要原因是：年中追加经费指标。</w:t>
      </w:r>
    </w:p>
    <w:p>
      <w:pPr>
        <w:pStyle w:val="16"/>
        <w:keepNext w:val="0"/>
        <w:keepLines w:val="0"/>
        <w:pageBreakBefore w:val="0"/>
        <w:numPr>
          <w:ilvl w:val="0"/>
          <w:numId w:val="0"/>
        </w:numPr>
        <w:kinsoku/>
        <w:wordWrap/>
        <w:overflowPunct/>
        <w:topLinePunct w:val="0"/>
        <w:bidi w:val="0"/>
        <w:snapToGrid/>
        <w:spacing w:before="0" w:beforeAutospacing="0" w:afterAutospacing="0" w:line="600" w:lineRule="exact"/>
        <w:ind w:leftChars="200" w:firstLine="320" w:firstLineChars="1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5、科学技术（类）科学技术普及（款）科普活动（项）。</w:t>
      </w:r>
    </w:p>
    <w:p>
      <w:pPr>
        <w:pStyle w:val="16"/>
        <w:keepNext w:val="0"/>
        <w:keepLines w:val="0"/>
        <w:pageBreakBefore w:val="0"/>
        <w:numPr>
          <w:ilvl w:val="0"/>
          <w:numId w:val="0"/>
        </w:numPr>
        <w:kinsoku/>
        <w:wordWrap/>
        <w:overflowPunct/>
        <w:topLinePunct w:val="0"/>
        <w:bidi w:val="0"/>
        <w:snapToGrid/>
        <w:spacing w:before="0" w:beforeAutospacing="0" w:afterAutospacing="0" w:line="60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年初预算为0万元，支出决算为15万元，决算数大于年初预算数的主要原因是：年中追加经费指标。</w:t>
      </w:r>
    </w:p>
    <w:p>
      <w:pPr>
        <w:pStyle w:val="16"/>
        <w:keepNext w:val="0"/>
        <w:keepLines w:val="0"/>
        <w:pageBreakBefore w:val="0"/>
        <w:numPr>
          <w:ilvl w:val="0"/>
          <w:numId w:val="0"/>
        </w:numPr>
        <w:kinsoku/>
        <w:wordWrap/>
        <w:overflowPunct/>
        <w:topLinePunct w:val="0"/>
        <w:bidi w:val="0"/>
        <w:snapToGrid/>
        <w:spacing w:before="0" w:beforeAutospacing="0" w:afterAutospacing="0" w:line="600" w:lineRule="exact"/>
        <w:ind w:firstLine="800" w:firstLineChars="25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6、科学技术（类）科学技术普及（款）其他科学技术普及支出（项）。</w:t>
      </w:r>
    </w:p>
    <w:p>
      <w:pPr>
        <w:pStyle w:val="16"/>
        <w:keepNext w:val="0"/>
        <w:keepLines w:val="0"/>
        <w:pageBreakBefore w:val="0"/>
        <w:numPr>
          <w:ilvl w:val="0"/>
          <w:numId w:val="0"/>
        </w:numPr>
        <w:kinsoku/>
        <w:wordWrap/>
        <w:overflowPunct/>
        <w:topLinePunct w:val="0"/>
        <w:bidi w:val="0"/>
        <w:snapToGrid/>
        <w:spacing w:before="0" w:beforeAutospacing="0" w:afterAutospacing="0" w:line="600" w:lineRule="exact"/>
        <w:ind w:firstLine="800" w:firstLineChars="25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年初预算为0万元，支出决算为10万元，决算数大于年初预算数的主要原因是：年中追加经费指标。</w:t>
      </w:r>
    </w:p>
    <w:p>
      <w:pPr>
        <w:pStyle w:val="16"/>
        <w:keepNext w:val="0"/>
        <w:keepLines w:val="0"/>
        <w:pageBreakBefore w:val="0"/>
        <w:numPr>
          <w:ilvl w:val="0"/>
          <w:numId w:val="0"/>
        </w:numPr>
        <w:kinsoku/>
        <w:wordWrap/>
        <w:overflowPunct/>
        <w:topLinePunct w:val="0"/>
        <w:bidi w:val="0"/>
        <w:snapToGrid/>
        <w:spacing w:before="0" w:beforeAutospacing="0" w:afterAutospacing="0" w:line="600" w:lineRule="exact"/>
        <w:ind w:firstLine="800" w:firstLineChars="25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7、科学技术（类）其他科学技术支出（款）其他科学技术支出（项）。</w:t>
      </w:r>
    </w:p>
    <w:p>
      <w:pPr>
        <w:pStyle w:val="16"/>
        <w:keepNext w:val="0"/>
        <w:keepLines w:val="0"/>
        <w:pageBreakBefore w:val="0"/>
        <w:numPr>
          <w:ilvl w:val="0"/>
          <w:numId w:val="0"/>
        </w:numPr>
        <w:kinsoku/>
        <w:wordWrap/>
        <w:overflowPunct/>
        <w:topLinePunct w:val="0"/>
        <w:bidi w:val="0"/>
        <w:snapToGrid/>
        <w:spacing w:before="0" w:beforeAutospacing="0" w:afterAutospacing="0" w:line="600" w:lineRule="exact"/>
        <w:ind w:firstLine="800" w:firstLineChars="25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年初预算为432万元，支出决算为622.12万元，完成年初预算的144</w:t>
      </w:r>
      <w:r>
        <w:rPr>
          <w:rFonts w:hint="eastAsia" w:ascii="仿宋_GB2312" w:hAnsi="仿宋_GB2312" w:eastAsia="仿宋_GB2312" w:cs="仿宋_GB2312"/>
          <w:color w:val="auto"/>
          <w:sz w:val="32"/>
          <w:szCs w:val="32"/>
          <w:highlight w:val="none"/>
          <w:shd w:val="clear" w:color="auto" w:fill="FFFFFF"/>
          <w:lang w:val="en-US" w:eastAsia="zh-CN"/>
        </w:rPr>
        <w:t>.01</w:t>
      </w:r>
      <w:r>
        <w:rPr>
          <w:rFonts w:hint="eastAsia" w:ascii="仿宋_GB2312" w:hAnsi="仿宋_GB2312" w:eastAsia="仿宋_GB2312" w:cs="仿宋_GB2312"/>
          <w:color w:val="auto"/>
          <w:sz w:val="32"/>
          <w:szCs w:val="32"/>
          <w:highlight w:val="none"/>
          <w:shd w:val="clear" w:color="auto" w:fill="FFFFFF"/>
        </w:rPr>
        <w:t>%，决算数大于年初预算数的主要原因是：年中追加经费指标。</w:t>
      </w:r>
    </w:p>
    <w:p>
      <w:pPr>
        <w:pStyle w:val="16"/>
        <w:keepNext w:val="0"/>
        <w:keepLines w:val="0"/>
        <w:pageBreakBefore w:val="0"/>
        <w:kinsoku/>
        <w:wordWrap/>
        <w:overflowPunct/>
        <w:topLinePunct w:val="0"/>
        <w:bidi w:val="0"/>
        <w:snapToGrid/>
        <w:spacing w:before="0" w:beforeAutospacing="0" w:afterAutospacing="0" w:line="600" w:lineRule="exact"/>
        <w:ind w:left="218" w:leftChars="104"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w:t>
      </w:r>
      <w:r>
        <w:rPr>
          <w:rStyle w:val="17"/>
          <w:rFonts w:hint="eastAsia" w:ascii="仿宋_GB2312" w:hAnsi="仿宋_GB2312" w:eastAsia="仿宋_GB2312" w:cs="仿宋_GB2312"/>
          <w:iCs/>
          <w:color w:val="auto"/>
          <w:sz w:val="32"/>
          <w:szCs w:val="32"/>
          <w:highlight w:val="none"/>
          <w:shd w:val="clear" w:color="auto" w:fill="FFFFFF"/>
        </w:rPr>
        <w:t>社会保障和就业（类）行政事业单位养老支出（款）机关事业单位基本养老保险缴费（项）。</w:t>
      </w:r>
    </w:p>
    <w:p>
      <w:pPr>
        <w:pStyle w:val="10"/>
        <w:keepNext w:val="0"/>
        <w:keepLines w:val="0"/>
        <w:pageBreakBefore w:val="0"/>
        <w:kinsoku/>
        <w:wordWrap/>
        <w:overflowPunct/>
        <w:topLinePunct w:val="0"/>
        <w:bidi w:val="0"/>
        <w:snapToGrid/>
        <w:spacing w:line="600" w:lineRule="exact"/>
        <w:ind w:left="218" w:leftChars="104"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年初预算为43.50万元，支出决算为43.99万元，完成年初预算的101</w:t>
      </w:r>
      <w:r>
        <w:rPr>
          <w:rFonts w:hint="eastAsia" w:ascii="仿宋_GB2312" w:hAnsi="仿宋_GB2312" w:eastAsia="仿宋_GB2312" w:cs="仿宋_GB2312"/>
          <w:color w:val="auto"/>
          <w:sz w:val="32"/>
          <w:szCs w:val="32"/>
          <w:highlight w:val="none"/>
          <w:shd w:val="clear" w:color="auto" w:fill="FFFFFF"/>
          <w:lang w:val="en-US" w:eastAsia="zh-CN"/>
        </w:rPr>
        <w:t>.13</w:t>
      </w:r>
      <w:r>
        <w:rPr>
          <w:rFonts w:hint="eastAsia" w:ascii="仿宋_GB2312" w:hAnsi="仿宋_GB2312" w:eastAsia="仿宋_GB2312" w:cs="仿宋_GB2312"/>
          <w:color w:val="auto"/>
          <w:sz w:val="32"/>
          <w:szCs w:val="32"/>
          <w:highlight w:val="none"/>
          <w:shd w:val="clear" w:color="auto" w:fill="FFFFFF"/>
        </w:rPr>
        <w:t>%，决算数大于年初预算数的主要原因是：因人员变化职工养老保险费增加。</w:t>
      </w:r>
    </w:p>
    <w:p>
      <w:pPr>
        <w:pStyle w:val="10"/>
        <w:keepNext w:val="0"/>
        <w:keepLines w:val="0"/>
        <w:pageBreakBefore w:val="0"/>
        <w:kinsoku/>
        <w:wordWrap/>
        <w:overflowPunct/>
        <w:topLinePunct w:val="0"/>
        <w:bidi w:val="0"/>
        <w:snapToGrid/>
        <w:spacing w:line="600" w:lineRule="exact"/>
        <w:ind w:left="218" w:leftChars="104" w:firstLine="640" w:firstLineChars="200"/>
        <w:textAlignment w:val="auto"/>
        <w:rPr>
          <w:rStyle w:val="17"/>
          <w:rFonts w:hint="eastAsia" w:ascii="仿宋_GB2312" w:hAnsi="仿宋_GB2312" w:eastAsia="仿宋_GB2312" w:cs="仿宋_GB2312"/>
          <w:iCs/>
          <w:color w:val="auto"/>
          <w:sz w:val="32"/>
          <w:szCs w:val="32"/>
          <w:highlight w:val="none"/>
          <w:shd w:val="clear" w:color="auto" w:fill="FFFFFF"/>
        </w:rPr>
      </w:pPr>
      <w:r>
        <w:rPr>
          <w:rStyle w:val="17"/>
          <w:rFonts w:hint="eastAsia" w:ascii="仿宋_GB2312" w:hAnsi="仿宋_GB2312" w:eastAsia="仿宋_GB2312" w:cs="仿宋_GB2312"/>
          <w:b w:val="0"/>
          <w:bCs w:val="0"/>
          <w:iCs/>
          <w:color w:val="auto"/>
          <w:sz w:val="32"/>
          <w:szCs w:val="32"/>
          <w:highlight w:val="none"/>
          <w:shd w:val="clear" w:color="auto" w:fill="FFFFFF"/>
        </w:rPr>
        <w:t>9、社会保障和就业（类）行政事业单位养老支出（款）其他行政事业单位养老支出（项）</w:t>
      </w:r>
    </w:p>
    <w:p>
      <w:pPr>
        <w:pStyle w:val="10"/>
        <w:keepNext w:val="0"/>
        <w:keepLines w:val="0"/>
        <w:pageBreakBefore w:val="0"/>
        <w:kinsoku/>
        <w:wordWrap/>
        <w:overflowPunct/>
        <w:topLinePunct w:val="0"/>
        <w:bidi w:val="0"/>
        <w:snapToGrid/>
        <w:spacing w:line="600" w:lineRule="exact"/>
        <w:ind w:left="218" w:leftChars="104"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年初预算为0万元，支出决算为30万元，决算数大于年初预算数的主要原因是：发放退休人员春节一次性补助</w:t>
      </w:r>
    </w:p>
    <w:p>
      <w:pPr>
        <w:pStyle w:val="16"/>
        <w:keepNext w:val="0"/>
        <w:keepLines w:val="0"/>
        <w:pageBreakBefore w:val="0"/>
        <w:numPr>
          <w:ilvl w:val="0"/>
          <w:numId w:val="0"/>
        </w:numPr>
        <w:kinsoku/>
        <w:wordWrap/>
        <w:overflowPunct/>
        <w:topLinePunct w:val="0"/>
        <w:bidi w:val="0"/>
        <w:snapToGrid/>
        <w:spacing w:before="0" w:beforeAutospacing="0" w:afterAutospacing="0" w:line="600" w:lineRule="exact"/>
        <w:ind w:firstLine="640" w:firstLineChars="200"/>
        <w:textAlignment w:val="auto"/>
        <w:rPr>
          <w:rStyle w:val="17"/>
          <w:rFonts w:hint="eastAsia" w:ascii="仿宋_GB2312" w:hAnsi="仿宋_GB2312" w:eastAsia="仿宋_GB2312" w:cs="仿宋_GB2312"/>
          <w:iCs/>
          <w:color w:val="auto"/>
          <w:sz w:val="32"/>
          <w:szCs w:val="32"/>
          <w:highlight w:val="none"/>
          <w:shd w:val="clear" w:color="auto" w:fill="FFFFFF"/>
        </w:rPr>
      </w:pPr>
      <w:r>
        <w:rPr>
          <w:rStyle w:val="17"/>
          <w:rFonts w:hint="eastAsia" w:ascii="仿宋_GB2312" w:hAnsi="仿宋_GB2312" w:eastAsia="仿宋_GB2312" w:cs="仿宋_GB2312"/>
          <w:iCs/>
          <w:color w:val="auto"/>
          <w:sz w:val="32"/>
          <w:szCs w:val="32"/>
          <w:highlight w:val="none"/>
          <w:shd w:val="clear" w:color="auto" w:fill="FFFFFF"/>
        </w:rPr>
        <w:t>10、卫生健康（类）公共卫生（款）突发公共卫生事件应急处理（项）</w:t>
      </w:r>
    </w:p>
    <w:p>
      <w:pPr>
        <w:pStyle w:val="16"/>
        <w:keepNext w:val="0"/>
        <w:keepLines w:val="0"/>
        <w:pageBreakBefore w:val="0"/>
        <w:numPr>
          <w:ilvl w:val="0"/>
          <w:numId w:val="0"/>
        </w:numPr>
        <w:kinsoku/>
        <w:wordWrap/>
        <w:overflowPunct/>
        <w:topLinePunct w:val="0"/>
        <w:bidi w:val="0"/>
        <w:snapToGrid/>
        <w:spacing w:before="0" w:beforeAutospacing="0" w:afterAutospacing="0" w:line="600" w:lineRule="exact"/>
        <w:ind w:left="319" w:leftChars="152" w:firstLine="640" w:firstLineChars="200"/>
        <w:textAlignment w:val="auto"/>
        <w:rPr>
          <w:rStyle w:val="17"/>
          <w:rFonts w:hint="eastAsia" w:ascii="仿宋_GB2312" w:hAnsi="仿宋_GB2312" w:eastAsia="仿宋_GB2312" w:cs="仿宋_GB2312"/>
          <w:iCs/>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年初预算为0万元，支出决算为2.20万元，决算数大于年初预算数的主要原因是：增加疫情防控</w:t>
      </w:r>
      <w:r>
        <w:rPr>
          <w:rStyle w:val="17"/>
          <w:rFonts w:hint="eastAsia" w:ascii="仿宋_GB2312" w:hAnsi="仿宋_GB2312" w:eastAsia="仿宋_GB2312" w:cs="仿宋_GB2312"/>
          <w:iCs/>
          <w:color w:val="auto"/>
          <w:sz w:val="32"/>
          <w:szCs w:val="32"/>
          <w:highlight w:val="none"/>
          <w:shd w:val="clear" w:color="auto" w:fill="FFFFFF"/>
        </w:rPr>
        <w:t>专项经费。</w:t>
      </w:r>
    </w:p>
    <w:p>
      <w:pPr>
        <w:pStyle w:val="16"/>
        <w:keepNext w:val="0"/>
        <w:keepLines w:val="0"/>
        <w:pageBreakBefore w:val="0"/>
        <w:numPr>
          <w:ilvl w:val="0"/>
          <w:numId w:val="0"/>
        </w:numPr>
        <w:kinsoku/>
        <w:wordWrap/>
        <w:overflowPunct/>
        <w:topLinePunct w:val="0"/>
        <w:bidi w:val="0"/>
        <w:snapToGrid/>
        <w:spacing w:before="0" w:beforeAutospacing="0" w:afterAutospacing="0" w:line="600" w:lineRule="exact"/>
        <w:ind w:firstLine="640" w:firstLineChars="200"/>
        <w:textAlignment w:val="auto"/>
        <w:rPr>
          <w:rFonts w:hint="eastAsia" w:ascii="仿宋_GB2312" w:hAnsi="仿宋_GB2312" w:eastAsia="仿宋_GB2312" w:cs="仿宋_GB2312"/>
          <w:color w:val="auto"/>
          <w:sz w:val="32"/>
          <w:szCs w:val="32"/>
          <w:highlight w:val="none"/>
        </w:rPr>
      </w:pPr>
      <w:r>
        <w:rPr>
          <w:rStyle w:val="17"/>
          <w:rFonts w:hint="eastAsia" w:ascii="仿宋_GB2312" w:hAnsi="仿宋_GB2312" w:eastAsia="仿宋_GB2312" w:cs="仿宋_GB2312"/>
          <w:iCs/>
          <w:color w:val="auto"/>
          <w:sz w:val="32"/>
          <w:szCs w:val="32"/>
          <w:highlight w:val="none"/>
          <w:shd w:val="clear" w:color="auto" w:fill="FFFFFF"/>
        </w:rPr>
        <w:t>11、卫生健康（类）行政事业单位医疗（款）行政单位医疗（项）。</w:t>
      </w:r>
    </w:p>
    <w:p>
      <w:pPr>
        <w:pStyle w:val="16"/>
        <w:keepNext w:val="0"/>
        <w:keepLines w:val="0"/>
        <w:pageBreakBefore w:val="0"/>
        <w:kinsoku/>
        <w:wordWrap/>
        <w:overflowPunct/>
        <w:topLinePunct w:val="0"/>
        <w:bidi w:val="0"/>
        <w:snapToGrid/>
        <w:spacing w:before="0" w:beforeAutospacing="0" w:afterAutospacing="0" w:line="600" w:lineRule="exact"/>
        <w:ind w:firstLine="640" w:firstLineChars="200"/>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年初预算为23.11万元，支出决算为22万元，完成年初预算的95</w:t>
      </w:r>
      <w:r>
        <w:rPr>
          <w:rFonts w:hint="eastAsia" w:ascii="仿宋_GB2312" w:hAnsi="仿宋_GB2312" w:eastAsia="仿宋_GB2312" w:cs="仿宋_GB2312"/>
          <w:color w:val="auto"/>
          <w:sz w:val="32"/>
          <w:szCs w:val="32"/>
          <w:highlight w:val="none"/>
          <w:shd w:val="clear" w:color="auto" w:fill="FFFFFF"/>
          <w:lang w:val="en-US" w:eastAsia="zh-CN"/>
        </w:rPr>
        <w:t>.20</w:t>
      </w:r>
      <w:r>
        <w:rPr>
          <w:rFonts w:hint="eastAsia" w:ascii="仿宋_GB2312" w:hAnsi="仿宋_GB2312" w:eastAsia="仿宋_GB2312" w:cs="仿宋_GB2312"/>
          <w:color w:val="auto"/>
          <w:sz w:val="32"/>
          <w:szCs w:val="32"/>
          <w:highlight w:val="none"/>
          <w:shd w:val="clear" w:color="auto" w:fill="FFFFFF"/>
        </w:rPr>
        <w:t>%，决算数小于年初预算数的主要原因是：因人员变化职工基本医疗保险费减少。</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bCs w:val="0"/>
          <w:color w:val="auto"/>
          <w:sz w:val="32"/>
          <w:szCs w:val="32"/>
          <w:highlight w:val="none"/>
        </w:rPr>
        <w:t>六、一般公共预算财政拨款基本支出决算情况说明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202</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年度财政拨款基本支出622.88万元，其中：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人员经费573.08万元，占基本支出的92</w:t>
      </w:r>
      <w:r>
        <w:rPr>
          <w:rFonts w:hint="eastAsia" w:ascii="仿宋_GB2312" w:hAnsi="仿宋_GB2312" w:eastAsia="仿宋_GB2312" w:cs="仿宋_GB2312"/>
          <w:b w:val="0"/>
          <w:bCs w:val="0"/>
          <w:color w:val="auto"/>
          <w:sz w:val="32"/>
          <w:szCs w:val="32"/>
          <w:highlight w:val="none"/>
          <w:lang w:val="en-US" w:eastAsia="zh-CN"/>
        </w:rPr>
        <w:t>.00</w:t>
      </w:r>
      <w:r>
        <w:rPr>
          <w:rFonts w:hint="eastAsia" w:ascii="仿宋_GB2312" w:hAnsi="仿宋_GB2312" w:eastAsia="仿宋_GB2312" w:cs="仿宋_GB2312"/>
          <w:b w:val="0"/>
          <w:bCs w:val="0"/>
          <w:color w:val="auto"/>
          <w:sz w:val="32"/>
          <w:szCs w:val="32"/>
          <w:highlight w:val="none"/>
        </w:rPr>
        <w:t>%,主要包括基本工资、津贴补贴、奖金、伙食补助费、机关事业单位基本养老保险缴费、其他社会保障缴费、其他工资福利支出。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公用经费49.80万元，占基本支出的8</w:t>
      </w:r>
      <w:r>
        <w:rPr>
          <w:rFonts w:hint="eastAsia" w:ascii="仿宋_GB2312" w:hAnsi="仿宋_GB2312" w:eastAsia="仿宋_GB2312" w:cs="仿宋_GB2312"/>
          <w:b w:val="0"/>
          <w:bCs w:val="0"/>
          <w:color w:val="auto"/>
          <w:sz w:val="32"/>
          <w:szCs w:val="32"/>
          <w:highlight w:val="none"/>
          <w:lang w:val="en-US" w:eastAsia="zh-CN"/>
        </w:rPr>
        <w:t>.00</w:t>
      </w:r>
      <w:r>
        <w:rPr>
          <w:rFonts w:hint="eastAsia" w:ascii="仿宋_GB2312" w:hAnsi="仿宋_GB2312" w:eastAsia="仿宋_GB2312" w:cs="仿宋_GB2312"/>
          <w:b w:val="0"/>
          <w:bCs w:val="0"/>
          <w:color w:val="auto"/>
          <w:sz w:val="32"/>
          <w:szCs w:val="32"/>
          <w:highlight w:val="none"/>
        </w:rPr>
        <w:t>%，主要包括办公费、印刷费、咨询费、手续费、培训费、公务接待费、劳务费、委托业务费、工会经费、福利费、公务用车运行维护费、其他交通费用、其他商品和服务支出。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val="0"/>
          <w:color w:val="auto"/>
          <w:sz w:val="32"/>
          <w:szCs w:val="32"/>
          <w:highlight w:val="none"/>
        </w:rPr>
        <w:t>七、财政拨款三公经费支出决算情况说明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（一）“三公”经费财政拨款支出决算总体情况说明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2022年度“三公”经费财政拨款支出预算为14.33万元，支出决算为8.61万元，完成预算的60</w:t>
      </w:r>
      <w:r>
        <w:rPr>
          <w:rFonts w:hint="eastAsia" w:ascii="仿宋_GB2312" w:hAnsi="仿宋_GB2312" w:eastAsia="仿宋_GB2312" w:cs="仿宋_GB2312"/>
          <w:color w:val="auto"/>
          <w:sz w:val="32"/>
          <w:szCs w:val="32"/>
          <w:highlight w:val="none"/>
          <w:lang w:val="en-US" w:eastAsia="zh-CN"/>
        </w:rPr>
        <w:t>.08</w:t>
      </w:r>
      <w:r>
        <w:rPr>
          <w:rFonts w:hint="eastAsia" w:ascii="仿宋_GB2312" w:hAnsi="仿宋_GB2312" w:eastAsia="仿宋_GB2312" w:cs="仿宋_GB2312"/>
          <w:color w:val="auto"/>
          <w:sz w:val="32"/>
          <w:szCs w:val="32"/>
          <w:highlight w:val="none"/>
        </w:rPr>
        <w:t>%，其中：</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因公出国(境)费支出预算为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是单位未</w:t>
      </w:r>
      <w:r>
        <w:rPr>
          <w:rFonts w:hint="eastAsia" w:ascii="仿宋_GB2312" w:hAnsi="仿宋_GB2312" w:eastAsia="仿宋_GB2312" w:cs="仿宋_GB2312"/>
          <w:color w:val="auto"/>
          <w:sz w:val="32"/>
          <w:szCs w:val="32"/>
          <w:highlight w:val="none"/>
        </w:rPr>
        <w:t>因公出国（境），</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主要原因是单位未</w:t>
      </w:r>
      <w:r>
        <w:rPr>
          <w:rFonts w:hint="eastAsia" w:ascii="仿宋_GB2312" w:hAnsi="仿宋_GB2312" w:eastAsia="仿宋_GB2312" w:cs="仿宋_GB2312"/>
          <w:color w:val="auto"/>
          <w:sz w:val="32"/>
          <w:szCs w:val="32"/>
          <w:highlight w:val="none"/>
        </w:rPr>
        <w:t>因公出国（境）。</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公务接待费支出预算为8.03万元，支出决算为2.36万元，完成预算的29</w:t>
      </w:r>
      <w:r>
        <w:rPr>
          <w:rFonts w:hint="eastAsia" w:ascii="仿宋_GB2312" w:hAnsi="仿宋_GB2312" w:eastAsia="仿宋_GB2312" w:cs="仿宋_GB2312"/>
          <w:color w:val="auto"/>
          <w:sz w:val="32"/>
          <w:szCs w:val="32"/>
          <w:highlight w:val="none"/>
          <w:lang w:val="en-US" w:eastAsia="zh-CN"/>
        </w:rPr>
        <w:t>.39</w:t>
      </w:r>
      <w:r>
        <w:rPr>
          <w:rFonts w:hint="eastAsia" w:ascii="仿宋_GB2312" w:hAnsi="仿宋_GB2312" w:eastAsia="仿宋_GB2312" w:cs="仿宋_GB2312"/>
          <w:color w:val="auto"/>
          <w:sz w:val="32"/>
          <w:szCs w:val="32"/>
          <w:highlight w:val="none"/>
        </w:rPr>
        <w:t>%，决算数小于预算数的主要原因是认真贯彻落实中央八项规定</w:t>
      </w:r>
      <w:bookmarkStart w:id="18" w:name="_GoBack"/>
      <w:bookmarkEnd w:id="18"/>
      <w:r>
        <w:rPr>
          <w:rFonts w:hint="eastAsia" w:ascii="仿宋_GB2312" w:hAnsi="仿宋_GB2312" w:eastAsia="仿宋_GB2312" w:cs="仿宋_GB2312"/>
          <w:color w:val="auto"/>
          <w:sz w:val="32"/>
          <w:szCs w:val="32"/>
          <w:highlight w:val="none"/>
        </w:rPr>
        <w:t>精神和厉行节约要求，从严控制公务接待标准，与上年相比减少1.1万元，减少3</w:t>
      </w:r>
      <w:r>
        <w:rPr>
          <w:rFonts w:hint="eastAsia" w:ascii="仿宋_GB2312" w:hAnsi="仿宋_GB2312" w:eastAsia="仿宋_GB2312" w:cs="仿宋_GB2312"/>
          <w:color w:val="auto"/>
          <w:sz w:val="32"/>
          <w:szCs w:val="32"/>
          <w:highlight w:val="none"/>
          <w:lang w:val="en-US" w:eastAsia="zh-CN"/>
        </w:rPr>
        <w:t>1.79</w:t>
      </w:r>
      <w:r>
        <w:rPr>
          <w:rFonts w:hint="eastAsia" w:ascii="仿宋_GB2312" w:hAnsi="仿宋_GB2312" w:eastAsia="仿宋_GB2312" w:cs="仿宋_GB2312"/>
          <w:color w:val="auto"/>
          <w:sz w:val="32"/>
          <w:szCs w:val="32"/>
          <w:highlight w:val="none"/>
        </w:rPr>
        <w:t>%,减少的主要原因是受疫情影响省及市州相关部门调研考察及县市业务工作汇报减少。</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公务用车购置费支出预算为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公务用车运行维护费支出预算为6.3万元，支出决算为6.25万元，完成预算的99</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%，决算数小于预算数的主要原因是严格按照公务用车管理要求控制公务车的使用，与上年相比减少0.11万元，减少</w:t>
      </w:r>
      <w:r>
        <w:rPr>
          <w:rFonts w:hint="eastAsia" w:ascii="仿宋_GB2312" w:hAnsi="仿宋_GB2312" w:eastAsia="仿宋_GB2312" w:cs="仿宋_GB2312"/>
          <w:color w:val="auto"/>
          <w:sz w:val="32"/>
          <w:szCs w:val="32"/>
          <w:highlight w:val="none"/>
          <w:lang w:val="en-US" w:eastAsia="zh-CN"/>
        </w:rPr>
        <w:t>1.73</w:t>
      </w:r>
      <w:r>
        <w:rPr>
          <w:rFonts w:hint="eastAsia" w:ascii="仿宋_GB2312" w:hAnsi="仿宋_GB2312" w:eastAsia="仿宋_GB2312" w:cs="仿宋_GB2312"/>
          <w:color w:val="auto"/>
          <w:sz w:val="32"/>
          <w:szCs w:val="32"/>
          <w:highlight w:val="none"/>
        </w:rPr>
        <w:t>%,减少的主要原因是下基层调研考察减少。</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（二）“三公”经费财政拨款支出决算具体情况说明</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2022年度“三公”经费财政拨款支出决算中，公务接待费支出决算2.36万元，占27</w:t>
      </w:r>
      <w:r>
        <w:rPr>
          <w:rFonts w:hint="eastAsia" w:ascii="仿宋_GB2312" w:hAnsi="仿宋_GB2312" w:eastAsia="仿宋_GB2312" w:cs="仿宋_GB2312"/>
          <w:color w:val="auto"/>
          <w:sz w:val="32"/>
          <w:szCs w:val="32"/>
          <w:highlight w:val="none"/>
          <w:lang w:val="en-US" w:eastAsia="zh-CN"/>
        </w:rPr>
        <w:t>.41</w:t>
      </w:r>
      <w:r>
        <w:rPr>
          <w:rFonts w:hint="eastAsia" w:ascii="仿宋_GB2312" w:hAnsi="仿宋_GB2312" w:eastAsia="仿宋_GB2312" w:cs="仿宋_GB2312"/>
          <w:color w:val="auto"/>
          <w:sz w:val="32"/>
          <w:szCs w:val="32"/>
          <w:highlight w:val="none"/>
        </w:rPr>
        <w:t>%,因公出国（境）费支出决算0万元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公务用车购置费及运行维护费支出决算6.25万元，占7</w:t>
      </w:r>
      <w:r>
        <w:rPr>
          <w:rFonts w:hint="eastAsia" w:ascii="仿宋_GB2312" w:hAnsi="仿宋_GB2312" w:eastAsia="仿宋_GB2312" w:cs="仿宋_GB2312"/>
          <w:color w:val="auto"/>
          <w:sz w:val="32"/>
          <w:szCs w:val="32"/>
          <w:highlight w:val="none"/>
          <w:lang w:val="en-US" w:eastAsia="zh-CN"/>
        </w:rPr>
        <w:t>2.59</w:t>
      </w:r>
      <w:r>
        <w:rPr>
          <w:rFonts w:hint="eastAsia" w:ascii="仿宋_GB2312" w:hAnsi="仿宋_GB2312" w:eastAsia="仿宋_GB2312" w:cs="仿宋_GB2312"/>
          <w:color w:val="auto"/>
          <w:sz w:val="32"/>
          <w:szCs w:val="32"/>
          <w:highlight w:val="none"/>
        </w:rPr>
        <w:t>%。其中：</w:t>
      </w:r>
    </w:p>
    <w:p>
      <w:pPr>
        <w:pStyle w:val="2"/>
        <w:tabs>
          <w:tab w:val="left" w:pos="3864"/>
          <w:tab w:val="left" w:pos="6248"/>
          <w:tab w:val="left" w:pos="7386"/>
        </w:tabs>
        <w:overflowPunct w:val="0"/>
        <w:spacing w:before="1" w:line="360" w:lineRule="auto"/>
        <w:ind w:right="420"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1、因公出国（境）费支出决算为0万元，全年安排因公出国（境）团组0个，累计0人次</w:t>
      </w:r>
      <w:r>
        <w:rPr>
          <w:rFonts w:hint="eastAsia" w:ascii="仿宋" w:hAnsi="仿宋" w:eastAsia="仿宋" w:cs="仿宋"/>
          <w:color w:val="auto"/>
          <w:highlight w:val="none"/>
        </w:rPr>
        <w:t>，主要是</w:t>
      </w:r>
      <w:bookmarkStart w:id="3" w:name="THERR_YGCGJFY_ZYYY"/>
      <w:r>
        <w:rPr>
          <w:rFonts w:hint="eastAsia" w:ascii="仿宋" w:hAnsi="仿宋" w:eastAsia="仿宋" w:cs="仿宋"/>
          <w:color w:val="auto"/>
          <w:highlight w:val="none"/>
        </w:rPr>
        <w:t>2022年我单位没有因公出国（境）费支出</w:t>
      </w:r>
      <w:bookmarkEnd w:id="3"/>
      <w:bookmarkStart w:id="4" w:name="END_THERR_YGCGJFY_AMT"/>
      <w:bookmarkEnd w:id="4"/>
      <w:r>
        <w:rPr>
          <w:rFonts w:hint="eastAsia" w:ascii="仿宋_GB2312" w:hAnsi="仿宋_GB2312" w:eastAsia="仿宋_GB2312" w:cs="仿宋_GB2312"/>
          <w:color w:val="auto"/>
          <w:sz w:val="32"/>
          <w:szCs w:val="32"/>
          <w:highlight w:val="none"/>
        </w:rPr>
        <w:t>。</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2、公务接待费支出决算为2.36万元，全年共接待来访团组36个、来宾213人次，主要是省及市州相关部门调研和县市汇报业务工作发生的接待支出。</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3、公务用车购置费及运行维护费支出决算为6.25万元，其中：公务用车购置费0万元，单位本级更新公务用车0辆，公务用车运行维护费6.25万元，主要是</w:t>
      </w:r>
      <w:r>
        <w:rPr>
          <w:rFonts w:hint="eastAsia" w:ascii="仿宋_GB2312" w:hAnsi="仿宋_GB2312" w:eastAsia="仿宋_GB2312" w:cs="仿宋_GB2312"/>
          <w:color w:val="auto"/>
          <w:kern w:val="0"/>
          <w:sz w:val="32"/>
          <w:szCs w:val="32"/>
          <w:highlight w:val="none"/>
        </w:rPr>
        <w:t>燃料费、维修费、过桥过路费、保险费、安全奖励费用等支出</w:t>
      </w:r>
      <w:r>
        <w:rPr>
          <w:rFonts w:hint="eastAsia" w:ascii="仿宋_GB2312" w:hAnsi="仿宋_GB2312" w:eastAsia="仿宋_GB2312" w:cs="仿宋_GB2312"/>
          <w:color w:val="auto"/>
          <w:sz w:val="32"/>
          <w:szCs w:val="32"/>
          <w:highlight w:val="none"/>
        </w:rPr>
        <w:t>，截止2022年12月31日，我单位开支财政拨款的公务用车保有量为2台。</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八、政府性基金预算财政拨款收入支出决算情况</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2022年度本单位无政府性基金收支。</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b/>
          <w:bCs/>
          <w:color w:val="auto"/>
          <w:kern w:val="0"/>
          <w:sz w:val="32"/>
          <w:szCs w:val="32"/>
          <w:highlight w:val="none"/>
        </w:rPr>
      </w:pPr>
      <w:r>
        <w:rPr>
          <w:rFonts w:hint="eastAsia" w:ascii="仿宋_GB2312" w:hAnsi="仿宋_GB2312" w:eastAsia="仿宋_GB2312" w:cs="仿宋_GB2312"/>
          <w:b/>
          <w:bCs/>
          <w:color w:val="auto"/>
          <w:sz w:val="32"/>
          <w:szCs w:val="32"/>
          <w:highlight w:val="none"/>
        </w:rPr>
        <w:t>九、</w:t>
      </w:r>
      <w:r>
        <w:rPr>
          <w:rFonts w:hint="eastAsia" w:ascii="仿宋_GB2312" w:hAnsi="仿宋_GB2312" w:eastAsia="仿宋_GB2312" w:cs="仿宋_GB2312"/>
          <w:b/>
          <w:bCs/>
          <w:color w:val="auto"/>
          <w:kern w:val="0"/>
          <w:sz w:val="32"/>
          <w:szCs w:val="32"/>
          <w:highlight w:val="none"/>
        </w:rPr>
        <w:t>国有资本经营预算财政拨款支出决算情况</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2022年度本单位无国有资本经营预算</w:t>
      </w:r>
      <w:r>
        <w:rPr>
          <w:rFonts w:hint="eastAsia" w:ascii="仿宋" w:hAnsi="仿宋" w:eastAsia="仿宋" w:cs="仿宋_GB2312"/>
          <w:b w:val="0"/>
          <w:bCs w:val="0"/>
          <w:color w:val="auto"/>
          <w:sz w:val="32"/>
          <w:szCs w:val="32"/>
          <w:highlight w:val="none"/>
        </w:rPr>
        <w:t>财政拨款支出</w:t>
      </w:r>
      <w:r>
        <w:rPr>
          <w:rFonts w:hint="eastAsia" w:ascii="仿宋" w:hAnsi="仿宋" w:eastAsia="仿宋"/>
          <w:color w:val="auto"/>
          <w:sz w:val="32"/>
          <w:szCs w:val="32"/>
          <w:highlight w:val="none"/>
        </w:rPr>
        <w:t>。</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十、关于机关运行经费支出说明</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本部门2022年度机关运行经费支出49.80万元，比年初预算数增加11.40万元，增长</w:t>
      </w:r>
      <w:r>
        <w:rPr>
          <w:rFonts w:hint="eastAsia" w:ascii="仿宋_GB2312" w:hAnsi="仿宋_GB2312" w:eastAsia="仿宋_GB2312" w:cs="仿宋_GB2312"/>
          <w:color w:val="auto"/>
          <w:sz w:val="32"/>
          <w:szCs w:val="32"/>
          <w:highlight w:val="none"/>
          <w:lang w:val="en-US" w:eastAsia="zh-CN"/>
        </w:rPr>
        <w:t>29.69</w:t>
      </w:r>
      <w:r>
        <w:rPr>
          <w:rFonts w:hint="eastAsia" w:ascii="仿宋_GB2312" w:hAnsi="仿宋_GB2312" w:eastAsia="仿宋_GB2312" w:cs="仿宋_GB2312"/>
          <w:color w:val="auto"/>
          <w:sz w:val="32"/>
          <w:szCs w:val="32"/>
          <w:highlight w:val="none"/>
        </w:rPr>
        <w:t>%。主要原因是：一是工会经费增加，二是其他商品服务支出增加。</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十一、一般性支出情况说明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color w:val="auto"/>
          <w:kern w:val="0"/>
          <w:sz w:val="32"/>
          <w:szCs w:val="32"/>
          <w:highlight w:val="none"/>
          <w:lang w:val="en-US" w:eastAsia="zh-CN" w:bidi="ar-SA"/>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本部门开支会议费1.84万元，用于召开全省科技创新电视电话会议和全市科技创新工作会议、项目评审会议、科技工作推进会议等会议，人数200人，内容为：1、总结2021年全省科技创新工作和部署2022年全市科技创新工作，会议预算为0.56万元；2、市重点攻关项目“揭榜挂帅”评审会议，会议预算为1万元；3、二季度科技工作推进会议，会议预算0.5万元；4、怀化“五溪人才”评审会议，会议预算为1万元等。开支培训费6.88万元，用于开展新时代干部培训班、潇湘科技要素大市场应用培训、事业单位工作人员培训等，人数700人，内容为：1、科技、工信、商务新时代基层干部主题培训班，培训时间从2022年7月18日-7月20日，培训地点：市委党校，培训班预算为3万元；2、科技要素大市场线上平台运营业务培训，培训时间为2022年6月13日-6月27日，培训班预算为5.13万元等；我单位未举办任何节庆、晚会、论坛、赛事活动。</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bCs w:val="0"/>
          <w:color w:val="auto"/>
          <w:sz w:val="32"/>
          <w:szCs w:val="32"/>
          <w:highlight w:val="none"/>
        </w:rPr>
        <w:t>十二、关于政府采购支出说明</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olor w:val="auto"/>
          <w:sz w:val="32"/>
          <w:szCs w:val="32"/>
          <w:highlight w:val="none"/>
        </w:rPr>
        <w:t>本部门202</w:t>
      </w:r>
      <w:r>
        <w:rPr>
          <w:rFonts w:hint="eastAsia" w:ascii="仿宋_GB2312" w:hAnsi="仿宋_GB2312" w:eastAsia="仿宋_GB2312"/>
          <w:color w:val="auto"/>
          <w:sz w:val="32"/>
          <w:szCs w:val="32"/>
          <w:highlight w:val="none"/>
          <w:lang w:val="en-US" w:eastAsia="zh-CN"/>
        </w:rPr>
        <w:t>2</w:t>
      </w:r>
      <w:r>
        <w:rPr>
          <w:rFonts w:hint="eastAsia" w:ascii="仿宋_GB2312" w:hAnsi="仿宋_GB2312" w:eastAsia="仿宋_GB2312"/>
          <w:color w:val="auto"/>
          <w:sz w:val="32"/>
          <w:szCs w:val="32"/>
          <w:highlight w:val="none"/>
        </w:rPr>
        <w:t>年度政府采购支出总额</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万元，其中：政府采购货物支出</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万元、政府采购工程支出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万元、政府采购服务支出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万元。授予中小企业合同金额</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无法计算授予中小企业合同金额占政府采购支出总额的百分比</w:t>
      </w:r>
      <w:r>
        <w:rPr>
          <w:rFonts w:hint="eastAsia" w:ascii="仿宋_GB2312" w:hAnsi="仿宋_GB2312" w:eastAsia="仿宋_GB2312"/>
          <w:color w:val="auto"/>
          <w:sz w:val="32"/>
          <w:szCs w:val="32"/>
          <w:highlight w:val="none"/>
        </w:rPr>
        <w:t>。</w:t>
      </w:r>
      <w:bookmarkStart w:id="5" w:name="DIS_MARK_GP_BGT_CGHW_AMT"/>
      <w:r>
        <w:rPr>
          <w:rFonts w:hint="eastAsia" w:ascii="仿宋_GB2312" w:hAnsi="仿宋_GB2312" w:eastAsia="仿宋_GB2312"/>
          <w:color w:val="auto"/>
          <w:sz w:val="32"/>
          <w:szCs w:val="32"/>
          <w:highlight w:val="none"/>
        </w:rPr>
        <w:t>其中：授予小微企业合同金额0万元，</w:t>
      </w:r>
      <w:r>
        <w:rPr>
          <w:rFonts w:hint="eastAsia" w:ascii="仿宋_GB2312" w:hAnsi="仿宋_GB2312" w:eastAsia="仿宋_GB2312"/>
          <w:color w:val="auto"/>
          <w:sz w:val="32"/>
          <w:szCs w:val="32"/>
          <w:highlight w:val="none"/>
          <w:lang w:val="en-US" w:eastAsia="zh-CN"/>
        </w:rPr>
        <w:t>无法计算授予</w:t>
      </w:r>
      <w:r>
        <w:rPr>
          <w:rFonts w:hint="eastAsia" w:ascii="仿宋_GB2312" w:hAnsi="仿宋_GB2312" w:eastAsia="仿宋_GB2312"/>
          <w:color w:val="auto"/>
          <w:sz w:val="32"/>
          <w:szCs w:val="32"/>
          <w:highlight w:val="none"/>
        </w:rPr>
        <w:t>小微企业</w:t>
      </w:r>
      <w:r>
        <w:rPr>
          <w:rFonts w:hint="eastAsia" w:ascii="仿宋_GB2312" w:hAnsi="仿宋_GB2312" w:eastAsia="仿宋_GB2312"/>
          <w:color w:val="auto"/>
          <w:sz w:val="32"/>
          <w:szCs w:val="32"/>
          <w:highlight w:val="none"/>
          <w:lang w:val="en-US" w:eastAsia="zh-CN"/>
        </w:rPr>
        <w:t>合同金额占政府采购支出总额的百分比</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由于</w:t>
      </w:r>
      <w:r>
        <w:rPr>
          <w:rFonts w:hint="eastAsia" w:ascii="仿宋_GB2312" w:hAnsi="仿宋_GB2312" w:eastAsia="仿宋_GB2312"/>
          <w:color w:val="auto"/>
          <w:sz w:val="32"/>
          <w:szCs w:val="32"/>
          <w:highlight w:val="none"/>
        </w:rPr>
        <w:t>货物采购授予中小企业合同金额占货物支出金额</w:t>
      </w:r>
      <w:r>
        <w:rPr>
          <w:rFonts w:hint="eastAsia" w:ascii="仿宋_GB2312" w:hAnsi="仿宋_GB2312" w:eastAsia="仿宋_GB2312"/>
          <w:color w:val="auto"/>
          <w:sz w:val="32"/>
          <w:szCs w:val="32"/>
          <w:highlight w:val="none"/>
          <w:lang w:val="en-US" w:eastAsia="zh-CN"/>
        </w:rPr>
        <w:t>0万元</w:t>
      </w:r>
      <w:bookmarkEnd w:id="5"/>
      <w:bookmarkStart w:id="6" w:name="DIS_MARK_GP_BGT_CGGC_AMT"/>
      <w:bookmarkEnd w:id="6"/>
      <w:bookmarkStart w:id="7" w:name="END_GP_BGT_CGHW_AMT"/>
      <w:bookmarkEnd w:id="7"/>
      <w:bookmarkStart w:id="8" w:name="START_GP_BGT_CGHW_AMT_1"/>
      <w:bookmarkEnd w:id="8"/>
      <w:bookmarkStart w:id="9" w:name="DIS_MARK_GP_BGT_CGHW_AMT_1"/>
      <w:bookmarkEnd w:id="9"/>
      <w:bookmarkStart w:id="10" w:name="END_GP_BGT_CGHW_AMT_1"/>
      <w:bookmarkEnd w:id="10"/>
      <w:bookmarkStart w:id="11" w:name="END_GP_BGT_CGGC_AMT"/>
      <w:bookmarkEnd w:id="11"/>
      <w:bookmarkStart w:id="12" w:name="START_GP_BGT_CGGC_AMT_1"/>
      <w:bookmarkEnd w:id="12"/>
      <w:bookmarkStart w:id="13" w:name="START_GP_BGT_CGGC_AMT"/>
      <w:bookmarkEnd w:id="13"/>
      <w:bookmarkStart w:id="14" w:name="DIS_MARK_GP_BGT_CGGC_AMT_1"/>
      <w:r>
        <w:rPr>
          <w:rFonts w:hint="eastAsia" w:ascii="仿宋_GB2312" w:hAnsi="仿宋_GB2312" w:eastAsia="仿宋_GB2312"/>
          <w:color w:val="auto"/>
          <w:sz w:val="32"/>
          <w:szCs w:val="32"/>
          <w:highlight w:val="none"/>
          <w:lang w:val="en-US" w:eastAsia="zh-CN"/>
        </w:rPr>
        <w:t>，</w:t>
      </w:r>
      <w:r>
        <w:rPr>
          <w:rFonts w:hint="eastAsia" w:ascii="仿宋_GB2312" w:hAnsi="仿宋_GB2312" w:eastAsia="仿宋_GB2312"/>
          <w:color w:val="auto"/>
          <w:sz w:val="32"/>
          <w:szCs w:val="32"/>
          <w:highlight w:val="none"/>
        </w:rPr>
        <w:t>无法计算货物采购授予中小企业合同金额占</w:t>
      </w:r>
      <w:r>
        <w:rPr>
          <w:rFonts w:hint="eastAsia" w:ascii="仿宋_GB2312" w:hAnsi="仿宋_GB2312" w:eastAsia="仿宋_GB2312"/>
          <w:color w:val="auto"/>
          <w:sz w:val="32"/>
          <w:szCs w:val="32"/>
          <w:highlight w:val="none"/>
          <w:lang w:val="en-US" w:eastAsia="zh-CN"/>
        </w:rPr>
        <w:t>货物</w:t>
      </w:r>
      <w:r>
        <w:rPr>
          <w:rFonts w:hint="eastAsia" w:ascii="仿宋_GB2312" w:hAnsi="仿宋_GB2312" w:eastAsia="仿宋_GB2312"/>
          <w:color w:val="auto"/>
          <w:sz w:val="32"/>
          <w:szCs w:val="32"/>
          <w:highlight w:val="none"/>
        </w:rPr>
        <w:t>支出金额的百分比；由于工程支出金额为0万元，无法计算工程采购授予中小企业合同金额占工程支出金额的百分比；</w:t>
      </w:r>
      <w:bookmarkEnd w:id="14"/>
      <w:bookmarkStart w:id="15" w:name="END_GP_BGT_CGGC_AMT_1"/>
      <w:bookmarkEnd w:id="15"/>
      <w:bookmarkStart w:id="16" w:name="START_GP_BGT_CGFW_AMT"/>
      <w:bookmarkEnd w:id="16"/>
      <w:bookmarkStart w:id="17" w:name="DIS_MARK_GP_BGT_CGFW_AMT"/>
      <w:r>
        <w:rPr>
          <w:rFonts w:hint="eastAsia" w:ascii="仿宋_GB2312" w:hAnsi="仿宋_GB2312" w:eastAsia="仿宋_GB2312"/>
          <w:color w:val="auto"/>
          <w:sz w:val="32"/>
          <w:szCs w:val="32"/>
          <w:highlight w:val="none"/>
        </w:rPr>
        <w:t>由于</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支出金额为0万元，无法计算</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采购授予中小企业合同金额占</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支出金额的百分比</w:t>
      </w:r>
      <w:bookmarkEnd w:id="17"/>
      <w:r>
        <w:rPr>
          <w:rFonts w:hint="eastAsia" w:ascii="仿宋_GB2312" w:hAnsi="仿宋_GB2312" w:eastAsia="仿宋_GB2312"/>
          <w:color w:val="auto"/>
          <w:sz w:val="32"/>
          <w:szCs w:val="32"/>
          <w:highlight w:val="none"/>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十三、关于国有资产占用情况说明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截至2022年12月31日，部门（单位）共有车辆2辆，其中，主要领导干部用车0辆，机要通信用车1辆、应急保障用车0辆、执法执勤用车0辆、特种专业技术用车0辆、其他用车1辆，其他用车主要是行政执法；单位价值50万元以上通用设备0台（套）；单位价值100万元以上专用设备0台（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bCs w:val="0"/>
          <w:color w:val="auto"/>
          <w:sz w:val="32"/>
          <w:szCs w:val="32"/>
          <w:highlight w:val="none"/>
        </w:rPr>
        <w:t>十四、关于202</w:t>
      </w:r>
      <w:r>
        <w:rPr>
          <w:rFonts w:hint="eastAsia" w:ascii="仿宋_GB2312" w:hAnsi="仿宋_GB2312" w:eastAsia="仿宋_GB2312" w:cs="仿宋_GB2312"/>
          <w:b/>
          <w:bCs w:val="0"/>
          <w:color w:val="auto"/>
          <w:sz w:val="32"/>
          <w:szCs w:val="32"/>
          <w:highlight w:val="none"/>
          <w:lang w:val="en-US" w:eastAsia="zh-CN"/>
        </w:rPr>
        <w:t>2</w:t>
      </w:r>
      <w:r>
        <w:rPr>
          <w:rFonts w:hint="eastAsia" w:ascii="仿宋_GB2312" w:hAnsi="仿宋_GB2312" w:eastAsia="仿宋_GB2312" w:cs="仿宋_GB2312"/>
          <w:b/>
          <w:bCs w:val="0"/>
          <w:color w:val="auto"/>
          <w:sz w:val="32"/>
          <w:szCs w:val="32"/>
          <w:highlight w:val="none"/>
        </w:rPr>
        <w:t>年度预算绩效情况的说明</w:t>
      </w: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bidi="ar"/>
        </w:rPr>
        <w:t>根据预算绩效管理要求，我单位对部门整体支出绩效开展了自评，涉及资金1046.60万元，自评覆盖率100%。绩效自评结果反映我单位2022年绩效目标完成较好，确保了单位机构的正常运行，其他严格按预算执行，完成各项工作目标（详见附件）。</w:t>
      </w:r>
    </w:p>
    <w:p>
      <w:pPr>
        <w:pStyle w:val="10"/>
        <w:keepNext w:val="0"/>
        <w:keepLines w:val="0"/>
        <w:pageBreakBefore w:val="0"/>
        <w:kinsoku/>
        <w:wordWrap/>
        <w:overflowPunct/>
        <w:topLinePunct w:val="0"/>
        <w:bidi w:val="0"/>
        <w:snapToGrid/>
        <w:spacing w:line="600" w:lineRule="exact"/>
        <w:jc w:val="center"/>
        <w:textAlignment w:val="auto"/>
        <w:rPr>
          <w:rFonts w:hint="eastAsia" w:ascii="仿宋_GB2312" w:hAnsi="仿宋_GB2312" w:eastAsia="仿宋_GB2312" w:cs="仿宋_GB2312"/>
          <w:color w:val="auto"/>
          <w:sz w:val="32"/>
          <w:szCs w:val="32"/>
          <w:highlight w:val="none"/>
        </w:rPr>
      </w:pPr>
    </w:p>
    <w:p>
      <w:pPr>
        <w:pStyle w:val="10"/>
        <w:keepNext w:val="0"/>
        <w:keepLines w:val="0"/>
        <w:pageBreakBefore w:val="0"/>
        <w:kinsoku/>
        <w:wordWrap/>
        <w:overflowPunct/>
        <w:topLinePunct w:val="0"/>
        <w:bidi w:val="0"/>
        <w:snapToGrid/>
        <w:spacing w:line="600" w:lineRule="exact"/>
        <w:jc w:val="center"/>
        <w:textAlignment w:val="auto"/>
        <w:rPr>
          <w:rFonts w:hint="eastAsia" w:ascii="仿宋_GB2312" w:hAnsi="仿宋_GB2312" w:eastAsia="仿宋_GB2312" w:cs="仿宋_GB2312"/>
          <w:color w:val="auto"/>
          <w:sz w:val="32"/>
          <w:szCs w:val="32"/>
          <w:highlight w:val="none"/>
        </w:rPr>
      </w:pPr>
    </w:p>
    <w:p>
      <w:pPr>
        <w:pStyle w:val="10"/>
        <w:keepNext w:val="0"/>
        <w:keepLines w:val="0"/>
        <w:pageBreakBefore w:val="0"/>
        <w:kinsoku/>
        <w:wordWrap/>
        <w:overflowPunct/>
        <w:topLinePunct w:val="0"/>
        <w:bidi w:val="0"/>
        <w:snapToGrid/>
        <w:spacing w:line="600" w:lineRule="exact"/>
        <w:jc w:val="center"/>
        <w:textAlignment w:val="auto"/>
        <w:rPr>
          <w:rFonts w:hint="eastAsia" w:ascii="仿宋_GB2312" w:hAnsi="仿宋_GB2312" w:eastAsia="仿宋_GB2312" w:cs="仿宋_GB2312"/>
          <w:color w:val="auto"/>
          <w:sz w:val="32"/>
          <w:szCs w:val="32"/>
          <w:highlight w:val="none"/>
        </w:rPr>
      </w:pPr>
    </w:p>
    <w:p>
      <w:pPr>
        <w:pStyle w:val="10"/>
        <w:keepNext w:val="0"/>
        <w:keepLines w:val="0"/>
        <w:pageBreakBefore w:val="0"/>
        <w:kinsoku/>
        <w:wordWrap/>
        <w:overflowPunct/>
        <w:topLinePunct w:val="0"/>
        <w:bidi w:val="0"/>
        <w:snapToGrid/>
        <w:spacing w:line="600" w:lineRule="exact"/>
        <w:jc w:val="center"/>
        <w:textAlignment w:val="auto"/>
        <w:rPr>
          <w:rFonts w:hint="eastAsia" w:ascii="仿宋_GB2312" w:hAnsi="仿宋_GB2312" w:eastAsia="仿宋_GB2312" w:cs="仿宋_GB2312"/>
          <w:color w:val="auto"/>
          <w:sz w:val="32"/>
          <w:szCs w:val="32"/>
          <w:highlight w:val="none"/>
        </w:rPr>
      </w:pPr>
    </w:p>
    <w:p>
      <w:pPr>
        <w:pStyle w:val="10"/>
        <w:keepNext w:val="0"/>
        <w:keepLines w:val="0"/>
        <w:pageBreakBefore w:val="0"/>
        <w:kinsoku/>
        <w:wordWrap/>
        <w:overflowPunct/>
        <w:topLinePunct w:val="0"/>
        <w:bidi w:val="0"/>
        <w:snapToGrid/>
        <w:spacing w:line="600" w:lineRule="exact"/>
        <w:jc w:val="center"/>
        <w:textAlignment w:val="auto"/>
        <w:rPr>
          <w:rFonts w:hint="eastAsia" w:ascii="仿宋_GB2312" w:hAnsi="仿宋_GB2312" w:eastAsia="仿宋_GB2312" w:cs="仿宋_GB2312"/>
          <w:color w:val="auto"/>
          <w:sz w:val="32"/>
          <w:szCs w:val="32"/>
          <w:highlight w:val="none"/>
        </w:rPr>
      </w:pPr>
    </w:p>
    <w:p>
      <w:pPr>
        <w:pStyle w:val="10"/>
        <w:keepNext w:val="0"/>
        <w:keepLines w:val="0"/>
        <w:pageBreakBefore w:val="0"/>
        <w:kinsoku/>
        <w:wordWrap/>
        <w:overflowPunct/>
        <w:topLinePunct w:val="0"/>
        <w:bidi w:val="0"/>
        <w:snapToGrid/>
        <w:spacing w:line="600" w:lineRule="exact"/>
        <w:jc w:val="both"/>
        <w:textAlignment w:val="auto"/>
        <w:rPr>
          <w:rFonts w:hint="eastAsia" w:ascii="仿宋_GB2312" w:hAnsi="仿宋_GB2312" w:eastAsia="仿宋_GB2312" w:cs="仿宋_GB2312"/>
          <w:color w:val="auto"/>
          <w:sz w:val="32"/>
          <w:szCs w:val="32"/>
          <w:highlight w:val="none"/>
        </w:rPr>
      </w:pPr>
    </w:p>
    <w:p>
      <w:pPr>
        <w:pStyle w:val="10"/>
        <w:keepNext w:val="0"/>
        <w:keepLines w:val="0"/>
        <w:pageBreakBefore w:val="0"/>
        <w:kinsoku/>
        <w:wordWrap/>
        <w:overflowPunct/>
        <w:topLinePunct w:val="0"/>
        <w:bidi w:val="0"/>
        <w:snapToGrid/>
        <w:spacing w:line="600" w:lineRule="exact"/>
        <w:jc w:val="center"/>
        <w:textAlignment w:val="auto"/>
        <w:rPr>
          <w:rFonts w:hint="eastAsia" w:ascii="仿宋_GB2312" w:hAnsi="仿宋_GB2312" w:eastAsia="仿宋_GB2312" w:cs="仿宋_GB2312"/>
          <w:color w:val="auto"/>
          <w:sz w:val="32"/>
          <w:szCs w:val="32"/>
          <w:highlight w:val="none"/>
        </w:rPr>
      </w:pPr>
    </w:p>
    <w:p>
      <w:pPr>
        <w:pStyle w:val="10"/>
        <w:keepNext w:val="0"/>
        <w:keepLines w:val="0"/>
        <w:pageBreakBefore w:val="0"/>
        <w:kinsoku/>
        <w:wordWrap/>
        <w:overflowPunct/>
        <w:topLinePunct w:val="0"/>
        <w:bidi w:val="0"/>
        <w:snapToGrid/>
        <w:spacing w:line="600" w:lineRule="exact"/>
        <w:jc w:val="center"/>
        <w:textAlignment w:val="auto"/>
        <w:rPr>
          <w:rFonts w:hint="eastAsia" w:ascii="仿宋_GB2312" w:hAnsi="仿宋_GB2312" w:eastAsia="仿宋_GB2312" w:cs="仿宋_GB2312"/>
          <w:color w:val="auto"/>
          <w:sz w:val="32"/>
          <w:szCs w:val="32"/>
          <w:highlight w:val="none"/>
        </w:rPr>
      </w:pPr>
    </w:p>
    <w:p>
      <w:pPr>
        <w:pStyle w:val="10"/>
        <w:keepNext w:val="0"/>
        <w:keepLines w:val="0"/>
        <w:pageBreakBefore w:val="0"/>
        <w:kinsoku/>
        <w:wordWrap/>
        <w:overflowPunct/>
        <w:topLinePunct w:val="0"/>
        <w:bidi w:val="0"/>
        <w:snapToGrid/>
        <w:spacing w:line="600" w:lineRule="exact"/>
        <w:jc w:val="center"/>
        <w:textAlignment w:val="auto"/>
        <w:rPr>
          <w:rFonts w:hint="eastAsia" w:ascii="仿宋_GB2312" w:hAnsi="仿宋_GB2312" w:eastAsia="仿宋_GB2312" w:cs="仿宋_GB2312"/>
          <w:color w:val="auto"/>
          <w:sz w:val="32"/>
          <w:szCs w:val="32"/>
          <w:highlight w:val="none"/>
        </w:rPr>
      </w:pPr>
    </w:p>
    <w:p>
      <w:pPr>
        <w:pStyle w:val="10"/>
        <w:keepNext w:val="0"/>
        <w:keepLines w:val="0"/>
        <w:pageBreakBefore w:val="0"/>
        <w:kinsoku/>
        <w:wordWrap/>
        <w:overflowPunct/>
        <w:topLinePunct w:val="0"/>
        <w:bidi w:val="0"/>
        <w:snapToGrid/>
        <w:spacing w:line="600" w:lineRule="exact"/>
        <w:jc w:val="center"/>
        <w:textAlignment w:val="auto"/>
        <w:rPr>
          <w:rFonts w:hint="eastAsia" w:ascii="仿宋_GB2312" w:hAnsi="仿宋_GB2312" w:eastAsia="仿宋_GB2312" w:cs="仿宋_GB2312"/>
          <w:color w:val="auto"/>
          <w:sz w:val="32"/>
          <w:szCs w:val="32"/>
          <w:highlight w:val="none"/>
        </w:rPr>
      </w:pPr>
    </w:p>
    <w:p>
      <w:pPr>
        <w:pStyle w:val="10"/>
        <w:jc w:val="center"/>
        <w:rPr>
          <w:rFonts w:hint="eastAsia" w:ascii="黑体" w:hAnsi="黑体" w:eastAsia="黑体" w:cs="黑体"/>
          <w:color w:val="auto"/>
          <w:kern w:val="0"/>
          <w:sz w:val="72"/>
          <w:szCs w:val="72"/>
          <w:highlight w:val="none"/>
        </w:rPr>
      </w:pPr>
      <w:r>
        <w:rPr>
          <w:rFonts w:hint="eastAsia" w:ascii="黑体" w:hAnsi="黑体" w:eastAsia="黑体" w:cs="黑体"/>
          <w:color w:val="auto"/>
          <w:kern w:val="0"/>
          <w:sz w:val="72"/>
          <w:szCs w:val="72"/>
          <w:highlight w:val="none"/>
        </w:rPr>
        <w:t>第四部分</w:t>
      </w:r>
    </w:p>
    <w:p>
      <w:pPr>
        <w:pStyle w:val="10"/>
        <w:jc w:val="center"/>
        <w:rPr>
          <w:rFonts w:hint="eastAsia" w:ascii="黑体" w:hAnsi="黑体" w:eastAsia="黑体" w:cs="黑体"/>
          <w:color w:val="auto"/>
          <w:kern w:val="0"/>
          <w:sz w:val="72"/>
          <w:szCs w:val="72"/>
          <w:highlight w:val="none"/>
        </w:rPr>
      </w:pPr>
    </w:p>
    <w:p>
      <w:pPr>
        <w:pStyle w:val="10"/>
        <w:jc w:val="center"/>
        <w:rPr>
          <w:rFonts w:hint="eastAsia" w:ascii="黑体" w:hAnsi="黑体" w:eastAsia="黑体" w:cs="黑体"/>
          <w:color w:val="auto"/>
          <w:kern w:val="0"/>
          <w:sz w:val="72"/>
          <w:szCs w:val="72"/>
          <w:highlight w:val="none"/>
        </w:rPr>
      </w:pPr>
      <w:r>
        <w:rPr>
          <w:rFonts w:hint="eastAsia" w:ascii="黑体" w:hAnsi="黑体" w:eastAsia="黑体" w:cs="黑体"/>
          <w:color w:val="auto"/>
          <w:kern w:val="0"/>
          <w:sz w:val="72"/>
          <w:szCs w:val="72"/>
          <w:highlight w:val="none"/>
        </w:rPr>
        <w:t>名词解释</w:t>
      </w:r>
    </w:p>
    <w:p>
      <w:pPr>
        <w:pStyle w:val="10"/>
        <w:jc w:val="center"/>
        <w:rPr>
          <w:rFonts w:hint="eastAsia" w:ascii="黑体" w:hAnsi="黑体" w:eastAsia="黑体" w:cs="黑体"/>
          <w:color w:val="auto"/>
          <w:kern w:val="0"/>
          <w:sz w:val="72"/>
          <w:szCs w:val="72"/>
          <w:highlight w:val="none"/>
        </w:rPr>
      </w:pPr>
    </w:p>
    <w:p>
      <w:pPr>
        <w:pStyle w:val="10"/>
        <w:jc w:val="center"/>
        <w:rPr>
          <w:rFonts w:hint="eastAsia" w:ascii="黑体" w:hAnsi="黑体" w:eastAsia="黑体" w:cs="黑体"/>
          <w:color w:val="auto"/>
          <w:kern w:val="0"/>
          <w:sz w:val="72"/>
          <w:szCs w:val="72"/>
          <w:highlight w:val="none"/>
        </w:rPr>
      </w:pPr>
    </w:p>
    <w:p>
      <w:pPr>
        <w:pStyle w:val="10"/>
        <w:jc w:val="center"/>
        <w:rPr>
          <w:rFonts w:hint="eastAsia" w:ascii="黑体" w:hAnsi="黑体" w:eastAsia="黑体" w:cs="黑体"/>
          <w:color w:val="auto"/>
          <w:kern w:val="0"/>
          <w:sz w:val="72"/>
          <w:szCs w:val="72"/>
          <w:highlight w:val="none"/>
        </w:rPr>
      </w:pPr>
    </w:p>
    <w:p>
      <w:pPr>
        <w:pStyle w:val="10"/>
        <w:jc w:val="center"/>
        <w:rPr>
          <w:rFonts w:hint="eastAsia" w:ascii="黑体" w:hAnsi="黑体" w:eastAsia="黑体" w:cs="黑体"/>
          <w:color w:val="auto"/>
          <w:kern w:val="0"/>
          <w:sz w:val="72"/>
          <w:szCs w:val="72"/>
          <w:highlight w:val="none"/>
        </w:rPr>
      </w:pPr>
    </w:p>
    <w:p>
      <w:pPr>
        <w:pStyle w:val="10"/>
        <w:jc w:val="center"/>
        <w:rPr>
          <w:rFonts w:hint="eastAsia" w:ascii="黑体" w:hAnsi="黑体" w:eastAsia="黑体" w:cs="黑体"/>
          <w:color w:val="auto"/>
          <w:kern w:val="0"/>
          <w:sz w:val="72"/>
          <w:szCs w:val="72"/>
          <w:highlight w:val="none"/>
        </w:rPr>
      </w:pPr>
    </w:p>
    <w:p>
      <w:pPr>
        <w:pStyle w:val="10"/>
        <w:jc w:val="center"/>
        <w:rPr>
          <w:rFonts w:hint="eastAsia" w:ascii="黑体" w:hAnsi="黑体" w:eastAsia="黑体" w:cs="黑体"/>
          <w:color w:val="auto"/>
          <w:kern w:val="0"/>
          <w:sz w:val="72"/>
          <w:szCs w:val="72"/>
          <w:highlight w:val="none"/>
        </w:rPr>
      </w:pPr>
    </w:p>
    <w:p>
      <w:pPr>
        <w:pStyle w:val="10"/>
        <w:jc w:val="center"/>
        <w:rPr>
          <w:rFonts w:hint="eastAsia" w:ascii="黑体" w:hAnsi="黑体" w:eastAsia="黑体" w:cs="黑体"/>
          <w:color w:val="auto"/>
          <w:kern w:val="0"/>
          <w:sz w:val="72"/>
          <w:szCs w:val="72"/>
          <w:highlight w:val="none"/>
        </w:rPr>
      </w:pPr>
    </w:p>
    <w:p>
      <w:pPr>
        <w:pStyle w:val="10"/>
        <w:jc w:val="center"/>
        <w:rPr>
          <w:rFonts w:hint="eastAsia" w:ascii="黑体" w:hAnsi="黑体" w:eastAsia="黑体" w:cs="黑体"/>
          <w:color w:val="auto"/>
          <w:kern w:val="0"/>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1、一般公共预算财政拨款收入：指财政当年拨付的资金。</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2、事业收入：指事业单位开展专业业务活动及辅助活动所取得的收入。</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3、经营收入：指事业单位开展专业业务活动及辅助活动所取得的收入。</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4、其他收入：指除上述“财政拨款收入”和“事业收入”以外的收入。</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5、上年结转：指以前年度尚未完成、结转到本年仍按原规定用途继续使用的资金。</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6、结余分配：指事业单位按照规定提取的职工福利基金、事业基金。</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7、年末结转和结余：指本年度或以前年度预算安排、因客观条件发生变化无法按原计划实施，需要延迟到以后年度按有关规定继续使用的资金。</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8、基本支出：指为保障机构正常运转、完成日常工作任务而发生的人员支出和公用支出。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9、项目支出：指在基本支出之外为完成特定行政任务和事业发展目标所发生的支出。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10、“三公”经费：纳入财政预决算管理的“三公”经费，是指用财政拨款安排的因公出国（境）费、公务用车购置及运行维护费和公务接待费。</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11、机关运行经费：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adjustRightInd/>
        <w:snapToGrid/>
        <w:spacing w:line="420" w:lineRule="exact"/>
        <w:ind w:firstLine="640" w:firstLineChars="200"/>
        <w:jc w:val="left"/>
        <w:textAlignment w:val="auto"/>
        <w:rPr>
          <w:rFonts w:hint="eastAsia" w:ascii="宋体" w:hAnsi="宋体" w:cs="宋体"/>
          <w:color w:val="auto"/>
          <w:kern w:val="0"/>
          <w:sz w:val="32"/>
          <w:szCs w:val="3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sz w:val="44"/>
          <w:szCs w:val="44"/>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sz w:val="44"/>
          <w:szCs w:val="44"/>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sz w:val="44"/>
          <w:szCs w:val="44"/>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sz w:val="44"/>
          <w:szCs w:val="44"/>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sz w:val="72"/>
          <w:szCs w:val="72"/>
          <w:highlight w:val="none"/>
        </w:rPr>
      </w:pPr>
      <w:r>
        <w:rPr>
          <w:rFonts w:hint="eastAsia" w:ascii="黑体" w:hAnsi="黑体" w:eastAsia="黑体" w:cs="黑体"/>
          <w:color w:val="auto"/>
          <w:sz w:val="72"/>
          <w:szCs w:val="72"/>
          <w:highlight w:val="none"/>
        </w:rPr>
        <w:t>第五部分</w:t>
      </w: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sz w:val="72"/>
          <w:szCs w:val="7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kern w:val="0"/>
          <w:sz w:val="72"/>
          <w:szCs w:val="72"/>
          <w:highlight w:val="none"/>
        </w:rPr>
      </w:pPr>
      <w:r>
        <w:rPr>
          <w:rFonts w:hint="eastAsia" w:ascii="黑体" w:hAnsi="黑体" w:eastAsia="黑体" w:cs="黑体"/>
          <w:color w:val="auto"/>
          <w:kern w:val="0"/>
          <w:sz w:val="72"/>
          <w:szCs w:val="72"/>
          <w:highlight w:val="none"/>
        </w:rPr>
        <w:t>附件</w:t>
      </w: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kern w:val="0"/>
          <w:sz w:val="72"/>
          <w:szCs w:val="7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kern w:val="0"/>
          <w:sz w:val="72"/>
          <w:szCs w:val="7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kern w:val="0"/>
          <w:sz w:val="72"/>
          <w:szCs w:val="7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kern w:val="0"/>
          <w:sz w:val="72"/>
          <w:szCs w:val="7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kern w:val="0"/>
          <w:sz w:val="72"/>
          <w:szCs w:val="7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kern w:val="0"/>
          <w:sz w:val="72"/>
          <w:szCs w:val="7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kern w:val="0"/>
          <w:sz w:val="72"/>
          <w:szCs w:val="7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kern w:val="0"/>
          <w:sz w:val="72"/>
          <w:szCs w:val="7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kern w:val="0"/>
          <w:sz w:val="72"/>
          <w:szCs w:val="7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黑体" w:hAnsi="黑体" w:eastAsia="黑体" w:cs="黑体"/>
          <w:color w:val="auto"/>
          <w:kern w:val="0"/>
          <w:sz w:val="72"/>
          <w:szCs w:val="72"/>
          <w:highlight w:val="none"/>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黑体" w:hAnsi="黑体" w:eastAsia="黑体" w:cs="黑体"/>
          <w:color w:val="auto"/>
          <w:kern w:val="0"/>
          <w:sz w:val="72"/>
          <w:szCs w:val="72"/>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0"/>
          <w:sz w:val="32"/>
          <w:szCs w:val="32"/>
          <w:highlight w:val="none"/>
        </w:rPr>
      </w:pPr>
      <w:r>
        <w:rPr>
          <w:rFonts w:ascii="仿宋" w:hAnsi="仿宋" w:eastAsia="仿宋"/>
          <w:color w:val="auto"/>
          <w:sz w:val="32"/>
          <w:szCs w:val="32"/>
          <w:highlight w:val="none"/>
        </w:rPr>
        <w:t>1、</w:t>
      </w:r>
      <w:r>
        <w:rPr>
          <w:rFonts w:hint="eastAsia" w:ascii="仿宋_GB2312" w:hAnsi="仿宋_GB2312" w:eastAsia="仿宋_GB2312" w:cs="仿宋_GB2312"/>
          <w:b w:val="0"/>
          <w:bCs/>
          <w:color w:val="auto"/>
          <w:kern w:val="0"/>
          <w:sz w:val="32"/>
          <w:szCs w:val="32"/>
          <w:highlight w:val="none"/>
        </w:rPr>
        <w:t>2022年度部门整体支出绩效评价报告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0"/>
          <w:sz w:val="32"/>
          <w:szCs w:val="32"/>
          <w:highlight w:val="none"/>
        </w:rPr>
      </w:pPr>
      <w:r>
        <w:rPr>
          <w:rFonts w:ascii="仿宋" w:hAnsi="仿宋" w:eastAsia="仿宋"/>
          <w:color w:val="auto"/>
          <w:sz w:val="32"/>
          <w:szCs w:val="32"/>
          <w:highlight w:val="none"/>
        </w:rPr>
        <w:t>2、</w:t>
      </w:r>
      <w:r>
        <w:rPr>
          <w:rFonts w:hint="eastAsia" w:ascii="仿宋_GB2312" w:hAnsi="仿宋_GB2312" w:eastAsia="仿宋_GB2312" w:cs="仿宋_GB2312"/>
          <w:b w:val="0"/>
          <w:bCs/>
          <w:color w:val="auto"/>
          <w:kern w:val="0"/>
          <w:sz w:val="32"/>
          <w:szCs w:val="32"/>
          <w:highlight w:val="none"/>
        </w:rPr>
        <w:t>2022年怀化市科技局决算公开表</w:t>
      </w:r>
    </w:p>
    <w:p>
      <w:pPr>
        <w:jc w:val="left"/>
        <w:rPr>
          <w:rFonts w:cs="黑体" w:asciiTheme="minorEastAsia" w:hAnsiTheme="minorEastAsia"/>
          <w:color w:val="auto"/>
          <w:kern w:val="0"/>
          <w:sz w:val="32"/>
          <w:szCs w:val="32"/>
          <w:highlight w:val="none"/>
        </w:rPr>
      </w:pPr>
    </w:p>
    <w:sectPr>
      <w:pgSz w:w="11906" w:h="16838"/>
      <w:pgMar w:top="720" w:right="720" w:bottom="0" w:left="11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思源黑体"/>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思源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思源黑体">
    <w:panose1 w:val="020B0500000000000000"/>
    <w:charset w:val="86"/>
    <w:family w:val="auto"/>
    <w:pitch w:val="default"/>
    <w:sig w:usb0="30000083" w:usb1="2BDF3C10" w:usb2="00000016" w:usb3="00000000" w:csb0="602E0107" w:csb1="00000000"/>
  </w:font>
  <w:font w:name="方正小标宋_GBK">
    <w:altName w:val="方正小标宋简体"/>
    <w:panose1 w:val="02000000000000000000"/>
    <w:charset w:val="86"/>
    <w:family w:val="script"/>
    <w:pitch w:val="default"/>
    <w:sig w:usb0="00000000" w:usb1="00000000"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思源黑体"/>
    <w:panose1 w:val="02010600040101010101"/>
    <w:charset w:val="86"/>
    <w:family w:val="auto"/>
    <w:pitch w:val="default"/>
    <w:sig w:usb0="00000000" w:usb1="00000000" w:usb2="00000000" w:usb3="00000000" w:csb0="0004009F" w:csb1="DFD70000"/>
  </w:font>
  <w:font w:name="仿宋">
    <w:altName w:val="思源黑体"/>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 w:name="KSO_WPS_MARK_KEY" w:val="a3e5ff16-0692-4dee-843e-9d151c78f698"/>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C99405F"/>
    <w:rsid w:val="1ADE7B3F"/>
    <w:rsid w:val="1B6D05C1"/>
    <w:rsid w:val="1CED3A46"/>
    <w:rsid w:val="2DA75444"/>
    <w:rsid w:val="2FFE32C1"/>
    <w:rsid w:val="30990157"/>
    <w:rsid w:val="3F0518A0"/>
    <w:rsid w:val="3FFF2F04"/>
    <w:rsid w:val="56866B56"/>
    <w:rsid w:val="5777D4F5"/>
    <w:rsid w:val="5A2C5159"/>
    <w:rsid w:val="5EDFB266"/>
    <w:rsid w:val="5FC6BB1E"/>
    <w:rsid w:val="5FF720F1"/>
    <w:rsid w:val="6CE56F8B"/>
    <w:rsid w:val="6FBF75AF"/>
    <w:rsid w:val="737D59BA"/>
    <w:rsid w:val="743055B3"/>
    <w:rsid w:val="772F574B"/>
    <w:rsid w:val="77C37683"/>
    <w:rsid w:val="77FE55E2"/>
    <w:rsid w:val="79FF515B"/>
    <w:rsid w:val="7DBFA43E"/>
    <w:rsid w:val="7E9F11B4"/>
    <w:rsid w:val="7F971F91"/>
    <w:rsid w:val="7FA27CA4"/>
    <w:rsid w:val="7FC69637"/>
    <w:rsid w:val="7FFDB408"/>
    <w:rsid w:val="B5EF0F8B"/>
    <w:rsid w:val="CBFF70E0"/>
    <w:rsid w:val="D2FF94C1"/>
    <w:rsid w:val="DDF7577D"/>
    <w:rsid w:val="E98FA81D"/>
    <w:rsid w:val="EEABED75"/>
    <w:rsid w:val="FB36E1A6"/>
    <w:rsid w:val="FDFF1189"/>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 w:type="paragraph" w:customStyle="1" w:styleId="16">
    <w:name w:val="p"/>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7">
    <w:name w:val="16"/>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25</Pages>
  <Words>7615</Words>
  <Characters>9262</Characters>
  <Lines>63</Lines>
  <Paragraphs>18</Paragraphs>
  <TotalTime>18</TotalTime>
  <ScaleCrop>false</ScaleCrop>
  <LinksUpToDate>false</LinksUpToDate>
  <CharactersWithSpaces>9917</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2020-07-07T18:32:00Z</dcterms:created>
  <dc:creator>李航 null</dc:creator>
  <cp:lastModifiedBy>HUAWEI</cp:lastModifiedBy>
  <cp:lastPrinted>2023-08-18T09:28:00Z</cp:lastPrinted>
  <dcterms:modified xsi:type="dcterms:W3CDTF">2025-11-24T10:29:47Z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4B39268A270246B5B6EAC1FCBB661D0B_12</vt:lpwstr>
  </property>
</Properties>
</file>