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hint="eastAsia" w:ascii="方正小标宋_GBK" w:hAnsi="方正小标宋_GBK" w:eastAsia="方正小标宋_GBK" w:cs="方正小标宋_GBK"/>
          <w:sz w:val="48"/>
          <w:szCs w:val="48"/>
          <w:lang w:val="en-US" w:eastAsia="zh-CN"/>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2</w:t>
      </w:r>
      <w:r>
        <w:rPr>
          <w:rFonts w:hint="eastAsia" w:ascii="方正小标宋_GBK" w:hAnsi="方正小标宋_GBK" w:eastAsia="方正小标宋_GBK" w:cs="方正小标宋_GBK"/>
          <w:sz w:val="48"/>
          <w:szCs w:val="48"/>
        </w:rPr>
        <w:t>年度</w:t>
      </w:r>
      <w:r>
        <w:rPr>
          <w:rFonts w:hint="eastAsia" w:ascii="方正小标宋_GBK" w:hAnsi="方正小标宋_GBK" w:eastAsia="方正小标宋_GBK" w:cs="方正小标宋_GBK"/>
          <w:sz w:val="48"/>
          <w:szCs w:val="48"/>
          <w:lang w:val="en-US" w:eastAsia="zh-CN"/>
        </w:rPr>
        <w:t>怀化市社会科学界联合会</w:t>
      </w:r>
    </w:p>
    <w:p>
      <w:pPr>
        <w:pStyle w:val="10"/>
        <w:jc w:val="center"/>
        <w:rPr>
          <w:sz w:val="48"/>
          <w:szCs w:val="48"/>
        </w:rPr>
      </w:pPr>
      <w:r>
        <w:rPr>
          <w:rFonts w:hint="eastAsia" w:ascii="方正小标宋_GBK" w:hAnsi="方正小标宋_GBK" w:eastAsia="方正小标宋_GBK" w:cs="方正小标宋_GBK"/>
          <w:sz w:val="48"/>
          <w:szCs w:val="48"/>
        </w:rPr>
        <w:t>部门决算</w:t>
      </w: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hAnsi="黑体" w:cs="黑体"/>
          <w:b w:val="0"/>
          <w:bCs/>
          <w:sz w:val="28"/>
          <w:szCs w:val="28"/>
          <w:lang w:val="en-US" w:eastAsia="zh-CN"/>
        </w:rPr>
        <w:t>怀化市社会科学界联合会</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0"/>
        <w:spacing w:line="500" w:lineRule="exact"/>
        <w:ind w:firstLine="700" w:firstLineChars="25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十三、关于国有资本经营预算说明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、关于预算绩效情况的说明</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rPr>
          <w:rFonts w:hint="eastAsia" w:ascii="方正小标宋_GBK" w:hAnsi="方正小标宋_GBK" w:eastAsia="方正小标宋_GBK" w:cs="方正小标宋_GBK"/>
          <w:sz w:val="72"/>
          <w:szCs w:val="72"/>
        </w:rPr>
      </w:pPr>
    </w:p>
    <w:p>
      <w:pPr>
        <w:pStyle w:val="11"/>
        <w:numPr>
          <w:ilvl w:val="0"/>
          <w:numId w:val="0"/>
        </w:numPr>
        <w:ind w:leftChars="0"/>
        <w:jc w:val="left"/>
        <w:rPr>
          <w:sz w:val="72"/>
          <w:szCs w:val="72"/>
        </w:rPr>
      </w:pPr>
      <w:r>
        <w:rPr>
          <w:rFonts w:hint="eastAsia" w:ascii="黑体" w:hAnsi="黑体" w:eastAsia="黑体" w:cs="黑体"/>
          <w:b w:val="0"/>
          <w:bCs w:val="0"/>
          <w:sz w:val="32"/>
          <w:szCs w:val="32"/>
        </w:rPr>
        <w:t xml:space="preserve">第一部分 </w:t>
      </w:r>
      <w:r>
        <w:rPr>
          <w:rFonts w:hint="eastAsia" w:ascii="黑体" w:hAnsi="黑体" w:eastAsia="黑体" w:cs="黑体"/>
          <w:b w:val="0"/>
          <w:bCs w:val="0"/>
          <w:sz w:val="32"/>
          <w:szCs w:val="32"/>
          <w:lang w:val="en-US" w:eastAsia="zh-CN"/>
        </w:rPr>
        <w:t>怀化市社会科学界联合会</w:t>
      </w:r>
      <w:r>
        <w:rPr>
          <w:rFonts w:hint="eastAsia" w:ascii="黑体" w:hAnsi="黑体" w:eastAsia="黑体" w:cs="黑体"/>
          <w:b w:val="0"/>
          <w:bCs w:val="0"/>
          <w:sz w:val="32"/>
          <w:szCs w:val="32"/>
        </w:rPr>
        <w:t>概况</w:t>
      </w:r>
    </w:p>
    <w:p>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widowControl/>
        <w:spacing w:before="100" w:beforeAutospacing="1" w:after="100" w:afterAutospacing="1"/>
        <w:ind w:firstLine="640" w:firstLineChars="200"/>
        <w:jc w:val="left"/>
        <w:rPr>
          <w:rFonts w:hint="eastAsia" w:ascii="Times New Roman" w:hAnsi="Times New Roman" w:eastAsia="仿宋_GB2312" w:cs="仿宋_GB2312"/>
          <w:sz w:val="32"/>
          <w:szCs w:val="32"/>
        </w:rPr>
      </w:pPr>
      <w:r>
        <w:rPr>
          <w:rFonts w:hint="eastAsia" w:ascii="仿宋" w:hAnsi="仿宋" w:eastAsia="仿宋" w:cs="Arial"/>
          <w:kern w:val="0"/>
          <w:sz w:val="32"/>
          <w:szCs w:val="32"/>
        </w:rPr>
        <w:t>市社科联负责领导和协调社会科学各学会的工作，负责所属学会的组织管理和业务指导，编印发行会刊；组织和推动所属学会开展社会科学研究和学术活动，参与全市改革开放和现代化建设重大课题攻关，为党和政府决策提供咨询，为我市社会主义物质文明和精神文明建设服务；组织和推动社会科学知识的宣传、普及和咨询服务，促进社会科学研究成果的转化；负责社会科学优秀成果评奖、社科应用研究成果转化鉴定，优秀社会科学专家、优秀青年社会科学专家等优秀社会科学工作人才的评奖，市社科成果评审委员会课题立项等组织工作；协助有关部门加强社会科学队伍建设，关心和维护社会科学工作者的合法权益，及时反映其意见和要求。</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仿宋" w:hAnsi="仿宋" w:eastAsia="仿宋" w:cs="Arial"/>
          <w:color w:val="auto"/>
          <w:kern w:val="0"/>
          <w:sz w:val="32"/>
          <w:szCs w:val="32"/>
          <w:lang w:val="en-US" w:eastAsia="zh-CN"/>
        </w:rPr>
        <w:t>怀化市社会科学界</w:t>
      </w:r>
      <w:r>
        <w:rPr>
          <w:rFonts w:hint="eastAsia" w:ascii="仿宋" w:hAnsi="仿宋" w:eastAsia="仿宋" w:cs="Arial"/>
          <w:color w:val="auto"/>
          <w:kern w:val="0"/>
          <w:sz w:val="32"/>
          <w:szCs w:val="32"/>
        </w:rPr>
        <w:t>联合会作为一级预算单位，</w:t>
      </w:r>
      <w:r>
        <w:rPr>
          <w:rFonts w:hint="eastAsia" w:ascii="仿宋" w:hAnsi="仿宋" w:eastAsia="仿宋" w:cs="宋体"/>
          <w:color w:val="000000"/>
          <w:kern w:val="0"/>
          <w:sz w:val="32"/>
          <w:szCs w:val="32"/>
          <w:lang w:val="en-US" w:eastAsia="zh-CN"/>
        </w:rPr>
        <w:t>10</w:t>
      </w:r>
      <w:r>
        <w:rPr>
          <w:rFonts w:hint="eastAsia" w:ascii="仿宋" w:hAnsi="仿宋" w:eastAsia="仿宋" w:cs="宋体"/>
          <w:color w:val="000000"/>
          <w:kern w:val="0"/>
          <w:sz w:val="32"/>
          <w:szCs w:val="32"/>
        </w:rPr>
        <w:t>个</w:t>
      </w:r>
      <w:r>
        <w:rPr>
          <w:rFonts w:hint="eastAsia" w:ascii="仿宋" w:hAnsi="仿宋" w:eastAsia="仿宋" w:cs="宋体"/>
          <w:color w:val="000000"/>
          <w:kern w:val="0"/>
          <w:sz w:val="32"/>
          <w:szCs w:val="32"/>
          <w:lang w:val="en-US" w:eastAsia="zh-CN"/>
        </w:rPr>
        <w:t>参公</w:t>
      </w:r>
      <w:r>
        <w:rPr>
          <w:rFonts w:hint="eastAsia" w:ascii="仿宋" w:hAnsi="仿宋" w:eastAsia="仿宋" w:cs="宋体"/>
          <w:color w:val="000000"/>
          <w:kern w:val="0"/>
          <w:sz w:val="32"/>
          <w:szCs w:val="32"/>
        </w:rPr>
        <w:t>编制</w:t>
      </w:r>
      <w:r>
        <w:rPr>
          <w:rFonts w:hint="eastAsia" w:ascii="仿宋" w:hAnsi="仿宋" w:eastAsia="仿宋" w:cs="宋体"/>
          <w:color w:val="000000"/>
          <w:kern w:val="0"/>
          <w:sz w:val="32"/>
          <w:szCs w:val="32"/>
          <w:lang w:eastAsia="zh-CN"/>
        </w:rPr>
        <w:t>，</w:t>
      </w:r>
      <w:r>
        <w:rPr>
          <w:rFonts w:hint="eastAsia" w:ascii="仿宋" w:hAnsi="仿宋" w:eastAsia="仿宋" w:cs="宋体"/>
          <w:color w:val="000000"/>
          <w:kern w:val="0"/>
          <w:sz w:val="32"/>
          <w:szCs w:val="32"/>
          <w:lang w:val="en-US" w:eastAsia="zh-CN"/>
        </w:rPr>
        <w:t>1个工勤编</w:t>
      </w:r>
      <w:r>
        <w:rPr>
          <w:rFonts w:hint="eastAsia" w:ascii="仿宋" w:hAnsi="仿宋" w:eastAsia="仿宋" w:cs="宋体"/>
          <w:color w:val="000000"/>
          <w:kern w:val="0"/>
          <w:sz w:val="32"/>
          <w:szCs w:val="32"/>
        </w:rPr>
        <w:t>，</w:t>
      </w:r>
      <w:r>
        <w:rPr>
          <w:rFonts w:hint="eastAsia" w:ascii="仿宋" w:hAnsi="仿宋" w:eastAsia="仿宋" w:cs="Arial"/>
          <w:color w:val="auto"/>
          <w:kern w:val="0"/>
          <w:sz w:val="32"/>
          <w:szCs w:val="32"/>
        </w:rPr>
        <w:t>内设机构</w:t>
      </w:r>
      <w:r>
        <w:rPr>
          <w:rFonts w:hint="eastAsia" w:ascii="仿宋" w:hAnsi="仿宋" w:eastAsia="仿宋" w:cs="Arial"/>
          <w:color w:val="auto"/>
          <w:kern w:val="0"/>
          <w:sz w:val="32"/>
          <w:szCs w:val="32"/>
          <w:lang w:val="en-US" w:eastAsia="zh-CN"/>
        </w:rPr>
        <w:t>有：办公室、科研组织科、学会工作科</w:t>
      </w:r>
      <w:r>
        <w:rPr>
          <w:rFonts w:hint="eastAsia" w:ascii="仿宋" w:hAnsi="仿宋" w:eastAsia="仿宋" w:cs="Arial"/>
          <w:color w:val="auto"/>
          <w:kern w:val="0"/>
          <w:sz w:val="32"/>
          <w:szCs w:val="32"/>
        </w:rPr>
        <w:t>。无二级</w:t>
      </w:r>
      <w:r>
        <w:rPr>
          <w:rFonts w:hint="eastAsia" w:ascii="仿宋" w:hAnsi="仿宋" w:eastAsia="仿宋" w:cs="Arial"/>
          <w:color w:val="auto"/>
          <w:kern w:val="0"/>
          <w:sz w:val="32"/>
          <w:szCs w:val="32"/>
          <w:lang w:val="en-US" w:eastAsia="zh-CN"/>
        </w:rPr>
        <w:t>预算</w:t>
      </w:r>
      <w:r>
        <w:rPr>
          <w:rFonts w:hint="eastAsia" w:ascii="仿宋" w:hAnsi="仿宋" w:eastAsia="仿宋" w:cs="Arial"/>
          <w:color w:val="auto"/>
          <w:kern w:val="0"/>
          <w:sz w:val="32"/>
          <w:szCs w:val="32"/>
        </w:rPr>
        <w:t>单位。</w:t>
      </w:r>
    </w:p>
    <w:p>
      <w:pPr>
        <w:widowControl/>
        <w:shd w:val="clear" w:color="auto" w:fill="FFFFFF"/>
        <w:spacing w:line="510" w:lineRule="atLeast"/>
        <w:rPr>
          <w:rFonts w:hint="eastAsia" w:ascii="仿宋" w:hAnsi="仿宋" w:eastAsia="仿宋" w:cs="Arial"/>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Arial"/>
          <w:kern w:val="0"/>
          <w:sz w:val="32"/>
          <w:szCs w:val="32"/>
        </w:rPr>
        <w:t>本单位</w:t>
      </w:r>
      <w:r>
        <w:rPr>
          <w:rFonts w:ascii="仿宋" w:hAnsi="仿宋" w:eastAsia="仿宋" w:cs="Arial"/>
          <w:kern w:val="0"/>
          <w:sz w:val="32"/>
          <w:szCs w:val="32"/>
        </w:rPr>
        <w:t>20</w:t>
      </w:r>
      <w:r>
        <w:rPr>
          <w:rFonts w:hint="eastAsia" w:ascii="仿宋" w:hAnsi="仿宋" w:eastAsia="仿宋" w:cs="Arial"/>
          <w:kern w:val="0"/>
          <w:sz w:val="32"/>
          <w:szCs w:val="32"/>
          <w:lang w:val="en-US" w:eastAsia="zh-CN"/>
        </w:rPr>
        <w:t>22</w:t>
      </w:r>
      <w:r>
        <w:rPr>
          <w:rFonts w:hint="eastAsia" w:ascii="仿宋" w:hAnsi="仿宋" w:eastAsia="仿宋" w:cs="Arial"/>
          <w:kern w:val="0"/>
          <w:sz w:val="32"/>
          <w:szCs w:val="32"/>
        </w:rPr>
        <w:t>年决算为社科联本级决算。</w:t>
      </w:r>
    </w:p>
    <w:p>
      <w:pPr>
        <w:widowControl/>
        <w:shd w:val="clear" w:color="auto" w:fill="FFFFFF"/>
        <w:spacing w:line="510" w:lineRule="atLeast"/>
        <w:rPr>
          <w:rFonts w:hint="eastAsia" w:ascii="仿宋" w:hAnsi="仿宋" w:eastAsia="仿宋" w:cs="Arial"/>
          <w:kern w:val="0"/>
          <w:sz w:val="32"/>
          <w:szCs w:val="32"/>
        </w:rPr>
      </w:pPr>
    </w:p>
    <w:p>
      <w:pPr>
        <w:pStyle w:val="11"/>
        <w:numPr>
          <w:ilvl w:val="0"/>
          <w:numId w:val="0"/>
        </w:numPr>
        <w:ind w:left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第二部分部门决算表</w:t>
      </w:r>
    </w:p>
    <w:p>
      <w:pPr>
        <w:jc w:val="center"/>
        <w:rPr>
          <w:sz w:val="72"/>
          <w:szCs w:val="72"/>
        </w:rPr>
      </w:pPr>
    </w:p>
    <w:p>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372"/>
        <w:gridCol w:w="372"/>
        <w:gridCol w:w="2908"/>
        <w:gridCol w:w="2598"/>
        <w:gridCol w:w="2860"/>
        <w:gridCol w:w="1135"/>
        <w:gridCol w:w="1135"/>
        <w:gridCol w:w="1135"/>
        <w:gridCol w:w="1136"/>
        <w:gridCol w:w="1777"/>
      </w:tblGrid>
      <w:tr>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4896"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78"/>
              <w:gridCol w:w="594"/>
              <w:gridCol w:w="1409"/>
              <w:gridCol w:w="5075"/>
              <w:gridCol w:w="1142"/>
              <w:gridCol w:w="447"/>
              <w:gridCol w:w="448"/>
              <w:gridCol w:w="18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582"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590"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438"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193"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196"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897"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60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442"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r>
                    <w:rPr>
                      <w:rFonts w:hint="eastAsia"/>
                      <w:lang w:val="en-US" w:eastAsia="zh-CN"/>
                    </w:rPr>
                    <w:t>怀化市社会科学界联合会</w:t>
                  </w:r>
                </w:p>
              </w:tc>
              <w:tc>
                <w:tcPr>
                  <w:tcW w:w="60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3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21"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30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644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1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225.99</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225.99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225.99</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448" w:type="dxa"/>
                <w:trHeight w:val="62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c>
                <w:tcPr>
                  <w:tcW w:w="50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48" w:type="dxa"/>
                <w:trHeight w:val="448" w:hRule="atLeast"/>
              </w:trPr>
              <w:tc>
                <w:tcPr>
                  <w:tcW w:w="444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225.99</w:t>
                  </w:r>
                </w:p>
              </w:tc>
              <w:tc>
                <w:tcPr>
                  <w:tcW w:w="503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6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91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r>
                    <w:rPr>
                      <w:rFonts w:hint="eastAsia" w:ascii="宋体" w:hAnsi="宋体" w:eastAsia="宋体" w:cs="宋体"/>
                      <w:i w:val="0"/>
                      <w:color w:val="000000"/>
                      <w:sz w:val="22"/>
                      <w:szCs w:val="22"/>
                      <w:u w:val="none"/>
                    </w:rPr>
                    <w:t>225.99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4896"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7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37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90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5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7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746"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908" w:type="dxa"/>
            <w:tcBorders>
              <w:top w:val="nil"/>
              <w:left w:val="nil"/>
              <w:bottom w:val="nil"/>
              <w:right w:val="nil"/>
            </w:tcBorders>
            <w:shd w:val="clear" w:color="000000" w:fill="FFFFFF"/>
            <w:noWrap/>
            <w:tcMar>
              <w:top w:w="15" w:type="dxa"/>
              <w:left w:w="15" w:type="dxa"/>
              <w:bottom w:w="0" w:type="dxa"/>
              <w:right w:w="15" w:type="dxa"/>
            </w:tcMar>
            <w:vAlign w:val="center"/>
          </w:tcPr>
          <w:p>
            <w:pPr>
              <w:jc w:val="both"/>
              <w:rPr>
                <w:rFonts w:ascii="宋体" w:hAnsi="宋体" w:eastAsia="宋体" w:cs="宋体"/>
                <w:sz w:val="24"/>
                <w:szCs w:val="24"/>
              </w:rPr>
            </w:pPr>
            <w:r>
              <w:rPr>
                <w:rFonts w:hint="eastAsia"/>
                <w:lang w:val="en-US" w:eastAsia="zh-CN"/>
              </w:rPr>
              <w:t>怀化市社会科学界联合会</w:t>
            </w:r>
            <w:r>
              <w:rPr>
                <w:rFonts w:hint="eastAsia"/>
              </w:rPr>
              <w:t>　</w:t>
            </w:r>
          </w:p>
        </w:tc>
        <w:tc>
          <w:tcPr>
            <w:tcW w:w="259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6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89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7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654"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259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23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2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2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2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25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77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746"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90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259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8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746"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908"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59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86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89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67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365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259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28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8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8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892"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89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6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450" w:hRule="atLeast"/>
        </w:trPr>
        <w:tc>
          <w:tcPr>
            <w:tcW w:w="3654"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2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r>
      <w:tr>
        <w:tblPrEx>
          <w:tblCellMar>
            <w:top w:w="0" w:type="dxa"/>
            <w:left w:w="0" w:type="dxa"/>
            <w:bottom w:w="0" w:type="dxa"/>
            <w:right w:w="0" w:type="dxa"/>
          </w:tblCellMar>
        </w:tblPrEx>
        <w:trPr>
          <w:trHeight w:val="450" w:hRule="atLeast"/>
        </w:trPr>
        <w:tc>
          <w:tcPr>
            <w:tcW w:w="7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9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2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宋体" w:hAnsi="宋体" w:eastAsia="宋体" w:cs="宋体"/>
                <w:sz w:val="24"/>
                <w:szCs w:val="24"/>
                <w:lang w:eastAsia="zh-CN"/>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r>
      <w:tr>
        <w:tblPrEx>
          <w:tblCellMar>
            <w:top w:w="0" w:type="dxa"/>
            <w:left w:w="0" w:type="dxa"/>
            <w:bottom w:w="0" w:type="dxa"/>
            <w:right w:w="0" w:type="dxa"/>
          </w:tblCellMar>
        </w:tblPrEx>
        <w:trPr>
          <w:trHeight w:val="450" w:hRule="atLeast"/>
        </w:trPr>
        <w:tc>
          <w:tcPr>
            <w:tcW w:w="7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29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2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8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eastAsia="宋体"/>
                <w:lang w:eastAsia="zh-CN"/>
              </w:rPr>
              <w:t>0</w:t>
            </w:r>
          </w:p>
        </w:tc>
      </w:tr>
      <w:tr>
        <w:tblPrEx>
          <w:tblCellMar>
            <w:top w:w="0" w:type="dxa"/>
            <w:left w:w="0" w:type="dxa"/>
            <w:bottom w:w="0" w:type="dxa"/>
            <w:right w:w="0" w:type="dxa"/>
          </w:tblCellMar>
        </w:tblPrEx>
        <w:trPr>
          <w:trHeight w:val="450" w:hRule="atLeast"/>
        </w:trPr>
        <w:tc>
          <w:tcPr>
            <w:tcW w:w="7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29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239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宋体" w:hAnsi="宋体" w:eastAsia="宋体" w:cs="宋体"/>
                <w:sz w:val="24"/>
                <w:szCs w:val="24"/>
                <w:lang w:val="en-US"/>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宋体" w:hAnsi="宋体" w:eastAsia="宋体" w:cs="宋体"/>
                <w:sz w:val="24"/>
                <w:szCs w:val="24"/>
                <w:lang w:val="en-US"/>
              </w:rPr>
            </w:pPr>
            <w:r>
              <w:rPr>
                <w:rFonts w:hint="eastAsia" w:eastAsia="宋体"/>
                <w:lang w:eastAsia="zh-CN"/>
              </w:rPr>
              <w:t>0</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宋体" w:hAnsi="宋体" w:eastAsia="宋体" w:cs="宋体"/>
                <w:sz w:val="24"/>
                <w:szCs w:val="24"/>
                <w:lang w:val="en-US"/>
              </w:rPr>
            </w:pPr>
            <w:r>
              <w:rPr>
                <w:rFonts w:hint="eastAsia" w:eastAsia="宋体"/>
                <w:lang w:eastAsia="zh-CN"/>
              </w:rPr>
              <w:t>0</w:t>
            </w:r>
          </w:p>
        </w:tc>
        <w:tc>
          <w:tcPr>
            <w:tcW w:w="8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宋体" w:hAnsi="宋体" w:eastAsia="宋体" w:cs="宋体"/>
                <w:sz w:val="24"/>
                <w:szCs w:val="24"/>
                <w:lang w:val="en-US"/>
              </w:rPr>
            </w:pPr>
            <w:r>
              <w:rPr>
                <w:rFonts w:hint="eastAsia" w:eastAsia="宋体"/>
                <w:lang w:eastAsia="zh-CN"/>
              </w:rPr>
              <w:t>0</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宋体" w:hAnsi="宋体" w:eastAsia="宋体" w:cs="宋体"/>
                <w:sz w:val="24"/>
                <w:szCs w:val="24"/>
                <w:lang w:val="en-US"/>
              </w:rPr>
            </w:pPr>
            <w:r>
              <w:rPr>
                <w:rFonts w:hint="eastAsia" w:eastAsia="宋体"/>
                <w:lang w:eastAsia="zh-CN"/>
              </w:rPr>
              <w:t>0</w:t>
            </w:r>
          </w:p>
        </w:tc>
      </w:tr>
      <w:tr>
        <w:tblPrEx>
          <w:tblCellMar>
            <w:top w:w="0" w:type="dxa"/>
            <w:left w:w="0" w:type="dxa"/>
            <w:bottom w:w="0" w:type="dxa"/>
            <w:right w:w="0" w:type="dxa"/>
          </w:tblCellMar>
        </w:tblPrEx>
        <w:trPr>
          <w:trHeight w:val="450" w:hRule="atLeast"/>
        </w:trPr>
        <w:tc>
          <w:tcPr>
            <w:tcW w:w="7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9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7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9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74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90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ascii="宋体" w:hAnsi="宋体" w:eastAsia="宋体" w:cs="宋体"/>
                <w:sz w:val="24"/>
                <w:szCs w:val="24"/>
              </w:rPr>
            </w:pPr>
            <w:r>
              <w:rPr>
                <w:rFonts w:hint="eastAsia"/>
              </w:rPr>
              <w:t>　</w:t>
            </w:r>
          </w:p>
        </w:tc>
        <w:tc>
          <w:tcPr>
            <w:tcW w:w="259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89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6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6"/>
        <w:tblW w:w="15640" w:type="dxa"/>
        <w:tblInd w:w="93" w:type="dxa"/>
        <w:tblLayout w:type="autofit"/>
        <w:tblCellMar>
          <w:top w:w="0" w:type="dxa"/>
          <w:left w:w="108" w:type="dxa"/>
          <w:bottom w:w="0" w:type="dxa"/>
          <w:right w:w="108" w:type="dxa"/>
        </w:tblCellMar>
      </w:tblPr>
      <w:tblGrid>
        <w:gridCol w:w="1236"/>
        <w:gridCol w:w="263"/>
        <w:gridCol w:w="1481"/>
        <w:gridCol w:w="1952"/>
        <w:gridCol w:w="1991"/>
        <w:gridCol w:w="1991"/>
        <w:gridCol w:w="1991"/>
        <w:gridCol w:w="1991"/>
        <w:gridCol w:w="2744"/>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6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nil"/>
              <w:right w:val="nil"/>
            </w:tcBorders>
            <w:shd w:val="clear" w:color="000000" w:fill="FFFFFF"/>
            <w:noWrap/>
            <w:vAlign w:val="center"/>
          </w:tcPr>
          <w:p>
            <w:pPr>
              <w:widowControl/>
              <w:jc w:val="left"/>
              <w:rPr>
                <w:rFonts w:ascii="宋体" w:hAnsi="宋体" w:eastAsia="宋体" w:cs="宋体"/>
                <w:kern w:val="0"/>
                <w:sz w:val="24"/>
                <w:szCs w:val="24"/>
              </w:rPr>
            </w:pPr>
            <w:r>
              <w:rPr>
                <w:rFonts w:hint="eastAsia"/>
                <w:lang w:val="en-US" w:eastAsia="zh-CN"/>
              </w:rPr>
              <w:t>怀化市社会科学界联合会</w:t>
            </w: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481"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81"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52"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298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群众团体事务</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2012901</w:t>
            </w:r>
          </w:p>
        </w:tc>
        <w:tc>
          <w:tcPr>
            <w:tcW w:w="1481"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52"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225.99</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w:t>
            </w:r>
          </w:p>
        </w:tc>
      </w:tr>
      <w:tr>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481" w:type="dxa"/>
            <w:tcBorders>
              <w:top w:val="nil"/>
              <w:left w:val="nil"/>
              <w:bottom w:val="single" w:color="auto" w:sz="4" w:space="0"/>
              <w:right w:val="single" w:color="auto" w:sz="4" w:space="0"/>
            </w:tcBorders>
            <w:shd w:val="clear" w:color="000000" w:fill="FFFFFF"/>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952"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pPr>
              <w:widowControl/>
              <w:jc w:val="left"/>
              <w:rPr>
                <w:rFonts w:hint="eastAsia" w:ascii="宋体" w:hAnsi="宋体" w:eastAsia="宋体" w:cs="宋体"/>
                <w:kern w:val="0"/>
                <w:sz w:val="24"/>
                <w:szCs w:val="24"/>
              </w:rPr>
            </w:pPr>
          </w:p>
          <w:p>
            <w:pPr>
              <w:widowControl/>
              <w:jc w:val="left"/>
              <w:rPr>
                <w:rFonts w:hint="eastAsia" w:ascii="宋体" w:hAnsi="宋体" w:eastAsia="宋体" w:cs="宋体"/>
                <w:kern w:val="0"/>
                <w:sz w:val="24"/>
                <w:szCs w:val="24"/>
              </w:rPr>
            </w:pPr>
          </w:p>
          <w:p>
            <w:pPr>
              <w:widowControl/>
              <w:jc w:val="left"/>
              <w:rPr>
                <w:rFonts w:hint="eastAsia" w:ascii="宋体" w:hAnsi="宋体" w:eastAsia="宋体" w:cs="宋体"/>
                <w:kern w:val="0"/>
                <w:sz w:val="24"/>
                <w:szCs w:val="24"/>
              </w:rPr>
            </w:pPr>
          </w:p>
          <w:p>
            <w:pPr>
              <w:widowControl/>
              <w:jc w:val="left"/>
              <w:rPr>
                <w:rFonts w:hint="eastAsia" w:ascii="宋体" w:hAnsi="宋体" w:eastAsia="宋体" w:cs="宋体"/>
                <w:kern w:val="0"/>
                <w:sz w:val="24"/>
                <w:szCs w:val="24"/>
              </w:rPr>
            </w:pPr>
          </w:p>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225.99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225.99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225.99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225.99　</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225.99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225.99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p>
        </w:tc>
      </w:tr>
      <w:tr>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p>
        </w:tc>
        <w:tc>
          <w:tcPr>
            <w:tcW w:w="3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p>
        </w:tc>
      </w:tr>
      <w:tr>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225.99　</w:t>
            </w:r>
          </w:p>
        </w:tc>
        <w:tc>
          <w:tcPr>
            <w:tcW w:w="3411"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225.99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225.99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kern w:val="0"/>
                <w:sz w:val="22"/>
                <w:lang w:val="en-US" w:eastAsia="zh-CN"/>
              </w:rPr>
              <w:t>0</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kern w:val="0"/>
                <w:sz w:val="22"/>
                <w:lang w:val="en-US" w:eastAsia="zh-CN"/>
              </w:rPr>
              <w:t>0</w:t>
            </w:r>
          </w:p>
        </w:tc>
      </w:tr>
      <w:tr>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225.99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178.72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47.27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225.99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178.72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47.27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群众团体事务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225.99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178.72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47.27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2012901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225.99</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178.72</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47.27</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autofit"/>
        <w:tblCellMar>
          <w:top w:w="0" w:type="dxa"/>
          <w:left w:w="108" w:type="dxa"/>
          <w:bottom w:w="0" w:type="dxa"/>
          <w:right w:w="108" w:type="dxa"/>
        </w:tblCellMar>
      </w:tblPr>
      <w:tblGrid>
        <w:gridCol w:w="975"/>
        <w:gridCol w:w="239"/>
        <w:gridCol w:w="92"/>
        <w:gridCol w:w="1269"/>
        <w:gridCol w:w="1995"/>
        <w:gridCol w:w="79"/>
        <w:gridCol w:w="775"/>
        <w:gridCol w:w="1188"/>
        <w:gridCol w:w="300"/>
        <w:gridCol w:w="1944"/>
        <w:gridCol w:w="131"/>
        <w:gridCol w:w="617"/>
        <w:gridCol w:w="1189"/>
        <w:gridCol w:w="349"/>
        <w:gridCol w:w="2054"/>
        <w:gridCol w:w="1670"/>
        <w:gridCol w:w="455"/>
        <w:gridCol w:w="293"/>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123.87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44.18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38.78</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5.92</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22.49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0.86</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23.87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0.73</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7.92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0.73</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14.62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6.55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7.67</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9.94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0.54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4.80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1.98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8.14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5.14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10.79</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lang w:val="en-US" w:eastAsia="zh-CN"/>
              </w:rPr>
              <w:t>133.81</w:t>
            </w:r>
            <w:r>
              <w:rPr>
                <w:rFonts w:hint="eastAsia" w:ascii="宋体" w:hAnsi="宋体" w:eastAsia="宋体" w:cs="宋体"/>
                <w:color w:val="000000"/>
                <w:kern w:val="0"/>
                <w:szCs w:val="20"/>
              </w:rPr>
              <w:t>　</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44.91</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年度收、支总计225.99万元。与上年相比，增加</w:t>
      </w:r>
      <w:r>
        <w:rPr>
          <w:rFonts w:hint="eastAsia" w:ascii="Times New Roman" w:hAnsi="Times New Roman" w:eastAsia="仿宋_GB2312"/>
          <w:sz w:val="32"/>
          <w:szCs w:val="32"/>
          <w:lang w:val="en-US" w:eastAsia="zh-CN"/>
        </w:rPr>
        <w:t>13.98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新增工作人员4名，新开展党的二十大精神宣传宣讲等工作。</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年度收入合计225.99万元，其中：财政拨款收入225.99万元，占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年度支出合计225.99万元，其中：基本支出178.72万元，占</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rPr>
        <w:t>%；项目支出47.27万元，占</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0"/>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年度财政拨款收、支总计225.99万元，与上年相比，增加</w:t>
      </w:r>
      <w:r>
        <w:rPr>
          <w:rFonts w:hint="eastAsia" w:ascii="Times New Roman" w:hAnsi="Times New Roman" w:eastAsia="仿宋_GB2312"/>
          <w:sz w:val="32"/>
          <w:szCs w:val="32"/>
          <w:lang w:val="en-US" w:eastAsia="zh-CN"/>
        </w:rPr>
        <w:t>13.98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新增工作人员4名，新开展党的二十大精神宣传宣讲等工作。</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年度财政拨款支出225.99万元，占本年支出合计的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13.98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val="en-US" w:eastAsia="zh-CN"/>
        </w:rPr>
        <w:t>新增工作人员4名，新开展党的二十大精神宣传宣讲等工作。</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年度财政拨款支出225.99万元，主要用于以下方面：一般公共服务（类）支出</w:t>
      </w:r>
      <w:r>
        <w:rPr>
          <w:rFonts w:hint="eastAsia" w:ascii="Times New Roman" w:hAnsi="Times New Roman" w:eastAsia="仿宋_GB2312"/>
          <w:sz w:val="32"/>
          <w:szCs w:val="32"/>
          <w:lang w:val="en-US" w:eastAsia="zh-CN"/>
        </w:rPr>
        <w:t>225.99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eastAsia="仿宋_GB2312"/>
          <w:sz w:val="32"/>
          <w:szCs w:val="32"/>
          <w:lang w:val="en-US" w:eastAsia="zh-CN"/>
        </w:rPr>
        <w:t>148.13</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225.99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153</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val="en-US" w:eastAsia="zh-CN"/>
        </w:rPr>
        <w:t>群众团体事务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行政运行</w:t>
      </w:r>
      <w:r>
        <w:rPr>
          <w:rFonts w:hint="eastAsia" w:ascii="Times New Roman" w:hAnsi="Times New Roman" w:eastAsia="仿宋_GB2312"/>
          <w:sz w:val="32"/>
          <w:szCs w:val="32"/>
        </w:rPr>
        <w:t>（项）。</w:t>
      </w:r>
    </w:p>
    <w:p>
      <w:pPr>
        <w:pStyle w:val="10"/>
        <w:keepNext w:val="0"/>
        <w:keepLines w:val="0"/>
        <w:pageBreakBefore w:val="0"/>
        <w:widowControl w:val="0"/>
        <w:kinsoku/>
        <w:wordWrap/>
        <w:overflowPunct/>
        <w:topLinePunct w:val="0"/>
        <w:bidi w:val="0"/>
        <w:snapToGrid/>
        <w:spacing w:line="600" w:lineRule="exac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年初预算为</w:t>
      </w:r>
      <w:r>
        <w:rPr>
          <w:rFonts w:hint="eastAsia" w:eastAsia="仿宋_GB2312"/>
          <w:sz w:val="32"/>
          <w:szCs w:val="32"/>
          <w:lang w:val="en-US" w:eastAsia="zh-CN"/>
        </w:rPr>
        <w:t>148.13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225.99</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153</w:t>
      </w:r>
      <w:r>
        <w:rPr>
          <w:rFonts w:hint="eastAsia" w:ascii="Times New Roman" w:hAnsi="Times New Roman" w:eastAsia="仿宋_GB2312"/>
          <w:sz w:val="32"/>
          <w:szCs w:val="32"/>
        </w:rPr>
        <w:t>%，决算数大于年初预算数的主要原因是：因为</w:t>
      </w:r>
      <w:r>
        <w:rPr>
          <w:rFonts w:hint="eastAsia" w:ascii="Times New Roman" w:hAnsi="Times New Roman" w:eastAsia="仿宋_GB2312"/>
          <w:sz w:val="32"/>
          <w:szCs w:val="32"/>
          <w:lang w:val="en-US" w:eastAsia="zh-CN"/>
        </w:rPr>
        <w:t>新增工作人员4名，新开展党的二十大精神宣传宣讲等工作，财政资金转拨等。</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年度财政拨款基本支出178.72万元，其中：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133.81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74</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养老保险缴费等</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44.18</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24.7</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差旅费、公务接待费、</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工会经费等。</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b/>
          <w:bCs/>
          <w:sz w:val="32"/>
          <w:szCs w:val="32"/>
          <w:lang w:val="en-US" w:eastAsia="zh-CN"/>
        </w:rPr>
        <w:t>资本性支出0.73</w:t>
      </w:r>
      <w:r>
        <w:rPr>
          <w:rFonts w:hint="eastAsia" w:ascii="Times New Roman" w:hAnsi="Times New Roman" w:eastAsia="仿宋_GB2312"/>
          <w:sz w:val="32"/>
          <w:szCs w:val="32"/>
          <w:lang w:val="en-US" w:eastAsia="zh-CN"/>
        </w:rPr>
        <w:t>万元，占基本支出的1.3%，主要包括办公设备购置等。</w:t>
      </w:r>
    </w:p>
    <w:p>
      <w:pPr>
        <w:pStyle w:val="10"/>
        <w:keepNext w:val="0"/>
        <w:keepLines w:val="0"/>
        <w:pageBreakBefore w:val="0"/>
        <w:widowControl w:val="0"/>
        <w:numPr>
          <w:ilvl w:val="0"/>
          <w:numId w:val="2"/>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财政拨款三公经费支出决算情况说明</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eastAsia="仿宋_GB2312" w:cs="Times New Roman"/>
          <w:sz w:val="32"/>
          <w:szCs w:val="32"/>
          <w:lang w:val="en-US" w:eastAsia="zh-CN"/>
        </w:rPr>
        <w:t>9.12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27.6</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eastAsia="仿宋_GB2312" w:cs="Times New Roman"/>
          <w:sz w:val="32"/>
          <w:szCs w:val="32"/>
          <w:lang w:val="en-US" w:eastAsia="zh-CN"/>
        </w:rPr>
        <w:t>4.71</w:t>
      </w:r>
      <w:r>
        <w:rPr>
          <w:rFonts w:hint="eastAsia" w:ascii="Times New Roman" w:hAnsi="Times New Roman" w:eastAsia="仿宋_GB2312"/>
          <w:sz w:val="32"/>
          <w:szCs w:val="32"/>
        </w:rPr>
        <w:t>万元，支出决算为0.54万元，完成预算的</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公务接待次数较少</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增加0.12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28.5</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省社科联调研来访次数增加等</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eastAsia="仿宋_GB2312" w:cs="Times New Roman"/>
          <w:sz w:val="32"/>
          <w:szCs w:val="32"/>
          <w:lang w:val="en-US" w:eastAsia="zh-CN"/>
        </w:rPr>
        <w:t>4.41</w:t>
      </w:r>
      <w:r>
        <w:rPr>
          <w:rFonts w:hint="eastAsia" w:ascii="Times New Roman" w:hAnsi="Times New Roman" w:eastAsia="仿宋_GB2312"/>
          <w:sz w:val="32"/>
          <w:szCs w:val="32"/>
        </w:rPr>
        <w:t>万元，支出决算为1.98万元，完成预算的</w:t>
      </w:r>
      <w:r>
        <w:rPr>
          <w:rFonts w:hint="eastAsia" w:ascii="Times New Roman" w:hAnsi="Times New Roman" w:eastAsia="仿宋_GB2312"/>
          <w:sz w:val="32"/>
          <w:szCs w:val="32"/>
          <w:lang w:val="en-US" w:eastAsia="zh-CN"/>
        </w:rPr>
        <w:t>44.5</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公车使用较往年少</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0.44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新增工作人员4名，新开展党的二十大精神宣传宣讲等工作公车使用增加</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0.54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楷体" w:hAnsi="楷体" w:eastAsia="楷体" w:cs="楷体"/>
          <w:b/>
          <w:bCs/>
          <w:i/>
          <w:color w:val="auto"/>
          <w:sz w:val="32"/>
          <w:szCs w:val="32"/>
          <w:lang w:val="en-US"/>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0个。</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0.54</w:t>
      </w:r>
      <w:r>
        <w:rPr>
          <w:rFonts w:hint="eastAsia" w:ascii="Times New Roman" w:hAnsi="Times New Roman" w:eastAsia="仿宋_GB2312"/>
          <w:sz w:val="32"/>
          <w:szCs w:val="32"/>
        </w:rPr>
        <w:t>万元，全年共接待来访</w:t>
      </w:r>
      <w:r>
        <w:rPr>
          <w:rFonts w:hint="eastAsia" w:ascii="Times New Roman" w:hAnsi="Times New Roman" w:eastAsia="仿宋_GB2312"/>
          <w:sz w:val="32"/>
          <w:szCs w:val="32"/>
          <w:lang w:val="en-US" w:eastAsia="zh-CN"/>
        </w:rPr>
        <w:t>7批次</w:t>
      </w:r>
      <w:r>
        <w:rPr>
          <w:rFonts w:hint="eastAsia" w:ascii="Times New Roman" w:hAnsi="Times New Roman" w:eastAsia="仿宋_GB2312"/>
          <w:sz w:val="32"/>
          <w:szCs w:val="32"/>
        </w:rPr>
        <w:t>、来宾</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val="en-US" w:eastAsia="zh-CN"/>
        </w:rPr>
        <w:t>社科普及工作汇报对接等</w:t>
      </w:r>
      <w:r>
        <w:rPr>
          <w:rFonts w:hint="eastAsia" w:ascii="Times New Roman" w:hAnsi="Times New Roman" w:eastAsia="仿宋_GB2312"/>
          <w:sz w:val="32"/>
          <w:szCs w:val="32"/>
        </w:rPr>
        <w:t>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1.98</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1.98</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公车维修、加油、过路费等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44.91</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35.91</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300</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新增工作人员4名，新开展党的二十大精神宣传宣讲等工作，财政资金转拨等</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0.03</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社科学会行业党建</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社科行业党建支部书记述职</w:t>
      </w:r>
      <w:r>
        <w:rPr>
          <w:rFonts w:hint="eastAsia" w:ascii="Times New Roman" w:hAnsi="Times New Roman" w:eastAsia="仿宋_GB2312"/>
          <w:sz w:val="32"/>
          <w:szCs w:val="32"/>
        </w:rPr>
        <w:t>；举办</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商通天下-2022年洪江古商城与中国商道文化高峰论坛”</w:t>
      </w:r>
      <w:r>
        <w:rPr>
          <w:rFonts w:hint="eastAsia" w:ascii="Times New Roman" w:hAnsi="Times New Roman" w:eastAsia="仿宋_GB2312"/>
          <w:sz w:val="32"/>
          <w:szCs w:val="32"/>
        </w:rPr>
        <w:t>，开支</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差旅费、打印费等</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1.社科学会行业党建</w:t>
      </w:r>
      <w:r>
        <w:rPr>
          <w:rFonts w:hint="eastAsia" w:ascii="Times New Roman" w:hAnsi="Times New Roman" w:eastAsia="仿宋_GB2312"/>
          <w:sz w:val="32"/>
          <w:szCs w:val="32"/>
        </w:rPr>
        <w:t>会议</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会议文件预算打印费300元。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2.商通天下-2022年洪江古商城与中国商道文化高峰论坛”，差旅费预算2000元，资料打印费3000元。</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用于厕所维修改造和乡村振兴物资采购。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辆，其中，机要通信用车</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辆；单位价值50万元以上通用设备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黑体" w:hAnsi="黑体" w:eastAsia="黑体" w:cs="黑体"/>
          <w:b w:val="0"/>
          <w:bCs/>
          <w:sz w:val="32"/>
          <w:szCs w:val="32"/>
          <w:lang w:val="en-US" w:eastAsia="zh-CN"/>
        </w:rPr>
      </w:pPr>
      <w:r>
        <w:rPr>
          <w:rFonts w:hint="eastAsia" w:ascii="黑体" w:hAnsi="黑体" w:eastAsia="黑体" w:cs="黑体"/>
          <w:b w:val="0"/>
          <w:bCs/>
          <w:sz w:val="32"/>
          <w:szCs w:val="32"/>
        </w:rPr>
        <w:t>十</w:t>
      </w:r>
      <w:r>
        <w:rPr>
          <w:rFonts w:hint="eastAsia" w:hAnsi="黑体" w:cs="黑体"/>
          <w:b w:val="0"/>
          <w:bCs/>
          <w:sz w:val="32"/>
          <w:szCs w:val="32"/>
          <w:lang w:val="en-US" w:eastAsia="zh-CN"/>
        </w:rPr>
        <w:t>三</w:t>
      </w:r>
      <w:r>
        <w:rPr>
          <w:rFonts w:hint="eastAsia" w:ascii="黑体" w:hAnsi="黑体" w:eastAsia="黑体" w:cs="黑体"/>
          <w:b w:val="0"/>
          <w:bCs/>
          <w:sz w:val="32"/>
          <w:szCs w:val="32"/>
        </w:rPr>
        <w:t>、</w:t>
      </w:r>
      <w:r>
        <w:rPr>
          <w:rFonts w:hint="eastAsia" w:hAnsi="黑体" w:cs="黑体"/>
          <w:b w:val="0"/>
          <w:bCs/>
          <w:sz w:val="32"/>
          <w:szCs w:val="32"/>
          <w:lang w:val="en-US" w:eastAsia="zh-CN"/>
        </w:rPr>
        <w:t>国有资本经营预算说明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2022年无国有资本经营情况</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国有资本经营收入为0，国有资本经营支出为0。</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5"/>
        <w:shd w:val="clear" w:color="auto" w:fill="FFFFFF"/>
        <w:spacing w:before="0" w:beforeAutospacing="0" w:after="0" w:afterAutospacing="0" w:line="422" w:lineRule="atLeast"/>
        <w:ind w:firstLine="480"/>
        <w:jc w:val="both"/>
        <w:rPr>
          <w:rFonts w:hint="eastAsia" w:ascii="仿宋" w:hAnsi="仿宋" w:eastAsia="仿宋"/>
          <w:color w:val="000000"/>
          <w:sz w:val="32"/>
          <w:szCs w:val="32"/>
        </w:rPr>
      </w:pPr>
      <w:r>
        <w:rPr>
          <w:rFonts w:hint="eastAsia" w:ascii="仿宋" w:hAnsi="仿宋" w:eastAsia="仿宋"/>
          <w:color w:val="000000"/>
          <w:sz w:val="32"/>
          <w:szCs w:val="32"/>
        </w:rPr>
        <w:t>根据《怀化市财政局关于开展20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年度市级财政资金绩效自评工作的通知》要求，我单位对20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年度市级财政资金整体支出情况开展了绩效自评(本部门预算绩效自评报告见附件)。</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pStyle w:val="10"/>
        <w:ind w:firstLine="640" w:firstLineChars="200"/>
        <w:jc w:val="both"/>
        <w:rPr>
          <w:sz w:val="72"/>
          <w:szCs w:val="72"/>
        </w:rPr>
      </w:pPr>
      <w:r>
        <w:rPr>
          <w:rFonts w:hint="eastAsia" w:ascii="Times New Roman" w:hAnsi="Times New Roman" w:eastAsia="仿宋_GB2312"/>
          <w:sz w:val="32"/>
          <w:szCs w:val="32"/>
        </w:rPr>
        <w:t>预算编制不够精准</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原因为2022年新遴选进入4名工作人员，新开展党的二十大宣传宣讲工作任务，资金转拨等。下一步将</w:t>
      </w:r>
      <w:r>
        <w:rPr>
          <w:rFonts w:hint="eastAsia" w:ascii="Times New Roman" w:hAnsi="Times New Roman" w:eastAsia="仿宋_GB2312"/>
          <w:sz w:val="32"/>
          <w:szCs w:val="32"/>
        </w:rPr>
        <w:t>增强预算编制的全面性、准确性，严格按预算批复的用途使用资金，减少预算调整事项。开展预算执行分析，及时掌握预算执行进度，对确有必要的预算调整严格按程序审核报批。</w:t>
      </w:r>
    </w:p>
    <w:p>
      <w:pPr>
        <w:pStyle w:val="10"/>
        <w:jc w:val="center"/>
        <w:rPr>
          <w:sz w:val="72"/>
          <w:szCs w:val="72"/>
        </w:rPr>
      </w:pPr>
    </w:p>
    <w:p>
      <w:pPr>
        <w:pStyle w:val="10"/>
        <w:jc w:val="center"/>
        <w:rPr>
          <w:sz w:val="72"/>
          <w:szCs w:val="72"/>
        </w:rPr>
      </w:pPr>
    </w:p>
    <w:p>
      <w:pPr>
        <w:pStyle w:val="10"/>
        <w:jc w:val="both"/>
        <w:rPr>
          <w:rFonts w:hint="eastAsia" w:ascii="方正小标宋_GBK" w:hAnsi="方正小标宋_GBK" w:eastAsia="方正小标宋_GBK" w:cs="方正小标宋_GBK"/>
          <w:sz w:val="72"/>
          <w:szCs w:val="72"/>
        </w:rPr>
      </w:pPr>
      <w:bookmarkStart w:id="3" w:name="_GoBack"/>
      <w:bookmarkEnd w:id="3"/>
    </w:p>
    <w:p>
      <w:pPr>
        <w:pStyle w:val="10"/>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sz w:val="72"/>
          <w:szCs w:val="72"/>
        </w:rPr>
        <w:t>第四部分</w:t>
      </w:r>
    </w:p>
    <w:p>
      <w:pPr>
        <w:jc w:val="center"/>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t>名词解释</w:t>
      </w:r>
    </w:p>
    <w:p>
      <w:pPr>
        <w:widowControl/>
        <w:spacing w:line="600" w:lineRule="atLeast"/>
        <w:ind w:firstLine="640"/>
        <w:rPr>
          <w:rFonts w:ascii="仿宋" w:hAnsi="仿宋" w:eastAsia="仿宋"/>
          <w:color w:val="333333"/>
          <w:kern w:val="0"/>
          <w:sz w:val="32"/>
          <w:szCs w:val="32"/>
        </w:rPr>
      </w:pPr>
      <w:r>
        <w:rPr>
          <w:rFonts w:ascii="仿宋" w:hAnsi="仿宋" w:eastAsia="仿宋"/>
          <w:color w:val="333333"/>
          <w:kern w:val="0"/>
          <w:sz w:val="32"/>
          <w:szCs w:val="32"/>
        </w:rPr>
        <w:t>1.</w:t>
      </w:r>
      <w:r>
        <w:rPr>
          <w:rFonts w:hint="eastAsia" w:ascii="仿宋" w:hAnsi="仿宋" w:eastAsia="仿宋"/>
          <w:color w:val="333333"/>
          <w:kern w:val="0"/>
          <w:sz w:val="32"/>
          <w:szCs w:val="32"/>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spacing w:line="600" w:lineRule="atLeast"/>
        <w:ind w:firstLine="640"/>
        <w:rPr>
          <w:rFonts w:hint="eastAsia" w:ascii="仿宋" w:hAnsi="仿宋" w:eastAsia="仿宋"/>
          <w:color w:val="333333"/>
          <w:kern w:val="0"/>
          <w:sz w:val="32"/>
          <w:szCs w:val="32"/>
        </w:rPr>
      </w:pPr>
      <w:r>
        <w:rPr>
          <w:rFonts w:ascii="仿宋" w:hAnsi="仿宋" w:eastAsia="仿宋"/>
          <w:color w:val="333333"/>
          <w:kern w:val="0"/>
          <w:sz w:val="32"/>
          <w:szCs w:val="32"/>
        </w:rPr>
        <w:t>2.</w:t>
      </w:r>
      <w:r>
        <w:rPr>
          <w:rFonts w:hint="eastAsia" w:ascii="仿宋" w:hAnsi="仿宋" w:eastAsia="仿宋"/>
          <w:color w:val="333333"/>
          <w:kern w:val="0"/>
          <w:sz w:val="32"/>
          <w:szCs w:val="32"/>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widowControl/>
        <w:spacing w:line="600" w:lineRule="atLeast"/>
        <w:ind w:firstLine="640"/>
        <w:rPr>
          <w:rFonts w:hint="eastAsia" w:ascii="仿宋" w:hAnsi="仿宋" w:eastAsia="仿宋"/>
          <w:color w:val="333333"/>
          <w:kern w:val="0"/>
          <w:sz w:val="32"/>
          <w:szCs w:val="32"/>
          <w:lang w:val="en-US" w:eastAsia="zh-CN"/>
        </w:rPr>
      </w:pPr>
      <w:r>
        <w:rPr>
          <w:rFonts w:hint="eastAsia" w:ascii="仿宋" w:hAnsi="仿宋" w:eastAsia="仿宋"/>
          <w:color w:val="333333"/>
          <w:kern w:val="0"/>
          <w:sz w:val="32"/>
          <w:szCs w:val="32"/>
          <w:lang w:val="en-US" w:eastAsia="zh-CN"/>
        </w:rPr>
        <w:t xml:space="preserve">  </w:t>
      </w:r>
    </w:p>
    <w:p>
      <w:pPr>
        <w:widowControl/>
        <w:spacing w:line="600" w:lineRule="atLeast"/>
        <w:ind w:firstLine="640"/>
        <w:rPr>
          <w:rFonts w:hint="default" w:ascii="仿宋" w:hAnsi="仿宋" w:eastAsia="仿宋"/>
          <w:color w:val="333333"/>
          <w:kern w:val="0"/>
          <w:sz w:val="32"/>
          <w:szCs w:val="32"/>
          <w:lang w:val="en-US" w:eastAsia="zh-CN"/>
        </w:rPr>
      </w:pPr>
    </w:p>
    <w:p>
      <w:pPr>
        <w:keepNext w:val="0"/>
        <w:keepLines w:val="0"/>
        <w:pageBreakBefore w:val="0"/>
        <w:widowControl/>
        <w:kinsoku/>
        <w:wordWrap/>
        <w:overflowPunct/>
        <w:topLinePunct w:val="0"/>
        <w:bidi w:val="0"/>
        <w:snapToGrid/>
        <w:spacing w:line="240" w:lineRule="auto"/>
        <w:ind w:firstLine="420"/>
        <w:jc w:val="center"/>
        <w:textAlignment w:val="auto"/>
        <w:rPr>
          <w:rFonts w:ascii="仿宋" w:hAnsi="仿宋" w:eastAsia="仿宋" w:cs="宋体"/>
          <w:color w:val="333333"/>
          <w:kern w:val="0"/>
          <w:sz w:val="32"/>
          <w:szCs w:val="32"/>
        </w:rPr>
      </w:pPr>
      <w:r>
        <w:rPr>
          <w:rFonts w:hint="eastAsia" w:ascii="仿宋" w:hAnsi="仿宋" w:eastAsia="仿宋" w:cs="宋体"/>
          <w:color w:val="333333"/>
          <w:kern w:val="0"/>
          <w:sz w:val="32"/>
          <w:szCs w:val="32"/>
        </w:rPr>
        <w:t>怀化市社会科学界联合会</w:t>
      </w:r>
      <w:r>
        <w:rPr>
          <w:rFonts w:ascii="仿宋" w:hAnsi="仿宋" w:eastAsia="仿宋" w:cs="宋体"/>
          <w:color w:val="333333"/>
          <w:kern w:val="0"/>
          <w:sz w:val="32"/>
          <w:szCs w:val="32"/>
        </w:rPr>
        <w:t xml:space="preserve"> </w:t>
      </w:r>
    </w:p>
    <w:p>
      <w:pPr>
        <w:pStyle w:val="10"/>
        <w:keepNext w:val="0"/>
        <w:keepLines w:val="0"/>
        <w:pageBreakBefore w:val="0"/>
        <w:kinsoku/>
        <w:wordWrap/>
        <w:overflowPunct/>
        <w:topLinePunct w:val="0"/>
        <w:bidi w:val="0"/>
        <w:snapToGrid/>
        <w:spacing w:line="240" w:lineRule="auto"/>
        <w:jc w:val="center"/>
        <w:textAlignment w:val="auto"/>
        <w:rPr>
          <w:sz w:val="72"/>
          <w:szCs w:val="72"/>
        </w:rPr>
      </w:pPr>
      <w:r>
        <w:rPr>
          <w:rFonts w:ascii="宋体" w:hAnsi="宋体" w:eastAsia="仿宋" w:cs="宋体"/>
          <w:color w:val="333333"/>
          <w:kern w:val="0"/>
          <w:sz w:val="32"/>
          <w:szCs w:val="32"/>
        </w:rPr>
        <w:t> </w:t>
      </w:r>
      <w:r>
        <w:rPr>
          <w:rFonts w:ascii="仿宋" w:hAnsi="仿宋" w:eastAsia="仿宋" w:cs="仿宋"/>
          <w:color w:val="333333"/>
          <w:kern w:val="0"/>
          <w:sz w:val="32"/>
          <w:szCs w:val="32"/>
        </w:rPr>
        <w:t>202</w:t>
      </w:r>
      <w:r>
        <w:rPr>
          <w:rFonts w:hint="eastAsia" w:ascii="仿宋" w:hAnsi="仿宋" w:eastAsia="仿宋" w:cs="仿宋"/>
          <w:color w:val="333333"/>
          <w:kern w:val="0"/>
          <w:sz w:val="32"/>
          <w:szCs w:val="32"/>
          <w:lang w:val="en-US" w:eastAsia="zh-CN"/>
        </w:rPr>
        <w:t>3</w:t>
      </w:r>
      <w:r>
        <w:rPr>
          <w:rFonts w:hint="eastAsia" w:ascii="仿宋" w:hAnsi="仿宋" w:eastAsia="仿宋" w:cs="宋体"/>
          <w:color w:val="333333"/>
          <w:kern w:val="0"/>
          <w:sz w:val="32"/>
          <w:szCs w:val="32"/>
        </w:rPr>
        <w:t>年</w:t>
      </w:r>
      <w:r>
        <w:rPr>
          <w:rFonts w:hint="eastAsia" w:ascii="仿宋" w:hAnsi="仿宋" w:eastAsia="仿宋" w:cs="宋体"/>
          <w:color w:val="333333"/>
          <w:kern w:val="0"/>
          <w:sz w:val="32"/>
          <w:szCs w:val="32"/>
          <w:lang w:val="en-US" w:eastAsia="zh-CN"/>
        </w:rPr>
        <w:t>9</w:t>
      </w:r>
      <w:r>
        <w:rPr>
          <w:rFonts w:hint="eastAsia" w:ascii="仿宋" w:hAnsi="仿宋" w:eastAsia="仿宋" w:cs="宋体"/>
          <w:color w:val="333333"/>
          <w:kern w:val="0"/>
          <w:sz w:val="32"/>
          <w:szCs w:val="32"/>
        </w:rPr>
        <w:t>月</w:t>
      </w:r>
      <w:r>
        <w:rPr>
          <w:rFonts w:hint="eastAsia" w:ascii="仿宋" w:hAnsi="仿宋" w:eastAsia="仿宋" w:cs="宋体"/>
          <w:color w:val="333333"/>
          <w:kern w:val="0"/>
          <w:sz w:val="32"/>
          <w:szCs w:val="32"/>
          <w:lang w:val="en-US" w:eastAsia="zh-CN"/>
        </w:rPr>
        <w:t>21</w:t>
      </w:r>
      <w:r>
        <w:rPr>
          <w:rFonts w:hint="eastAsia" w:ascii="仿宋" w:hAnsi="仿宋" w:eastAsia="仿宋" w:cs="宋体"/>
          <w:color w:val="333333"/>
          <w:kern w:val="0"/>
          <w:sz w:val="32"/>
          <w:szCs w:val="32"/>
        </w:rPr>
        <w:t>日</w:t>
      </w:r>
    </w:p>
    <w:p>
      <w:pPr>
        <w:pStyle w:val="10"/>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DFE5A"/>
    <w:multiLevelType w:val="singleLevel"/>
    <w:tmpl w:val="EDBDFE5A"/>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FiNzg4NTk0OThjODE0NmEwMDI0NGRhNjRkNGY0NTE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7735EA"/>
    <w:rsid w:val="082B4FB2"/>
    <w:rsid w:val="0C0802F3"/>
    <w:rsid w:val="0EF56A7A"/>
    <w:rsid w:val="12D42F8C"/>
    <w:rsid w:val="139F1C5D"/>
    <w:rsid w:val="17F472A6"/>
    <w:rsid w:val="19582395"/>
    <w:rsid w:val="282C3E45"/>
    <w:rsid w:val="2BC803B7"/>
    <w:rsid w:val="2FE87D5A"/>
    <w:rsid w:val="3260699F"/>
    <w:rsid w:val="36A64E24"/>
    <w:rsid w:val="3A086DB2"/>
    <w:rsid w:val="3C3D2104"/>
    <w:rsid w:val="48CA0134"/>
    <w:rsid w:val="5777D4F5"/>
    <w:rsid w:val="5B6544D7"/>
    <w:rsid w:val="5FC6BB1E"/>
    <w:rsid w:val="5FF720F1"/>
    <w:rsid w:val="61A14222"/>
    <w:rsid w:val="62064BF2"/>
    <w:rsid w:val="651D42EB"/>
    <w:rsid w:val="67C06C49"/>
    <w:rsid w:val="6BF02BA9"/>
    <w:rsid w:val="6D9A57F2"/>
    <w:rsid w:val="72124091"/>
    <w:rsid w:val="737D59BA"/>
    <w:rsid w:val="767D5E56"/>
    <w:rsid w:val="77C37683"/>
    <w:rsid w:val="79FF515B"/>
    <w:rsid w:val="7B6018A2"/>
    <w:rsid w:val="7C2C149E"/>
    <w:rsid w:val="7E1D3991"/>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9</TotalTime>
  <ScaleCrop>false</ScaleCrop>
  <LinksUpToDate>false</LinksUpToDate>
  <CharactersWithSpaces>9008</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阿善</cp:lastModifiedBy>
  <cp:lastPrinted>2023-08-15T09:28:00Z</cp:lastPrinted>
  <dcterms:modified xsi:type="dcterms:W3CDTF">2023-09-28T03:45:29Z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9A4343C7A19346FB85E440CF0AD10E1A_12</vt:lpwstr>
  </property>
</Properties>
</file>