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FB938D1">
      <w:pPr>
        <w:widowControl/>
        <w:jc w:val="left"/>
        <w:rPr>
          <w:rFonts w:hint="eastAsia" w:ascii="黑体" w:hAnsi="黑体" w:eastAsia="黑体" w:cs="黑体"/>
          <w:bCs/>
          <w:sz w:val="32"/>
          <w:szCs w:val="32"/>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14:paraId="4996314F">
      <w:pPr>
        <w:widowControl/>
        <w:jc w:val="left"/>
        <w:rPr>
          <w:rFonts w:hint="eastAsia"/>
          <w:bCs/>
          <w:sz w:val="32"/>
          <w:szCs w:val="32"/>
          <w:lang w:val="en-US" w:eastAsia="zh-CN"/>
        </w:rPr>
      </w:pPr>
    </w:p>
    <w:p w14:paraId="4CEA5902">
      <w:pPr>
        <w:widowControl/>
        <w:jc w:val="center"/>
        <w:rPr>
          <w:rFonts w:hint="eastAsia" w:eastAsia="方正小标宋简体" w:cs="Times New Roman"/>
          <w:b w:val="0"/>
          <w:bCs w:val="0"/>
          <w:sz w:val="44"/>
          <w:szCs w:val="44"/>
          <w:lang w:val="en-US" w:eastAsia="zh-CN"/>
        </w:rPr>
      </w:pPr>
      <w:r>
        <w:rPr>
          <w:rFonts w:ascii="Times New Roman" w:hAnsi="Times New Roman" w:eastAsia="方正小标宋简体" w:cs="Times New Roman"/>
          <w:b w:val="0"/>
          <w:bCs w:val="0"/>
          <w:sz w:val="44"/>
          <w:szCs w:val="44"/>
        </w:rPr>
        <w:t>20</w:t>
      </w:r>
      <w:r>
        <w:rPr>
          <w:rFonts w:ascii="Times New Roman" w:hAnsi="Times New Roman" w:eastAsia="方正小标宋简体" w:cs="Times New Roman"/>
          <w:b w:val="0"/>
          <w:bCs w:val="0"/>
          <w:sz w:val="44"/>
          <w:szCs w:val="44"/>
          <w:lang w:val="en-US" w:eastAsia="zh-CN"/>
        </w:rPr>
        <w:t>2</w:t>
      </w:r>
      <w:r>
        <w:rPr>
          <w:rFonts w:hint="eastAsia" w:eastAsia="方正小标宋简体" w:cs="Times New Roman"/>
          <w:b w:val="0"/>
          <w:bCs w:val="0"/>
          <w:sz w:val="44"/>
          <w:szCs w:val="44"/>
          <w:lang w:val="en-US" w:eastAsia="zh-CN"/>
        </w:rPr>
        <w:t>4</w:t>
      </w:r>
      <w:r>
        <w:rPr>
          <w:rFonts w:ascii="Times New Roman" w:hAnsi="Times New Roman" w:eastAsia="方正小标宋简体" w:cs="Times New Roman"/>
          <w:b w:val="0"/>
          <w:bCs w:val="0"/>
          <w:sz w:val="44"/>
          <w:szCs w:val="44"/>
        </w:rPr>
        <w:t>年度</w:t>
      </w:r>
      <w:r>
        <w:rPr>
          <w:rFonts w:hint="eastAsia" w:eastAsia="方正小标宋简体" w:cs="Times New Roman"/>
          <w:b w:val="0"/>
          <w:bCs w:val="0"/>
          <w:sz w:val="44"/>
          <w:szCs w:val="44"/>
          <w:lang w:val="en-US" w:eastAsia="zh-CN"/>
        </w:rPr>
        <w:t>怀化市社会科学界联合会</w:t>
      </w:r>
    </w:p>
    <w:p w14:paraId="64358728">
      <w:pPr>
        <w:widowControl/>
        <w:jc w:val="center"/>
        <w:rPr>
          <w:rFonts w:hint="eastAsia" w:ascii="方正小标宋简体" w:hAnsi="方正小标宋简体" w:eastAsia="方正小标宋简体" w:cs="方正小标宋简体"/>
          <w:b w:val="0"/>
          <w:bCs w:val="0"/>
          <w:sz w:val="44"/>
          <w:szCs w:val="44"/>
        </w:rPr>
      </w:pPr>
      <w:r>
        <w:rPr>
          <w:rFonts w:ascii="Times New Roman" w:hAnsi="Times New Roman" w:eastAsia="方正小标宋简体" w:cs="Times New Roman"/>
          <w:b w:val="0"/>
          <w:bCs w:val="0"/>
          <w:sz w:val="44"/>
          <w:szCs w:val="44"/>
          <w:lang w:eastAsia="zh-CN"/>
        </w:rPr>
        <w:t>预</w:t>
      </w:r>
      <w:r>
        <w:rPr>
          <w:rFonts w:ascii="Times New Roman" w:hAnsi="Times New Roman" w:eastAsia="方正小标宋简体" w:cs="Times New Roman"/>
          <w:b w:val="0"/>
          <w:bCs w:val="0"/>
          <w:sz w:val="44"/>
          <w:szCs w:val="44"/>
        </w:rPr>
        <w:t>算</w:t>
      </w:r>
      <w:r>
        <w:rPr>
          <w:rFonts w:ascii="Times New Roman" w:hAnsi="Times New Roman" w:eastAsia="方正小标宋简体" w:cs="Times New Roman"/>
          <w:b w:val="0"/>
          <w:bCs w:val="0"/>
          <w:i w:val="0"/>
          <w:iCs w:val="0"/>
          <w:caps w:val="0"/>
          <w:color w:val="333333"/>
          <w:spacing w:val="0"/>
          <w:sz w:val="45"/>
          <w:szCs w:val="45"/>
        </w:rPr>
        <w:t>公开说明</w:t>
      </w:r>
    </w:p>
    <w:p w14:paraId="5DC055C2">
      <w:pPr>
        <w:keepNext w:val="0"/>
        <w:keepLines w:val="0"/>
        <w:pageBreakBefore w:val="0"/>
        <w:widowControl/>
        <w:spacing w:line="500" w:lineRule="auto"/>
        <w:ind w:left="0" w:right="0" w:firstLine="627"/>
        <w:jc w:val="left"/>
        <w:outlineLvl w:val="9"/>
        <w:rPr>
          <w:rFonts w:hint="eastAsia" w:eastAsia="黑体"/>
          <w:bCs/>
          <w:sz w:val="32"/>
          <w:szCs w:val="32"/>
          <w:lang w:eastAsia="zh-CN"/>
        </w:rPr>
      </w:pPr>
    </w:p>
    <w:p w14:paraId="60CB1D98">
      <w:pPr>
        <w:keepNext w:val="0"/>
        <w:keepLines w:val="0"/>
        <w:pageBreakBefore w:val="0"/>
        <w:widowControl w:val="0"/>
        <w:spacing w:line="500" w:lineRule="auto"/>
        <w:ind w:left="0" w:right="0" w:firstLine="627"/>
        <w:jc w:val="center"/>
        <w:outlineLvl w:val="9"/>
        <w:rPr>
          <w:rFonts w:ascii="Times New Roman" w:hAnsi="Times New Roman" w:eastAsia="黑体" w:cs="Times New Roman"/>
          <w:bCs/>
          <w:color w:val="000000"/>
          <w:sz w:val="32"/>
          <w:szCs w:val="32"/>
          <w:lang w:eastAsia="zh-CN"/>
        </w:rPr>
      </w:pPr>
      <w:r>
        <w:rPr>
          <w:rFonts w:ascii="Times New Roman" w:hAnsi="Times New Roman" w:eastAsia="黑体" w:cs="Times New Roman"/>
          <w:bCs/>
          <w:color w:val="000000"/>
          <w:sz w:val="32"/>
          <w:szCs w:val="32"/>
          <w:lang w:eastAsia="zh-CN"/>
        </w:rPr>
        <w:t>目</w:t>
      </w:r>
      <w:r>
        <w:rPr>
          <w:rFonts w:hint="eastAsia" w:eastAsia="黑体" w:cs="Times New Roman"/>
          <w:bCs/>
          <w:color w:val="000000"/>
          <w:sz w:val="32"/>
          <w:szCs w:val="32"/>
          <w:lang w:val="en-US" w:eastAsia="zh-CN"/>
        </w:rPr>
        <w:t xml:space="preserve"> </w:t>
      </w:r>
      <w:r>
        <w:rPr>
          <w:rFonts w:ascii="Times New Roman" w:hAnsi="Times New Roman" w:eastAsia="黑体" w:cs="Times New Roman"/>
          <w:bCs/>
          <w:color w:val="000000"/>
          <w:sz w:val="32"/>
          <w:szCs w:val="32"/>
          <w:lang w:eastAsia="zh-CN"/>
        </w:rPr>
        <w:t>录</w:t>
      </w:r>
    </w:p>
    <w:p w14:paraId="388F2D10">
      <w:pPr>
        <w:keepNext w:val="0"/>
        <w:keepLines w:val="0"/>
        <w:pageBreakBefore w:val="0"/>
        <w:widowControl w:val="0"/>
        <w:spacing w:line="500" w:lineRule="auto"/>
        <w:ind w:right="0" w:firstLine="320"/>
        <w:jc w:val="left"/>
        <w:outlineLvl w:val="9"/>
        <w:rPr>
          <w:rFonts w:ascii="Times New Roman" w:hAnsi="Times New Roman" w:eastAsia="黑体" w:cs="Times New Roman"/>
          <w:bCs/>
          <w:color w:val="000000"/>
          <w:sz w:val="32"/>
          <w:szCs w:val="32"/>
          <w:lang w:val="en-US" w:eastAsia="zh-CN"/>
        </w:rPr>
      </w:pPr>
      <w:r>
        <w:rPr>
          <w:rFonts w:hint="eastAsia" w:eastAsia="黑体" w:cs="Times New Roman"/>
          <w:bCs/>
          <w:color w:val="000000"/>
          <w:sz w:val="32"/>
          <w:szCs w:val="32"/>
          <w:lang w:eastAsia="zh-CN"/>
        </w:rPr>
        <w:t>第一部分</w:t>
      </w:r>
      <w:r>
        <w:rPr>
          <w:rFonts w:hint="eastAsia" w:eastAsia="黑体" w:cs="Times New Roman"/>
          <w:bCs/>
          <w:color w:val="000000"/>
          <w:sz w:val="32"/>
          <w:szCs w:val="32"/>
          <w:lang w:val="en-US" w:eastAsia="zh-CN"/>
        </w:rPr>
        <w:t xml:space="preserve">  2025年部门预算说明</w:t>
      </w:r>
    </w:p>
    <w:p w14:paraId="5E6F0542">
      <w:pPr>
        <w:keepNext w:val="0"/>
        <w:keepLines w:val="0"/>
        <w:pageBreakBefore w:val="0"/>
        <w:widowControl w:val="0"/>
        <w:spacing w:line="500" w:lineRule="auto"/>
        <w:ind w:left="0" w:right="0" w:firstLine="627"/>
        <w:jc w:val="left"/>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一、部门</w:t>
      </w:r>
      <w:r>
        <w:rPr>
          <w:rFonts w:hint="eastAsia" w:ascii="仿宋" w:hAnsi="仿宋" w:eastAsia="仿宋" w:cs="仿宋"/>
          <w:b w:val="0"/>
          <w:bCs/>
          <w:color w:val="000000"/>
          <w:sz w:val="32"/>
          <w:szCs w:val="32"/>
          <w:lang w:eastAsia="zh-CN"/>
        </w:rPr>
        <w:t>基本概况</w:t>
      </w:r>
    </w:p>
    <w:p w14:paraId="7B1B3FFF">
      <w:pPr>
        <w:keepNext w:val="0"/>
        <w:keepLines w:val="0"/>
        <w:pageBreakBefore w:val="0"/>
        <w:widowControl w:val="0"/>
        <w:numPr>
          <w:ilvl w:val="0"/>
          <w:numId w:val="1"/>
        </w:numPr>
        <w:spacing w:line="500" w:lineRule="auto"/>
        <w:ind w:left="0" w:right="0" w:firstLine="627"/>
        <w:jc w:val="left"/>
        <w:outlineLvl w:val="9"/>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eastAsia="zh-CN"/>
        </w:rPr>
        <w:t>部门预算单位构成</w:t>
      </w:r>
    </w:p>
    <w:p w14:paraId="07F7A844">
      <w:pPr>
        <w:keepNext w:val="0"/>
        <w:keepLines w:val="0"/>
        <w:pageBreakBefore w:val="0"/>
        <w:widowControl w:val="0"/>
        <w:spacing w:line="500" w:lineRule="auto"/>
        <w:ind w:left="0" w:right="0" w:firstLine="627"/>
        <w:jc w:val="left"/>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lang w:eastAsia="zh-CN"/>
        </w:rPr>
        <w:t>三</w:t>
      </w:r>
      <w:r>
        <w:rPr>
          <w:rFonts w:hint="eastAsia" w:ascii="仿宋" w:hAnsi="仿宋" w:eastAsia="仿宋" w:cs="仿宋"/>
          <w:b w:val="0"/>
          <w:bCs/>
          <w:color w:val="000000"/>
          <w:sz w:val="32"/>
          <w:szCs w:val="32"/>
        </w:rPr>
        <w:t>、</w:t>
      </w:r>
      <w:r>
        <w:rPr>
          <w:rFonts w:hint="eastAsia" w:ascii="仿宋" w:hAnsi="仿宋" w:eastAsia="仿宋" w:cs="仿宋"/>
          <w:b w:val="0"/>
          <w:bCs/>
          <w:color w:val="000000"/>
          <w:sz w:val="32"/>
          <w:szCs w:val="32"/>
          <w:lang w:eastAsia="zh-CN"/>
        </w:rPr>
        <w:t>部门收支总体情况</w:t>
      </w:r>
    </w:p>
    <w:p w14:paraId="25B5B9F2">
      <w:pPr>
        <w:keepNext w:val="0"/>
        <w:keepLines w:val="0"/>
        <w:pageBreakBefore w:val="0"/>
        <w:widowControl w:val="0"/>
        <w:numPr>
          <w:ilvl w:val="0"/>
          <w:numId w:val="2"/>
        </w:numPr>
        <w:spacing w:line="500" w:lineRule="auto"/>
        <w:ind w:left="0" w:right="0" w:firstLine="627"/>
        <w:jc w:val="left"/>
        <w:outlineLvl w:val="9"/>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eastAsia="zh-CN"/>
        </w:rPr>
        <w:t>一般公共预算财政拨款支出</w:t>
      </w:r>
    </w:p>
    <w:p w14:paraId="4D70BC36">
      <w:pPr>
        <w:keepNext w:val="0"/>
        <w:keepLines w:val="0"/>
        <w:pageBreakBefore w:val="0"/>
        <w:widowControl w:val="0"/>
        <w:numPr>
          <w:ilvl w:val="0"/>
          <w:numId w:val="2"/>
        </w:numPr>
        <w:spacing w:line="500" w:lineRule="auto"/>
        <w:ind w:left="0" w:right="0" w:firstLine="627"/>
        <w:jc w:val="left"/>
        <w:outlineLvl w:val="9"/>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eastAsia="zh-CN"/>
        </w:rPr>
        <w:t>政府性基金预算支出</w:t>
      </w:r>
    </w:p>
    <w:p w14:paraId="49EBF588">
      <w:pPr>
        <w:keepNext w:val="0"/>
        <w:keepLines w:val="0"/>
        <w:pageBreakBefore w:val="0"/>
        <w:widowControl w:val="0"/>
        <w:numPr>
          <w:ilvl w:val="0"/>
          <w:numId w:val="0"/>
        </w:numPr>
        <w:spacing w:line="500" w:lineRule="auto"/>
        <w:ind w:left="0" w:right="0" w:firstLine="640"/>
        <w:jc w:val="left"/>
        <w:outlineLvl w:val="9"/>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eastAsia="zh-CN"/>
        </w:rPr>
        <w:t>六、其他重要事项的情况说明</w:t>
      </w:r>
    </w:p>
    <w:p w14:paraId="4F798486">
      <w:pPr>
        <w:keepNext w:val="0"/>
        <w:keepLines w:val="0"/>
        <w:pageBreakBefore w:val="0"/>
        <w:widowControl w:val="0"/>
        <w:numPr>
          <w:ilvl w:val="0"/>
          <w:numId w:val="0"/>
        </w:numPr>
        <w:spacing w:line="500" w:lineRule="auto"/>
        <w:ind w:left="0" w:right="0" w:firstLine="640"/>
        <w:jc w:val="left"/>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lang w:val="en-US" w:eastAsia="zh-CN"/>
        </w:rPr>
        <w:t>七、</w:t>
      </w:r>
      <w:r>
        <w:rPr>
          <w:rFonts w:hint="eastAsia" w:ascii="仿宋" w:hAnsi="仿宋" w:eastAsia="仿宋" w:cs="仿宋"/>
          <w:b w:val="0"/>
          <w:bCs/>
          <w:color w:val="000000"/>
          <w:sz w:val="32"/>
          <w:szCs w:val="32"/>
        </w:rPr>
        <w:t>名词解释</w:t>
      </w:r>
    </w:p>
    <w:p w14:paraId="00F7FB36">
      <w:pPr>
        <w:keepNext w:val="0"/>
        <w:keepLines w:val="0"/>
        <w:pageBreakBefore w:val="0"/>
        <w:widowControl w:val="0"/>
        <w:numPr>
          <w:ilvl w:val="0"/>
          <w:numId w:val="0"/>
        </w:numPr>
        <w:ind w:firstLine="320"/>
        <w:rPr>
          <w:rFonts w:ascii="Times New Roman" w:hAnsi="Times New Roman" w:eastAsia="黑体" w:cs="Times New Roman"/>
          <w:b w:val="0"/>
          <w:bCs w:val="0"/>
          <w:color w:val="000000"/>
          <w:sz w:val="32"/>
          <w:szCs w:val="32"/>
          <w:lang w:val="en-US" w:eastAsia="zh-CN"/>
        </w:rPr>
      </w:pPr>
      <w:r>
        <w:rPr>
          <w:rFonts w:hint="eastAsia" w:eastAsia="黑体" w:cs="Times New Roman"/>
          <w:b w:val="0"/>
          <w:bCs w:val="0"/>
          <w:color w:val="000000"/>
          <w:sz w:val="32"/>
          <w:szCs w:val="32"/>
          <w:lang w:val="en-US" w:eastAsia="zh-CN"/>
        </w:rPr>
        <w:t>第二部分  2025年部门预算表</w:t>
      </w:r>
    </w:p>
    <w:p w14:paraId="68FFB846">
      <w:pPr>
        <w:keepNext w:val="0"/>
        <w:keepLines w:val="0"/>
        <w:pageBreakBefore w:val="0"/>
        <w:widowControl w:val="0"/>
        <w:numPr>
          <w:ilvl w:val="0"/>
          <w:numId w:val="0"/>
        </w:numPr>
        <w:ind w:firstLine="640"/>
        <w:rPr>
          <w:rFonts w:ascii="Times New Roman" w:hAnsi="Times New Roman" w:eastAsia="仿宋_GB2312" w:cs="Times New Roman"/>
          <w:b w:val="0"/>
          <w:bCs w:val="0"/>
          <w:color w:val="000000"/>
          <w:sz w:val="32"/>
          <w:szCs w:val="32"/>
          <w:lang w:val="en-US" w:eastAsia="zh-CN"/>
        </w:rPr>
      </w:pPr>
      <w:r>
        <w:rPr>
          <w:rFonts w:ascii="Times New Roman" w:hAnsi="Times New Roman" w:eastAsia="仿宋_GB2312" w:cs="Times New Roman"/>
          <w:b w:val="0"/>
          <w:bCs w:val="0"/>
          <w:color w:val="000000"/>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4FE534E5">
      <w:pPr>
        <w:keepNext w:val="0"/>
        <w:keepLines w:val="0"/>
        <w:pageBreakBefore w:val="0"/>
        <w:widowControl w:val="0"/>
        <w:numPr>
          <w:ilvl w:val="0"/>
          <w:numId w:val="0"/>
        </w:numPr>
        <w:ind w:firstLine="640"/>
        <w:rPr>
          <w:rFonts w:ascii="Times New Roman" w:hAnsi="Times New Roman" w:eastAsia="仿宋_GB2312" w:cs="Times New Roman"/>
          <w:b w:val="0"/>
          <w:bCs w:val="0"/>
          <w:color w:val="000000"/>
          <w:sz w:val="32"/>
          <w:szCs w:val="32"/>
          <w:lang w:val="en-US" w:eastAsia="zh-CN"/>
        </w:rPr>
      </w:pPr>
      <w:r>
        <w:rPr>
          <w:rFonts w:ascii="Times New Roman" w:hAnsi="Times New Roman" w:eastAsia="仿宋_GB2312" w:cs="Times New Roman"/>
          <w:b w:val="0"/>
          <w:bCs w:val="0"/>
          <w:color w:val="000000"/>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478BBB77">
      <w:pPr>
        <w:keepNext w:val="0"/>
        <w:keepLines w:val="0"/>
        <w:pageBreakBefore w:val="0"/>
        <w:widowControl w:val="0"/>
        <w:numPr>
          <w:ilvl w:val="0"/>
          <w:numId w:val="0"/>
        </w:numPr>
        <w:ind w:firstLine="640"/>
        <w:rPr>
          <w:rFonts w:ascii="Times New Roman" w:hAnsi="Times New Roman" w:eastAsia="仿宋_GB2312" w:cs="Times New Roman"/>
          <w:b w:val="0"/>
          <w:bCs w:val="0"/>
          <w:color w:val="000000"/>
          <w:sz w:val="32"/>
          <w:szCs w:val="32"/>
          <w:lang w:val="en-US" w:eastAsia="zh-CN"/>
        </w:rPr>
      </w:pPr>
      <w:r>
        <w:rPr>
          <w:rFonts w:ascii="Times New Roman" w:hAnsi="Times New Roman" w:eastAsia="仿宋_GB2312" w:cs="Times New Roman"/>
          <w:b w:val="0"/>
          <w:bCs w:val="0"/>
          <w:color w:val="000000"/>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48A59B91">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rPr>
      </w:pPr>
      <w:r>
        <w:rPr>
          <w:rFonts w:ascii="Times New Roman" w:hAnsi="Times New Roman" w:eastAsia="仿宋_GB2312" w:cs="Times New Roman"/>
          <w:b w:val="0"/>
          <w:bCs w:val="0"/>
          <w:color w:val="000000"/>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3E6CE00D">
      <w:pPr>
        <w:keepNext w:val="0"/>
        <w:keepLines w:val="0"/>
        <w:pageBreakBefore w:val="0"/>
        <w:widowControl w:val="0"/>
        <w:numPr>
          <w:ilvl w:val="0"/>
          <w:numId w:val="0"/>
        </w:numPr>
        <w:ind w:firstLine="640"/>
        <w:rPr>
          <w:rFonts w:eastAsia="仿宋_GB2312"/>
          <w:color w:val="000000"/>
          <w:sz w:val="32"/>
          <w:szCs w:val="32"/>
        </w:rPr>
      </w:pPr>
      <w:r>
        <w:rPr>
          <w:rFonts w:ascii="Times New Roman" w:hAnsi="Times New Roman" w:eastAsia="仿宋_GB2312" w:cs="Times New Roman"/>
          <w:b w:val="0"/>
          <w:bCs w:val="0"/>
          <w:color w:val="000000"/>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144419CC">
      <w:pPr>
        <w:keepNext w:val="0"/>
        <w:keepLines w:val="0"/>
        <w:pageBreakBefore w:val="0"/>
        <w:widowControl w:val="0"/>
        <w:numPr>
          <w:ilvl w:val="0"/>
          <w:numId w:val="0"/>
        </w:numPr>
        <w:ind w:firstLine="640"/>
        <w:rPr>
          <w:rFonts w:ascii="Times New Roman" w:hAnsi="Times New Roman" w:eastAsia="仿宋_GB2312" w:cs="Times New Roman"/>
          <w:b w:val="0"/>
          <w:bCs w:val="0"/>
          <w:color w:val="000000"/>
          <w:sz w:val="32"/>
          <w:szCs w:val="32"/>
          <w:lang w:val="en-US" w:eastAsia="zh-CN"/>
        </w:rPr>
      </w:pPr>
      <w:r>
        <w:rPr>
          <w:rFonts w:ascii="Times New Roman" w:hAnsi="Times New Roman" w:eastAsia="仿宋_GB2312" w:cs="Times New Roman"/>
          <w:b w:val="0"/>
          <w:bCs w:val="0"/>
          <w:color w:val="000000"/>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3C4DCA24">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rPr>
      </w:pPr>
      <w:r>
        <w:rPr>
          <w:rFonts w:ascii="Times New Roman" w:hAnsi="Times New Roman" w:eastAsia="仿宋_GB2312" w:cs="Times New Roman"/>
          <w:b w:val="0"/>
          <w:bCs w:val="0"/>
          <w:color w:val="000000"/>
          <w:sz w:val="32"/>
          <w:szCs w:val="32"/>
          <w:lang w:val="en-US" w:eastAsia="zh-CN"/>
        </w:rPr>
        <w:t>7.</w:t>
      </w:r>
      <w:r>
        <w:rPr>
          <w:rFonts w:hint="eastAsia" w:eastAsia="仿宋_GB2312" w:cs="Times New Roman"/>
          <w:b w:val="0"/>
          <w:bCs w:val="0"/>
          <w:color w:val="000000"/>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35A44A15">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rPr>
      </w:pPr>
      <w:r>
        <w:rPr>
          <w:rFonts w:ascii="Times New Roman" w:hAnsi="Times New Roman" w:eastAsia="仿宋_GB2312" w:cs="Times New Roman"/>
          <w:b w:val="0"/>
          <w:bCs w:val="0"/>
          <w:color w:val="000000"/>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3B3D5C44">
      <w:pPr>
        <w:keepNext w:val="0"/>
        <w:keepLines w:val="0"/>
        <w:pageBreakBefore w:val="0"/>
        <w:widowControl w:val="0"/>
        <w:numPr>
          <w:ilvl w:val="0"/>
          <w:numId w:val="0"/>
        </w:numPr>
        <w:ind w:firstLine="640"/>
        <w:rPr>
          <w:rFonts w:hint="eastAsia" w:ascii="Times New Roman" w:hAnsi="Times New Roman" w:eastAsia="仿宋_GB2312" w:cs="Times New Roman"/>
          <w:color w:val="000000"/>
          <w:sz w:val="32"/>
          <w:szCs w:val="32"/>
          <w:lang w:val="en-US" w:eastAsia="zh-CN"/>
        </w:rPr>
      </w:pPr>
      <w:r>
        <w:rPr>
          <w:rFonts w:hint="eastAsia" w:eastAsia="仿宋_GB2312" w:cs="Times New Roman"/>
          <w:color w:val="000000"/>
          <w:sz w:val="32"/>
          <w:szCs w:val="32"/>
          <w:lang w:val="en-US" w:eastAsia="zh-CN"/>
        </w:rPr>
        <w:t>9.</w:t>
      </w:r>
      <w:r>
        <w:rPr>
          <w:rFonts w:hint="eastAsia" w:eastAsia="仿宋_GB2312"/>
          <w:color w:val="000000"/>
          <w:sz w:val="32"/>
          <w:szCs w:val="32"/>
          <w:lang w:eastAsia="zh-CN"/>
        </w:rPr>
        <w:t>项目支出预算表</w:t>
      </w:r>
    </w:p>
    <w:p w14:paraId="277AD419">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lang w:eastAsia="zh-CN"/>
        </w:rPr>
      </w:pPr>
      <w:r>
        <w:rPr>
          <w:rFonts w:hint="eastAsia" w:eastAsia="仿宋_GB2312" w:cs="Times New Roman"/>
          <w:b w:val="0"/>
          <w:bCs w:val="0"/>
          <w:color w:val="000000"/>
          <w:sz w:val="32"/>
          <w:szCs w:val="32"/>
          <w:lang w:val="en-US" w:eastAsia="zh-CN"/>
        </w:rPr>
        <w:t>10</w:t>
      </w:r>
      <w:r>
        <w:rPr>
          <w:rFonts w:ascii="Times New Roman" w:hAnsi="Times New Roman" w:eastAsia="仿宋_GB2312" w:cs="Times New Roman"/>
          <w:b w:val="0"/>
          <w:bCs w:val="0"/>
          <w:color w:val="000000"/>
          <w:sz w:val="32"/>
          <w:szCs w:val="32"/>
          <w:lang w:val="en-US" w:eastAsia="zh-CN"/>
        </w:rPr>
        <w:t>.</w:t>
      </w:r>
      <w:r>
        <w:rPr>
          <w:rFonts w:hint="eastAsia" w:eastAsia="仿宋_GB2312"/>
          <w:color w:val="000000"/>
          <w:sz w:val="32"/>
          <w:szCs w:val="32"/>
          <w:lang w:eastAsia="zh-CN"/>
        </w:rPr>
        <w:t>国有资本经营预算支出预算表</w:t>
      </w:r>
    </w:p>
    <w:p w14:paraId="2E5D5CCF">
      <w:pPr>
        <w:keepNext w:val="0"/>
        <w:keepLines w:val="0"/>
        <w:pageBreakBefore w:val="0"/>
        <w:widowControl w:val="0"/>
        <w:numPr>
          <w:ilvl w:val="0"/>
          <w:numId w:val="0"/>
        </w:numPr>
        <w:ind w:firstLine="64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11.项目支出绩效目标表</w:t>
      </w:r>
    </w:p>
    <w:p w14:paraId="44CA6F10">
      <w:pPr>
        <w:keepNext w:val="0"/>
        <w:keepLines w:val="0"/>
        <w:pageBreakBefore w:val="0"/>
        <w:widowControl w:val="0"/>
        <w:numPr>
          <w:ilvl w:val="0"/>
          <w:numId w:val="0"/>
        </w:numPr>
        <w:ind w:firstLine="64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12.部门整体支出绩效目标表</w:t>
      </w:r>
    </w:p>
    <w:p w14:paraId="13C0E387">
      <w:pPr>
        <w:keepNext w:val="0"/>
        <w:keepLines w:val="0"/>
        <w:pageBreakBefore w:val="0"/>
        <w:widowControl w:val="0"/>
        <w:numPr>
          <w:ilvl w:val="0"/>
          <w:numId w:val="0"/>
        </w:numPr>
        <w:ind w:firstLine="64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注：以上部门预算报表中，空表表示本部门无相关收支情况</w:t>
      </w:r>
    </w:p>
    <w:p w14:paraId="6FEA40A3">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lang w:val="en-US" w:eastAsia="zh-CN"/>
        </w:rPr>
      </w:pPr>
    </w:p>
    <w:p w14:paraId="2A6A7EA2">
      <w:pPr>
        <w:keepNext w:val="0"/>
        <w:keepLines w:val="0"/>
        <w:pageBreakBefore w:val="0"/>
        <w:widowControl/>
        <w:spacing w:before="156" w:line="500" w:lineRule="exact"/>
        <w:ind w:left="0" w:right="0"/>
        <w:jc w:val="left"/>
        <w:outlineLvl w:val="9"/>
        <w:rPr>
          <w:rFonts w:hint="eastAsia" w:eastAsia="楷体_GB2312"/>
          <w:b/>
          <w:bCs w:val="0"/>
          <w:sz w:val="32"/>
          <w:szCs w:val="32"/>
          <w:lang w:val="en-US" w:eastAsia="zh-CN"/>
        </w:rPr>
      </w:pPr>
    </w:p>
    <w:p w14:paraId="2D1E64C5">
      <w:pPr>
        <w:keepNext w:val="0"/>
        <w:keepLines w:val="0"/>
        <w:pageBreakBefore w:val="0"/>
        <w:widowControl/>
        <w:spacing w:before="156" w:line="500" w:lineRule="exact"/>
        <w:ind w:left="0" w:right="0"/>
        <w:jc w:val="left"/>
        <w:outlineLvl w:val="9"/>
        <w:rPr>
          <w:rFonts w:hint="eastAsia" w:eastAsia="楷体_GB2312"/>
          <w:b/>
          <w:bCs w:val="0"/>
          <w:sz w:val="32"/>
          <w:szCs w:val="32"/>
          <w:lang w:val="en-US" w:eastAsia="zh-CN"/>
        </w:rPr>
      </w:pPr>
    </w:p>
    <w:p w14:paraId="31D90AAA">
      <w:pPr>
        <w:rPr>
          <w:rFonts w:hint="eastAsia"/>
          <w:lang w:val="en-US" w:eastAsia="zh-CN"/>
        </w:rPr>
      </w:pPr>
    </w:p>
    <w:p w14:paraId="20551584">
      <w:pPr>
        <w:rPr>
          <w:rFonts w:hint="eastAsia"/>
          <w:lang w:val="en-US" w:eastAsia="zh-CN"/>
        </w:rPr>
      </w:pPr>
    </w:p>
    <w:p w14:paraId="17E29435">
      <w:pPr>
        <w:rPr>
          <w:rFonts w:hint="eastAsia"/>
          <w:lang w:val="en-US" w:eastAsia="zh-CN"/>
        </w:rPr>
      </w:pPr>
    </w:p>
    <w:p w14:paraId="61828930">
      <w:pPr>
        <w:rPr>
          <w:rFonts w:hint="eastAsia"/>
          <w:lang w:val="en-US" w:eastAsia="zh-CN"/>
        </w:rPr>
      </w:pPr>
    </w:p>
    <w:p w14:paraId="072777AA">
      <w:pPr>
        <w:rPr>
          <w:rFonts w:hint="eastAsia"/>
          <w:lang w:val="en-US" w:eastAsia="zh-CN"/>
        </w:rPr>
      </w:pPr>
    </w:p>
    <w:p w14:paraId="27D8FA3D">
      <w:pPr>
        <w:rPr>
          <w:rFonts w:hint="eastAsia"/>
          <w:lang w:val="en-US" w:eastAsia="zh-CN"/>
        </w:rPr>
      </w:pPr>
    </w:p>
    <w:p w14:paraId="43D1C394">
      <w:pPr>
        <w:jc w:val="left"/>
        <w:rPr>
          <w:rFonts w:hint="eastAsia"/>
          <w:lang w:val="en-US" w:eastAsia="zh-CN"/>
        </w:rPr>
      </w:pPr>
      <w:r>
        <w:rPr>
          <w:rFonts w:hint="eastAsia"/>
          <w:lang w:val="en-US" w:eastAsia="zh-CN"/>
        </w:rPr>
        <w:br w:type="page" w:clear="all"/>
      </w:r>
    </w:p>
    <w:p w14:paraId="309E08E2">
      <w:pPr>
        <w:keepNext w:val="0"/>
        <w:keepLines w:val="0"/>
        <w:pageBreakBefore w:val="0"/>
        <w:widowControl/>
        <w:spacing w:line="500" w:lineRule="auto"/>
        <w:ind w:left="0" w:right="0" w:firstLine="627"/>
        <w:jc w:val="left"/>
        <w:outlineLvl w:val="9"/>
        <w:rPr>
          <w:rFonts w:hint="eastAsia" w:eastAsia="黑体"/>
          <w:bCs/>
          <w:sz w:val="32"/>
          <w:szCs w:val="32"/>
        </w:rPr>
      </w:pPr>
      <w:r>
        <w:rPr>
          <w:rFonts w:eastAsia="黑体"/>
          <w:bCs/>
          <w:sz w:val="32"/>
          <w:szCs w:val="32"/>
        </w:rPr>
        <w:t>一、部门</w:t>
      </w:r>
      <w:r>
        <w:rPr>
          <w:rFonts w:hint="eastAsia" w:eastAsia="黑体"/>
          <w:bCs/>
          <w:sz w:val="32"/>
          <w:szCs w:val="32"/>
          <w:lang w:eastAsia="zh-CN"/>
        </w:rPr>
        <w:t>基本概况</w:t>
      </w:r>
    </w:p>
    <w:p w14:paraId="236096E1">
      <w:pPr>
        <w:keepNext w:val="0"/>
        <w:keepLines w:val="0"/>
        <w:pageBreakBefore w:val="0"/>
        <w:widowControl/>
        <w:spacing w:line="500" w:lineRule="auto"/>
        <w:ind w:left="0" w:right="0" w:firstLine="630"/>
        <w:jc w:val="left"/>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（一）部门职责</w:t>
      </w:r>
    </w:p>
    <w:p w14:paraId="31FED5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val="en-US" w:eastAsia="zh-CN"/>
        </w:rPr>
        <w:t>怀化</w:t>
      </w:r>
      <w:r>
        <w:rPr>
          <w:rFonts w:hint="eastAsia" w:eastAsia="仿宋_GB2312" w:cs="Times New Roman"/>
          <w:sz w:val="32"/>
          <w:szCs w:val="32"/>
          <w:lang w:eastAsia="zh-CN"/>
        </w:rPr>
        <w:t>市社会科学界联合会（以下简称市社科联）主要职能：一是组织领导和协调管理市级社会科学组织、指导县（市、区）社科联工作。二是组织和推动所属团体会员开展社会科学研究和学术活动，参与全市改革开放和现代化建设重大课题攻关，为党委政府决策提供咨询，为全市政治、经济、文化建设和社会进步服务。三是组织和推动社会科学知识宣传、普及和咨询服务，促进社会科学研究成果转化。四是组织和推动社会科学界和自然科学界之间的联系及学术交流协作攻关。五是负责社会科学优秀成果评奖，社科应用研究成果转化评奖，优秀社会科学专家、优秀青年社会科学专家等优秀社会科学工作人才的评奖。六是负责市社会科学成果评审委员会课题立项和社会科学研究成果鉴定等的组织工作。</w:t>
      </w:r>
    </w:p>
    <w:p w14:paraId="0CB74A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eastAsia="仿宋_GB2312" w:cs="Times New Roman"/>
          <w:sz w:val="32"/>
          <w:szCs w:val="32"/>
          <w:lang w:eastAsia="zh-CN"/>
        </w:rPr>
      </w:pPr>
    </w:p>
    <w:p w14:paraId="4391D1E9">
      <w:pPr>
        <w:keepNext w:val="0"/>
        <w:keepLines w:val="0"/>
        <w:pageBreakBefore w:val="0"/>
        <w:widowControl/>
        <w:spacing w:line="500" w:lineRule="auto"/>
        <w:ind w:left="0" w:right="0" w:firstLine="630"/>
        <w:jc w:val="left"/>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（二）机构设置情况</w:t>
      </w:r>
    </w:p>
    <w:p w14:paraId="53CA5BC3">
      <w:pPr>
        <w:keepNext w:val="0"/>
        <w:keepLines w:val="0"/>
        <w:pageBreakBefore w:val="0"/>
        <w:widowControl/>
        <w:spacing w:line="500" w:lineRule="auto"/>
        <w:ind w:left="0" w:right="0" w:firstLine="627"/>
        <w:jc w:val="left"/>
        <w:outlineLvl w:val="9"/>
        <w:rPr>
          <w:rFonts w:hint="eastAsia" w:eastAsia="仿宋_GB2312"/>
          <w:sz w:val="32"/>
          <w:szCs w:val="32"/>
          <w:lang w:eastAsia="zh-CN"/>
        </w:rPr>
      </w:pPr>
      <w:r>
        <w:rPr>
          <w:rFonts w:hint="eastAsia" w:eastAsia="仿宋_GB2312"/>
          <w:sz w:val="32"/>
          <w:szCs w:val="32"/>
          <w:lang w:eastAsia="zh-CN"/>
        </w:rPr>
        <w:t>怀化市社会科学界联合会作为一级预算单位，11个参公编制，内设办公室、科研组织科、学会工作科、没有二级预算单位。</w:t>
      </w:r>
    </w:p>
    <w:p w14:paraId="67417558">
      <w:pPr>
        <w:keepNext w:val="0"/>
        <w:keepLines w:val="0"/>
        <w:pageBreakBefore w:val="0"/>
        <w:widowControl/>
        <w:spacing w:line="500" w:lineRule="auto"/>
        <w:ind w:left="0" w:right="0" w:firstLine="627"/>
        <w:jc w:val="left"/>
        <w:outlineLvl w:val="9"/>
        <w:rPr>
          <w:rFonts w:hint="eastAsia" w:eastAsia="黑体"/>
          <w:bCs/>
          <w:sz w:val="32"/>
          <w:szCs w:val="32"/>
          <w:lang w:eastAsia="zh-CN"/>
        </w:rPr>
      </w:pPr>
      <w:r>
        <w:rPr>
          <w:rFonts w:hint="eastAsia" w:eastAsia="黑体"/>
          <w:bCs/>
          <w:sz w:val="32"/>
          <w:szCs w:val="32"/>
          <w:lang w:eastAsia="zh-CN"/>
        </w:rPr>
        <w:t>二、部门预算单位构成</w:t>
      </w:r>
    </w:p>
    <w:p w14:paraId="54EF2F7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lang w:val="en-US" w:eastAsia="zh-CN"/>
        </w:rPr>
      </w:pPr>
      <w:r>
        <w:rPr>
          <w:rFonts w:hint="eastAsia" w:eastAsia="仿宋_GB2312"/>
          <w:sz w:val="32"/>
          <w:szCs w:val="32"/>
          <w:lang w:val="en-US" w:eastAsia="zh-CN"/>
        </w:rPr>
        <w:t>纳入2024年怀化市社会科学界联合会预算编制范围的包括：怀化市社会科学界联合会</w:t>
      </w:r>
      <w:r>
        <w:rPr>
          <w:rFonts w:hint="eastAsia" w:eastAsia="仿宋_GB2312"/>
          <w:sz w:val="32"/>
          <w:szCs w:val="32"/>
          <w:lang w:eastAsia="zh-CN"/>
        </w:rPr>
        <w:t>本级。</w:t>
      </w:r>
    </w:p>
    <w:p w14:paraId="231A0C4E">
      <w:pPr>
        <w:keepNext w:val="0"/>
        <w:keepLines w:val="0"/>
        <w:pageBreakBefore w:val="0"/>
        <w:widowControl/>
        <w:spacing w:line="500" w:lineRule="auto"/>
        <w:ind w:left="0" w:right="0" w:firstLine="627"/>
        <w:jc w:val="left"/>
        <w:outlineLvl w:val="9"/>
        <w:rPr>
          <w:rFonts w:hint="eastAsia" w:eastAsia="黑体"/>
          <w:bCs/>
          <w:sz w:val="32"/>
          <w:szCs w:val="32"/>
        </w:rPr>
      </w:pPr>
      <w:r>
        <w:rPr>
          <w:rFonts w:hint="eastAsia" w:eastAsia="黑体"/>
          <w:bCs/>
          <w:sz w:val="32"/>
          <w:szCs w:val="32"/>
          <w:lang w:eastAsia="zh-CN"/>
        </w:rPr>
        <w:t>三</w:t>
      </w:r>
      <w:r>
        <w:rPr>
          <w:rFonts w:eastAsia="黑体"/>
          <w:bCs/>
          <w:sz w:val="32"/>
          <w:szCs w:val="32"/>
        </w:rPr>
        <w:t>、</w:t>
      </w:r>
      <w:r>
        <w:rPr>
          <w:rFonts w:hint="eastAsia" w:eastAsia="黑体"/>
          <w:bCs/>
          <w:sz w:val="32"/>
          <w:szCs w:val="32"/>
          <w:lang w:eastAsia="zh-CN"/>
        </w:rPr>
        <w:t>部门收支总体情况</w:t>
      </w:r>
    </w:p>
    <w:p w14:paraId="6B5BD2E4">
      <w:pPr>
        <w:keepNext w:val="0"/>
        <w:keepLines w:val="0"/>
        <w:pageBreakBefore w:val="0"/>
        <w:widowControl/>
        <w:spacing w:line="500" w:lineRule="auto"/>
        <w:ind w:right="0" w:firstLine="640"/>
        <w:jc w:val="left"/>
        <w:outlineLvl w:val="9"/>
        <w:rPr>
          <w:rFonts w:hint="eastAsia" w:eastAsia="仿宋_GB2312"/>
          <w:sz w:val="32"/>
          <w:szCs w:val="32"/>
          <w:lang w:eastAsia="zh-CN"/>
        </w:rPr>
      </w:pPr>
      <w:r>
        <w:rPr>
          <w:rFonts w:hint="eastAsia" w:eastAsia="仿宋_GB2312"/>
          <w:sz w:val="32"/>
          <w:szCs w:val="32"/>
          <w:lang w:eastAsia="zh-CN"/>
        </w:rPr>
        <w:t>20</w:t>
      </w:r>
      <w:r>
        <w:rPr>
          <w:rFonts w:hint="eastAsia" w:eastAsia="仿宋_GB2312"/>
          <w:sz w:val="32"/>
          <w:szCs w:val="32"/>
          <w:lang w:val="en-US" w:eastAsia="zh-CN"/>
        </w:rPr>
        <w:t>25</w:t>
      </w:r>
      <w:r>
        <w:rPr>
          <w:rFonts w:hint="eastAsia" w:eastAsia="仿宋_GB2312"/>
          <w:sz w:val="32"/>
          <w:szCs w:val="32"/>
          <w:lang w:eastAsia="zh-CN"/>
        </w:rPr>
        <w:t>年部门预算包括本单位预算内的收支情况。</w:t>
      </w:r>
    </w:p>
    <w:p w14:paraId="25C492F4">
      <w:pPr>
        <w:keepNext w:val="0"/>
        <w:keepLines w:val="0"/>
        <w:pageBreakBefore w:val="0"/>
        <w:widowControl/>
        <w:spacing w:line="500" w:lineRule="auto"/>
        <w:ind w:left="0" w:right="0" w:firstLine="627"/>
        <w:jc w:val="left"/>
        <w:outlineLvl w:val="9"/>
        <w:rPr>
          <w:rFonts w:hint="eastAsia" w:eastAsia="仿宋_GB2312"/>
          <w:b/>
          <w:bCs/>
          <w:color w:val="000000"/>
          <w:sz w:val="32"/>
          <w:szCs w:val="32"/>
          <w:lang w:eastAsia="zh-CN"/>
        </w:rPr>
      </w:pPr>
      <w:r>
        <w:rPr>
          <w:rFonts w:hint="eastAsia" w:eastAsia="仿宋_GB2312"/>
          <w:sz w:val="32"/>
          <w:szCs w:val="32"/>
          <w:lang w:eastAsia="zh-CN"/>
        </w:rPr>
        <w:t>（一）收入预算。</w:t>
      </w:r>
      <w:r>
        <w:rPr>
          <w:rFonts w:hint="eastAsia" w:ascii="仿宋" w:hAnsi="仿宋" w:eastAsia="仿宋" w:cs="仿宋"/>
          <w:b w:val="0"/>
          <w:bCs w:val="0"/>
          <w:color w:val="000000"/>
          <w:sz w:val="32"/>
          <w:szCs w:val="32"/>
          <w:lang w:val="en-US" w:eastAsia="zh-CN"/>
        </w:rPr>
        <w:t>包括一般公共预算、政府性基金、国有资本经营预算等财政拨款收入，以及经营收入、事业收入等单位资金。2024年年初本部门收入预算241.37万元，其中，一般公共预算拨款241.37万元。</w:t>
      </w:r>
      <w:r>
        <w:rPr>
          <w:rFonts w:hint="eastAsia" w:ascii="仿宋" w:hAnsi="仿宋" w:eastAsia="仿宋" w:cs="仿宋"/>
          <w:b/>
          <w:bCs/>
          <w:color w:val="000000"/>
          <w:sz w:val="32"/>
          <w:szCs w:val="32"/>
          <w:lang w:val="en-US" w:eastAsia="zh-CN"/>
        </w:rPr>
        <w:t>压减公用经费和专项支出后，同口径对比，收入较上年增加 12.79 万元，增长率5%，主要原因是新增工作人员1名，工资绩效调整及业务增加。</w:t>
      </w:r>
    </w:p>
    <w:p w14:paraId="16933DB0">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b/>
          <w:bCs/>
          <w:color w:val="auto"/>
          <w:sz w:val="32"/>
          <w:szCs w:val="32"/>
        </w:rPr>
      </w:pPr>
      <w:r>
        <w:rPr>
          <w:rFonts w:hint="eastAsia" w:eastAsia="仿宋_GB2312"/>
          <w:sz w:val="32"/>
          <w:szCs w:val="32"/>
          <w:lang w:eastAsia="zh-CN"/>
        </w:rPr>
        <w:t>（二）支出预算。</w:t>
      </w:r>
      <w:r>
        <w:rPr>
          <w:rFonts w:hint="default" w:ascii="Times New Roman" w:hAnsi="Times New Roman" w:eastAsia="仿宋_GB2312" w:cs="Times New Roman"/>
          <w:color w:val="auto"/>
          <w:sz w:val="32"/>
          <w:szCs w:val="32"/>
          <w:lang w:eastAsia="zh-CN"/>
        </w:rPr>
        <w:t>20</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年</w:t>
      </w:r>
      <w:r>
        <w:rPr>
          <w:rFonts w:hint="eastAsia" w:eastAsia="仿宋_GB2312" w:cs="Times New Roman"/>
          <w:color w:val="auto"/>
          <w:sz w:val="32"/>
          <w:szCs w:val="32"/>
          <w:lang w:eastAsia="zh-CN"/>
        </w:rPr>
        <w:t>本部门支出</w:t>
      </w:r>
      <w:r>
        <w:rPr>
          <w:rFonts w:hint="default" w:ascii="Times New Roman" w:hAnsi="Times New Roman" w:eastAsia="仿宋_GB2312" w:cs="Times New Roman"/>
          <w:color w:val="auto"/>
          <w:sz w:val="32"/>
          <w:szCs w:val="32"/>
          <w:lang w:eastAsia="zh-CN"/>
        </w:rPr>
        <w:t>预算数</w:t>
      </w:r>
      <w:r>
        <w:rPr>
          <w:rFonts w:hint="eastAsia" w:eastAsia="仿宋_GB2312"/>
          <w:sz w:val="32"/>
          <w:szCs w:val="32"/>
          <w:lang w:eastAsia="zh-CN"/>
        </w:rPr>
        <w:t>241.37万元，其中，</w:t>
      </w:r>
      <w:r>
        <w:rPr>
          <w:rFonts w:hint="eastAsia" w:eastAsia="仿宋_GB2312" w:cs="Times New Roman"/>
          <w:color w:val="auto"/>
          <w:sz w:val="32"/>
          <w:szCs w:val="32"/>
          <w:lang w:eastAsia="zh-CN"/>
        </w:rPr>
        <w:t>一般公共服务支出</w:t>
      </w:r>
      <w:r>
        <w:rPr>
          <w:rFonts w:hint="eastAsia" w:eastAsia="仿宋_GB2312"/>
          <w:sz w:val="32"/>
          <w:szCs w:val="32"/>
          <w:lang w:eastAsia="zh-CN"/>
        </w:rPr>
        <w:t>241.37</w:t>
      </w:r>
      <w:r>
        <w:rPr>
          <w:rFonts w:hint="eastAsia" w:eastAsia="仿宋_GB2312" w:cs="Times New Roman"/>
          <w:color w:val="auto"/>
          <w:sz w:val="32"/>
          <w:szCs w:val="32"/>
          <w:lang w:val="en-US" w:eastAsia="zh-CN"/>
        </w:rPr>
        <w:t>万元</w:t>
      </w:r>
      <w:r>
        <w:rPr>
          <w:rFonts w:hint="eastAsia" w:eastAsia="仿宋_GB2312"/>
          <w:sz w:val="32"/>
          <w:szCs w:val="32"/>
          <w:lang w:eastAsia="zh-CN"/>
        </w:rPr>
        <w:t>。</w:t>
      </w:r>
      <w:r>
        <w:rPr>
          <w:rFonts w:hint="eastAsia" w:eastAsia="仿宋_GB2312" w:cs="Times New Roman"/>
          <w:b/>
          <w:bCs/>
          <w:color w:val="auto"/>
          <w:sz w:val="32"/>
          <w:szCs w:val="32"/>
          <w:lang w:eastAsia="zh-CN"/>
        </w:rPr>
        <w:t>压减公用经费和专项支出后，同口径对比，</w:t>
      </w:r>
      <w:r>
        <w:rPr>
          <w:rFonts w:hint="eastAsia" w:eastAsia="仿宋_GB2312"/>
          <w:b/>
          <w:bCs/>
          <w:color w:val="auto"/>
          <w:sz w:val="32"/>
          <w:szCs w:val="32"/>
        </w:rPr>
        <w:t>支出较</w:t>
      </w:r>
      <w:r>
        <w:rPr>
          <w:rFonts w:hint="eastAsia" w:eastAsia="仿宋_GB2312"/>
          <w:b/>
          <w:bCs/>
          <w:color w:val="auto"/>
          <w:sz w:val="32"/>
          <w:szCs w:val="32"/>
          <w:lang w:eastAsia="zh-CN"/>
        </w:rPr>
        <w:t>上</w:t>
      </w:r>
      <w:r>
        <w:rPr>
          <w:rFonts w:hint="eastAsia" w:eastAsia="仿宋_GB2312"/>
          <w:b/>
          <w:bCs/>
          <w:color w:val="auto"/>
          <w:sz w:val="32"/>
          <w:szCs w:val="32"/>
        </w:rPr>
        <w:t>年增加</w:t>
      </w:r>
      <w:r>
        <w:rPr>
          <w:rFonts w:hint="eastAsia" w:eastAsia="仿宋_GB2312"/>
          <w:color w:val="auto"/>
          <w:sz w:val="32"/>
          <w:szCs w:val="32"/>
          <w:lang w:val="en-US" w:eastAsia="zh-CN"/>
        </w:rPr>
        <w:t>12.79</w:t>
      </w:r>
      <w:r>
        <w:rPr>
          <w:rFonts w:hint="eastAsia" w:eastAsia="仿宋_GB2312"/>
          <w:b/>
          <w:bCs/>
          <w:color w:val="auto"/>
          <w:sz w:val="32"/>
          <w:szCs w:val="32"/>
        </w:rPr>
        <w:t>万元，</w:t>
      </w:r>
      <w:r>
        <w:rPr>
          <w:rFonts w:hint="eastAsia" w:eastAsia="仿宋_GB2312" w:cs="Times New Roman"/>
          <w:b w:val="0"/>
          <w:bCs w:val="0"/>
          <w:color w:val="auto"/>
          <w:sz w:val="32"/>
          <w:szCs w:val="32"/>
          <w:lang w:eastAsia="zh-CN"/>
        </w:rPr>
        <w:t>增长率</w:t>
      </w:r>
      <w:r>
        <w:rPr>
          <w:rFonts w:hint="eastAsia" w:eastAsia="仿宋_GB2312"/>
          <w:sz w:val="32"/>
          <w:szCs w:val="32"/>
          <w:lang w:val="en-US" w:eastAsia="zh-CN"/>
        </w:rPr>
        <w:t>5</w:t>
      </w:r>
      <w:r>
        <w:rPr>
          <w:rFonts w:hint="eastAsia" w:eastAsia="仿宋_GB2312" w:cs="Times New Roman"/>
          <w:color w:val="auto"/>
          <w:sz w:val="32"/>
          <w:szCs w:val="32"/>
          <w:lang w:val="en-US" w:eastAsia="zh-CN"/>
        </w:rPr>
        <w:t>%</w:t>
      </w:r>
      <w:r>
        <w:rPr>
          <w:rFonts w:hint="eastAsia" w:eastAsia="仿宋_GB2312"/>
          <w:sz w:val="32"/>
          <w:szCs w:val="32"/>
          <w:lang w:eastAsia="zh-CN"/>
        </w:rPr>
        <w:t>，</w:t>
      </w:r>
      <w:r>
        <w:rPr>
          <w:rFonts w:hint="eastAsia" w:eastAsia="仿宋_GB2312"/>
          <w:b/>
          <w:bCs/>
          <w:color w:val="auto"/>
          <w:sz w:val="32"/>
          <w:szCs w:val="32"/>
        </w:rPr>
        <w:t>主要</w:t>
      </w:r>
      <w:r>
        <w:rPr>
          <w:rFonts w:hint="eastAsia" w:eastAsia="仿宋_GB2312"/>
          <w:b/>
          <w:bCs/>
          <w:color w:val="auto"/>
          <w:sz w:val="32"/>
          <w:szCs w:val="32"/>
          <w:lang w:eastAsia="zh-CN"/>
        </w:rPr>
        <w:t>原因</w:t>
      </w:r>
      <w:r>
        <w:rPr>
          <w:rFonts w:hint="eastAsia" w:eastAsia="仿宋_GB2312"/>
          <w:b/>
          <w:bCs/>
          <w:color w:val="auto"/>
          <w:sz w:val="32"/>
          <w:szCs w:val="32"/>
        </w:rPr>
        <w:t>是</w:t>
      </w:r>
      <w:r>
        <w:rPr>
          <w:rFonts w:hint="eastAsia" w:eastAsia="仿宋_GB2312"/>
          <w:b/>
          <w:bCs/>
          <w:color w:val="auto"/>
          <w:sz w:val="32"/>
          <w:szCs w:val="32"/>
          <w:lang w:val="en-US" w:eastAsia="zh-CN"/>
        </w:rPr>
        <w:t>新增工作人员1名，工资绩效调整及业务增加</w:t>
      </w:r>
      <w:r>
        <w:rPr>
          <w:rFonts w:hint="eastAsia" w:eastAsia="仿宋_GB2312"/>
          <w:b/>
          <w:bCs/>
          <w:color w:val="auto"/>
          <w:sz w:val="32"/>
          <w:szCs w:val="32"/>
        </w:rPr>
        <w:t>。</w:t>
      </w:r>
    </w:p>
    <w:p w14:paraId="7168024D">
      <w:pPr>
        <w:keepNext w:val="0"/>
        <w:keepLines w:val="0"/>
        <w:pageBreakBefore w:val="0"/>
        <w:widowControl/>
        <w:numPr>
          <w:ilvl w:val="0"/>
          <w:numId w:val="0"/>
        </w:numPr>
        <w:spacing w:line="500" w:lineRule="auto"/>
        <w:ind w:right="0" w:firstLine="640"/>
        <w:jc w:val="left"/>
        <w:outlineLvl w:val="9"/>
        <w:rPr>
          <w:rFonts w:hint="eastAsia" w:eastAsia="黑体"/>
          <w:bCs/>
          <w:sz w:val="32"/>
          <w:szCs w:val="32"/>
          <w:lang w:eastAsia="zh-CN"/>
        </w:rPr>
      </w:pPr>
      <w:r>
        <w:rPr>
          <w:rFonts w:hint="eastAsia" w:eastAsia="黑体"/>
          <w:bCs/>
          <w:sz w:val="32"/>
          <w:szCs w:val="32"/>
          <w:lang w:eastAsia="zh-CN"/>
        </w:rPr>
        <w:t>四、一般公共预算财政拨款收支情况</w:t>
      </w:r>
    </w:p>
    <w:p w14:paraId="2E37F9F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ascii="Times New Roman" w:hAnsi="Times New Roman" w:eastAsia="黑体" w:cs="Times New Roman"/>
          <w:bCs/>
          <w:color w:val="000000"/>
          <w:sz w:val="32"/>
          <w:szCs w:val="32"/>
          <w:lang w:val="en-US" w:eastAsia="zh-CN"/>
        </w:rPr>
      </w:pPr>
      <w:r>
        <w:rPr>
          <w:rFonts w:hint="eastAsia" w:eastAsia="黑体"/>
          <w:bCs/>
          <w:sz w:val="32"/>
          <w:szCs w:val="32"/>
          <w:lang w:val="en-US" w:eastAsia="zh-CN"/>
        </w:rPr>
        <w:t xml:space="preserve"> </w:t>
      </w:r>
      <w:r>
        <w:rPr>
          <w:rFonts w:hint="eastAsia" w:eastAsia="黑体"/>
          <w:bCs/>
          <w:kern w:val="0"/>
          <w:sz w:val="32"/>
          <w:szCs w:val="32"/>
          <w:lang w:val="en-US" w:eastAsia="zh-CN"/>
        </w:rPr>
        <w:t xml:space="preserve"> </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年</w:t>
      </w:r>
      <w:r>
        <w:rPr>
          <w:rFonts w:hint="eastAsia" w:eastAsia="仿宋_GB2312" w:cs="Times New Roman"/>
          <w:color w:val="auto"/>
          <w:sz w:val="32"/>
          <w:szCs w:val="32"/>
          <w:lang w:val="en-US" w:eastAsia="zh-CN"/>
        </w:rPr>
        <w:t>本部门</w:t>
      </w:r>
      <w:r>
        <w:rPr>
          <w:rFonts w:hint="default" w:ascii="Times New Roman" w:hAnsi="Times New Roman" w:eastAsia="仿宋_GB2312" w:cs="Times New Roman"/>
          <w:color w:val="auto"/>
          <w:sz w:val="32"/>
          <w:szCs w:val="32"/>
          <w:lang w:val="en-US" w:eastAsia="zh-CN"/>
        </w:rPr>
        <w:t>一般公共预算拨款</w:t>
      </w:r>
      <w:r>
        <w:rPr>
          <w:rFonts w:hint="eastAsia" w:eastAsia="仿宋_GB2312" w:cs="Times New Roman"/>
          <w:color w:val="auto"/>
          <w:sz w:val="32"/>
          <w:szCs w:val="32"/>
          <w:lang w:val="en-US" w:eastAsia="zh-CN"/>
        </w:rPr>
        <w:t>支出</w:t>
      </w:r>
      <w:r>
        <w:rPr>
          <w:rFonts w:hint="default" w:ascii="Times New Roman" w:hAnsi="Times New Roman" w:eastAsia="仿宋_GB2312" w:cs="Times New Roman"/>
          <w:color w:val="auto"/>
          <w:sz w:val="32"/>
          <w:szCs w:val="32"/>
          <w:lang w:eastAsia="zh-CN"/>
        </w:rPr>
        <w:t>为</w:t>
      </w:r>
      <w:r>
        <w:rPr>
          <w:rFonts w:hint="eastAsia" w:eastAsia="仿宋_GB2312"/>
          <w:color w:val="auto"/>
          <w:sz w:val="32"/>
          <w:szCs w:val="32"/>
          <w:lang w:val="en-US" w:eastAsia="zh-CN"/>
        </w:rPr>
        <w:t>241.37</w:t>
      </w:r>
      <w:r>
        <w:rPr>
          <w:rFonts w:hint="default" w:ascii="Times New Roman" w:hAnsi="Times New Roman" w:eastAsia="仿宋_GB2312" w:cs="Times New Roman"/>
          <w:color w:val="auto"/>
          <w:sz w:val="32"/>
          <w:szCs w:val="32"/>
          <w:lang w:eastAsia="zh-CN"/>
        </w:rPr>
        <w:t>万元，</w:t>
      </w:r>
      <w:r>
        <w:rPr>
          <w:rFonts w:hint="eastAsia" w:eastAsia="仿宋_GB2312" w:cs="Times New Roman"/>
          <w:color w:val="auto"/>
          <w:sz w:val="32"/>
          <w:szCs w:val="32"/>
          <w:lang w:eastAsia="zh-CN"/>
        </w:rPr>
        <w:t>其中：一般公共服务支出</w:t>
      </w:r>
      <w:r>
        <w:rPr>
          <w:rFonts w:hint="eastAsia" w:eastAsia="仿宋_GB2312"/>
          <w:color w:val="auto"/>
          <w:sz w:val="32"/>
          <w:szCs w:val="32"/>
          <w:lang w:val="en-US" w:eastAsia="zh-CN"/>
        </w:rPr>
        <w:t>241.37</w:t>
      </w:r>
      <w:r>
        <w:rPr>
          <w:rFonts w:hint="eastAsia" w:eastAsia="仿宋_GB2312" w:cs="Times New Roman"/>
          <w:color w:val="auto"/>
          <w:sz w:val="32"/>
          <w:szCs w:val="32"/>
          <w:lang w:val="en-US" w:eastAsia="zh-CN"/>
        </w:rPr>
        <w:t>万元，占</w:t>
      </w:r>
      <w:r>
        <w:rPr>
          <w:rFonts w:hint="eastAsia" w:eastAsia="仿宋_GB2312"/>
          <w:color w:val="auto"/>
          <w:sz w:val="32"/>
          <w:szCs w:val="32"/>
          <w:lang w:val="en-US" w:eastAsia="zh-CN"/>
        </w:rPr>
        <w:t>100</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sz w:val="32"/>
          <w:szCs w:val="32"/>
          <w:lang w:eastAsia="zh-CN"/>
        </w:rPr>
        <w:t>具体安排情况如下：</w:t>
      </w:r>
      <w:r>
        <w:rPr>
          <w:rFonts w:hint="eastAsia" w:eastAsia="仿宋_GB2312" w:cs="Times New Roman"/>
          <w:color w:val="auto"/>
          <w:sz w:val="32"/>
          <w:szCs w:val="32"/>
          <w:lang w:val="en-US" w:eastAsia="zh-CN"/>
        </w:rPr>
        <w:t xml:space="preserve"> </w:t>
      </w:r>
      <w:r>
        <w:rPr>
          <w:rFonts w:hint="eastAsia" w:eastAsia="仿宋_GB2312" w:cs="Times New Roman"/>
          <w:color w:val="000000"/>
          <w:sz w:val="32"/>
          <w:szCs w:val="32"/>
          <w:lang w:val="en-US" w:eastAsia="zh-CN"/>
        </w:rPr>
        <w:t xml:space="preserve"> </w:t>
      </w:r>
    </w:p>
    <w:p w14:paraId="14E3DFA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rPr>
      </w:pPr>
      <w:r>
        <w:rPr>
          <w:rFonts w:hint="eastAsia" w:ascii="仿宋_GB2312" w:eastAsia="仿宋_GB2312"/>
          <w:sz w:val="32"/>
          <w:szCs w:val="32"/>
          <w:lang w:eastAsia="zh-CN"/>
        </w:rPr>
        <w:t>（一）</w:t>
      </w:r>
      <w:r>
        <w:rPr>
          <w:rFonts w:hint="eastAsia" w:eastAsia="仿宋_GB2312"/>
          <w:sz w:val="32"/>
          <w:szCs w:val="32"/>
        </w:rPr>
        <w:t>基本支出</w:t>
      </w:r>
      <w:r>
        <w:rPr>
          <w:rFonts w:hint="eastAsia" w:eastAsia="仿宋_GB2312"/>
          <w:sz w:val="32"/>
          <w:szCs w:val="32"/>
          <w:lang w:eastAsia="zh-CN"/>
        </w:rPr>
        <w:t>：20</w:t>
      </w:r>
      <w:r>
        <w:rPr>
          <w:rFonts w:hint="eastAsia" w:eastAsia="仿宋_GB2312"/>
          <w:sz w:val="32"/>
          <w:szCs w:val="32"/>
          <w:lang w:val="en-US" w:eastAsia="zh-CN"/>
        </w:rPr>
        <w:t>24</w:t>
      </w:r>
      <w:r>
        <w:rPr>
          <w:rFonts w:hint="eastAsia" w:eastAsia="仿宋_GB2312"/>
          <w:sz w:val="32"/>
          <w:szCs w:val="32"/>
          <w:lang w:eastAsia="zh-CN"/>
        </w:rPr>
        <w:t>年年初预算数为</w:t>
      </w:r>
      <w:r>
        <w:rPr>
          <w:rFonts w:hint="eastAsia" w:eastAsia="仿宋_GB2312"/>
          <w:sz w:val="32"/>
          <w:szCs w:val="32"/>
          <w:lang w:val="en-US" w:eastAsia="zh-CN"/>
        </w:rPr>
        <w:t>191.92</w:t>
      </w:r>
      <w:r>
        <w:rPr>
          <w:rFonts w:hint="eastAsia" w:eastAsia="仿宋_GB2312"/>
          <w:sz w:val="32"/>
          <w:szCs w:val="32"/>
          <w:lang w:eastAsia="zh-CN"/>
        </w:rPr>
        <w:t>万元，是指为保障单位机构正常运转、完成日常工作任务而发生的各项支出，包括用</w:t>
      </w:r>
      <w:r>
        <w:rPr>
          <w:rFonts w:hint="eastAsia" w:eastAsia="仿宋_GB2312"/>
          <w:sz w:val="32"/>
          <w:szCs w:val="32"/>
          <w:highlight w:val="none"/>
          <w:lang w:eastAsia="zh-CN"/>
        </w:rPr>
        <w:t>于基本工资</w:t>
      </w:r>
      <w:r>
        <w:rPr>
          <w:rFonts w:hint="eastAsia" w:eastAsia="仿宋_GB2312"/>
          <w:sz w:val="32"/>
          <w:szCs w:val="32"/>
          <w:highlight w:val="none"/>
          <w:lang w:val="en-US" w:eastAsia="zh-CN"/>
        </w:rPr>
        <w:t>53.09万元</w:t>
      </w:r>
      <w:r>
        <w:rPr>
          <w:rFonts w:hint="eastAsia" w:eastAsia="仿宋_GB2312"/>
          <w:sz w:val="32"/>
          <w:szCs w:val="32"/>
          <w:highlight w:val="none"/>
          <w:lang w:eastAsia="zh-CN"/>
        </w:rPr>
        <w:t>、津贴补贴</w:t>
      </w:r>
      <w:r>
        <w:rPr>
          <w:rFonts w:hint="eastAsia" w:eastAsia="仿宋_GB2312"/>
          <w:sz w:val="32"/>
          <w:szCs w:val="32"/>
          <w:highlight w:val="none"/>
          <w:lang w:val="en-US" w:eastAsia="zh-CN"/>
        </w:rPr>
        <w:t>28.97万元、奖金38.19万元、社会保障缴费24.76万元、工会经费1.64万元、</w:t>
      </w:r>
      <w:r>
        <w:rPr>
          <w:rFonts w:hint="eastAsia" w:eastAsia="仿宋_GB2312"/>
          <w:sz w:val="32"/>
          <w:szCs w:val="32"/>
          <w:highlight w:val="none"/>
          <w:lang w:eastAsia="zh-CN"/>
        </w:rPr>
        <w:t>办公费</w:t>
      </w:r>
      <w:r>
        <w:rPr>
          <w:rFonts w:hint="eastAsia" w:eastAsia="仿宋_GB2312"/>
          <w:sz w:val="32"/>
          <w:szCs w:val="32"/>
          <w:highlight w:val="none"/>
          <w:lang w:val="en-US" w:eastAsia="zh-CN"/>
        </w:rPr>
        <w:t>7.14万元</w:t>
      </w:r>
      <w:r>
        <w:rPr>
          <w:rFonts w:hint="eastAsia" w:eastAsia="仿宋_GB2312"/>
          <w:sz w:val="32"/>
          <w:szCs w:val="32"/>
          <w:highlight w:val="none"/>
          <w:lang w:eastAsia="zh-CN"/>
        </w:rPr>
        <w:t>、印刷费</w:t>
      </w:r>
      <w:r>
        <w:rPr>
          <w:rFonts w:hint="eastAsia" w:eastAsia="仿宋_GB2312"/>
          <w:sz w:val="32"/>
          <w:szCs w:val="32"/>
          <w:highlight w:val="none"/>
          <w:lang w:val="en-US" w:eastAsia="zh-CN"/>
        </w:rPr>
        <w:t>2万元</w:t>
      </w:r>
      <w:r>
        <w:rPr>
          <w:rFonts w:hint="eastAsia" w:eastAsia="仿宋_GB2312"/>
          <w:sz w:val="32"/>
          <w:szCs w:val="32"/>
          <w:highlight w:val="none"/>
          <w:lang w:eastAsia="zh-CN"/>
        </w:rPr>
        <w:t>、水电费</w:t>
      </w:r>
      <w:r>
        <w:rPr>
          <w:rFonts w:hint="eastAsia" w:eastAsia="仿宋_GB2312"/>
          <w:sz w:val="32"/>
          <w:szCs w:val="32"/>
          <w:highlight w:val="none"/>
          <w:lang w:val="en-US" w:eastAsia="zh-CN"/>
        </w:rPr>
        <w:t>0.5万元</w:t>
      </w:r>
      <w:r>
        <w:rPr>
          <w:rFonts w:hint="eastAsia" w:eastAsia="仿宋_GB2312"/>
          <w:sz w:val="32"/>
          <w:szCs w:val="32"/>
          <w:highlight w:val="none"/>
          <w:lang w:eastAsia="zh-CN"/>
        </w:rPr>
        <w:t>、</w:t>
      </w:r>
      <w:r>
        <w:rPr>
          <w:rFonts w:hint="eastAsia" w:eastAsia="仿宋_GB2312"/>
          <w:sz w:val="32"/>
          <w:szCs w:val="32"/>
          <w:highlight w:val="none"/>
          <w:lang w:val="en-US" w:eastAsia="zh-CN"/>
        </w:rPr>
        <w:t>其他对个人和家庭补助4.5万元、其他商品服务支出0.69万元、住房公积金13.2万元、公务接待0.42万元、差旅1万元、邮电0.5万元、其他工资福利费2.65万元、公车运行费1.54万元、会议费0.45万</w:t>
      </w:r>
      <w:r>
        <w:rPr>
          <w:rFonts w:hint="eastAsia" w:eastAsia="仿宋_GB2312"/>
          <w:sz w:val="32"/>
          <w:szCs w:val="32"/>
          <w:highlight w:val="none"/>
          <w:lang w:eastAsia="zh-CN"/>
        </w:rPr>
        <w:t>等</w:t>
      </w:r>
      <w:r>
        <w:rPr>
          <w:rFonts w:hint="eastAsia" w:eastAsia="仿宋_GB2312"/>
          <w:sz w:val="32"/>
          <w:szCs w:val="32"/>
        </w:rPr>
        <w:t>；</w:t>
      </w:r>
    </w:p>
    <w:p w14:paraId="1EBC68A3">
      <w:pPr>
        <w:keepNext w:val="0"/>
        <w:keepLines w:val="0"/>
        <w:pageBreakBefore w:val="0"/>
        <w:widowControl/>
        <w:numPr>
          <w:ilvl w:val="0"/>
          <w:numId w:val="0"/>
        </w:numPr>
        <w:spacing w:line="500" w:lineRule="auto"/>
        <w:ind w:left="0" w:right="0" w:firstLine="640"/>
        <w:jc w:val="left"/>
        <w:outlineLvl w:val="9"/>
        <w:rPr>
          <w:rFonts w:hint="eastAsia" w:eastAsia="仿宋_GB2312"/>
          <w:sz w:val="32"/>
          <w:szCs w:val="32"/>
          <w:lang w:val="en-US" w:eastAsia="zh-CN"/>
        </w:rPr>
      </w:pPr>
      <w:r>
        <w:rPr>
          <w:rFonts w:hint="eastAsia" w:ascii="仿宋_GB2312" w:eastAsia="仿宋_GB2312"/>
          <w:sz w:val="32"/>
          <w:szCs w:val="32"/>
          <w:lang w:eastAsia="zh-CN"/>
        </w:rPr>
        <w:t>（二）</w:t>
      </w:r>
      <w:r>
        <w:rPr>
          <w:rFonts w:hint="eastAsia" w:eastAsia="仿宋_GB2312"/>
          <w:sz w:val="32"/>
          <w:szCs w:val="32"/>
        </w:rPr>
        <w:t>项目支出</w:t>
      </w:r>
      <w:r>
        <w:rPr>
          <w:rFonts w:hint="eastAsia" w:eastAsia="仿宋_GB2312"/>
          <w:sz w:val="32"/>
          <w:szCs w:val="32"/>
          <w:lang w:eastAsia="zh-CN"/>
        </w:rPr>
        <w:t>：</w:t>
      </w:r>
      <w:r>
        <w:rPr>
          <w:rFonts w:hint="eastAsia" w:eastAsia="仿宋_GB2312"/>
          <w:sz w:val="32"/>
          <w:szCs w:val="32"/>
          <w:lang w:val="en-US" w:eastAsia="zh-CN"/>
        </w:rPr>
        <w:t>2024年年初预算数为49.45万元，是指单位为完成特定行政工作任务或事业发展目标而发生的支出，包括有关事业发展专项、专项业务费、基本建设支出等。其中：</w:t>
      </w:r>
      <w:r>
        <w:rPr>
          <w:rFonts w:hint="eastAsia" w:eastAsia="仿宋_GB2312"/>
          <w:sz w:val="32"/>
          <w:szCs w:val="32"/>
          <w:lang w:eastAsia="zh-CN"/>
        </w:rPr>
        <w:t>《</w:t>
      </w:r>
      <w:r>
        <w:rPr>
          <w:rFonts w:hint="eastAsia" w:eastAsia="仿宋_GB2312"/>
          <w:sz w:val="32"/>
          <w:szCs w:val="32"/>
          <w:lang w:val="en-US" w:eastAsia="zh-CN"/>
        </w:rPr>
        <w:t>怀化社科》办刊</w:t>
      </w:r>
      <w:r>
        <w:rPr>
          <w:rFonts w:hint="eastAsia" w:eastAsia="仿宋_GB2312"/>
          <w:sz w:val="32"/>
          <w:szCs w:val="32"/>
          <w:lang w:eastAsia="zh-CN"/>
        </w:rPr>
        <w:t>支出</w:t>
      </w:r>
      <w:r>
        <w:rPr>
          <w:rFonts w:hint="eastAsia" w:eastAsia="仿宋_GB2312"/>
          <w:sz w:val="32"/>
          <w:szCs w:val="32"/>
          <w:lang w:val="en-US" w:eastAsia="zh-CN"/>
        </w:rPr>
        <w:t>9</w:t>
      </w:r>
      <w:r>
        <w:rPr>
          <w:rFonts w:hint="eastAsia" w:eastAsia="仿宋_GB2312"/>
          <w:sz w:val="32"/>
          <w:szCs w:val="32"/>
          <w:lang w:eastAsia="zh-CN"/>
        </w:rPr>
        <w:t>万元，</w:t>
      </w:r>
      <w:r>
        <w:rPr>
          <w:rFonts w:hint="eastAsia" w:eastAsia="仿宋_GB2312"/>
          <w:sz w:val="32"/>
          <w:szCs w:val="32"/>
          <w:lang w:val="en-US" w:eastAsia="zh-CN"/>
        </w:rPr>
        <w:t>主要用于杂志办刊</w:t>
      </w:r>
      <w:r>
        <w:rPr>
          <w:rFonts w:hint="eastAsia" w:eastAsia="仿宋_GB2312"/>
          <w:sz w:val="32"/>
          <w:szCs w:val="32"/>
          <w:lang w:eastAsia="zh-CN"/>
        </w:rPr>
        <w:t>；</w:t>
      </w:r>
      <w:r>
        <w:rPr>
          <w:rFonts w:hint="eastAsia" w:eastAsia="仿宋_GB2312"/>
          <w:sz w:val="32"/>
          <w:szCs w:val="32"/>
          <w:lang w:val="en-US" w:eastAsia="zh-CN"/>
        </w:rPr>
        <w:t>社科普及</w:t>
      </w:r>
      <w:r>
        <w:rPr>
          <w:rFonts w:hint="eastAsia" w:eastAsia="仿宋_GB2312"/>
          <w:sz w:val="32"/>
          <w:szCs w:val="32"/>
          <w:lang w:eastAsia="zh-CN"/>
        </w:rPr>
        <w:t>支出</w:t>
      </w:r>
      <w:r>
        <w:rPr>
          <w:rFonts w:hint="eastAsia" w:eastAsia="仿宋_GB2312"/>
          <w:sz w:val="32"/>
          <w:szCs w:val="32"/>
          <w:lang w:val="en-US" w:eastAsia="zh-CN"/>
        </w:rPr>
        <w:t>25</w:t>
      </w:r>
      <w:r>
        <w:rPr>
          <w:rFonts w:hint="eastAsia" w:eastAsia="仿宋_GB2312"/>
          <w:sz w:val="32"/>
          <w:szCs w:val="32"/>
          <w:lang w:eastAsia="zh-CN"/>
        </w:rPr>
        <w:t>万元，主要用于</w:t>
      </w:r>
      <w:r>
        <w:rPr>
          <w:rFonts w:hint="eastAsia" w:eastAsia="仿宋_GB2312"/>
          <w:sz w:val="32"/>
          <w:szCs w:val="32"/>
          <w:lang w:val="en-US" w:eastAsia="zh-CN"/>
        </w:rPr>
        <w:t>社科普及</w:t>
      </w:r>
      <w:r>
        <w:rPr>
          <w:rFonts w:hint="eastAsia" w:eastAsia="仿宋_GB2312"/>
          <w:sz w:val="32"/>
          <w:szCs w:val="32"/>
          <w:lang w:eastAsia="zh-CN"/>
        </w:rPr>
        <w:t>方面</w:t>
      </w:r>
      <w:r>
        <w:rPr>
          <w:rFonts w:hint="eastAsia" w:eastAsia="仿宋_GB2312"/>
          <w:sz w:val="32"/>
          <w:szCs w:val="32"/>
          <w:lang w:val="en-US" w:eastAsia="zh-CN"/>
        </w:rPr>
        <w:t>；“三优”表彰会议支出0.45万元，主要用于专项会议支出；怀化社科联智库发展专项资金支出15万元，主要用于怀化智库建设等。</w:t>
      </w:r>
    </w:p>
    <w:p w14:paraId="72909411">
      <w:pPr>
        <w:keepNext w:val="0"/>
        <w:keepLines w:val="0"/>
        <w:pageBreakBefore w:val="0"/>
        <w:widowControl/>
        <w:numPr>
          <w:ilvl w:val="0"/>
          <w:numId w:val="0"/>
        </w:numPr>
        <w:spacing w:line="500" w:lineRule="auto"/>
        <w:ind w:left="0" w:right="0" w:firstLine="640"/>
        <w:jc w:val="left"/>
        <w:outlineLvl w:val="9"/>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五、政府性基金支出情况</w:t>
      </w:r>
    </w:p>
    <w:p w14:paraId="65D5D72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2024年</w:t>
      </w:r>
      <w:r>
        <w:rPr>
          <w:rFonts w:hint="eastAsia" w:ascii="仿宋" w:hAnsi="仿宋" w:eastAsia="仿宋" w:cs="仿宋"/>
          <w:b/>
          <w:bCs/>
          <w:color w:val="auto"/>
          <w:sz w:val="32"/>
          <w:szCs w:val="32"/>
          <w:lang w:eastAsia="zh-CN"/>
        </w:rPr>
        <w:t>无政府性基金预算支出</w:t>
      </w:r>
      <w:r>
        <w:rPr>
          <w:rFonts w:hint="eastAsia" w:ascii="仿宋" w:hAnsi="仿宋" w:eastAsia="仿宋" w:cs="仿宋"/>
          <w:b/>
          <w:bCs/>
          <w:color w:val="auto"/>
          <w:sz w:val="32"/>
          <w:szCs w:val="32"/>
          <w:lang w:val="en-US" w:eastAsia="zh-CN"/>
        </w:rPr>
        <w:t>。</w:t>
      </w:r>
    </w:p>
    <w:p w14:paraId="01977944">
      <w:pPr>
        <w:keepNext w:val="0"/>
        <w:keepLines w:val="0"/>
        <w:pageBreakBefore w:val="0"/>
        <w:widowControl/>
        <w:numPr>
          <w:ilvl w:val="0"/>
          <w:numId w:val="0"/>
        </w:numPr>
        <w:spacing w:line="500" w:lineRule="auto"/>
        <w:ind w:left="0" w:right="0"/>
        <w:jc w:val="left"/>
        <w:outlineLvl w:val="9"/>
        <w:rPr>
          <w:rFonts w:hint="eastAsia" w:eastAsia="黑体"/>
          <w:bCs/>
          <w:sz w:val="32"/>
          <w:szCs w:val="32"/>
          <w:lang w:eastAsia="zh-CN"/>
        </w:rPr>
      </w:pPr>
      <w:r>
        <w:rPr>
          <w:rFonts w:hint="eastAsia" w:eastAsia="黑体"/>
          <w:bCs/>
          <w:sz w:val="32"/>
          <w:szCs w:val="32"/>
          <w:lang w:val="en-US" w:eastAsia="zh-CN"/>
        </w:rPr>
        <w:t xml:space="preserve">    </w:t>
      </w:r>
      <w:r>
        <w:rPr>
          <w:rFonts w:hint="eastAsia" w:eastAsia="黑体"/>
          <w:bCs/>
          <w:sz w:val="32"/>
          <w:szCs w:val="32"/>
          <w:lang w:eastAsia="zh-CN"/>
        </w:rPr>
        <w:t>六、其他重要事项的情况说明</w:t>
      </w:r>
    </w:p>
    <w:p w14:paraId="6C029D53">
      <w:pPr>
        <w:keepNext w:val="0"/>
        <w:keepLines w:val="0"/>
        <w:pageBreakBefore w:val="0"/>
        <w:widowControl/>
        <w:numPr>
          <w:ilvl w:val="0"/>
          <w:numId w:val="0"/>
        </w:numPr>
        <w:spacing w:line="500" w:lineRule="auto"/>
        <w:ind w:left="660" w:right="0"/>
        <w:outlineLvl w:val="9"/>
        <w:rPr>
          <w:rFonts w:hint="eastAsia" w:eastAsia="仿宋_GB2312"/>
          <w:b/>
          <w:bCs/>
          <w:sz w:val="32"/>
          <w:szCs w:val="32"/>
          <w:lang w:val="en-US" w:eastAsia="zh-CN"/>
        </w:rPr>
      </w:pPr>
      <w:r>
        <w:rPr>
          <w:rFonts w:hint="eastAsia" w:eastAsia="仿宋_GB2312"/>
          <w:b/>
          <w:bCs/>
          <w:sz w:val="32"/>
          <w:szCs w:val="32"/>
          <w:lang w:val="en-US" w:eastAsia="zh-CN"/>
        </w:rPr>
        <w:t>（一）</w:t>
      </w:r>
      <w:r>
        <w:rPr>
          <w:rFonts w:hint="eastAsia" w:eastAsia="仿宋_GB2312" w:cs="Times New Roman"/>
          <w:b/>
          <w:bCs/>
          <w:sz w:val="32"/>
          <w:szCs w:val="32"/>
          <w:lang w:val="en-US" w:eastAsia="zh-CN"/>
        </w:rPr>
        <w:t>一般公共预算</w:t>
      </w:r>
      <w:r>
        <w:rPr>
          <w:rFonts w:hint="eastAsia" w:eastAsia="仿宋_GB2312"/>
          <w:b/>
          <w:bCs/>
          <w:sz w:val="32"/>
          <w:szCs w:val="32"/>
          <w:lang w:val="en-US" w:eastAsia="zh-CN"/>
        </w:rPr>
        <w:t>“三公”经费预算</w:t>
      </w:r>
    </w:p>
    <w:p w14:paraId="6E87E21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textAlignment w:val="auto"/>
        <w:outlineLvl w:val="9"/>
        <w:rPr>
          <w:rFonts w:hint="eastAsia" w:eastAsia="仿宋_GB2312"/>
          <w:b/>
          <w:bCs/>
          <w:sz w:val="32"/>
          <w:szCs w:val="32"/>
          <w:lang w:eastAsia="zh-CN"/>
        </w:rPr>
      </w:pPr>
      <w:r>
        <w:rPr>
          <w:rFonts w:hint="eastAsia" w:eastAsia="仿宋_GB2312"/>
          <w:sz w:val="32"/>
          <w:szCs w:val="32"/>
          <w:lang w:val="en-US" w:eastAsia="zh-CN"/>
        </w:rPr>
        <w:t xml:space="preserve">    </w:t>
      </w:r>
      <w:r>
        <w:rPr>
          <w:rFonts w:hint="eastAsia" w:eastAsia="仿宋_GB2312"/>
          <w:b/>
          <w:bCs/>
          <w:color w:val="FF0000"/>
          <w:sz w:val="32"/>
          <w:szCs w:val="32"/>
          <w:lang w:val="en-US" w:eastAsia="zh-CN"/>
        </w:rPr>
        <w:t xml:space="preserve"> </w:t>
      </w:r>
      <w:r>
        <w:rPr>
          <w:rFonts w:hint="eastAsia" w:eastAsia="仿宋_GB2312"/>
          <w:b w:val="0"/>
          <w:bCs w:val="0"/>
          <w:color w:val="auto"/>
          <w:sz w:val="32"/>
          <w:szCs w:val="32"/>
          <w:highlight w:val="none"/>
          <w:lang w:val="en-US" w:eastAsia="zh-CN"/>
        </w:rPr>
        <w:t>2024年怀化市社会科学界联合会安排“三公”经费预算数为1.96万元，</w:t>
      </w:r>
      <w:r>
        <w:rPr>
          <w:rFonts w:hint="eastAsia" w:eastAsia="仿宋_GB2312"/>
          <w:b w:val="0"/>
          <w:bCs w:val="0"/>
          <w:sz w:val="32"/>
          <w:szCs w:val="32"/>
          <w:lang w:val="en-US" w:eastAsia="zh-CN"/>
        </w:rPr>
        <w:t>其中，公务接待费0.42万元，公务用车购置费0万元，公务用车运行费1.54万元，因公出国（境）费0万元。</w:t>
      </w:r>
      <w:r>
        <w:rPr>
          <w:rFonts w:eastAsia="仿宋_GB2312"/>
          <w:b/>
          <w:bCs/>
          <w:sz w:val="32"/>
          <w:szCs w:val="32"/>
        </w:rPr>
        <w:t>20</w:t>
      </w:r>
      <w:r>
        <w:rPr>
          <w:rFonts w:hint="eastAsia" w:eastAsia="仿宋_GB2312"/>
          <w:b/>
          <w:bCs/>
          <w:sz w:val="32"/>
          <w:szCs w:val="32"/>
          <w:lang w:val="en-US" w:eastAsia="zh-CN"/>
        </w:rPr>
        <w:t>24</w:t>
      </w:r>
      <w:r>
        <w:rPr>
          <w:rFonts w:hint="eastAsia" w:eastAsia="仿宋_GB2312"/>
          <w:b/>
          <w:bCs/>
          <w:sz w:val="32"/>
          <w:szCs w:val="32"/>
        </w:rPr>
        <w:t>年</w:t>
      </w:r>
      <w:r>
        <w:rPr>
          <w:rFonts w:eastAsia="仿宋_GB2312"/>
          <w:b/>
          <w:bCs/>
          <w:sz w:val="32"/>
          <w:szCs w:val="32"/>
        </w:rPr>
        <w:t>“三公”经费预算与</w:t>
      </w:r>
      <w:r>
        <w:rPr>
          <w:rFonts w:hint="eastAsia" w:eastAsia="仿宋_GB2312"/>
          <w:b/>
          <w:bCs/>
          <w:sz w:val="32"/>
          <w:szCs w:val="32"/>
          <w:lang w:eastAsia="zh-CN"/>
        </w:rPr>
        <w:t>上</w:t>
      </w:r>
      <w:r>
        <w:rPr>
          <w:rFonts w:eastAsia="仿宋_GB2312"/>
          <w:b/>
          <w:bCs/>
          <w:sz w:val="32"/>
          <w:szCs w:val="32"/>
        </w:rPr>
        <w:t>年持平</w:t>
      </w:r>
      <w:r>
        <w:rPr>
          <w:rFonts w:hint="eastAsia" w:eastAsia="仿宋_GB2312"/>
          <w:b/>
          <w:bCs/>
          <w:sz w:val="32"/>
          <w:szCs w:val="32"/>
          <w:lang w:eastAsia="zh-CN"/>
        </w:rPr>
        <w:t>。</w:t>
      </w:r>
    </w:p>
    <w:p w14:paraId="79CC42FF">
      <w:pPr>
        <w:keepNext w:val="0"/>
        <w:keepLines w:val="0"/>
        <w:pageBreakBefore w:val="0"/>
        <w:widowControl/>
        <w:numPr>
          <w:ilvl w:val="0"/>
          <w:numId w:val="0"/>
        </w:numPr>
        <w:spacing w:line="500" w:lineRule="auto"/>
        <w:ind w:left="660" w:right="0"/>
        <w:outlineLvl w:val="9"/>
        <w:rPr>
          <w:rFonts w:hint="eastAsia" w:eastAsia="仿宋_GB2312"/>
          <w:b/>
          <w:bCs/>
          <w:sz w:val="32"/>
          <w:szCs w:val="32"/>
          <w:lang w:val="en-US" w:eastAsia="zh-CN"/>
        </w:rPr>
      </w:pPr>
      <w:r>
        <w:rPr>
          <w:rFonts w:hint="eastAsia" w:eastAsia="仿宋_GB2312"/>
          <w:b/>
          <w:bCs/>
          <w:sz w:val="32"/>
          <w:szCs w:val="32"/>
          <w:lang w:val="en-US" w:eastAsia="zh-CN"/>
        </w:rPr>
        <w:t>（二）机关运行经费</w:t>
      </w:r>
    </w:p>
    <w:p w14:paraId="0A414A00">
      <w:pPr>
        <w:keepNext w:val="0"/>
        <w:keepLines w:val="0"/>
        <w:pageBreakBefore w:val="0"/>
        <w:widowControl/>
        <w:numPr>
          <w:ilvl w:val="0"/>
          <w:numId w:val="0"/>
        </w:numPr>
        <w:spacing w:line="500" w:lineRule="auto"/>
        <w:ind w:left="0" w:right="0"/>
        <w:jc w:val="left"/>
        <w:outlineLvl w:val="9"/>
        <w:rPr>
          <w:rFonts w:hint="eastAsia" w:eastAsia="仿宋_GB2312"/>
          <w:b w:val="0"/>
          <w:bCs w:val="0"/>
          <w:sz w:val="32"/>
          <w:szCs w:val="32"/>
          <w:highlight w:val="yellow"/>
          <w:lang w:val="en-US" w:eastAsia="zh-CN"/>
        </w:rPr>
      </w:pPr>
      <w:r>
        <w:rPr>
          <w:rFonts w:hint="eastAsia" w:eastAsia="仿宋_GB2312"/>
          <w:sz w:val="32"/>
          <w:szCs w:val="32"/>
          <w:lang w:val="en-US" w:eastAsia="zh-CN"/>
        </w:rPr>
        <w:t xml:space="preserve">   </w:t>
      </w:r>
      <w:r>
        <w:rPr>
          <w:rFonts w:hint="eastAsia" w:eastAsia="仿宋_GB2312"/>
          <w:b w:val="0"/>
          <w:bCs w:val="0"/>
          <w:sz w:val="32"/>
          <w:szCs w:val="32"/>
          <w:lang w:val="en-US" w:eastAsia="zh-CN"/>
        </w:rPr>
        <w:t xml:space="preserve"> </w:t>
      </w:r>
      <w:r>
        <w:rPr>
          <w:rFonts w:hint="eastAsia" w:eastAsia="仿宋_GB2312"/>
          <w:b w:val="0"/>
          <w:bCs w:val="0"/>
          <w:color w:val="auto"/>
          <w:sz w:val="32"/>
          <w:szCs w:val="32"/>
          <w:lang w:val="en-US" w:eastAsia="zh-CN"/>
        </w:rPr>
        <w:t xml:space="preserve"> </w:t>
      </w:r>
      <w:r>
        <w:rPr>
          <w:rFonts w:hint="eastAsia" w:eastAsia="仿宋_GB2312"/>
          <w:b w:val="0"/>
          <w:bCs w:val="0"/>
          <w:color w:val="000000"/>
          <w:sz w:val="32"/>
          <w:szCs w:val="32"/>
          <w:lang w:val="en-US" w:eastAsia="zh-CN"/>
        </w:rPr>
        <w:t>2024年</w:t>
      </w:r>
      <w:r>
        <w:rPr>
          <w:rFonts w:hint="eastAsia" w:eastAsia="仿宋_GB2312"/>
          <w:b w:val="0"/>
          <w:bCs w:val="0"/>
          <w:color w:val="000000"/>
          <w:sz w:val="32"/>
          <w:szCs w:val="32"/>
          <w:highlight w:val="none"/>
          <w:lang w:val="en-US" w:eastAsia="zh-CN"/>
        </w:rPr>
        <w:t>怀化市社会科学界联合会</w:t>
      </w:r>
      <w:r>
        <w:rPr>
          <w:rFonts w:hint="eastAsia" w:eastAsia="仿宋_GB2312"/>
          <w:b w:val="0"/>
          <w:bCs w:val="0"/>
          <w:color w:val="000000"/>
          <w:sz w:val="32"/>
          <w:szCs w:val="32"/>
          <w:lang w:val="en-US" w:eastAsia="zh-CN"/>
        </w:rPr>
        <w:t>机关运行经费33.18万元</w:t>
      </w:r>
      <w:r>
        <w:rPr>
          <w:rFonts w:hint="eastAsia" w:eastAsia="仿宋_GB2312" w:cs="Times New Roman"/>
          <w:b/>
          <w:bCs/>
          <w:color w:val="000000"/>
          <w:sz w:val="32"/>
          <w:szCs w:val="32"/>
          <w:lang w:val="en-US" w:eastAsia="zh-CN"/>
        </w:rPr>
        <w:t>，压减公用经</w:t>
      </w:r>
      <w:r>
        <w:rPr>
          <w:rFonts w:hint="eastAsia" w:eastAsia="仿宋_GB2312"/>
          <w:b/>
          <w:bCs/>
          <w:color w:val="000000"/>
          <w:sz w:val="32"/>
          <w:szCs w:val="32"/>
          <w:lang w:val="en-US" w:eastAsia="zh-CN"/>
        </w:rPr>
        <w:t>费后安排</w:t>
      </w:r>
      <w:r>
        <w:rPr>
          <w:rFonts w:hint="eastAsia" w:eastAsia="仿宋_GB2312"/>
          <w:b w:val="0"/>
          <w:bCs w:val="0"/>
          <w:color w:val="auto"/>
          <w:sz w:val="32"/>
          <w:szCs w:val="32"/>
          <w:lang w:val="en-US" w:eastAsia="zh-CN"/>
        </w:rPr>
        <w:t>26.55万元</w:t>
      </w:r>
      <w:r>
        <w:rPr>
          <w:rFonts w:hint="eastAsia" w:eastAsia="仿宋_GB2312"/>
          <w:b/>
          <w:bCs/>
          <w:color w:val="auto"/>
          <w:sz w:val="32"/>
          <w:szCs w:val="32"/>
          <w:lang w:val="en-US" w:eastAsia="zh-CN"/>
        </w:rPr>
        <w:t>，</w:t>
      </w:r>
      <w:r>
        <w:rPr>
          <w:rFonts w:hint="eastAsia" w:eastAsia="仿宋_GB2312"/>
          <w:b w:val="0"/>
          <w:bCs w:val="0"/>
          <w:color w:val="auto"/>
          <w:sz w:val="32"/>
          <w:szCs w:val="32"/>
          <w:lang w:val="en-US" w:eastAsia="zh-CN"/>
        </w:rPr>
        <w:t>同口径对比，比上</w:t>
      </w:r>
      <w:r>
        <w:rPr>
          <w:rFonts w:hint="eastAsia" w:eastAsia="仿宋_GB2312"/>
          <w:b w:val="0"/>
          <w:bCs w:val="0"/>
          <w:sz w:val="32"/>
          <w:szCs w:val="32"/>
          <w:lang w:val="en-US" w:eastAsia="zh-CN"/>
        </w:rPr>
        <w:t>年</w:t>
      </w:r>
      <w:r>
        <w:rPr>
          <w:rFonts w:hint="eastAsia" w:eastAsia="仿宋_GB2312"/>
          <w:sz w:val="32"/>
          <w:szCs w:val="32"/>
          <w:lang w:val="en-US" w:eastAsia="zh-CN"/>
        </w:rPr>
        <w:t>预算数减少1.8万元，下降2.7%，主要因为人员经费和项目经费压缩，</w:t>
      </w:r>
      <w:r>
        <w:rPr>
          <w:rFonts w:hint="eastAsia" w:eastAsia="仿宋_GB2312"/>
          <w:b w:val="0"/>
          <w:bCs w:val="0"/>
          <w:sz w:val="32"/>
          <w:szCs w:val="32"/>
          <w:lang w:eastAsia="zh-CN"/>
        </w:rPr>
        <w:t>主要用于</w:t>
      </w:r>
      <w:r>
        <w:rPr>
          <w:rFonts w:hint="eastAsia" w:eastAsia="仿宋_GB2312"/>
          <w:b w:val="0"/>
          <w:bCs w:val="0"/>
          <w:sz w:val="32"/>
          <w:szCs w:val="32"/>
          <w:highlight w:val="none"/>
          <w:lang w:eastAsia="zh-CN"/>
        </w:rPr>
        <w:t>：</w:t>
      </w:r>
      <w:r>
        <w:rPr>
          <w:rFonts w:hint="eastAsia" w:eastAsia="仿宋_GB2312"/>
          <w:sz w:val="32"/>
          <w:szCs w:val="32"/>
          <w:highlight w:val="none"/>
          <w:lang w:eastAsia="zh-CN"/>
        </w:rPr>
        <w:t>办公费</w:t>
      </w:r>
      <w:r>
        <w:rPr>
          <w:rFonts w:hint="eastAsia" w:eastAsia="仿宋_GB2312"/>
          <w:sz w:val="32"/>
          <w:szCs w:val="32"/>
          <w:highlight w:val="none"/>
          <w:lang w:val="en-US" w:eastAsia="zh-CN"/>
        </w:rPr>
        <w:t>支出、3.24万元</w:t>
      </w:r>
      <w:r>
        <w:rPr>
          <w:rFonts w:hint="eastAsia" w:eastAsia="仿宋_GB2312"/>
          <w:sz w:val="32"/>
          <w:szCs w:val="32"/>
          <w:highlight w:val="none"/>
          <w:lang w:eastAsia="zh-CN"/>
        </w:rPr>
        <w:t>；</w:t>
      </w:r>
      <w:r>
        <w:rPr>
          <w:rFonts w:hint="eastAsia" w:eastAsia="仿宋_GB2312"/>
          <w:sz w:val="32"/>
          <w:szCs w:val="32"/>
          <w:highlight w:val="none"/>
          <w:lang w:val="en-US" w:eastAsia="zh-CN"/>
        </w:rPr>
        <w:t>印刷</w:t>
      </w:r>
      <w:r>
        <w:rPr>
          <w:rFonts w:hint="eastAsia" w:eastAsia="仿宋_GB2312"/>
          <w:sz w:val="32"/>
          <w:szCs w:val="32"/>
          <w:highlight w:val="none"/>
          <w:lang w:eastAsia="zh-CN"/>
        </w:rPr>
        <w:t>费</w:t>
      </w:r>
      <w:r>
        <w:rPr>
          <w:rFonts w:hint="eastAsia" w:eastAsia="仿宋_GB2312"/>
          <w:sz w:val="32"/>
          <w:szCs w:val="32"/>
          <w:highlight w:val="none"/>
          <w:lang w:val="en-US" w:eastAsia="zh-CN"/>
        </w:rPr>
        <w:t>支出、2万元</w:t>
      </w:r>
      <w:r>
        <w:rPr>
          <w:rFonts w:hint="eastAsia" w:eastAsia="仿宋_GB2312"/>
          <w:sz w:val="32"/>
          <w:szCs w:val="32"/>
          <w:highlight w:val="none"/>
          <w:lang w:eastAsia="zh-CN"/>
        </w:rPr>
        <w:t>；</w:t>
      </w:r>
      <w:r>
        <w:rPr>
          <w:rFonts w:hint="eastAsia" w:eastAsia="仿宋_GB2312"/>
          <w:sz w:val="32"/>
          <w:szCs w:val="32"/>
          <w:highlight w:val="none"/>
          <w:lang w:val="en-US" w:eastAsia="zh-CN"/>
        </w:rPr>
        <w:t>邮电费支出，0.5万元；公</w:t>
      </w:r>
      <w:bookmarkStart w:id="0" w:name="_GoBack"/>
      <w:bookmarkEnd w:id="0"/>
      <w:r>
        <w:rPr>
          <w:rFonts w:hint="eastAsia" w:eastAsia="仿宋_GB2312"/>
          <w:sz w:val="32"/>
          <w:szCs w:val="32"/>
          <w:highlight w:val="none"/>
          <w:lang w:val="en-US" w:eastAsia="zh-CN"/>
        </w:rPr>
        <w:t>车运行维护费支出，1.54万元；差旅费支出，1万元；电费支出，0.5万元；工会经费支出，1.64万元；接待费支出，0.42万元；福利费支出，4万元；其他商品和服务支出，11.71万元</w:t>
      </w:r>
      <w:r>
        <w:rPr>
          <w:rFonts w:hint="eastAsia" w:eastAsia="仿宋_GB2312"/>
          <w:b w:val="0"/>
          <w:bCs w:val="0"/>
          <w:sz w:val="32"/>
          <w:szCs w:val="32"/>
          <w:highlight w:val="none"/>
          <w:lang w:eastAsia="zh-CN"/>
        </w:rPr>
        <w:t>。</w:t>
      </w:r>
    </w:p>
    <w:p w14:paraId="72427A01">
      <w:pPr>
        <w:keepNext w:val="0"/>
        <w:keepLines w:val="0"/>
        <w:pageBreakBefore w:val="0"/>
        <w:widowControl/>
        <w:numPr>
          <w:ilvl w:val="0"/>
          <w:numId w:val="0"/>
        </w:numPr>
        <w:spacing w:line="500" w:lineRule="auto"/>
        <w:ind w:left="0" w:right="0"/>
        <w:outlineLvl w:val="9"/>
        <w:rPr>
          <w:rFonts w:hint="eastAsia" w:eastAsia="仿宋_GB2312"/>
          <w:b/>
          <w:bCs/>
          <w:sz w:val="32"/>
          <w:szCs w:val="32"/>
          <w:lang w:val="en-US" w:eastAsia="zh-CN"/>
        </w:rPr>
      </w:pPr>
      <w:r>
        <w:rPr>
          <w:rFonts w:hint="eastAsia" w:eastAsia="仿宋_GB2312"/>
          <w:b/>
          <w:bCs/>
          <w:sz w:val="32"/>
          <w:szCs w:val="32"/>
          <w:lang w:val="en-US" w:eastAsia="zh-CN"/>
        </w:rPr>
        <w:t xml:space="preserve">    （三）政府采购情况</w:t>
      </w:r>
    </w:p>
    <w:p w14:paraId="6EAE72C0">
      <w:pPr>
        <w:keepNext w:val="0"/>
        <w:keepLines w:val="0"/>
        <w:pageBreakBefore w:val="0"/>
        <w:widowControl/>
        <w:numPr>
          <w:ilvl w:val="0"/>
          <w:numId w:val="0"/>
        </w:numPr>
        <w:spacing w:line="500" w:lineRule="auto"/>
        <w:ind w:left="0" w:right="0" w:firstLine="643"/>
        <w:jc w:val="left"/>
        <w:outlineLvl w:val="9"/>
        <w:rPr>
          <w:rFonts w:hint="eastAsia" w:eastAsia="仿宋_GB2312"/>
          <w:b/>
          <w:bCs/>
          <w:sz w:val="32"/>
          <w:szCs w:val="32"/>
          <w:lang w:val="en-US" w:eastAsia="zh-CN"/>
        </w:rPr>
      </w:pPr>
      <w:r>
        <w:rPr>
          <w:rFonts w:hint="eastAsia" w:eastAsia="仿宋_GB2312"/>
          <w:sz w:val="32"/>
          <w:szCs w:val="32"/>
          <w:lang w:val="en-US" w:eastAsia="zh-CN"/>
        </w:rPr>
        <w:t xml:space="preserve">    </w:t>
      </w:r>
      <w:r>
        <w:rPr>
          <w:rFonts w:hint="eastAsia" w:eastAsia="仿宋_GB2312"/>
          <w:b/>
          <w:bCs/>
          <w:sz w:val="32"/>
          <w:szCs w:val="32"/>
          <w:lang w:val="en-US" w:eastAsia="zh-CN"/>
        </w:rPr>
        <w:t>2024年怀化市社会科学界联合会采购预算总额为0万元。</w:t>
      </w:r>
      <w:r>
        <w:rPr>
          <w:rFonts w:hint="eastAsia" w:eastAsia="仿宋_GB2312"/>
          <w:sz w:val="32"/>
          <w:szCs w:val="32"/>
          <w:lang w:val="en-US" w:eastAsia="zh-CN"/>
        </w:rPr>
        <w:t xml:space="preserve"> </w:t>
      </w:r>
    </w:p>
    <w:p w14:paraId="4D03BBDD">
      <w:pPr>
        <w:keepNext w:val="0"/>
        <w:keepLines w:val="0"/>
        <w:pageBreakBefore w:val="0"/>
        <w:widowControl/>
        <w:numPr>
          <w:ilvl w:val="0"/>
          <w:numId w:val="0"/>
        </w:numPr>
        <w:spacing w:line="500" w:lineRule="auto"/>
        <w:ind w:left="0" w:right="0" w:firstLine="643"/>
        <w:jc w:val="left"/>
        <w:outlineLvl w:val="9"/>
        <w:rPr>
          <w:rFonts w:hint="eastAsia" w:eastAsia="仿宋_GB2312"/>
          <w:b/>
          <w:bCs/>
          <w:sz w:val="32"/>
          <w:szCs w:val="32"/>
          <w:lang w:val="en-US" w:eastAsia="zh-CN"/>
        </w:rPr>
      </w:pPr>
      <w:r>
        <w:rPr>
          <w:rFonts w:hint="eastAsia" w:eastAsia="仿宋_GB2312"/>
          <w:b/>
          <w:bCs/>
          <w:sz w:val="32"/>
          <w:szCs w:val="32"/>
          <w:lang w:val="en-US" w:eastAsia="zh-CN"/>
        </w:rPr>
        <w:t>（四）预算绩效管理情况</w:t>
      </w:r>
    </w:p>
    <w:p w14:paraId="485DF2F5">
      <w:pPr>
        <w:keepNext w:val="0"/>
        <w:keepLines w:val="0"/>
        <w:pageBreakBefore w:val="0"/>
        <w:widowControl/>
        <w:numPr>
          <w:ilvl w:val="0"/>
          <w:numId w:val="0"/>
        </w:numPr>
        <w:spacing w:line="500" w:lineRule="auto"/>
        <w:ind w:left="0" w:right="0" w:firstLine="640"/>
        <w:jc w:val="left"/>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按照市本级预算绩效管理工作的总体要求，2024年我单位整体支出</w:t>
      </w:r>
      <w:r>
        <w:rPr>
          <w:rFonts w:hint="eastAsia" w:eastAsia="仿宋_GB2312"/>
          <w:sz w:val="32"/>
          <w:szCs w:val="32"/>
          <w:lang w:val="en-US" w:eastAsia="zh-CN"/>
        </w:rPr>
        <w:t>241.37</w:t>
      </w:r>
      <w:r>
        <w:rPr>
          <w:rFonts w:hint="eastAsia" w:eastAsia="仿宋_GB2312"/>
          <w:b w:val="0"/>
          <w:bCs w:val="0"/>
          <w:sz w:val="32"/>
          <w:szCs w:val="32"/>
          <w:lang w:val="en-US" w:eastAsia="zh-CN"/>
        </w:rPr>
        <w:t>万元，全部实行整体支出绩效目标管理，编报绩效目标的项目</w:t>
      </w:r>
      <w:r>
        <w:rPr>
          <w:rFonts w:hint="eastAsia" w:eastAsia="仿宋_GB2312"/>
          <w:sz w:val="32"/>
          <w:szCs w:val="32"/>
          <w:lang w:val="en-US" w:eastAsia="zh-CN"/>
        </w:rPr>
        <w:t>4</w:t>
      </w:r>
      <w:r>
        <w:rPr>
          <w:rFonts w:hint="eastAsia" w:eastAsia="仿宋_GB2312"/>
          <w:b w:val="0"/>
          <w:bCs w:val="0"/>
          <w:sz w:val="32"/>
          <w:szCs w:val="32"/>
          <w:lang w:val="en-US" w:eastAsia="zh-CN"/>
        </w:rPr>
        <w:t>个，涉及项目支出</w:t>
      </w:r>
      <w:r>
        <w:rPr>
          <w:rFonts w:hint="eastAsia" w:eastAsia="仿宋_GB2312"/>
          <w:sz w:val="32"/>
          <w:szCs w:val="32"/>
          <w:lang w:val="en-US" w:eastAsia="zh-CN"/>
        </w:rPr>
        <w:t>49.45</w:t>
      </w:r>
      <w:r>
        <w:rPr>
          <w:rFonts w:hint="eastAsia" w:eastAsia="仿宋_GB2312"/>
          <w:b w:val="0"/>
          <w:bCs w:val="0"/>
          <w:sz w:val="32"/>
          <w:szCs w:val="32"/>
          <w:lang w:val="en-US" w:eastAsia="zh-CN"/>
        </w:rPr>
        <w:t>万元，其中</w:t>
      </w:r>
      <w:r>
        <w:rPr>
          <w:rFonts w:hint="eastAsia" w:eastAsia="仿宋_GB2312"/>
          <w:sz w:val="32"/>
          <w:szCs w:val="32"/>
          <w:lang w:eastAsia="zh-CN"/>
        </w:rPr>
        <w:t>《怀化社科》办刊支出9万元，社科普及支出25万元，“三优”表彰会议支出0.45万元，怀化社科联智库发展专项资金支出15万元，</w:t>
      </w:r>
      <w:r>
        <w:rPr>
          <w:rFonts w:hint="eastAsia" w:eastAsia="仿宋_GB2312"/>
          <w:b w:val="0"/>
          <w:bCs w:val="0"/>
          <w:sz w:val="32"/>
          <w:szCs w:val="32"/>
          <w:lang w:val="en-US" w:eastAsia="zh-CN"/>
        </w:rPr>
        <w:t>全部实行项目支出绩效目标管理。</w:t>
      </w:r>
    </w:p>
    <w:p w14:paraId="358B676C">
      <w:pPr>
        <w:keepNext w:val="0"/>
        <w:keepLines w:val="0"/>
        <w:pageBreakBefore w:val="0"/>
        <w:widowControl/>
        <w:numPr>
          <w:ilvl w:val="0"/>
          <w:numId w:val="0"/>
        </w:numPr>
        <w:spacing w:line="500" w:lineRule="auto"/>
        <w:ind w:left="0" w:right="0" w:firstLine="643"/>
        <w:jc w:val="left"/>
        <w:outlineLvl w:val="9"/>
        <w:rPr>
          <w:rFonts w:hint="eastAsia" w:eastAsia="仿宋_GB2312"/>
          <w:b w:val="0"/>
          <w:bCs w:val="0"/>
          <w:sz w:val="32"/>
          <w:szCs w:val="32"/>
          <w:lang w:val="en-US" w:eastAsia="zh-CN"/>
        </w:rPr>
      </w:pPr>
      <w:r>
        <w:rPr>
          <w:rFonts w:hint="eastAsia" w:eastAsia="仿宋_GB2312"/>
          <w:b/>
          <w:bCs/>
          <w:sz w:val="32"/>
          <w:szCs w:val="32"/>
          <w:lang w:val="en-US" w:eastAsia="zh-CN"/>
        </w:rPr>
        <w:t>备注：编报绩效目标的项目为本单位年初预算安排的项目支出。</w:t>
      </w:r>
    </w:p>
    <w:p w14:paraId="54BE176F">
      <w:pPr>
        <w:keepNext w:val="0"/>
        <w:keepLines w:val="0"/>
        <w:pageBreakBefore w:val="0"/>
        <w:widowControl/>
        <w:numPr>
          <w:ilvl w:val="0"/>
          <w:numId w:val="0"/>
        </w:numPr>
        <w:spacing w:line="500" w:lineRule="auto"/>
        <w:ind w:left="0" w:right="0" w:firstLine="643"/>
        <w:jc w:val="left"/>
        <w:outlineLvl w:val="9"/>
        <w:rPr>
          <w:rFonts w:hint="eastAsia" w:eastAsia="仿宋_GB2312"/>
          <w:b/>
          <w:bCs/>
          <w:sz w:val="32"/>
          <w:szCs w:val="32"/>
          <w:lang w:val="en-US" w:eastAsia="zh-CN"/>
        </w:rPr>
      </w:pPr>
      <w:r>
        <w:rPr>
          <w:rFonts w:hint="eastAsia" w:eastAsia="仿宋_GB2312"/>
          <w:b/>
          <w:bCs/>
          <w:sz w:val="32"/>
          <w:szCs w:val="32"/>
          <w:lang w:val="en-US" w:eastAsia="zh-CN"/>
        </w:rPr>
        <w:t>（五） 国有资产占用情况</w:t>
      </w:r>
    </w:p>
    <w:p w14:paraId="1160284F">
      <w:pPr>
        <w:keepNext w:val="0"/>
        <w:keepLines w:val="0"/>
        <w:pageBreakBefore w:val="0"/>
        <w:widowControl/>
        <w:numPr>
          <w:ilvl w:val="0"/>
          <w:numId w:val="0"/>
        </w:numPr>
        <w:spacing w:line="500" w:lineRule="auto"/>
        <w:ind w:left="0" w:right="0" w:firstLine="640"/>
        <w:jc w:val="left"/>
        <w:outlineLvl w:val="9"/>
        <w:rPr>
          <w:rFonts w:eastAsia="仿宋_GB2312"/>
          <w:sz w:val="32"/>
          <w:szCs w:val="32"/>
          <w:highlight w:val="none"/>
        </w:rPr>
      </w:pPr>
      <w:r>
        <w:rPr>
          <w:rFonts w:hint="eastAsia" w:eastAsia="仿宋_GB2312"/>
          <w:b w:val="0"/>
          <w:bCs w:val="0"/>
          <w:sz w:val="32"/>
          <w:szCs w:val="32"/>
          <w:lang w:val="en-US" w:eastAsia="zh-CN"/>
        </w:rPr>
        <w:t>1.截至2023年12月31日，本部门共有车辆</w:t>
      </w:r>
      <w:r>
        <w:rPr>
          <w:rFonts w:hint="eastAsia" w:eastAsia="仿宋_GB2312"/>
          <w:sz w:val="32"/>
          <w:szCs w:val="32"/>
          <w:lang w:val="en-US" w:eastAsia="zh-CN"/>
        </w:rPr>
        <w:t>1</w:t>
      </w:r>
      <w:r>
        <w:rPr>
          <w:rFonts w:hint="eastAsia" w:eastAsia="仿宋_GB2312"/>
          <w:b w:val="0"/>
          <w:bCs w:val="0"/>
          <w:sz w:val="32"/>
          <w:szCs w:val="32"/>
          <w:lang w:val="en-US" w:eastAsia="zh-CN"/>
        </w:rPr>
        <w:t>辆，其中，一般公务用车</w:t>
      </w:r>
      <w:r>
        <w:rPr>
          <w:rFonts w:hint="eastAsia" w:eastAsia="仿宋_GB2312"/>
          <w:sz w:val="32"/>
          <w:szCs w:val="32"/>
          <w:lang w:val="en-US" w:eastAsia="zh-CN"/>
        </w:rPr>
        <w:t>1</w:t>
      </w:r>
      <w:r>
        <w:rPr>
          <w:rFonts w:hint="eastAsia" w:eastAsia="仿宋_GB2312"/>
          <w:b w:val="0"/>
          <w:bCs w:val="0"/>
          <w:sz w:val="32"/>
          <w:szCs w:val="32"/>
          <w:lang w:val="en-US" w:eastAsia="zh-CN"/>
        </w:rPr>
        <w:t>辆</w:t>
      </w:r>
      <w:r>
        <w:rPr>
          <w:rFonts w:eastAsia="仿宋_GB2312"/>
          <w:kern w:val="0"/>
          <w:sz w:val="32"/>
          <w:szCs w:val="32"/>
          <w:highlight w:val="none"/>
        </w:rPr>
        <w:t>。</w:t>
      </w:r>
    </w:p>
    <w:p w14:paraId="63880A2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bCs/>
          <w:color w:val="auto"/>
          <w:sz w:val="32"/>
          <w:szCs w:val="32"/>
          <w:lang w:val="en-US" w:eastAsia="zh-CN"/>
        </w:rPr>
      </w:pPr>
      <w:r>
        <w:rPr>
          <w:rFonts w:hint="eastAsia" w:eastAsia="仿宋_GB2312"/>
          <w:color w:val="000000"/>
          <w:sz w:val="32"/>
          <w:szCs w:val="32"/>
          <w:highlight w:val="none"/>
          <w:lang w:val="en-US" w:eastAsia="zh-CN"/>
        </w:rPr>
        <w:t>2.</w:t>
      </w:r>
      <w:r>
        <w:rPr>
          <w:rFonts w:hint="eastAsia" w:eastAsia="仿宋_GB2312"/>
          <w:b/>
          <w:bCs/>
          <w:color w:val="auto"/>
          <w:sz w:val="32"/>
          <w:szCs w:val="32"/>
          <w:lang w:val="en-US" w:eastAsia="zh-CN"/>
        </w:rPr>
        <w:t>2024年，本部门无新增车辆，无新增50万元以上的通用设备和专用设备。</w:t>
      </w:r>
    </w:p>
    <w:p w14:paraId="4348F6D4">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eastAsia" w:eastAsia="仿宋_GB2312"/>
          <w:b/>
          <w:bCs/>
          <w:color w:val="auto"/>
          <w:sz w:val="32"/>
          <w:szCs w:val="32"/>
          <w:lang w:val="en-US" w:eastAsia="zh-CN"/>
        </w:rPr>
      </w:pPr>
      <w:r>
        <w:rPr>
          <w:rFonts w:hint="eastAsia" w:eastAsia="楷体_GB2312" w:cs="Times New Roman"/>
          <w:b/>
          <w:bCs/>
          <w:color w:val="000000"/>
          <w:sz w:val="32"/>
          <w:szCs w:val="32"/>
          <w:lang w:val="en-US" w:eastAsia="zh-CN"/>
        </w:rPr>
        <w:t>预算绩效目标说明：</w:t>
      </w:r>
      <w:r>
        <w:rPr>
          <w:rFonts w:hint="eastAsia" w:ascii="仿宋" w:hAnsi="仿宋" w:eastAsia="仿宋" w:cs="仿宋"/>
          <w:b w:val="0"/>
          <w:bCs w:val="0"/>
          <w:color w:val="auto"/>
          <w:sz w:val="32"/>
          <w:szCs w:val="32"/>
          <w:lang w:val="en-US" w:eastAsia="zh-CN"/>
        </w:rPr>
        <w:t>本部门所有支出实行绩效目标管理。纳入2024年部门整体支出绩效目标的金额为</w:t>
      </w:r>
      <w:r>
        <w:rPr>
          <w:rFonts w:hint="eastAsia" w:eastAsia="仿宋_GB2312"/>
          <w:color w:val="auto"/>
          <w:sz w:val="32"/>
          <w:szCs w:val="32"/>
          <w:lang w:val="en-US" w:eastAsia="zh-CN"/>
        </w:rPr>
        <w:t>241.37</w:t>
      </w:r>
      <w:r>
        <w:rPr>
          <w:rFonts w:hint="eastAsia" w:ascii="仿宋" w:hAnsi="仿宋" w:eastAsia="仿宋" w:cs="仿宋"/>
          <w:b w:val="0"/>
          <w:bCs w:val="0"/>
          <w:color w:val="auto"/>
          <w:sz w:val="32"/>
          <w:szCs w:val="32"/>
          <w:lang w:val="en-US" w:eastAsia="zh-CN"/>
        </w:rPr>
        <w:t>万元，其中，基本支出</w:t>
      </w:r>
      <w:r>
        <w:rPr>
          <w:rFonts w:hint="eastAsia" w:eastAsia="仿宋_GB2312"/>
          <w:color w:val="auto"/>
          <w:sz w:val="32"/>
          <w:szCs w:val="32"/>
          <w:lang w:val="en-US" w:eastAsia="zh-CN"/>
        </w:rPr>
        <w:t>191.92</w:t>
      </w:r>
      <w:r>
        <w:rPr>
          <w:rFonts w:hint="eastAsia" w:ascii="仿宋" w:hAnsi="仿宋" w:eastAsia="仿宋" w:cs="仿宋"/>
          <w:b w:val="0"/>
          <w:bCs w:val="0"/>
          <w:color w:val="auto"/>
          <w:sz w:val="32"/>
          <w:szCs w:val="32"/>
          <w:lang w:val="en-US" w:eastAsia="zh-CN"/>
        </w:rPr>
        <w:t>万元，项目支出</w:t>
      </w:r>
      <w:r>
        <w:rPr>
          <w:rFonts w:hint="eastAsia" w:eastAsia="仿宋_GB2312"/>
          <w:sz w:val="32"/>
          <w:szCs w:val="32"/>
          <w:lang w:val="en-US" w:eastAsia="zh-CN"/>
        </w:rPr>
        <w:t>49.45</w:t>
      </w:r>
      <w:r>
        <w:rPr>
          <w:rFonts w:hint="eastAsia" w:ascii="仿宋" w:hAnsi="仿宋" w:eastAsia="仿宋" w:cs="仿宋"/>
          <w:b w:val="0"/>
          <w:bCs w:val="0"/>
          <w:color w:val="auto"/>
          <w:sz w:val="32"/>
          <w:szCs w:val="32"/>
          <w:lang w:val="en-US" w:eastAsia="zh-CN"/>
        </w:rPr>
        <w:t>万元。具体绩效目标详见报表。</w:t>
      </w:r>
    </w:p>
    <w:p w14:paraId="4462C4B7">
      <w:pPr>
        <w:keepNext w:val="0"/>
        <w:keepLines w:val="0"/>
        <w:pageBreakBefore w:val="0"/>
        <w:widowControl/>
        <w:numPr>
          <w:ilvl w:val="0"/>
          <w:numId w:val="0"/>
        </w:numPr>
        <w:spacing w:line="500" w:lineRule="auto"/>
        <w:ind w:left="0" w:right="0" w:firstLine="643"/>
        <w:jc w:val="left"/>
        <w:outlineLvl w:val="9"/>
        <w:rPr>
          <w:rFonts w:hint="eastAsia" w:eastAsia="仿宋_GB2312"/>
          <w:b/>
          <w:bCs/>
          <w:color w:val="000000"/>
          <w:sz w:val="32"/>
          <w:szCs w:val="32"/>
          <w:highlight w:val="none"/>
          <w:lang w:val="en-US" w:eastAsia="zh-CN"/>
        </w:rPr>
      </w:pPr>
      <w:r>
        <w:rPr>
          <w:rFonts w:hint="eastAsia" w:eastAsia="仿宋_GB2312"/>
          <w:b/>
          <w:bCs/>
          <w:color w:val="000000"/>
          <w:sz w:val="32"/>
          <w:szCs w:val="32"/>
          <w:highlight w:val="none"/>
          <w:lang w:val="en-US" w:eastAsia="zh-CN"/>
        </w:rPr>
        <w:t>（七）一般性支出情况</w:t>
      </w:r>
    </w:p>
    <w:p w14:paraId="75E65D71">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b/>
          <w:bCs/>
          <w:color w:val="auto"/>
          <w:sz w:val="32"/>
          <w:szCs w:val="32"/>
          <w:lang w:eastAsia="zh-CN"/>
        </w:rPr>
      </w:pPr>
      <w:r>
        <w:rPr>
          <w:rFonts w:hint="eastAsia" w:eastAsia="仿宋_GB2312"/>
          <w:b w:val="0"/>
          <w:bCs w:val="0"/>
          <w:color w:val="auto"/>
          <w:kern w:val="0"/>
          <w:sz w:val="32"/>
          <w:szCs w:val="32"/>
          <w:highlight w:val="none"/>
          <w:lang w:val="en-US" w:eastAsia="zh-CN"/>
        </w:rPr>
        <w:t>1</w:t>
      </w:r>
      <w:r>
        <w:rPr>
          <w:rFonts w:hint="eastAsia" w:ascii="黑体" w:hAnsi="黑体" w:eastAsia="黑体" w:cs="黑体"/>
          <w:b w:val="0"/>
          <w:bCs w:val="0"/>
          <w:color w:val="auto"/>
          <w:kern w:val="0"/>
          <w:sz w:val="32"/>
          <w:szCs w:val="32"/>
          <w:highlight w:val="none"/>
          <w:lang w:val="en-US" w:eastAsia="zh-CN"/>
        </w:rPr>
        <w:t>.</w:t>
      </w:r>
      <w:r>
        <w:rPr>
          <w:rFonts w:hint="eastAsia" w:eastAsia="仿宋_GB2312"/>
          <w:b w:val="0"/>
          <w:bCs w:val="0"/>
          <w:color w:val="auto"/>
          <w:kern w:val="0"/>
          <w:sz w:val="32"/>
          <w:szCs w:val="32"/>
          <w:highlight w:val="none"/>
          <w:lang w:val="en-US" w:eastAsia="zh-CN"/>
        </w:rPr>
        <w:t>2024年，本部门会议费预算</w:t>
      </w:r>
      <w:r>
        <w:rPr>
          <w:rFonts w:hint="eastAsia" w:eastAsia="仿宋_GB2312"/>
          <w:b w:val="0"/>
          <w:bCs w:val="0"/>
          <w:color w:val="auto"/>
          <w:sz w:val="32"/>
          <w:szCs w:val="32"/>
          <w:lang w:val="en-US" w:eastAsia="zh-CN"/>
        </w:rPr>
        <w:t>0.45</w:t>
      </w:r>
      <w:r>
        <w:rPr>
          <w:rFonts w:hint="eastAsia" w:eastAsia="仿宋_GB2312"/>
          <w:b w:val="0"/>
          <w:bCs w:val="0"/>
          <w:color w:val="auto"/>
          <w:sz w:val="32"/>
          <w:szCs w:val="32"/>
          <w:lang w:eastAsia="zh-CN"/>
        </w:rPr>
        <w:t>万元，具体为：</w:t>
      </w:r>
      <w:r>
        <w:rPr>
          <w:rFonts w:hint="eastAsia" w:eastAsia="仿宋_GB2312"/>
          <w:color w:val="auto"/>
          <w:sz w:val="32"/>
          <w:szCs w:val="32"/>
          <w:lang w:val="en-US" w:eastAsia="zh-CN"/>
        </w:rPr>
        <w:t>县市区社科负责人座谈会</w:t>
      </w:r>
      <w:r>
        <w:rPr>
          <w:rFonts w:hint="eastAsia" w:eastAsia="仿宋_GB2312"/>
          <w:color w:val="auto"/>
          <w:sz w:val="32"/>
          <w:szCs w:val="32"/>
          <w:lang w:eastAsia="zh-CN"/>
        </w:rPr>
        <w:t>会议，内容为</w:t>
      </w:r>
      <w:r>
        <w:rPr>
          <w:rFonts w:hint="eastAsia" w:eastAsia="仿宋_GB2312"/>
          <w:color w:val="auto"/>
          <w:sz w:val="32"/>
          <w:szCs w:val="32"/>
          <w:lang w:val="en-US" w:eastAsia="zh-CN"/>
        </w:rPr>
        <w:t>安排部署新年工作，</w:t>
      </w:r>
      <w:r>
        <w:rPr>
          <w:rFonts w:hint="eastAsia" w:eastAsia="仿宋_GB2312"/>
          <w:color w:val="auto"/>
          <w:sz w:val="32"/>
          <w:szCs w:val="32"/>
          <w:lang w:eastAsia="zh-CN"/>
        </w:rPr>
        <w:t>预计参会人数</w:t>
      </w:r>
      <w:r>
        <w:rPr>
          <w:rFonts w:hint="eastAsia" w:eastAsia="仿宋_GB2312"/>
          <w:color w:val="auto"/>
          <w:sz w:val="32"/>
          <w:szCs w:val="32"/>
          <w:lang w:val="en-US" w:eastAsia="zh-CN"/>
        </w:rPr>
        <w:t>30</w:t>
      </w:r>
      <w:r>
        <w:rPr>
          <w:rFonts w:hint="eastAsia" w:eastAsia="仿宋_GB2312"/>
          <w:color w:val="auto"/>
          <w:sz w:val="32"/>
          <w:szCs w:val="32"/>
          <w:lang w:eastAsia="zh-CN"/>
        </w:rPr>
        <w:t>人，预算</w:t>
      </w:r>
      <w:r>
        <w:rPr>
          <w:rFonts w:hint="eastAsia" w:eastAsia="仿宋_GB2312"/>
          <w:color w:val="auto"/>
          <w:sz w:val="32"/>
          <w:szCs w:val="32"/>
          <w:lang w:val="en-US" w:eastAsia="zh-CN"/>
        </w:rPr>
        <w:t>0.2</w:t>
      </w:r>
      <w:r>
        <w:rPr>
          <w:rFonts w:hint="eastAsia" w:eastAsia="仿宋_GB2312"/>
          <w:color w:val="auto"/>
          <w:sz w:val="32"/>
          <w:szCs w:val="32"/>
          <w:lang w:eastAsia="zh-CN"/>
        </w:rPr>
        <w:t>万元；</w:t>
      </w:r>
      <w:r>
        <w:rPr>
          <w:rFonts w:hint="eastAsia" w:eastAsia="仿宋_GB2312"/>
          <w:color w:val="auto"/>
          <w:sz w:val="32"/>
          <w:szCs w:val="32"/>
          <w:lang w:val="en-US" w:eastAsia="zh-CN"/>
        </w:rPr>
        <w:t>行业协会党建述职</w:t>
      </w:r>
      <w:r>
        <w:rPr>
          <w:rFonts w:hint="eastAsia" w:eastAsia="仿宋_GB2312"/>
          <w:color w:val="auto"/>
          <w:sz w:val="32"/>
          <w:szCs w:val="32"/>
          <w:lang w:eastAsia="zh-CN"/>
        </w:rPr>
        <w:t>会议，内容为</w:t>
      </w:r>
      <w:r>
        <w:rPr>
          <w:rFonts w:hint="eastAsia" w:eastAsia="仿宋_GB2312"/>
          <w:color w:val="auto"/>
          <w:sz w:val="32"/>
          <w:szCs w:val="32"/>
          <w:lang w:val="en-US" w:eastAsia="zh-CN"/>
        </w:rPr>
        <w:t>协会党建述职，</w:t>
      </w:r>
      <w:r>
        <w:rPr>
          <w:rFonts w:hint="eastAsia" w:eastAsia="仿宋_GB2312"/>
          <w:color w:val="auto"/>
          <w:sz w:val="32"/>
          <w:szCs w:val="32"/>
          <w:lang w:eastAsia="zh-CN"/>
        </w:rPr>
        <w:t>预计参会人数</w:t>
      </w:r>
      <w:r>
        <w:rPr>
          <w:rFonts w:hint="eastAsia" w:eastAsia="仿宋_GB2312"/>
          <w:color w:val="auto"/>
          <w:sz w:val="32"/>
          <w:szCs w:val="32"/>
          <w:lang w:val="en-US" w:eastAsia="zh-CN"/>
        </w:rPr>
        <w:t>30</w:t>
      </w:r>
      <w:r>
        <w:rPr>
          <w:rFonts w:hint="eastAsia" w:eastAsia="仿宋_GB2312"/>
          <w:color w:val="auto"/>
          <w:sz w:val="32"/>
          <w:szCs w:val="32"/>
          <w:lang w:eastAsia="zh-CN"/>
        </w:rPr>
        <w:t>人，预算</w:t>
      </w:r>
      <w:r>
        <w:rPr>
          <w:rFonts w:hint="eastAsia" w:eastAsia="仿宋_GB2312"/>
          <w:color w:val="auto"/>
          <w:sz w:val="32"/>
          <w:szCs w:val="32"/>
          <w:lang w:val="en-US" w:eastAsia="zh-CN"/>
        </w:rPr>
        <w:t>0.25</w:t>
      </w:r>
      <w:r>
        <w:rPr>
          <w:rFonts w:hint="eastAsia" w:eastAsia="仿宋_GB2312"/>
          <w:color w:val="auto"/>
          <w:sz w:val="32"/>
          <w:szCs w:val="32"/>
          <w:lang w:eastAsia="zh-CN"/>
        </w:rPr>
        <w:t>万元。</w:t>
      </w:r>
    </w:p>
    <w:p w14:paraId="499941F0">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color w:val="auto"/>
          <w:sz w:val="32"/>
          <w:szCs w:val="32"/>
          <w:lang w:eastAsia="zh-CN"/>
        </w:rPr>
      </w:pPr>
      <w:r>
        <w:rPr>
          <w:rFonts w:hint="eastAsia" w:eastAsia="仿宋_GB2312"/>
          <w:color w:val="auto"/>
          <w:sz w:val="32"/>
          <w:szCs w:val="32"/>
          <w:lang w:val="en-US" w:eastAsia="zh-CN"/>
        </w:rPr>
        <w:t>2</w:t>
      </w:r>
      <w:r>
        <w:rPr>
          <w:rFonts w:hint="eastAsia" w:ascii="黑体" w:hAnsi="黑体" w:eastAsia="黑体" w:cs="黑体"/>
          <w:b w:val="0"/>
          <w:bCs w:val="0"/>
          <w:color w:val="auto"/>
          <w:kern w:val="0"/>
          <w:sz w:val="32"/>
          <w:szCs w:val="32"/>
          <w:highlight w:val="none"/>
          <w:lang w:val="en-US" w:eastAsia="zh-CN"/>
        </w:rPr>
        <w:t>.</w:t>
      </w:r>
      <w:r>
        <w:rPr>
          <w:rFonts w:hint="eastAsia" w:eastAsia="仿宋_GB2312"/>
          <w:b/>
          <w:bCs/>
          <w:color w:val="auto"/>
          <w:sz w:val="32"/>
          <w:szCs w:val="32"/>
          <w:lang w:val="en-US" w:eastAsia="zh-CN"/>
        </w:rPr>
        <w:t>2024年</w:t>
      </w:r>
      <w:r>
        <w:rPr>
          <w:rFonts w:hint="eastAsia" w:eastAsia="仿宋_GB2312"/>
          <w:b/>
          <w:bCs/>
          <w:color w:val="auto"/>
          <w:sz w:val="32"/>
          <w:szCs w:val="32"/>
          <w:lang w:eastAsia="zh-CN"/>
        </w:rPr>
        <w:t>本部门无培训费预算。</w:t>
      </w:r>
    </w:p>
    <w:p w14:paraId="12CEF169">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color w:val="auto"/>
          <w:sz w:val="32"/>
          <w:szCs w:val="32"/>
          <w:lang w:eastAsia="zh-CN"/>
        </w:rPr>
      </w:pPr>
      <w:r>
        <w:rPr>
          <w:rFonts w:hint="eastAsia" w:eastAsia="仿宋_GB2312"/>
          <w:color w:val="auto"/>
          <w:sz w:val="32"/>
          <w:szCs w:val="32"/>
          <w:lang w:val="en-US" w:eastAsia="zh-CN"/>
        </w:rPr>
        <w:t>3</w:t>
      </w:r>
      <w:r>
        <w:rPr>
          <w:rFonts w:hint="eastAsia" w:ascii="黑体" w:hAnsi="黑体" w:eastAsia="黑体" w:cs="黑体"/>
          <w:b w:val="0"/>
          <w:bCs w:val="0"/>
          <w:color w:val="auto"/>
          <w:kern w:val="0"/>
          <w:sz w:val="32"/>
          <w:szCs w:val="32"/>
          <w:highlight w:val="none"/>
          <w:lang w:val="en-US" w:eastAsia="zh-CN"/>
        </w:rPr>
        <w:t>.</w:t>
      </w:r>
      <w:r>
        <w:rPr>
          <w:rFonts w:hint="eastAsia" w:eastAsia="仿宋_GB2312"/>
          <w:color w:val="auto"/>
          <w:sz w:val="32"/>
          <w:szCs w:val="32"/>
          <w:lang w:val="en-US" w:eastAsia="zh-CN"/>
        </w:rPr>
        <w:t>2024年，本部门举办节庆、晚会、论坛、赛事等预算2</w:t>
      </w:r>
      <w:r>
        <w:rPr>
          <w:rFonts w:hint="eastAsia" w:eastAsia="仿宋_GB2312"/>
          <w:color w:val="auto"/>
          <w:sz w:val="32"/>
          <w:szCs w:val="32"/>
          <w:lang w:eastAsia="zh-CN"/>
        </w:rPr>
        <w:t>万元，具体为：</w:t>
      </w:r>
      <w:r>
        <w:rPr>
          <w:rFonts w:hint="eastAsia" w:eastAsia="仿宋_GB2312"/>
          <w:color w:val="auto"/>
          <w:sz w:val="32"/>
          <w:szCs w:val="32"/>
          <w:lang w:val="en-US" w:eastAsia="zh-CN"/>
        </w:rPr>
        <w:t>社科学术年会，预算1</w:t>
      </w:r>
      <w:r>
        <w:rPr>
          <w:rFonts w:hint="eastAsia" w:eastAsia="仿宋_GB2312"/>
          <w:color w:val="auto"/>
          <w:sz w:val="32"/>
          <w:szCs w:val="32"/>
          <w:lang w:eastAsia="zh-CN"/>
        </w:rPr>
        <w:t>万元；</w:t>
      </w:r>
      <w:r>
        <w:rPr>
          <w:rFonts w:hint="eastAsia" w:eastAsia="仿宋_GB2312"/>
          <w:color w:val="auto"/>
          <w:sz w:val="32"/>
          <w:szCs w:val="32"/>
          <w:lang w:val="en-US" w:eastAsia="zh-CN"/>
        </w:rPr>
        <w:t>高庙论坛，预算1</w:t>
      </w:r>
      <w:r>
        <w:rPr>
          <w:rFonts w:hint="eastAsia" w:eastAsia="仿宋_GB2312"/>
          <w:color w:val="auto"/>
          <w:sz w:val="32"/>
          <w:szCs w:val="32"/>
          <w:lang w:eastAsia="zh-CN"/>
        </w:rPr>
        <w:t>万元。</w:t>
      </w:r>
    </w:p>
    <w:p w14:paraId="254A72BA">
      <w:pPr>
        <w:keepNext w:val="0"/>
        <w:keepLines w:val="0"/>
        <w:pageBreakBefore w:val="0"/>
        <w:widowControl/>
        <w:numPr>
          <w:ilvl w:val="0"/>
          <w:numId w:val="0"/>
        </w:numPr>
        <w:spacing w:line="500" w:lineRule="auto"/>
        <w:ind w:right="0" w:firstLine="640"/>
        <w:jc w:val="left"/>
        <w:outlineLvl w:val="9"/>
        <w:rPr>
          <w:rFonts w:hint="eastAsia" w:eastAsia="黑体"/>
          <w:sz w:val="32"/>
          <w:szCs w:val="32"/>
        </w:rPr>
      </w:pPr>
      <w:r>
        <w:rPr>
          <w:rFonts w:hint="eastAsia" w:eastAsia="黑体"/>
          <w:sz w:val="32"/>
          <w:szCs w:val="32"/>
          <w:lang w:eastAsia="zh-CN"/>
        </w:rPr>
        <w:t>七、</w:t>
      </w:r>
      <w:r>
        <w:rPr>
          <w:rFonts w:hint="eastAsia" w:eastAsia="黑体"/>
          <w:sz w:val="32"/>
          <w:szCs w:val="32"/>
        </w:rPr>
        <w:t>专业名词解释</w:t>
      </w:r>
    </w:p>
    <w:p w14:paraId="4254C681">
      <w:pPr>
        <w:keepNext w:val="0"/>
        <w:keepLines w:val="0"/>
        <w:pageBreakBefore w:val="0"/>
        <w:widowControl/>
        <w:numPr>
          <w:ilvl w:val="0"/>
          <w:numId w:val="0"/>
        </w:numPr>
        <w:spacing w:line="500" w:lineRule="auto"/>
        <w:ind w:left="0" w:right="0" w:firstLine="643"/>
        <w:jc w:val="left"/>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1.机关运行经费：</w:t>
      </w:r>
      <w:r>
        <w:rPr>
          <w:rFonts w:hint="eastAsia" w:eastAsia="仿宋_GB2312"/>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0929DBFE">
      <w:pPr>
        <w:keepNext w:val="0"/>
        <w:keepLines w:val="0"/>
        <w:pageBreakBefore w:val="0"/>
        <w:widowControl/>
        <w:numPr>
          <w:ilvl w:val="0"/>
          <w:numId w:val="0"/>
        </w:numPr>
        <w:spacing w:line="500" w:lineRule="auto"/>
        <w:ind w:left="0" w:right="0" w:firstLine="643"/>
        <w:jc w:val="left"/>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2.一般公共预算“三公”经费：</w:t>
      </w:r>
      <w:r>
        <w:rPr>
          <w:rFonts w:hint="eastAsia" w:eastAsia="仿宋_GB2312"/>
          <w:sz w:val="32"/>
          <w:szCs w:val="32"/>
          <w:lang w:val="en-US" w:eastAsia="zh-CN"/>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sectPr>
      <w:headerReference r:id="rId3" w:type="default"/>
      <w:footerReference r:id="rId4" w:type="default"/>
      <w:footerReference r:id="rId5" w:type="even"/>
      <w:pgSz w:w="11906" w:h="16838" w:orient="landscape"/>
      <w:pgMar w:top="1440" w:right="1800" w:bottom="1440" w:left="1800"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195110-3207-48F7-8DC9-22232EF54B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C0D2E7A0-D303-4A90-AC75-445FD9CB80B7}"/>
  </w:font>
  <w:font w:name="楷体_GB2312">
    <w:altName w:val="楷体"/>
    <w:panose1 w:val="02010609060101010101"/>
    <w:charset w:val="00"/>
    <w:family w:val="auto"/>
    <w:pitch w:val="default"/>
    <w:sig w:usb0="00000000" w:usb1="00000000" w:usb2="00000000" w:usb3="00000000" w:csb0="00000000" w:csb1="00000000"/>
    <w:embedRegular r:id="rId3" w:fontKey="{986FFF0E-1A53-4EE8-9724-B7DDC7CBBC87}"/>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4" w:fontKey="{3EBFD072-2DEF-4030-9378-753EC3AB529B}"/>
  </w:font>
  <w:font w:name="仿宋_GB2312">
    <w:panose1 w:val="02010609030101010101"/>
    <w:charset w:val="86"/>
    <w:family w:val="auto"/>
    <w:pitch w:val="default"/>
    <w:sig w:usb0="00000001" w:usb1="080E0000" w:usb2="00000000" w:usb3="00000000" w:csb0="00040000" w:csb1="00000000"/>
    <w:embedRegular r:id="rId5" w:fontKey="{9A726D5A-DEEA-4807-A574-E406F13232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ECD95">
    <w:pPr>
      <w:pStyle w:val="18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846C4">
    <w:pPr>
      <w:pStyle w:val="18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_x0000_s2049"/>
              <wp:cNvGraphicFramePr/>
              <a:graphic xmlns:a="http://schemas.openxmlformats.org/drawingml/2006/main">
                <a:graphicData uri="http://schemas.microsoft.com/office/word/2010/wordprocessingShape">
                  <wps:wsp>
                    <wps:cNvSpPr txBox="1"/>
                    <wps:spPr bwMode="auto">
                      <a:xfrm>
                        <a:off x="0" y="0"/>
                        <a:ext cx="26670" cy="131445"/>
                      </a:xfrm>
                      <a:prstGeom prst="rect">
                        <a:avLst/>
                      </a:prstGeom>
                      <a:noFill/>
                      <a:ln>
                        <a:noFill/>
                      </a:ln>
                    </wps:spPr>
                    <wps:txbx>
                      <w:txbxContent>
                        <w:p w14:paraId="32FC7812">
                          <w:pPr>
                            <w:pStyle w:val="185"/>
                            <w:rPr>
                              <w:rStyle w:val="189"/>
                            </w:rPr>
                          </w:pPr>
                          <w:r>
                            <w:fldChar w:fldCharType="begin"/>
                          </w:r>
                          <w:r>
                            <w:rPr>
                              <w:rStyle w:val="189"/>
                            </w:rPr>
                            <w:instrText xml:space="preserve">PAGE  </w:instrText>
                          </w:r>
                          <w:r>
                            <w:fldChar w:fldCharType="separate"/>
                          </w:r>
                          <w:r>
                            <w:rPr>
                              <w:rStyle w:val="189"/>
                            </w:rPr>
                            <w:t>1</w:t>
                          </w:r>
                          <w:r>
                            <w:fldChar w:fldCharType="end"/>
                          </w:r>
                        </w:p>
                        <w:p w14:paraId="75ECC765"/>
                      </w:txbxContent>
                    </wps:txbx>
                    <wps:bodyPr wrap="none" lIns="0" tIns="0" rIns="0" bIns="0" upright="1">
                      <a:spAutoFit/>
                    </wps:bodyPr>
                  </wps:wsp>
                </a:graphicData>
              </a:graphic>
            </wp:anchor>
          </w:drawing>
        </mc:Choice>
        <mc:Fallback>
          <w:pict>
            <v:shape id="_x0000_s2049"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1HhP3QAAAAAgEAAA8AAAAAAAAAAQAgAAAAIgAAAGRycy9kb3ducmV2&#10;LnhtbFBLAQIUABQAAAAIAIdO4kAANjx0ywEAAKUDAAAOAAAAAAAAAAEAIAAAAB8BAABkcnMvZTJv&#10;RG9jLnhtbFBLBQYAAAAABgAGAFkBAABcBQAAAAA=&#10;">
              <v:fill on="f" focussize="0,0"/>
              <v:stroke on="f"/>
              <v:imagedata o:title=""/>
              <o:lock v:ext="edit" aspectratio="f"/>
              <v:textbox inset="0mm,0mm,0mm,0mm" style="mso-fit-shape-to-text:t;">
                <w:txbxContent>
                  <w:p w14:paraId="32FC7812">
                    <w:pPr>
                      <w:pStyle w:val="185"/>
                      <w:rPr>
                        <w:rStyle w:val="189"/>
                      </w:rPr>
                    </w:pPr>
                    <w:r>
                      <w:fldChar w:fldCharType="begin"/>
                    </w:r>
                    <w:r>
                      <w:rPr>
                        <w:rStyle w:val="189"/>
                      </w:rPr>
                      <w:instrText xml:space="preserve">PAGE  </w:instrText>
                    </w:r>
                    <w:r>
                      <w:fldChar w:fldCharType="separate"/>
                    </w:r>
                    <w:r>
                      <w:rPr>
                        <w:rStyle w:val="189"/>
                      </w:rPr>
                      <w:t>1</w:t>
                    </w:r>
                    <w:r>
                      <w:fldChar w:fldCharType="end"/>
                    </w:r>
                  </w:p>
                  <w:p w14:paraId="75ECC765"/>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57BF8">
    <w:pPr>
      <w:pStyle w:val="186"/>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4"/>
      <w:numFmt w:val="chineseCounting"/>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2"/>
      <w:numFmt w:val="chineseCounting"/>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2521379D"/>
    <w:multiLevelType w:val="singleLevel"/>
    <w:tmpl w:val="2521379D"/>
    <w:lvl w:ilvl="0" w:tentative="0">
      <w:start w:val="6"/>
      <w:numFmt w:val="chineseCounting"/>
      <w:suff w:val="nothing"/>
      <w:lvlText w:val="（%1）"/>
      <w:lvlJc w:val="left"/>
      <w:rPr>
        <w:rFonts w:hint="eastAsia"/>
        <w:b/>
        <w:bC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DA208D"/>
    <w:rsid w:val="27A76325"/>
    <w:rsid w:val="27B45C89"/>
    <w:rsid w:val="30E03A5F"/>
    <w:rsid w:val="462F1B6A"/>
    <w:rsid w:val="5D067D70"/>
    <w:rsid w:val="606C3B00"/>
    <w:rsid w:val="67742D4E"/>
    <w:rsid w:val="698D037D"/>
    <w:rsid w:val="6BA603B4"/>
    <w:rsid w:val="6C183F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8"/>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0"/>
    <w:semiHidden/>
    <w:unhideWhenUsed/>
    <w:qFormat/>
    <w:uiPriority w:val="99"/>
    <w:pPr>
      <w:spacing w:after="0" w:line="240" w:lineRule="auto"/>
    </w:pPr>
    <w:rPr>
      <w:sz w:val="20"/>
    </w:rPr>
  </w:style>
  <w:style w:type="paragraph" w:styleId="17">
    <w:name w:val="footer"/>
    <w:basedOn w:val="1"/>
    <w:link w:val="53"/>
    <w:unhideWhenUsed/>
    <w:qFormat/>
    <w:uiPriority w:val="99"/>
    <w:pPr>
      <w:tabs>
        <w:tab w:val="center" w:pos="7143"/>
        <w:tab w:val="right" w:pos="14287"/>
      </w:tabs>
      <w:spacing w:after="0" w:line="240" w:lineRule="auto"/>
    </w:pPr>
  </w:style>
  <w:style w:type="paragraph" w:styleId="18">
    <w:name w:val="header"/>
    <w:basedOn w:val="1"/>
    <w:link w:val="51"/>
    <w:unhideWhenUsed/>
    <w:qFormat/>
    <w:uiPriority w:val="99"/>
    <w:pPr>
      <w:tabs>
        <w:tab w:val="center" w:pos="7143"/>
        <w:tab w:val="right" w:pos="14287"/>
      </w:tabs>
      <w:spacing w:after="0" w:line="240" w:lineRule="auto"/>
    </w:pPr>
  </w:style>
  <w:style w:type="paragraph" w:styleId="19">
    <w:name w:val="toc 1"/>
    <w:basedOn w:val="1"/>
    <w:next w:val="1"/>
    <w:unhideWhenUsed/>
    <w:qFormat/>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qFormat/>
    <w:uiPriority w:val="39"/>
    <w:pPr>
      <w:spacing w:after="57"/>
      <w:ind w:left="283" w:right="0" w:firstLine="0"/>
    </w:pPr>
  </w:style>
  <w:style w:type="paragraph" w:styleId="26">
    <w:name w:val="toc 9"/>
    <w:basedOn w:val="1"/>
    <w:next w:val="1"/>
    <w:unhideWhenUsed/>
    <w:qFormat/>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1">
    <w:name w:val="endnote reference"/>
    <w:semiHidden/>
    <w:unhideWhenUsed/>
    <w:qFormat/>
    <w:uiPriority w:val="99"/>
    <w:rPr>
      <w:vertAlign w:val="superscript"/>
    </w:rPr>
  </w:style>
  <w:style w:type="character" w:styleId="32">
    <w:name w:val="Hyperlink"/>
    <w:unhideWhenUsed/>
    <w:qFormat/>
    <w:uiPriority w:val="99"/>
    <w:rPr>
      <w:color w:val="0000FF" w:themeColor="hyperlink"/>
      <w:u w:val="single"/>
      <w14:textFill>
        <w14:solidFill>
          <w14:schemeClr w14:val="hlink"/>
        </w14:solidFill>
      </w14:textFill>
    </w:rPr>
  </w:style>
  <w:style w:type="character" w:styleId="33">
    <w:name w:val="footnote reference"/>
    <w:unhideWhenUsed/>
    <w:qFormat/>
    <w:uiPriority w:val="99"/>
    <w:rPr>
      <w:vertAlign w:val="superscript"/>
    </w:rPr>
  </w:style>
  <w:style w:type="character" w:customStyle="1" w:styleId="34">
    <w:name w:val="Heading 1 Char"/>
    <w:link w:val="2"/>
    <w:uiPriority w:val="9"/>
    <w:rPr>
      <w:rFonts w:ascii="等线" w:hAnsi="等线" w:eastAsia="等线" w:cs="等线"/>
      <w:sz w:val="40"/>
      <w:szCs w:val="40"/>
    </w:rPr>
  </w:style>
  <w:style w:type="character" w:customStyle="1" w:styleId="35">
    <w:name w:val="Heading 2 Char"/>
    <w:link w:val="3"/>
    <w:qFormat/>
    <w:uiPriority w:val="9"/>
    <w:rPr>
      <w:rFonts w:ascii="等线" w:hAnsi="等线" w:eastAsia="等线" w:cs="等线"/>
      <w:sz w:val="34"/>
    </w:rPr>
  </w:style>
  <w:style w:type="character" w:customStyle="1" w:styleId="36">
    <w:name w:val="Heading 3 Char"/>
    <w:link w:val="4"/>
    <w:qFormat/>
    <w:uiPriority w:val="9"/>
    <w:rPr>
      <w:rFonts w:ascii="等线" w:hAnsi="等线" w:eastAsia="等线" w:cs="等线"/>
      <w:sz w:val="30"/>
      <w:szCs w:val="30"/>
    </w:rPr>
  </w:style>
  <w:style w:type="character" w:customStyle="1" w:styleId="37">
    <w:name w:val="Heading 4 Char"/>
    <w:link w:val="5"/>
    <w:uiPriority w:val="9"/>
    <w:rPr>
      <w:rFonts w:ascii="等线" w:hAnsi="等线" w:eastAsia="等线" w:cs="等线"/>
      <w:b/>
      <w:bCs/>
      <w:sz w:val="26"/>
      <w:szCs w:val="26"/>
    </w:rPr>
  </w:style>
  <w:style w:type="character" w:customStyle="1" w:styleId="38">
    <w:name w:val="Heading 5 Char"/>
    <w:link w:val="6"/>
    <w:qFormat/>
    <w:uiPriority w:val="9"/>
    <w:rPr>
      <w:rFonts w:ascii="等线" w:hAnsi="等线" w:eastAsia="等线" w:cs="等线"/>
      <w:b/>
      <w:bCs/>
      <w:sz w:val="24"/>
      <w:szCs w:val="24"/>
    </w:rPr>
  </w:style>
  <w:style w:type="character" w:customStyle="1" w:styleId="39">
    <w:name w:val="Heading 6 Char"/>
    <w:link w:val="7"/>
    <w:qFormat/>
    <w:uiPriority w:val="9"/>
    <w:rPr>
      <w:rFonts w:ascii="等线" w:hAnsi="等线" w:eastAsia="等线" w:cs="等线"/>
      <w:b/>
      <w:bCs/>
      <w:sz w:val="22"/>
      <w:szCs w:val="22"/>
    </w:rPr>
  </w:style>
  <w:style w:type="character" w:customStyle="1" w:styleId="40">
    <w:name w:val="Heading 7 Char"/>
    <w:link w:val="8"/>
    <w:qFormat/>
    <w:uiPriority w:val="9"/>
    <w:rPr>
      <w:rFonts w:ascii="等线" w:hAnsi="等线" w:eastAsia="等线" w:cs="等线"/>
      <w:b/>
      <w:bCs/>
      <w:i/>
      <w:iCs/>
      <w:sz w:val="22"/>
      <w:szCs w:val="22"/>
    </w:rPr>
  </w:style>
  <w:style w:type="character" w:customStyle="1" w:styleId="41">
    <w:name w:val="Heading 8 Char"/>
    <w:link w:val="9"/>
    <w:qFormat/>
    <w:uiPriority w:val="9"/>
    <w:rPr>
      <w:rFonts w:ascii="等线" w:hAnsi="等线" w:eastAsia="等线" w:cs="等线"/>
      <w:i/>
      <w:iCs/>
      <w:sz w:val="22"/>
      <w:szCs w:val="22"/>
    </w:rPr>
  </w:style>
  <w:style w:type="character" w:customStyle="1" w:styleId="42">
    <w:name w:val="Heading 9 Char"/>
    <w:link w:val="10"/>
    <w:qFormat/>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link w:val="27"/>
    <w:qFormat/>
    <w:uiPriority w:val="10"/>
    <w:rPr>
      <w:sz w:val="48"/>
      <w:szCs w:val="48"/>
    </w:rPr>
  </w:style>
  <w:style w:type="character" w:customStyle="1" w:styleId="46">
    <w:name w:val="Subtitle Char"/>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link w:val="18"/>
    <w:qFormat/>
    <w:uiPriority w:val="99"/>
  </w:style>
  <w:style w:type="character" w:customStyle="1" w:styleId="52">
    <w:name w:val="Footer Char"/>
    <w:link w:val="17"/>
    <w:qFormat/>
    <w:uiPriority w:val="99"/>
  </w:style>
  <w:style w:type="character" w:customStyle="1" w:styleId="53">
    <w:name w:val="Caption Char"/>
    <w:link w:val="17"/>
    <w:qFormat/>
    <w:uiPriority w:val="99"/>
  </w:style>
  <w:style w:type="table" w:customStyle="1" w:styleId="54">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6">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8">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7">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9">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0">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1">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2">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3">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4">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6">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7">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8">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9">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0">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1">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83">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4">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5">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6">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7">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8">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9">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0">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1">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2">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93">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94">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95">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8">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9">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0">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2">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8">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9">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0">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1">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2">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3">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4">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5">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6">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5">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0">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1">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2">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3">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4">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5">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6">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7">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8">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39">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0">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1">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2">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43">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44">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5">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6">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7">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1">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2">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3">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9">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0">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1">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2">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3">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4">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5">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7">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8">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9">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0">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1">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2">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4">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5">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6">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7">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2"/>
    <w:qFormat/>
    <w:uiPriority w:val="99"/>
    <w:rPr>
      <w:sz w:val="18"/>
    </w:rPr>
  </w:style>
  <w:style w:type="character" w:customStyle="1" w:styleId="180">
    <w:name w:val="Endnote Text Char"/>
    <w:link w:val="16"/>
    <w:qFormat/>
    <w:uiPriority w:val="99"/>
    <w:rPr>
      <w:sz w:val="20"/>
    </w:rPr>
  </w:style>
  <w:style w:type="paragraph" w:customStyle="1" w:styleId="181">
    <w:name w:val="TOC Heading"/>
    <w:unhideWhenUsed/>
    <w:qFormat/>
    <w:uiPriority w:val="39"/>
    <w:rPr>
      <w:rFonts w:hint="default" w:ascii="Times New Roman" w:hAnsi="Times New Roman" w:eastAsia="宋体" w:cs="Times New Roman"/>
    </w:rPr>
  </w:style>
  <w:style w:type="character" w:customStyle="1" w:styleId="182">
    <w:name w:val="默认段落字体1"/>
    <w:link w:val="1"/>
    <w:qFormat/>
    <w:uiPriority w:val="0"/>
  </w:style>
  <w:style w:type="table" w:customStyle="1" w:styleId="183">
    <w:name w:val="普通表格1"/>
    <w:unhideWhenUsed/>
    <w:qFormat/>
    <w:uiPriority w:val="99"/>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4">
    <w:name w:val="批注框文本1"/>
    <w:basedOn w:val="1"/>
    <w:qFormat/>
    <w:uiPriority w:val="0"/>
    <w:rPr>
      <w:sz w:val="18"/>
      <w:szCs w:val="18"/>
    </w:rPr>
  </w:style>
  <w:style w:type="paragraph" w:customStyle="1" w:styleId="185">
    <w:name w:val="页脚1"/>
    <w:basedOn w:val="1"/>
    <w:qFormat/>
    <w:uiPriority w:val="0"/>
    <w:pPr>
      <w:tabs>
        <w:tab w:val="center" w:pos="4153"/>
        <w:tab w:val="right" w:pos="8306"/>
      </w:tabs>
      <w:jc w:val="left"/>
    </w:pPr>
    <w:rPr>
      <w:sz w:val="18"/>
      <w:szCs w:val="18"/>
    </w:rPr>
  </w:style>
  <w:style w:type="paragraph" w:customStyle="1" w:styleId="186">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187">
    <w:name w:val="普通(网站)1"/>
    <w:basedOn w:val="1"/>
    <w:qFormat/>
    <w:uiPriority w:val="0"/>
    <w:pPr>
      <w:widowControl/>
      <w:spacing w:before="100" w:beforeAutospacing="1" w:after="100" w:afterAutospacing="1"/>
      <w:jc w:val="left"/>
    </w:pPr>
    <w:rPr>
      <w:rFonts w:ascii="宋体" w:cs="宋体"/>
      <w:sz w:val="24"/>
      <w:lang w:bidi="ar-SA"/>
    </w:rPr>
  </w:style>
  <w:style w:type="character" w:customStyle="1" w:styleId="188">
    <w:name w:val="要点1"/>
    <w:link w:val="1"/>
    <w:qFormat/>
    <w:uiPriority w:val="0"/>
    <w:rPr>
      <w:b/>
      <w:bCs/>
    </w:rPr>
  </w:style>
  <w:style w:type="character" w:customStyle="1" w:styleId="189">
    <w:name w:val="页码1"/>
    <w:basedOn w:val="182"/>
    <w:link w:val="1"/>
    <w:qFormat/>
    <w:uiPriority w:val="0"/>
  </w:style>
  <w:style w:type="character" w:customStyle="1" w:styleId="190">
    <w:name w:val="已访问的超链接1"/>
    <w:basedOn w:val="182"/>
    <w:link w:val="1"/>
    <w:unhideWhenUsed/>
    <w:qFormat/>
    <w:uiPriority w:val="99"/>
    <w:rPr>
      <w:color w:val="333333"/>
      <w:u w:val="none"/>
    </w:rPr>
  </w:style>
  <w:style w:type="character" w:customStyle="1" w:styleId="191">
    <w:name w:val="强调1"/>
    <w:basedOn w:val="182"/>
    <w:link w:val="1"/>
    <w:qFormat/>
    <w:uiPriority w:val="20"/>
  </w:style>
  <w:style w:type="character" w:customStyle="1" w:styleId="192">
    <w:name w:val="HTML 定义1"/>
    <w:basedOn w:val="182"/>
    <w:link w:val="1"/>
    <w:unhideWhenUsed/>
    <w:qFormat/>
    <w:uiPriority w:val="99"/>
  </w:style>
  <w:style w:type="character" w:customStyle="1" w:styleId="193">
    <w:name w:val="HTML 缩写1"/>
    <w:basedOn w:val="182"/>
    <w:link w:val="1"/>
    <w:unhideWhenUsed/>
    <w:qFormat/>
    <w:uiPriority w:val="99"/>
  </w:style>
  <w:style w:type="character" w:customStyle="1" w:styleId="194">
    <w:name w:val="HTML 变量1"/>
    <w:basedOn w:val="182"/>
    <w:link w:val="1"/>
    <w:unhideWhenUsed/>
    <w:qFormat/>
    <w:uiPriority w:val="99"/>
  </w:style>
  <w:style w:type="character" w:customStyle="1" w:styleId="195">
    <w:name w:val="超链接1"/>
    <w:basedOn w:val="182"/>
    <w:link w:val="1"/>
    <w:unhideWhenUsed/>
    <w:qFormat/>
    <w:uiPriority w:val="99"/>
    <w:rPr>
      <w:color w:val="333333"/>
      <w:u w:val="none"/>
    </w:rPr>
  </w:style>
  <w:style w:type="character" w:customStyle="1" w:styleId="196">
    <w:name w:val="HTML 代码1"/>
    <w:basedOn w:val="182"/>
    <w:link w:val="1"/>
    <w:unhideWhenUsed/>
    <w:qFormat/>
    <w:uiPriority w:val="99"/>
    <w:rPr>
      <w:rFonts w:ascii="Courier New" w:hAnsi="Courier New"/>
      <w:sz w:val="20"/>
    </w:rPr>
  </w:style>
  <w:style w:type="character" w:customStyle="1" w:styleId="197">
    <w:name w:val="HTML 引文1"/>
    <w:basedOn w:val="182"/>
    <w:link w:val="1"/>
    <w:unhideWhenUsed/>
    <w:qFormat/>
    <w:uiPriority w:val="99"/>
  </w:style>
  <w:style w:type="character" w:customStyle="1" w:styleId="198">
    <w:name w:val="hj-easyread-speakerprocesser-position-action-icon"/>
    <w:basedOn w:val="182"/>
    <w:link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Company>
  <Pages>10</Pages>
  <Words>2616</Words>
  <Characters>2879</Characters>
  <TotalTime>3</TotalTime>
  <ScaleCrop>false</ScaleCrop>
  <LinksUpToDate>false</LinksUpToDate>
  <CharactersWithSpaces>2914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2016-08-17T01:21:00Z</dcterms:created>
  <dc:creator>微软</dc:creator>
  <cp:lastModifiedBy>夏周星期五</cp:lastModifiedBy>
  <dcterms:modified xsi:type="dcterms:W3CDTF">2025-02-05T03:53:31Z</dcterms:modified>
  <dc:title>科学技术部20</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eyJoZGlkIjoiMzBiN2EzZjc2Njk5YzM4MjNiMzk4MzZhMjg2ZTBlZGEiLCJ1c2VySWQiOiIxMzczNTgyMDkzIn0=</vt:lpwstr>
  </property>
  <property fmtid="{D5CDD505-2E9C-101B-9397-08002B2CF9AE}" pid="3" name="KSOProductBuildVer">
    <vt:lpwstr>2052-12.1.0.19302</vt:lpwstr>
  </property>
  <property fmtid="{D5CDD505-2E9C-101B-9397-08002B2CF9AE}" pid="4" name="ICV">
    <vt:lpwstr>FB0567FBCD54410FA830BE5CFD70EEE5_12</vt:lpwstr>
  </property>
</Properties>
</file>