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eastAsia" w:ascii="仿宋" w:hAnsi="仿宋" w:eastAsia="仿宋" w:cs="仿宋"/>
          <w:b/>
          <w:bCs/>
          <w:color w:val="auto"/>
          <w:sz w:val="48"/>
          <w:szCs w:val="48"/>
        </w:rPr>
      </w:pPr>
      <w:r>
        <w:rPr>
          <w:rFonts w:hint="eastAsia" w:ascii="仿宋" w:hAnsi="仿宋" w:eastAsia="仿宋" w:cs="仿宋"/>
          <w:b/>
          <w:bCs/>
          <w:color w:val="auto"/>
          <w:sz w:val="48"/>
          <w:szCs w:val="48"/>
        </w:rPr>
        <w:t>202</w:t>
      </w:r>
      <w:r>
        <w:rPr>
          <w:rFonts w:hint="eastAsia" w:ascii="仿宋" w:hAnsi="仿宋" w:eastAsia="仿宋" w:cs="仿宋"/>
          <w:b/>
          <w:bCs/>
          <w:color w:val="auto"/>
          <w:sz w:val="48"/>
          <w:szCs w:val="48"/>
          <w:lang w:val="en-US" w:eastAsia="zh-CN"/>
        </w:rPr>
        <w:t>1</w:t>
      </w:r>
      <w:r>
        <w:rPr>
          <w:rFonts w:hint="eastAsia" w:ascii="仿宋" w:hAnsi="仿宋" w:eastAsia="仿宋" w:cs="仿宋"/>
          <w:b/>
          <w:bCs/>
          <w:color w:val="auto"/>
          <w:sz w:val="48"/>
          <w:szCs w:val="48"/>
        </w:rPr>
        <w:t>年怀化市文化市场综合</w:t>
      </w:r>
      <w:r>
        <w:rPr>
          <w:rFonts w:hint="eastAsia" w:ascii="仿宋" w:hAnsi="仿宋" w:eastAsia="仿宋" w:cs="仿宋"/>
          <w:b/>
          <w:bCs/>
          <w:color w:val="auto"/>
          <w:sz w:val="48"/>
          <w:szCs w:val="48"/>
          <w:lang w:eastAsia="zh-CN"/>
        </w:rPr>
        <w:t>行政</w:t>
      </w:r>
      <w:r>
        <w:rPr>
          <w:rFonts w:hint="eastAsia" w:ascii="仿宋" w:hAnsi="仿宋" w:eastAsia="仿宋" w:cs="仿宋"/>
          <w:b/>
          <w:bCs/>
          <w:color w:val="auto"/>
          <w:sz w:val="48"/>
          <w:szCs w:val="48"/>
        </w:rPr>
        <w:t>执法</w:t>
      </w:r>
      <w:r>
        <w:rPr>
          <w:rFonts w:hint="eastAsia" w:ascii="仿宋" w:hAnsi="仿宋" w:eastAsia="仿宋" w:cs="仿宋"/>
          <w:b/>
          <w:bCs/>
          <w:color w:val="auto"/>
          <w:sz w:val="48"/>
          <w:szCs w:val="48"/>
          <w:lang w:eastAsia="zh-CN"/>
        </w:rPr>
        <w:t>支队</w:t>
      </w:r>
      <w:r>
        <w:rPr>
          <w:rFonts w:hint="eastAsia" w:ascii="仿宋" w:hAnsi="仿宋" w:eastAsia="仿宋" w:cs="仿宋"/>
          <w:b/>
          <w:bCs/>
          <w:color w:val="auto"/>
          <w:sz w:val="48"/>
          <w:szCs w:val="48"/>
        </w:rPr>
        <w:t>部门决算</w:t>
      </w:r>
    </w:p>
    <w:p>
      <w:pPr>
        <w:pStyle w:val="12"/>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color w:val="auto"/>
          <w:sz w:val="32"/>
          <w:szCs w:val="32"/>
        </w:rPr>
      </w:pPr>
      <w:r>
        <w:rPr>
          <w:rFonts w:hint="eastAsia" w:ascii="黑体" w:hAnsi="黑体" w:eastAsia="黑体" w:cs="黑体"/>
          <w:b/>
          <w:color w:val="auto"/>
          <w:sz w:val="32"/>
          <w:szCs w:val="32"/>
        </w:rPr>
        <w:t>目录</w:t>
      </w:r>
    </w:p>
    <w:p>
      <w:pPr>
        <w:pStyle w:val="12"/>
        <w:keepNext w:val="0"/>
        <w:keepLines w:val="0"/>
        <w:pageBreakBefore w:val="0"/>
        <w:widowControl w:val="0"/>
        <w:kinsoku/>
        <w:wordWrap/>
        <w:overflowPunct/>
        <w:topLinePunct w:val="0"/>
        <w:bidi w:val="0"/>
        <w:snapToGrid/>
        <w:spacing w:line="600" w:lineRule="exact"/>
        <w:ind w:left="0" w:leftChars="0" w:firstLine="640" w:firstLineChars="200"/>
        <w:textAlignment w:val="auto"/>
        <w:rPr>
          <w:rFonts w:hint="eastAsia" w:ascii="黑体" w:hAnsi="黑体" w:eastAsia="黑体" w:cs="黑体"/>
          <w:b/>
          <w:color w:val="auto"/>
          <w:sz w:val="32"/>
          <w:szCs w:val="32"/>
        </w:rPr>
      </w:pPr>
      <w:r>
        <w:rPr>
          <w:rFonts w:hint="eastAsia" w:ascii="黑体" w:hAnsi="黑体" w:eastAsia="黑体" w:cs="黑体"/>
          <w:b/>
          <w:color w:val="auto"/>
          <w:sz w:val="32"/>
          <w:szCs w:val="32"/>
        </w:rPr>
        <w:t>第一部分</w:t>
      </w:r>
      <w:r>
        <w:rPr>
          <w:rFonts w:hint="eastAsia" w:hAnsi="黑体" w:cs="黑体"/>
          <w:b/>
          <w:color w:val="auto"/>
          <w:sz w:val="32"/>
          <w:szCs w:val="32"/>
          <w:lang w:val="en-US" w:eastAsia="zh-CN"/>
        </w:rPr>
        <w:tab/>
      </w:r>
      <w:r>
        <w:rPr>
          <w:rFonts w:hint="eastAsia" w:ascii="黑体" w:hAnsi="黑体" w:eastAsia="黑体" w:cs="黑体"/>
          <w:b/>
          <w:color w:val="auto"/>
          <w:sz w:val="32"/>
          <w:szCs w:val="32"/>
        </w:rPr>
        <w:t>怀化市文化市场综合</w:t>
      </w:r>
      <w:r>
        <w:rPr>
          <w:rFonts w:hint="eastAsia" w:ascii="黑体" w:hAnsi="黑体" w:eastAsia="黑体" w:cs="黑体"/>
          <w:b/>
          <w:color w:val="auto"/>
          <w:sz w:val="32"/>
          <w:szCs w:val="32"/>
          <w:lang w:eastAsia="zh-CN"/>
        </w:rPr>
        <w:t>行政</w:t>
      </w:r>
      <w:r>
        <w:rPr>
          <w:rFonts w:hint="eastAsia" w:ascii="黑体" w:hAnsi="黑体" w:eastAsia="黑体" w:cs="黑体"/>
          <w:b/>
          <w:color w:val="auto"/>
          <w:sz w:val="32"/>
          <w:szCs w:val="32"/>
        </w:rPr>
        <w:t>执法</w:t>
      </w:r>
      <w:r>
        <w:rPr>
          <w:rFonts w:hint="eastAsia" w:ascii="黑体" w:hAnsi="黑体" w:eastAsia="黑体" w:cs="黑体"/>
          <w:b/>
          <w:color w:val="auto"/>
          <w:sz w:val="32"/>
          <w:szCs w:val="32"/>
          <w:lang w:eastAsia="zh-CN"/>
        </w:rPr>
        <w:t>支队部门</w:t>
      </w:r>
      <w:r>
        <w:rPr>
          <w:rFonts w:hint="eastAsia" w:ascii="黑体" w:hAnsi="黑体" w:eastAsia="黑体" w:cs="黑体"/>
          <w:b/>
          <w:color w:val="auto"/>
          <w:sz w:val="32"/>
          <w:szCs w:val="32"/>
        </w:rPr>
        <w:t>概况</w:t>
      </w:r>
    </w:p>
    <w:p>
      <w:pPr>
        <w:pStyle w:val="12"/>
        <w:keepNext w:val="0"/>
        <w:keepLines w:val="0"/>
        <w:pageBreakBefore w:val="0"/>
        <w:widowControl w:val="0"/>
        <w:kinsoku/>
        <w:wordWrap/>
        <w:overflowPunct/>
        <w:topLinePunct w:val="0"/>
        <w:bidi w:val="0"/>
        <w:snapToGrid/>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一、部门职责</w:t>
      </w:r>
    </w:p>
    <w:p>
      <w:pPr>
        <w:pStyle w:val="12"/>
        <w:keepNext w:val="0"/>
        <w:keepLines w:val="0"/>
        <w:pageBreakBefore w:val="0"/>
        <w:widowControl w:val="0"/>
        <w:kinsoku/>
        <w:wordWrap/>
        <w:overflowPunct/>
        <w:topLinePunct w:val="0"/>
        <w:bidi w:val="0"/>
        <w:snapToGrid/>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二、机构设置</w:t>
      </w:r>
    </w:p>
    <w:p>
      <w:pPr>
        <w:pStyle w:val="12"/>
        <w:keepNext w:val="0"/>
        <w:keepLines w:val="0"/>
        <w:pageBreakBefore w:val="0"/>
        <w:widowControl w:val="0"/>
        <w:kinsoku/>
        <w:wordWrap/>
        <w:overflowPunct/>
        <w:topLinePunct w:val="0"/>
        <w:bidi w:val="0"/>
        <w:snapToGrid/>
        <w:spacing w:line="600" w:lineRule="exact"/>
        <w:ind w:left="0" w:leftChars="0" w:firstLine="640" w:firstLineChars="200"/>
        <w:textAlignment w:val="auto"/>
        <w:rPr>
          <w:rFonts w:hint="eastAsia" w:ascii="黑体" w:hAnsi="黑体" w:eastAsia="黑体" w:cs="黑体"/>
          <w:b/>
          <w:color w:val="auto"/>
          <w:sz w:val="32"/>
          <w:szCs w:val="32"/>
        </w:rPr>
      </w:pPr>
      <w:r>
        <w:rPr>
          <w:rFonts w:hint="eastAsia" w:ascii="黑体" w:hAnsi="黑体" w:eastAsia="黑体" w:cs="黑体"/>
          <w:b/>
          <w:color w:val="auto"/>
          <w:sz w:val="32"/>
          <w:szCs w:val="32"/>
        </w:rPr>
        <w:t>第二部分</w:t>
      </w:r>
      <w:r>
        <w:rPr>
          <w:rFonts w:hint="eastAsia" w:hAnsi="黑体" w:cs="黑体"/>
          <w:b/>
          <w:color w:val="auto"/>
          <w:sz w:val="32"/>
          <w:szCs w:val="32"/>
          <w:lang w:val="en-US" w:eastAsia="zh-CN"/>
        </w:rPr>
        <w:tab/>
      </w:r>
      <w:r>
        <w:rPr>
          <w:rFonts w:hint="eastAsia" w:ascii="黑体" w:hAnsi="黑体" w:eastAsia="黑体" w:cs="黑体"/>
          <w:b/>
          <w:color w:val="auto"/>
          <w:sz w:val="32"/>
          <w:szCs w:val="32"/>
        </w:rPr>
        <w:t>202</w:t>
      </w:r>
      <w:r>
        <w:rPr>
          <w:rFonts w:hint="eastAsia" w:ascii="黑体" w:hAnsi="黑体" w:eastAsia="黑体" w:cs="黑体"/>
          <w:b/>
          <w:color w:val="auto"/>
          <w:sz w:val="32"/>
          <w:szCs w:val="32"/>
          <w:lang w:val="en-US" w:eastAsia="zh-CN"/>
        </w:rPr>
        <w:t>1</w:t>
      </w:r>
      <w:r>
        <w:rPr>
          <w:rFonts w:hint="eastAsia" w:ascii="黑体" w:hAnsi="黑体" w:eastAsia="黑体" w:cs="黑体"/>
          <w:b/>
          <w:color w:val="auto"/>
          <w:sz w:val="32"/>
          <w:szCs w:val="32"/>
        </w:rPr>
        <w:t>年度部门决算表</w:t>
      </w:r>
    </w:p>
    <w:p>
      <w:pPr>
        <w:pStyle w:val="12"/>
        <w:keepNext w:val="0"/>
        <w:keepLines w:val="0"/>
        <w:pageBreakBefore w:val="0"/>
        <w:widowControl w:val="0"/>
        <w:kinsoku/>
        <w:wordWrap/>
        <w:overflowPunct/>
        <w:topLinePunct w:val="0"/>
        <w:bidi w:val="0"/>
        <w:snapToGrid/>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一、收入支出决算总表</w:t>
      </w:r>
    </w:p>
    <w:p>
      <w:pPr>
        <w:pStyle w:val="12"/>
        <w:keepNext w:val="0"/>
        <w:keepLines w:val="0"/>
        <w:pageBreakBefore w:val="0"/>
        <w:widowControl w:val="0"/>
        <w:kinsoku/>
        <w:wordWrap/>
        <w:overflowPunct/>
        <w:topLinePunct w:val="0"/>
        <w:bidi w:val="0"/>
        <w:snapToGrid/>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二、收入决算表</w:t>
      </w:r>
    </w:p>
    <w:p>
      <w:pPr>
        <w:pStyle w:val="12"/>
        <w:keepNext w:val="0"/>
        <w:keepLines w:val="0"/>
        <w:pageBreakBefore w:val="0"/>
        <w:widowControl w:val="0"/>
        <w:kinsoku/>
        <w:wordWrap/>
        <w:overflowPunct/>
        <w:topLinePunct w:val="0"/>
        <w:bidi w:val="0"/>
        <w:snapToGrid/>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三、支出决算表</w:t>
      </w:r>
    </w:p>
    <w:p>
      <w:pPr>
        <w:pStyle w:val="12"/>
        <w:keepNext w:val="0"/>
        <w:keepLines w:val="0"/>
        <w:pageBreakBefore w:val="0"/>
        <w:widowControl w:val="0"/>
        <w:kinsoku/>
        <w:wordWrap/>
        <w:overflowPunct/>
        <w:topLinePunct w:val="0"/>
        <w:bidi w:val="0"/>
        <w:snapToGrid/>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四、财政拨款收入支出决算总表</w:t>
      </w:r>
    </w:p>
    <w:p>
      <w:pPr>
        <w:pStyle w:val="12"/>
        <w:keepNext w:val="0"/>
        <w:keepLines w:val="0"/>
        <w:pageBreakBefore w:val="0"/>
        <w:widowControl w:val="0"/>
        <w:kinsoku/>
        <w:wordWrap/>
        <w:overflowPunct/>
        <w:topLinePunct w:val="0"/>
        <w:bidi w:val="0"/>
        <w:snapToGrid/>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五、一般公共预算财政拨款支出决算表</w:t>
      </w:r>
    </w:p>
    <w:p>
      <w:pPr>
        <w:pStyle w:val="12"/>
        <w:keepNext w:val="0"/>
        <w:keepLines w:val="0"/>
        <w:pageBreakBefore w:val="0"/>
        <w:widowControl w:val="0"/>
        <w:kinsoku/>
        <w:wordWrap/>
        <w:overflowPunct/>
        <w:topLinePunct w:val="0"/>
        <w:bidi w:val="0"/>
        <w:snapToGrid/>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六、一般公共预算财政拨款基本支出决算表</w:t>
      </w:r>
    </w:p>
    <w:p>
      <w:pPr>
        <w:pStyle w:val="12"/>
        <w:keepNext w:val="0"/>
        <w:keepLines w:val="0"/>
        <w:pageBreakBefore w:val="0"/>
        <w:widowControl w:val="0"/>
        <w:kinsoku/>
        <w:wordWrap/>
        <w:overflowPunct/>
        <w:topLinePunct w:val="0"/>
        <w:bidi w:val="0"/>
        <w:snapToGrid/>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七、一般公共预算财政拨款“三公”经费支出决算表</w:t>
      </w:r>
    </w:p>
    <w:p>
      <w:pPr>
        <w:pStyle w:val="12"/>
        <w:keepNext w:val="0"/>
        <w:keepLines w:val="0"/>
        <w:pageBreakBefore w:val="0"/>
        <w:widowControl w:val="0"/>
        <w:kinsoku/>
        <w:wordWrap/>
        <w:overflowPunct/>
        <w:topLinePunct w:val="0"/>
        <w:bidi w:val="0"/>
        <w:snapToGrid/>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八、政府性基金预算财政拨款收入支出决算表</w:t>
      </w:r>
    </w:p>
    <w:p>
      <w:pPr>
        <w:pStyle w:val="12"/>
        <w:keepNext w:val="0"/>
        <w:keepLines w:val="0"/>
        <w:pageBreakBefore w:val="0"/>
        <w:widowControl w:val="0"/>
        <w:kinsoku/>
        <w:wordWrap/>
        <w:overflowPunct/>
        <w:topLinePunct w:val="0"/>
        <w:bidi w:val="0"/>
        <w:snapToGrid/>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九、国有资本经营预算财政拨款支出决算表</w:t>
      </w:r>
    </w:p>
    <w:p>
      <w:pPr>
        <w:pStyle w:val="12"/>
        <w:keepNext w:val="0"/>
        <w:keepLines w:val="0"/>
        <w:pageBreakBefore w:val="0"/>
        <w:widowControl w:val="0"/>
        <w:kinsoku/>
        <w:wordWrap/>
        <w:overflowPunct/>
        <w:topLinePunct w:val="0"/>
        <w:bidi w:val="0"/>
        <w:snapToGrid/>
        <w:spacing w:line="600" w:lineRule="exact"/>
        <w:ind w:left="0" w:leftChars="0" w:firstLine="640" w:firstLineChars="200"/>
        <w:textAlignment w:val="auto"/>
        <w:rPr>
          <w:rFonts w:hint="eastAsia" w:ascii="黑体" w:hAnsi="黑体" w:eastAsia="黑体" w:cs="黑体"/>
          <w:b/>
          <w:color w:val="auto"/>
          <w:sz w:val="32"/>
          <w:szCs w:val="32"/>
        </w:rPr>
      </w:pPr>
      <w:r>
        <w:rPr>
          <w:rFonts w:hint="eastAsia" w:ascii="黑体" w:hAnsi="黑体" w:eastAsia="黑体" w:cs="黑体"/>
          <w:b/>
          <w:color w:val="auto"/>
          <w:sz w:val="32"/>
          <w:szCs w:val="32"/>
        </w:rPr>
        <w:t>第三部分</w:t>
      </w:r>
      <w:r>
        <w:rPr>
          <w:rFonts w:hint="eastAsia" w:hAnsi="黑体" w:cs="黑体"/>
          <w:b/>
          <w:color w:val="auto"/>
          <w:sz w:val="32"/>
          <w:szCs w:val="32"/>
          <w:lang w:val="en-US" w:eastAsia="zh-CN"/>
        </w:rPr>
        <w:tab/>
      </w:r>
      <w:r>
        <w:rPr>
          <w:rFonts w:hint="eastAsia" w:ascii="黑体" w:hAnsi="黑体" w:eastAsia="黑体" w:cs="黑体"/>
          <w:b/>
          <w:color w:val="auto"/>
          <w:sz w:val="32"/>
          <w:szCs w:val="32"/>
        </w:rPr>
        <w:t>202</w:t>
      </w:r>
      <w:r>
        <w:rPr>
          <w:rFonts w:hint="eastAsia" w:ascii="黑体" w:hAnsi="黑体" w:eastAsia="黑体" w:cs="黑体"/>
          <w:b/>
          <w:color w:val="auto"/>
          <w:sz w:val="32"/>
          <w:szCs w:val="32"/>
          <w:lang w:val="en-US" w:eastAsia="zh-CN"/>
        </w:rPr>
        <w:t>1</w:t>
      </w:r>
      <w:r>
        <w:rPr>
          <w:rFonts w:hint="eastAsia" w:ascii="黑体" w:hAnsi="黑体" w:eastAsia="黑体" w:cs="黑体"/>
          <w:b/>
          <w:color w:val="auto"/>
          <w:sz w:val="32"/>
          <w:szCs w:val="32"/>
        </w:rPr>
        <w:t>年度部门决算情况说明</w:t>
      </w:r>
    </w:p>
    <w:p>
      <w:pPr>
        <w:pStyle w:val="12"/>
        <w:keepNext w:val="0"/>
        <w:keepLines w:val="0"/>
        <w:pageBreakBefore w:val="0"/>
        <w:widowControl w:val="0"/>
        <w:kinsoku/>
        <w:wordWrap/>
        <w:overflowPunct/>
        <w:topLinePunct w:val="0"/>
        <w:bidi w:val="0"/>
        <w:snapToGrid/>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一、收入支出决算总体情况说明</w:t>
      </w:r>
    </w:p>
    <w:p>
      <w:pPr>
        <w:keepNext w:val="0"/>
        <w:keepLines w:val="0"/>
        <w:pageBreakBefore w:val="0"/>
        <w:widowControl w:val="0"/>
        <w:kinsoku/>
        <w:wordWrap/>
        <w:overflowPunct/>
        <w:topLinePunct w:val="0"/>
        <w:bidi w:val="0"/>
        <w:snapToGrid/>
        <w:spacing w:line="600" w:lineRule="exact"/>
        <w:ind w:left="0" w:leftChars="0"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二、收入决算情况说明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三、支出决算情况说明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四、财政拨款收入支出决算总体情况说明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五、一般公共预算财政拨款支出决算情况说明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六、一般公共预算财政拨款基本支出决算情况说明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七、一般公共预算财政拨款三公经费支出决算情况说明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八、政府性基金预算收入支出决算情况</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jc w:val="left"/>
        <w:textAlignment w:val="auto"/>
        <w:rPr>
          <w:rFonts w:hint="eastAsia" w:ascii="仿宋" w:hAnsi="仿宋" w:eastAsia="仿宋" w:cs="仿宋"/>
          <w:color w:val="auto"/>
          <w:kern w:val="0"/>
          <w:sz w:val="32"/>
          <w:szCs w:val="32"/>
          <w:lang w:eastAsia="zh-CN"/>
        </w:rPr>
      </w:pPr>
      <w:r>
        <w:rPr>
          <w:rFonts w:hint="eastAsia" w:ascii="仿宋" w:hAnsi="仿宋" w:eastAsia="仿宋" w:cs="仿宋"/>
          <w:color w:val="auto"/>
          <w:kern w:val="0"/>
          <w:sz w:val="32"/>
          <w:szCs w:val="32"/>
        </w:rPr>
        <w:t>九、</w:t>
      </w:r>
      <w:r>
        <w:rPr>
          <w:rFonts w:hint="eastAsia" w:ascii="仿宋" w:hAnsi="仿宋" w:eastAsia="仿宋" w:cs="仿宋"/>
          <w:color w:val="auto"/>
          <w:kern w:val="0"/>
          <w:sz w:val="32"/>
          <w:szCs w:val="32"/>
          <w:lang w:eastAsia="zh-CN"/>
        </w:rPr>
        <w:t>国有资本经营预算财政拨款支出决算情况说明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lang w:eastAsia="zh-CN"/>
        </w:rPr>
        <w:t>十、</w:t>
      </w:r>
      <w:r>
        <w:rPr>
          <w:rFonts w:hint="eastAsia" w:ascii="仿宋" w:hAnsi="仿宋" w:eastAsia="仿宋" w:cs="仿宋"/>
          <w:color w:val="auto"/>
          <w:kern w:val="0"/>
          <w:sz w:val="32"/>
          <w:szCs w:val="32"/>
        </w:rPr>
        <w:t>关于机关运行经费支出说明</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jc w:val="left"/>
        <w:textAlignment w:val="auto"/>
        <w:rPr>
          <w:rFonts w:hint="eastAsia" w:ascii="仿宋" w:hAnsi="仿宋" w:eastAsia="仿宋" w:cs="仿宋"/>
          <w:color w:val="auto"/>
          <w:kern w:val="0"/>
          <w:sz w:val="32"/>
          <w:szCs w:val="32"/>
          <w:lang w:eastAsia="zh-CN"/>
        </w:rPr>
      </w:pPr>
      <w:r>
        <w:rPr>
          <w:rFonts w:hint="eastAsia" w:ascii="仿宋" w:hAnsi="仿宋" w:eastAsia="仿宋" w:cs="仿宋"/>
          <w:color w:val="auto"/>
          <w:kern w:val="0"/>
          <w:sz w:val="32"/>
          <w:szCs w:val="32"/>
        </w:rPr>
        <w:t>十</w:t>
      </w:r>
      <w:r>
        <w:rPr>
          <w:rFonts w:hint="eastAsia" w:ascii="仿宋" w:hAnsi="仿宋" w:eastAsia="仿宋" w:cs="仿宋"/>
          <w:color w:val="auto"/>
          <w:kern w:val="0"/>
          <w:sz w:val="32"/>
          <w:szCs w:val="32"/>
          <w:lang w:eastAsia="zh-CN"/>
        </w:rPr>
        <w:t>一</w:t>
      </w:r>
      <w:r>
        <w:rPr>
          <w:rFonts w:hint="eastAsia" w:ascii="仿宋" w:hAnsi="仿宋" w:eastAsia="仿宋" w:cs="仿宋"/>
          <w:color w:val="auto"/>
          <w:kern w:val="0"/>
          <w:sz w:val="32"/>
          <w:szCs w:val="32"/>
        </w:rPr>
        <w:t>、一般性支出情况</w:t>
      </w:r>
      <w:r>
        <w:rPr>
          <w:rFonts w:hint="eastAsia" w:ascii="仿宋" w:hAnsi="仿宋" w:eastAsia="仿宋" w:cs="仿宋"/>
          <w:color w:val="auto"/>
          <w:kern w:val="0"/>
          <w:sz w:val="32"/>
          <w:szCs w:val="32"/>
          <w:lang w:eastAsia="zh-CN"/>
        </w:rPr>
        <w:t>说明</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十</w:t>
      </w:r>
      <w:r>
        <w:rPr>
          <w:rFonts w:hint="eastAsia" w:ascii="仿宋" w:hAnsi="仿宋" w:eastAsia="仿宋" w:cs="仿宋"/>
          <w:color w:val="auto"/>
          <w:kern w:val="0"/>
          <w:sz w:val="32"/>
          <w:szCs w:val="32"/>
          <w:lang w:eastAsia="zh-CN"/>
        </w:rPr>
        <w:t>二</w:t>
      </w:r>
      <w:r>
        <w:rPr>
          <w:rFonts w:hint="eastAsia" w:ascii="仿宋" w:hAnsi="仿宋" w:eastAsia="仿宋" w:cs="仿宋"/>
          <w:color w:val="auto"/>
          <w:kern w:val="0"/>
          <w:sz w:val="32"/>
          <w:szCs w:val="32"/>
        </w:rPr>
        <w:t>、关于政府采购支出说明</w:t>
      </w:r>
    </w:p>
    <w:p>
      <w:pPr>
        <w:pStyle w:val="12"/>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w:t>
      </w:r>
      <w:r>
        <w:rPr>
          <w:rFonts w:hint="eastAsia" w:ascii="仿宋" w:hAnsi="仿宋" w:eastAsia="仿宋" w:cs="仿宋"/>
          <w:color w:val="auto"/>
          <w:sz w:val="32"/>
          <w:szCs w:val="32"/>
          <w:lang w:eastAsia="zh-CN"/>
        </w:rPr>
        <w:t>三</w:t>
      </w:r>
      <w:r>
        <w:rPr>
          <w:rFonts w:hint="eastAsia" w:ascii="仿宋" w:hAnsi="仿宋" w:eastAsia="仿宋" w:cs="仿宋"/>
          <w:color w:val="auto"/>
          <w:sz w:val="32"/>
          <w:szCs w:val="32"/>
        </w:rPr>
        <w:t>、关于国有资产占用情况说明</w:t>
      </w:r>
    </w:p>
    <w:p>
      <w:pPr>
        <w:pStyle w:val="12"/>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w:t>
      </w:r>
      <w:r>
        <w:rPr>
          <w:rFonts w:hint="eastAsia" w:ascii="仿宋" w:hAnsi="仿宋" w:eastAsia="仿宋" w:cs="仿宋"/>
          <w:color w:val="auto"/>
          <w:sz w:val="32"/>
          <w:szCs w:val="32"/>
          <w:lang w:eastAsia="zh-CN"/>
        </w:rPr>
        <w:t>四</w:t>
      </w:r>
      <w:r>
        <w:rPr>
          <w:rFonts w:hint="eastAsia" w:ascii="仿宋" w:hAnsi="仿宋" w:eastAsia="仿宋" w:cs="仿宋"/>
          <w:color w:val="auto"/>
          <w:sz w:val="32"/>
          <w:szCs w:val="32"/>
        </w:rPr>
        <w:t>、关于202</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年度预算绩效情况的说明</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jc w:val="left"/>
        <w:textAlignment w:val="auto"/>
        <w:rPr>
          <w:rFonts w:hint="eastAsia" w:ascii="黑体" w:hAnsi="黑体" w:eastAsia="黑体" w:cs="黑体"/>
          <w:b/>
          <w:color w:val="auto"/>
          <w:kern w:val="0"/>
          <w:sz w:val="32"/>
          <w:szCs w:val="32"/>
          <w:lang w:val="en-US" w:eastAsia="zh-CN" w:bidi="ar-SA"/>
        </w:rPr>
      </w:pPr>
      <w:r>
        <w:rPr>
          <w:rFonts w:hint="eastAsia" w:ascii="黑体" w:hAnsi="黑体" w:eastAsia="黑体" w:cs="黑体"/>
          <w:b/>
          <w:color w:val="auto"/>
          <w:kern w:val="0"/>
          <w:sz w:val="32"/>
          <w:szCs w:val="32"/>
          <w:lang w:val="en-US" w:eastAsia="zh-CN" w:bidi="ar-SA"/>
        </w:rPr>
        <w:t>第四部分</w:t>
      </w:r>
      <w:r>
        <w:rPr>
          <w:rFonts w:hint="eastAsia" w:ascii="黑体" w:hAnsi="黑体" w:eastAsia="黑体" w:cs="黑体"/>
          <w:b/>
          <w:color w:val="auto"/>
          <w:kern w:val="0"/>
          <w:sz w:val="32"/>
          <w:szCs w:val="32"/>
          <w:lang w:val="en-US" w:eastAsia="zh-CN" w:bidi="ar-SA"/>
        </w:rPr>
        <w:tab/>
      </w:r>
      <w:r>
        <w:rPr>
          <w:rFonts w:hint="eastAsia" w:ascii="黑体" w:hAnsi="黑体" w:eastAsia="黑体" w:cs="黑体"/>
          <w:b/>
          <w:color w:val="auto"/>
          <w:kern w:val="0"/>
          <w:sz w:val="32"/>
          <w:szCs w:val="32"/>
          <w:lang w:val="en-US" w:eastAsia="zh-CN" w:bidi="ar-SA"/>
        </w:rPr>
        <w:t>名词解释</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jc w:val="left"/>
        <w:textAlignment w:val="auto"/>
        <w:rPr>
          <w:rFonts w:hint="eastAsia" w:ascii="黑体" w:hAnsi="黑体" w:eastAsia="黑体" w:cs="黑体"/>
          <w:b/>
          <w:color w:val="auto"/>
          <w:kern w:val="0"/>
          <w:sz w:val="32"/>
          <w:szCs w:val="32"/>
        </w:rPr>
      </w:pPr>
      <w:r>
        <w:rPr>
          <w:rFonts w:hint="eastAsia" w:ascii="黑体" w:hAnsi="黑体" w:eastAsia="黑体" w:cs="黑体"/>
          <w:b/>
          <w:color w:val="auto"/>
          <w:kern w:val="0"/>
          <w:sz w:val="32"/>
          <w:szCs w:val="32"/>
          <w:lang w:val="en-US" w:eastAsia="zh-CN" w:bidi="ar-SA"/>
        </w:rPr>
        <w:t>第五部分</w:t>
      </w:r>
      <w:r>
        <w:rPr>
          <w:rFonts w:hint="eastAsia" w:ascii="黑体" w:hAnsi="黑体" w:eastAsia="黑体" w:cs="黑体"/>
          <w:b/>
          <w:color w:val="auto"/>
          <w:kern w:val="0"/>
          <w:sz w:val="32"/>
          <w:szCs w:val="32"/>
          <w:lang w:val="en-US" w:eastAsia="zh-CN" w:bidi="ar-SA"/>
        </w:rPr>
        <w:tab/>
      </w:r>
      <w:r>
        <w:rPr>
          <w:rFonts w:hint="eastAsia" w:ascii="黑体" w:hAnsi="黑体" w:eastAsia="黑体" w:cs="黑体"/>
          <w:b/>
          <w:color w:val="auto"/>
          <w:kern w:val="0"/>
          <w:sz w:val="32"/>
          <w:szCs w:val="32"/>
          <w:lang w:val="en-US" w:eastAsia="zh-CN" w:bidi="ar-SA"/>
        </w:rPr>
        <w:t>附件</w:t>
      </w:r>
    </w:p>
    <w:p>
      <w:pPr>
        <w:keepNext w:val="0"/>
        <w:keepLines w:val="0"/>
        <w:pageBreakBefore w:val="0"/>
        <w:kinsoku/>
        <w:wordWrap/>
        <w:overflowPunct/>
        <w:topLinePunct w:val="0"/>
        <w:bidi w:val="0"/>
        <w:snapToGrid/>
        <w:spacing w:line="600" w:lineRule="exact"/>
        <w:ind w:left="0" w:leftChars="0" w:firstLine="640" w:firstLineChars="200"/>
        <w:jc w:val="center"/>
        <w:textAlignment w:val="auto"/>
        <w:rPr>
          <w:rFonts w:hint="eastAsia" w:ascii="仿宋" w:hAnsi="仿宋" w:eastAsia="仿宋" w:cs="仿宋"/>
          <w:color w:val="auto"/>
          <w:sz w:val="32"/>
          <w:szCs w:val="32"/>
        </w:rPr>
      </w:pPr>
    </w:p>
    <w:p>
      <w:pPr>
        <w:keepNext w:val="0"/>
        <w:keepLines w:val="0"/>
        <w:pageBreakBefore w:val="0"/>
        <w:kinsoku/>
        <w:wordWrap/>
        <w:overflowPunct/>
        <w:topLinePunct w:val="0"/>
        <w:bidi w:val="0"/>
        <w:snapToGrid/>
        <w:spacing w:line="600" w:lineRule="exact"/>
        <w:ind w:left="0" w:leftChars="0" w:firstLine="640" w:firstLineChars="200"/>
        <w:jc w:val="center"/>
        <w:textAlignment w:val="auto"/>
        <w:rPr>
          <w:rFonts w:hint="eastAsia" w:ascii="仿宋" w:hAnsi="仿宋" w:eastAsia="仿宋" w:cs="仿宋"/>
          <w:color w:val="auto"/>
          <w:sz w:val="32"/>
          <w:szCs w:val="32"/>
        </w:rPr>
      </w:pPr>
    </w:p>
    <w:p>
      <w:pPr>
        <w:pStyle w:val="12"/>
        <w:keepNext w:val="0"/>
        <w:keepLines w:val="0"/>
        <w:pageBreakBefore w:val="0"/>
        <w:numPr>
          <w:ilvl w:val="0"/>
          <w:numId w:val="1"/>
        </w:numPr>
        <w:kinsoku/>
        <w:wordWrap/>
        <w:overflowPunct/>
        <w:topLinePunct w:val="0"/>
        <w:bidi w:val="0"/>
        <w:snapToGrid/>
        <w:spacing w:line="600" w:lineRule="exact"/>
        <w:jc w:val="center"/>
        <w:textAlignment w:val="auto"/>
        <w:rPr>
          <w:rFonts w:hint="eastAsia" w:ascii="黑体" w:hAnsi="黑体" w:eastAsia="黑体" w:cs="黑体"/>
          <w:b/>
          <w:color w:val="auto"/>
          <w:sz w:val="44"/>
          <w:szCs w:val="44"/>
          <w:lang w:val="en-US" w:eastAsia="zh-CN"/>
        </w:rPr>
      </w:pPr>
      <w:r>
        <w:rPr>
          <w:rFonts w:hint="eastAsia" w:ascii="黑体" w:hAnsi="黑体" w:eastAsia="黑体" w:cs="黑体"/>
          <w:b/>
          <w:color w:val="auto"/>
          <w:sz w:val="44"/>
          <w:szCs w:val="44"/>
          <w:lang w:val="en-US" w:eastAsia="zh-CN"/>
        </w:rPr>
        <w:t>怀化市文化市场综合行政执法支队部门概况</w:t>
      </w:r>
    </w:p>
    <w:p>
      <w:pPr>
        <w:pStyle w:val="12"/>
        <w:keepNext w:val="0"/>
        <w:keepLines w:val="0"/>
        <w:pageBreakBefore w:val="0"/>
        <w:numPr>
          <w:ilvl w:val="0"/>
          <w:numId w:val="0"/>
        </w:numPr>
        <w:kinsoku/>
        <w:wordWrap/>
        <w:overflowPunct/>
        <w:topLinePunct w:val="0"/>
        <w:bidi w:val="0"/>
        <w:snapToGrid/>
        <w:spacing w:line="600" w:lineRule="exact"/>
        <w:jc w:val="both"/>
        <w:textAlignment w:val="auto"/>
        <w:rPr>
          <w:rFonts w:hint="eastAsia" w:ascii="黑体" w:hAnsi="黑体" w:eastAsia="黑体" w:cs="黑体"/>
          <w:b/>
          <w:color w:val="auto"/>
          <w:sz w:val="44"/>
          <w:szCs w:val="44"/>
          <w:lang w:val="en-US" w:eastAsia="zh-CN"/>
        </w:rPr>
      </w:pPr>
    </w:p>
    <w:p>
      <w:pPr>
        <w:pStyle w:val="13"/>
        <w:keepNext w:val="0"/>
        <w:keepLines w:val="0"/>
        <w:pageBreakBefore w:val="0"/>
        <w:numPr>
          <w:ilvl w:val="0"/>
          <w:numId w:val="0"/>
        </w:numPr>
        <w:kinsoku/>
        <w:wordWrap/>
        <w:overflowPunct/>
        <w:topLinePunct w:val="0"/>
        <w:bidi w:val="0"/>
        <w:snapToGrid/>
        <w:spacing w:line="600" w:lineRule="exact"/>
        <w:ind w:left="0" w:leftChars="0" w:firstLine="640" w:firstLineChars="200"/>
        <w:jc w:val="left"/>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eastAsia="zh-CN"/>
        </w:rPr>
        <w:t>一、</w:t>
      </w:r>
      <w:r>
        <w:rPr>
          <w:rFonts w:hint="eastAsia" w:ascii="黑体" w:hAnsi="黑体" w:eastAsia="黑体" w:cs="黑体"/>
          <w:b w:val="0"/>
          <w:bCs w:val="0"/>
          <w:color w:val="auto"/>
          <w:sz w:val="32"/>
          <w:szCs w:val="32"/>
        </w:rPr>
        <w:t>部门职责</w:t>
      </w:r>
    </w:p>
    <w:p>
      <w:pPr>
        <w:keepNext w:val="0"/>
        <w:keepLines w:val="0"/>
        <w:pageBreakBefore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1.贯彻执行党和国家、省、市有关文化、文物、出版、广播电视、电影、体育、旅游等领域的法律法规和方针政策；起草相关领域行政执法工作的规范性文件、总体规划和年度计划，并组织实施。</w:t>
      </w:r>
    </w:p>
    <w:p>
      <w:pPr>
        <w:keepNext w:val="0"/>
        <w:keepLines w:val="0"/>
        <w:pageBreakBefore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2.以市文化旅游广电体育局的名义统一执法，集中行使文化、文物、出版、广播电视、电影、体育、旅游等领域的行政处罚权以及与行政处罚相关的行政检查、行政强制等执法职能。依法查处相关违法违规案件和行为，具体为：</w:t>
      </w:r>
    </w:p>
    <w:p>
      <w:pPr>
        <w:keepNext w:val="0"/>
        <w:keepLines w:val="0"/>
        <w:pageBreakBefore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fldChar w:fldCharType="begin"/>
      </w:r>
      <w:r>
        <w:rPr>
          <w:rFonts w:hint="eastAsia" w:ascii="仿宋" w:hAnsi="仿宋" w:eastAsia="仿宋" w:cs="仿宋"/>
          <w:color w:val="auto"/>
          <w:kern w:val="0"/>
          <w:sz w:val="32"/>
          <w:szCs w:val="32"/>
          <w:lang w:val="en-US" w:eastAsia="zh-CN"/>
        </w:rPr>
        <w:instrText xml:space="preserve"> = 1 \* GB3 \* MERGEFORMAT </w:instrText>
      </w:r>
      <w:r>
        <w:rPr>
          <w:rFonts w:hint="eastAsia" w:ascii="仿宋" w:hAnsi="仿宋" w:eastAsia="仿宋" w:cs="仿宋"/>
          <w:color w:val="auto"/>
          <w:kern w:val="0"/>
          <w:sz w:val="32"/>
          <w:szCs w:val="32"/>
          <w:lang w:val="en-US" w:eastAsia="zh-CN"/>
        </w:rPr>
        <w:fldChar w:fldCharType="separate"/>
      </w:r>
      <w:r>
        <w:rPr>
          <w:rFonts w:hint="eastAsia" w:ascii="仿宋" w:hAnsi="仿宋" w:eastAsia="仿宋" w:cs="仿宋"/>
          <w:color w:val="auto"/>
          <w:sz w:val="32"/>
          <w:szCs w:val="32"/>
        </w:rPr>
        <w:t>①</w:t>
      </w:r>
      <w:r>
        <w:rPr>
          <w:rFonts w:hint="eastAsia" w:ascii="仿宋" w:hAnsi="仿宋" w:eastAsia="仿宋" w:cs="仿宋"/>
          <w:color w:val="auto"/>
          <w:kern w:val="0"/>
          <w:sz w:val="32"/>
          <w:szCs w:val="32"/>
          <w:lang w:val="en-US" w:eastAsia="zh-CN"/>
        </w:rPr>
        <w:fldChar w:fldCharType="end"/>
      </w:r>
      <w:r>
        <w:rPr>
          <w:rFonts w:hint="eastAsia" w:ascii="仿宋" w:hAnsi="仿宋" w:eastAsia="仿宋" w:cs="仿宋"/>
          <w:color w:val="auto"/>
          <w:kern w:val="0"/>
          <w:sz w:val="32"/>
          <w:szCs w:val="32"/>
          <w:lang w:val="en-US" w:eastAsia="zh-CN"/>
        </w:rPr>
        <w:t>依法查处娱乐场所、互联网上网服务营业场所的违法违规行为，演出、艺术品经营及进出口等活动中的违法违规行为，文化艺术经营、展览展播活动中的违法违规行为，艺术培训、考级活动中的违法违规行为。</w:t>
      </w:r>
    </w:p>
    <w:p>
      <w:pPr>
        <w:keepNext w:val="0"/>
        <w:keepLines w:val="0"/>
        <w:pageBreakBefore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fldChar w:fldCharType="begin"/>
      </w:r>
      <w:r>
        <w:rPr>
          <w:rFonts w:hint="eastAsia" w:ascii="仿宋" w:hAnsi="仿宋" w:eastAsia="仿宋" w:cs="仿宋"/>
          <w:color w:val="auto"/>
          <w:kern w:val="0"/>
          <w:sz w:val="32"/>
          <w:szCs w:val="32"/>
          <w:lang w:val="en-US" w:eastAsia="zh-CN"/>
        </w:rPr>
        <w:instrText xml:space="preserve"> = 2 \* GB3 \* MERGEFORMAT </w:instrText>
      </w:r>
      <w:r>
        <w:rPr>
          <w:rFonts w:hint="eastAsia" w:ascii="仿宋" w:hAnsi="仿宋" w:eastAsia="仿宋" w:cs="仿宋"/>
          <w:color w:val="auto"/>
          <w:kern w:val="0"/>
          <w:sz w:val="32"/>
          <w:szCs w:val="32"/>
          <w:lang w:val="en-US" w:eastAsia="zh-CN"/>
        </w:rPr>
        <w:fldChar w:fldCharType="separate"/>
      </w:r>
      <w:r>
        <w:rPr>
          <w:rFonts w:hint="eastAsia" w:ascii="仿宋" w:hAnsi="仿宋" w:eastAsia="仿宋" w:cs="仿宋"/>
          <w:color w:val="auto"/>
          <w:sz w:val="32"/>
          <w:szCs w:val="32"/>
        </w:rPr>
        <w:t>②</w:t>
      </w:r>
      <w:r>
        <w:rPr>
          <w:rFonts w:hint="eastAsia" w:ascii="仿宋" w:hAnsi="仿宋" w:eastAsia="仿宋" w:cs="仿宋"/>
          <w:color w:val="auto"/>
          <w:kern w:val="0"/>
          <w:sz w:val="32"/>
          <w:szCs w:val="32"/>
          <w:lang w:val="en-US" w:eastAsia="zh-CN"/>
        </w:rPr>
        <w:fldChar w:fldCharType="end"/>
      </w:r>
      <w:r>
        <w:rPr>
          <w:rFonts w:hint="eastAsia" w:ascii="仿宋" w:hAnsi="仿宋" w:eastAsia="仿宋" w:cs="仿宋"/>
          <w:color w:val="auto"/>
          <w:kern w:val="0"/>
          <w:sz w:val="32"/>
          <w:szCs w:val="32"/>
          <w:lang w:val="en-US" w:eastAsia="zh-CN"/>
        </w:rPr>
        <w:t>依法查处文物和非物质文化遗产等方面的违法违规行为，图书、音像制品、电子出版物等方面的违法出版活动和印刷、复制、出版物发发行中的违法经营活动；依法查处非法出版单位和个人的违法出版活动，著作权侵权行为。</w:t>
      </w:r>
    </w:p>
    <w:p>
      <w:pPr>
        <w:keepNext w:val="0"/>
        <w:keepLines w:val="0"/>
        <w:pageBreakBefore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fldChar w:fldCharType="begin"/>
      </w:r>
      <w:r>
        <w:rPr>
          <w:rFonts w:hint="eastAsia" w:ascii="仿宋" w:hAnsi="仿宋" w:eastAsia="仿宋" w:cs="仿宋"/>
          <w:color w:val="auto"/>
          <w:kern w:val="0"/>
          <w:sz w:val="32"/>
          <w:szCs w:val="32"/>
          <w:lang w:val="en-US" w:eastAsia="zh-CN"/>
        </w:rPr>
        <w:instrText xml:space="preserve"> = 3 \* GB3 \* MERGEFORMAT </w:instrText>
      </w:r>
      <w:r>
        <w:rPr>
          <w:rFonts w:hint="eastAsia" w:ascii="仿宋" w:hAnsi="仿宋" w:eastAsia="仿宋" w:cs="仿宋"/>
          <w:color w:val="auto"/>
          <w:kern w:val="0"/>
          <w:sz w:val="32"/>
          <w:szCs w:val="32"/>
          <w:lang w:val="en-US" w:eastAsia="zh-CN"/>
        </w:rPr>
        <w:fldChar w:fldCharType="separate"/>
      </w:r>
      <w:r>
        <w:rPr>
          <w:rFonts w:hint="eastAsia" w:ascii="仿宋" w:hAnsi="仿宋" w:eastAsia="仿宋" w:cs="仿宋"/>
          <w:color w:val="auto"/>
          <w:sz w:val="32"/>
          <w:szCs w:val="32"/>
        </w:rPr>
        <w:t>③</w:t>
      </w:r>
      <w:r>
        <w:rPr>
          <w:rFonts w:hint="eastAsia" w:ascii="仿宋" w:hAnsi="仿宋" w:eastAsia="仿宋" w:cs="仿宋"/>
          <w:color w:val="auto"/>
          <w:kern w:val="0"/>
          <w:sz w:val="32"/>
          <w:szCs w:val="32"/>
          <w:lang w:val="en-US" w:eastAsia="zh-CN"/>
        </w:rPr>
        <w:fldChar w:fldCharType="end"/>
      </w:r>
      <w:r>
        <w:rPr>
          <w:rFonts w:hint="eastAsia" w:ascii="仿宋" w:hAnsi="仿宋" w:eastAsia="仿宋" w:cs="仿宋"/>
          <w:color w:val="auto"/>
          <w:kern w:val="0"/>
          <w:sz w:val="32"/>
          <w:szCs w:val="32"/>
          <w:lang w:val="en-US" w:eastAsia="zh-CN"/>
        </w:rPr>
        <w:t>依法查处除制作、播出、传输等机构</w:t>
      </w:r>
      <w:r>
        <w:rPr>
          <w:rFonts w:hint="eastAsia" w:ascii="仿宋" w:hAnsi="仿宋" w:eastAsia="仿宋" w:cs="仿宋"/>
          <w:color w:val="auto"/>
          <w:kern w:val="0"/>
          <w:sz w:val="32"/>
          <w:szCs w:val="32"/>
          <w:lang w:val="en-US" w:eastAsia="zh-CN"/>
        </w:rPr>
        <w:tab/>
      </w:r>
      <w:r>
        <w:rPr>
          <w:rFonts w:hint="eastAsia" w:ascii="仿宋" w:hAnsi="仿宋" w:eastAsia="仿宋" w:cs="仿宋"/>
          <w:color w:val="auto"/>
          <w:kern w:val="0"/>
          <w:sz w:val="32"/>
          <w:szCs w:val="32"/>
          <w:lang w:val="en-US" w:eastAsia="zh-CN"/>
        </w:rPr>
        <w:t>外的企业、个人和社会组织从事广播电视活动中的违法违规行为，电影放映单位的违法违规行为，安装和设置卫星电视广播地面接收设施、传送境外卫星电视节目中的违法违规行为，放映未取得《电影片公映许可证》的电影片和走私放映盗版影片等违法行动。</w:t>
      </w:r>
    </w:p>
    <w:p>
      <w:pPr>
        <w:keepNext w:val="0"/>
        <w:keepLines w:val="0"/>
        <w:pageBreakBefore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fldChar w:fldCharType="begin"/>
      </w:r>
      <w:r>
        <w:rPr>
          <w:rFonts w:hint="eastAsia" w:ascii="仿宋" w:hAnsi="仿宋" w:eastAsia="仿宋" w:cs="仿宋"/>
          <w:color w:val="auto"/>
          <w:kern w:val="0"/>
          <w:sz w:val="32"/>
          <w:szCs w:val="32"/>
          <w:lang w:val="en-US" w:eastAsia="zh-CN"/>
        </w:rPr>
        <w:instrText xml:space="preserve"> = 4 \* GB3 \* MERGEFORMAT </w:instrText>
      </w:r>
      <w:r>
        <w:rPr>
          <w:rFonts w:hint="eastAsia" w:ascii="仿宋" w:hAnsi="仿宋" w:eastAsia="仿宋" w:cs="仿宋"/>
          <w:color w:val="auto"/>
          <w:kern w:val="0"/>
          <w:sz w:val="32"/>
          <w:szCs w:val="32"/>
          <w:lang w:val="en-US" w:eastAsia="zh-CN"/>
        </w:rPr>
        <w:fldChar w:fldCharType="separate"/>
      </w:r>
      <w:r>
        <w:rPr>
          <w:rFonts w:hint="eastAsia" w:ascii="仿宋" w:hAnsi="仿宋" w:eastAsia="仿宋" w:cs="仿宋"/>
          <w:color w:val="auto"/>
          <w:sz w:val="32"/>
          <w:szCs w:val="32"/>
        </w:rPr>
        <w:t>④</w:t>
      </w:r>
      <w:r>
        <w:rPr>
          <w:rFonts w:hint="eastAsia" w:ascii="仿宋" w:hAnsi="仿宋" w:eastAsia="仿宋" w:cs="仿宋"/>
          <w:color w:val="auto"/>
          <w:kern w:val="0"/>
          <w:sz w:val="32"/>
          <w:szCs w:val="32"/>
          <w:lang w:val="en-US" w:eastAsia="zh-CN"/>
        </w:rPr>
        <w:fldChar w:fldCharType="end"/>
      </w:r>
      <w:r>
        <w:rPr>
          <w:rFonts w:hint="eastAsia" w:ascii="仿宋" w:hAnsi="仿宋" w:eastAsia="仿宋" w:cs="仿宋"/>
          <w:color w:val="auto"/>
          <w:kern w:val="0"/>
          <w:sz w:val="32"/>
          <w:szCs w:val="32"/>
          <w:lang w:val="en-US" w:eastAsia="zh-CN"/>
        </w:rPr>
        <w:t>依法查处网络电影、网络视听、网络出版、网络表演等网络文化的违法经营活动；配合查处生产、销售、使用“伪基站”设备的违法违规行为。</w:t>
      </w:r>
    </w:p>
    <w:p>
      <w:pPr>
        <w:keepNext w:val="0"/>
        <w:keepLines w:val="0"/>
        <w:pageBreakBefore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fldChar w:fldCharType="begin"/>
      </w:r>
      <w:r>
        <w:rPr>
          <w:rFonts w:hint="eastAsia" w:ascii="仿宋" w:hAnsi="仿宋" w:eastAsia="仿宋" w:cs="仿宋"/>
          <w:color w:val="auto"/>
          <w:kern w:val="0"/>
          <w:sz w:val="32"/>
          <w:szCs w:val="32"/>
          <w:lang w:val="en-US" w:eastAsia="zh-CN"/>
        </w:rPr>
        <w:instrText xml:space="preserve"> = 5 \* GB3 \* MERGEFORMAT </w:instrText>
      </w:r>
      <w:r>
        <w:rPr>
          <w:rFonts w:hint="eastAsia" w:ascii="仿宋" w:hAnsi="仿宋" w:eastAsia="仿宋" w:cs="仿宋"/>
          <w:color w:val="auto"/>
          <w:kern w:val="0"/>
          <w:sz w:val="32"/>
          <w:szCs w:val="32"/>
          <w:lang w:val="en-US" w:eastAsia="zh-CN"/>
        </w:rPr>
        <w:fldChar w:fldCharType="separate"/>
      </w:r>
      <w:r>
        <w:rPr>
          <w:rFonts w:hint="eastAsia" w:ascii="仿宋" w:hAnsi="仿宋" w:eastAsia="仿宋" w:cs="仿宋"/>
          <w:color w:val="auto"/>
          <w:sz w:val="32"/>
          <w:szCs w:val="32"/>
        </w:rPr>
        <w:t>⑤</w:t>
      </w:r>
      <w:r>
        <w:rPr>
          <w:rFonts w:hint="eastAsia" w:ascii="仿宋" w:hAnsi="仿宋" w:eastAsia="仿宋" w:cs="仿宋"/>
          <w:color w:val="auto"/>
          <w:kern w:val="0"/>
          <w:sz w:val="32"/>
          <w:szCs w:val="32"/>
          <w:lang w:val="en-US" w:eastAsia="zh-CN"/>
        </w:rPr>
        <w:fldChar w:fldCharType="end"/>
      </w:r>
      <w:r>
        <w:rPr>
          <w:rFonts w:hint="eastAsia" w:ascii="仿宋" w:hAnsi="仿宋" w:eastAsia="仿宋" w:cs="仿宋"/>
          <w:color w:val="auto"/>
          <w:kern w:val="0"/>
          <w:sz w:val="32"/>
          <w:szCs w:val="32"/>
          <w:lang w:val="en-US" w:eastAsia="zh-CN"/>
        </w:rPr>
        <w:t>依法查处体育行为的经营活动、体育赛事、体育设施、体育彩票销售、高危险性体育项目运营、体育类企业的违法违规行为。</w:t>
      </w:r>
    </w:p>
    <w:p>
      <w:pPr>
        <w:keepNext w:val="0"/>
        <w:keepLines w:val="0"/>
        <w:pageBreakBefore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fldChar w:fldCharType="begin"/>
      </w:r>
      <w:r>
        <w:rPr>
          <w:rFonts w:hint="eastAsia" w:ascii="仿宋" w:hAnsi="仿宋" w:eastAsia="仿宋" w:cs="仿宋"/>
          <w:color w:val="auto"/>
          <w:kern w:val="0"/>
          <w:sz w:val="32"/>
          <w:szCs w:val="32"/>
          <w:lang w:val="en-US" w:eastAsia="zh-CN"/>
        </w:rPr>
        <w:instrText xml:space="preserve"> = 6 \* GB3 \* MERGEFORMAT </w:instrText>
      </w:r>
      <w:r>
        <w:rPr>
          <w:rFonts w:hint="eastAsia" w:ascii="仿宋" w:hAnsi="仿宋" w:eastAsia="仿宋" w:cs="仿宋"/>
          <w:color w:val="auto"/>
          <w:kern w:val="0"/>
          <w:sz w:val="32"/>
          <w:szCs w:val="32"/>
          <w:lang w:val="en-US" w:eastAsia="zh-CN"/>
        </w:rPr>
        <w:fldChar w:fldCharType="separate"/>
      </w:r>
      <w:r>
        <w:rPr>
          <w:rFonts w:hint="eastAsia" w:ascii="仿宋" w:hAnsi="仿宋" w:eastAsia="仿宋" w:cs="仿宋"/>
          <w:color w:val="auto"/>
          <w:sz w:val="32"/>
          <w:szCs w:val="32"/>
        </w:rPr>
        <w:t>⑥</w:t>
      </w:r>
      <w:r>
        <w:rPr>
          <w:rFonts w:hint="eastAsia" w:ascii="仿宋" w:hAnsi="仿宋" w:eastAsia="仿宋" w:cs="仿宋"/>
          <w:color w:val="auto"/>
          <w:kern w:val="0"/>
          <w:sz w:val="32"/>
          <w:szCs w:val="32"/>
          <w:lang w:val="en-US" w:eastAsia="zh-CN"/>
        </w:rPr>
        <w:fldChar w:fldCharType="end"/>
      </w:r>
      <w:r>
        <w:rPr>
          <w:rFonts w:hint="eastAsia" w:ascii="仿宋" w:hAnsi="仿宋" w:eastAsia="仿宋" w:cs="仿宋"/>
          <w:color w:val="auto"/>
          <w:kern w:val="0"/>
          <w:sz w:val="32"/>
          <w:szCs w:val="32"/>
          <w:lang w:val="en-US" w:eastAsia="zh-CN"/>
        </w:rPr>
        <w:t>依法查处旅游市场的违法违规行为。</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3.负责组织查处辖区内跨区域案件和大案要案。</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4.负责指导、监督、考核县市区文化市场综合行政执法工作；承担制定执法标准规范，执法队伍规范化建设和全市文化市场综合行政执法人员的业务培训；指导县市区文化市场综合执法重大案件的查处。</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5.承担“扫黄打非”有关工作任务。</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6.完成市文化旅游广电体育局交办的其他工作。</w:t>
      </w:r>
    </w:p>
    <w:p>
      <w:pPr>
        <w:keepNext w:val="0"/>
        <w:keepLines w:val="0"/>
        <w:pageBreakBefore w:val="0"/>
        <w:widowControl/>
        <w:kinsoku/>
        <w:wordWrap/>
        <w:overflowPunct/>
        <w:topLinePunct w:val="0"/>
        <w:bidi w:val="0"/>
        <w:snapToGrid/>
        <w:spacing w:line="600" w:lineRule="exact"/>
        <w:ind w:left="0" w:leftChars="0" w:firstLine="640" w:firstLineChars="200"/>
        <w:textAlignment w:val="auto"/>
        <w:rPr>
          <w:rFonts w:hint="eastAsia" w:ascii="黑体" w:hAnsi="黑体" w:eastAsia="黑体" w:cs="黑体"/>
          <w:b w:val="0"/>
          <w:bCs/>
          <w:color w:val="auto"/>
          <w:kern w:val="0"/>
          <w:sz w:val="32"/>
          <w:szCs w:val="32"/>
        </w:rPr>
      </w:pPr>
      <w:r>
        <w:rPr>
          <w:rFonts w:hint="eastAsia" w:ascii="黑体" w:hAnsi="黑体" w:eastAsia="黑体" w:cs="黑体"/>
          <w:b w:val="0"/>
          <w:bCs/>
          <w:color w:val="auto"/>
          <w:kern w:val="0"/>
          <w:sz w:val="32"/>
          <w:szCs w:val="32"/>
        </w:rPr>
        <w:t>二、机构设置及决算单位构成</w:t>
      </w:r>
    </w:p>
    <w:p>
      <w:pPr>
        <w:keepNext w:val="0"/>
        <w:keepLines w:val="0"/>
        <w:pageBreakBefore w:val="0"/>
        <w:widowControl/>
        <w:kinsoku/>
        <w:wordWrap/>
        <w:overflowPunct/>
        <w:topLinePunct w:val="0"/>
        <w:bidi w:val="0"/>
        <w:snapToGrid/>
        <w:spacing w:line="600" w:lineRule="exact"/>
        <w:ind w:left="0" w:leftChars="0" w:firstLine="640" w:firstLineChars="200"/>
        <w:textAlignment w:val="auto"/>
        <w:rPr>
          <w:rFonts w:hint="eastAsia" w:ascii="仿宋" w:hAnsi="仿宋" w:eastAsia="仿宋" w:cs="仿宋"/>
          <w:bCs/>
          <w:color w:val="auto"/>
          <w:kern w:val="0"/>
          <w:sz w:val="32"/>
          <w:szCs w:val="32"/>
        </w:rPr>
      </w:pPr>
      <w:r>
        <w:rPr>
          <w:rFonts w:hint="eastAsia" w:ascii="仿宋" w:hAnsi="仿宋" w:eastAsia="仿宋" w:cs="仿宋"/>
          <w:b/>
          <w:bCs w:val="0"/>
          <w:color w:val="auto"/>
          <w:kern w:val="0"/>
          <w:sz w:val="32"/>
          <w:szCs w:val="32"/>
        </w:rPr>
        <w:t>（一）内设机构设置。</w:t>
      </w:r>
      <w:r>
        <w:rPr>
          <w:rFonts w:hint="eastAsia" w:ascii="仿宋" w:hAnsi="仿宋" w:eastAsia="仿宋" w:cs="仿宋"/>
          <w:bCs/>
          <w:color w:val="auto"/>
          <w:kern w:val="0"/>
          <w:sz w:val="32"/>
          <w:szCs w:val="32"/>
        </w:rPr>
        <w:t>怀化市文化市场综合</w:t>
      </w:r>
      <w:r>
        <w:rPr>
          <w:rFonts w:hint="eastAsia" w:ascii="仿宋" w:hAnsi="仿宋" w:eastAsia="仿宋" w:cs="仿宋"/>
          <w:bCs/>
          <w:color w:val="auto"/>
          <w:kern w:val="0"/>
          <w:sz w:val="32"/>
          <w:szCs w:val="32"/>
          <w:lang w:eastAsia="zh-CN"/>
        </w:rPr>
        <w:t>行政</w:t>
      </w:r>
      <w:r>
        <w:rPr>
          <w:rFonts w:hint="eastAsia" w:ascii="仿宋" w:hAnsi="仿宋" w:eastAsia="仿宋" w:cs="仿宋"/>
          <w:bCs/>
          <w:color w:val="auto"/>
          <w:kern w:val="0"/>
          <w:sz w:val="32"/>
          <w:szCs w:val="32"/>
        </w:rPr>
        <w:t>执法</w:t>
      </w:r>
      <w:r>
        <w:rPr>
          <w:rFonts w:hint="eastAsia" w:ascii="仿宋" w:hAnsi="仿宋" w:eastAsia="仿宋" w:cs="仿宋"/>
          <w:bCs/>
          <w:color w:val="auto"/>
          <w:kern w:val="0"/>
          <w:sz w:val="32"/>
          <w:szCs w:val="32"/>
          <w:lang w:eastAsia="zh-CN"/>
        </w:rPr>
        <w:t>支队</w:t>
      </w:r>
      <w:r>
        <w:rPr>
          <w:rFonts w:hint="eastAsia" w:ascii="仿宋" w:hAnsi="仿宋" w:eastAsia="仿宋" w:cs="仿宋"/>
          <w:bCs/>
          <w:color w:val="auto"/>
          <w:kern w:val="0"/>
          <w:sz w:val="32"/>
          <w:szCs w:val="32"/>
        </w:rPr>
        <w:t>内设</w:t>
      </w:r>
      <w:r>
        <w:rPr>
          <w:rFonts w:hint="eastAsia" w:ascii="仿宋" w:hAnsi="仿宋" w:eastAsia="仿宋" w:cs="仿宋"/>
          <w:bCs/>
          <w:color w:val="auto"/>
          <w:kern w:val="0"/>
          <w:sz w:val="32"/>
          <w:szCs w:val="32"/>
          <w:lang w:eastAsia="zh-CN"/>
        </w:rPr>
        <w:t>科室为</w:t>
      </w:r>
      <w:r>
        <w:rPr>
          <w:rFonts w:hint="eastAsia" w:ascii="仿宋" w:hAnsi="仿宋" w:eastAsia="仿宋" w:cs="仿宋"/>
          <w:bCs/>
          <w:color w:val="auto"/>
          <w:kern w:val="0"/>
          <w:sz w:val="32"/>
          <w:szCs w:val="32"/>
        </w:rPr>
        <w:t>：办公室、政策法规</w:t>
      </w:r>
      <w:r>
        <w:rPr>
          <w:rFonts w:hint="eastAsia" w:ascii="仿宋" w:hAnsi="仿宋" w:eastAsia="仿宋" w:cs="仿宋"/>
          <w:bCs/>
          <w:color w:val="auto"/>
          <w:kern w:val="0"/>
          <w:sz w:val="32"/>
          <w:szCs w:val="32"/>
          <w:lang w:eastAsia="zh-CN"/>
        </w:rPr>
        <w:t>室</w:t>
      </w:r>
      <w:r>
        <w:rPr>
          <w:rFonts w:hint="eastAsia" w:ascii="仿宋" w:hAnsi="仿宋" w:eastAsia="仿宋" w:cs="仿宋"/>
          <w:bCs/>
          <w:color w:val="auto"/>
          <w:kern w:val="0"/>
          <w:sz w:val="32"/>
          <w:szCs w:val="32"/>
        </w:rPr>
        <w:t>、</w:t>
      </w:r>
      <w:r>
        <w:rPr>
          <w:rFonts w:hint="eastAsia" w:ascii="仿宋" w:hAnsi="仿宋" w:eastAsia="仿宋" w:cs="仿宋"/>
          <w:bCs/>
          <w:color w:val="auto"/>
          <w:kern w:val="0"/>
          <w:sz w:val="32"/>
          <w:szCs w:val="32"/>
          <w:lang w:eastAsia="zh-CN"/>
        </w:rPr>
        <w:t>监控举报投诉室、娱乐演艺执法大队、</w:t>
      </w:r>
      <w:r>
        <w:rPr>
          <w:rFonts w:hint="eastAsia" w:ascii="仿宋" w:hAnsi="仿宋" w:eastAsia="仿宋" w:cs="仿宋"/>
          <w:bCs/>
          <w:color w:val="auto"/>
          <w:kern w:val="0"/>
          <w:sz w:val="32"/>
          <w:szCs w:val="32"/>
        </w:rPr>
        <w:t>网吧执法</w:t>
      </w:r>
      <w:r>
        <w:rPr>
          <w:rFonts w:hint="eastAsia" w:ascii="仿宋" w:hAnsi="仿宋" w:eastAsia="仿宋" w:cs="仿宋"/>
          <w:bCs/>
          <w:color w:val="auto"/>
          <w:kern w:val="0"/>
          <w:sz w:val="32"/>
          <w:szCs w:val="32"/>
          <w:lang w:eastAsia="zh-CN"/>
        </w:rPr>
        <w:t>大队</w:t>
      </w:r>
      <w:r>
        <w:rPr>
          <w:rFonts w:hint="eastAsia" w:ascii="仿宋" w:hAnsi="仿宋" w:eastAsia="仿宋" w:cs="仿宋"/>
          <w:bCs/>
          <w:color w:val="auto"/>
          <w:kern w:val="0"/>
          <w:sz w:val="32"/>
          <w:szCs w:val="32"/>
        </w:rPr>
        <w:t>、</w:t>
      </w:r>
      <w:r>
        <w:rPr>
          <w:rFonts w:hint="eastAsia" w:ascii="仿宋" w:hAnsi="仿宋" w:eastAsia="仿宋" w:cs="仿宋"/>
          <w:bCs/>
          <w:color w:val="auto"/>
          <w:kern w:val="0"/>
          <w:sz w:val="32"/>
          <w:szCs w:val="32"/>
          <w:lang w:eastAsia="zh-CN"/>
        </w:rPr>
        <w:t>新闻出版和</w:t>
      </w:r>
      <w:r>
        <w:rPr>
          <w:rFonts w:hint="eastAsia" w:ascii="仿宋" w:hAnsi="仿宋" w:eastAsia="仿宋" w:cs="仿宋"/>
          <w:bCs/>
          <w:color w:val="auto"/>
          <w:kern w:val="0"/>
          <w:sz w:val="32"/>
          <w:szCs w:val="32"/>
        </w:rPr>
        <w:t>版权网络执法</w:t>
      </w:r>
      <w:r>
        <w:rPr>
          <w:rFonts w:hint="eastAsia" w:ascii="仿宋" w:hAnsi="仿宋" w:eastAsia="仿宋" w:cs="仿宋"/>
          <w:bCs/>
          <w:color w:val="auto"/>
          <w:kern w:val="0"/>
          <w:sz w:val="32"/>
          <w:szCs w:val="32"/>
          <w:lang w:eastAsia="zh-CN"/>
        </w:rPr>
        <w:t>大队</w:t>
      </w:r>
      <w:r>
        <w:rPr>
          <w:rFonts w:hint="eastAsia" w:ascii="仿宋" w:hAnsi="仿宋" w:eastAsia="仿宋" w:cs="仿宋"/>
          <w:bCs/>
          <w:color w:val="auto"/>
          <w:kern w:val="0"/>
          <w:sz w:val="32"/>
          <w:szCs w:val="32"/>
        </w:rPr>
        <w:t>、广电体育执法</w:t>
      </w:r>
      <w:r>
        <w:rPr>
          <w:rFonts w:hint="eastAsia" w:ascii="仿宋" w:hAnsi="仿宋" w:eastAsia="仿宋" w:cs="仿宋"/>
          <w:bCs/>
          <w:color w:val="auto"/>
          <w:kern w:val="0"/>
          <w:sz w:val="32"/>
          <w:szCs w:val="32"/>
          <w:lang w:eastAsia="zh-CN"/>
        </w:rPr>
        <w:t>大队、旅游执法大队、文物执法大队</w:t>
      </w:r>
      <w:r>
        <w:rPr>
          <w:rFonts w:hint="eastAsia" w:ascii="仿宋" w:hAnsi="仿宋" w:eastAsia="仿宋" w:cs="仿宋"/>
          <w:bCs/>
          <w:color w:val="auto"/>
          <w:kern w:val="0"/>
          <w:sz w:val="32"/>
          <w:szCs w:val="32"/>
        </w:rPr>
        <w:t>。</w:t>
      </w:r>
    </w:p>
    <w:p>
      <w:pPr>
        <w:keepNext w:val="0"/>
        <w:keepLines w:val="0"/>
        <w:pageBreakBefore w:val="0"/>
        <w:widowControl/>
        <w:kinsoku/>
        <w:wordWrap/>
        <w:overflowPunct/>
        <w:topLinePunct w:val="0"/>
        <w:bidi w:val="0"/>
        <w:snapToGrid/>
        <w:spacing w:line="600" w:lineRule="exact"/>
        <w:ind w:left="0" w:leftChars="0" w:firstLine="640" w:firstLineChars="200"/>
        <w:textAlignment w:val="auto"/>
        <w:rPr>
          <w:rFonts w:hint="eastAsia" w:ascii="仿宋" w:hAnsi="仿宋" w:eastAsia="仿宋" w:cs="仿宋"/>
          <w:bCs/>
          <w:color w:val="auto"/>
          <w:kern w:val="0"/>
          <w:sz w:val="32"/>
          <w:szCs w:val="32"/>
          <w:lang w:eastAsia="zh-CN"/>
        </w:rPr>
      </w:pPr>
      <w:r>
        <w:rPr>
          <w:rFonts w:hint="eastAsia" w:ascii="仿宋" w:hAnsi="仿宋" w:eastAsia="仿宋" w:cs="仿宋"/>
          <w:b/>
          <w:bCs w:val="0"/>
          <w:color w:val="auto"/>
          <w:kern w:val="0"/>
          <w:sz w:val="32"/>
          <w:szCs w:val="32"/>
        </w:rPr>
        <w:t>（二）决算单位构成。</w:t>
      </w:r>
      <w:r>
        <w:rPr>
          <w:rFonts w:hint="eastAsia" w:ascii="仿宋" w:hAnsi="仿宋" w:eastAsia="仿宋" w:cs="仿宋"/>
          <w:bCs/>
          <w:color w:val="auto"/>
          <w:kern w:val="0"/>
          <w:sz w:val="32"/>
          <w:szCs w:val="32"/>
        </w:rPr>
        <w:t>202</w:t>
      </w:r>
      <w:r>
        <w:rPr>
          <w:rFonts w:hint="eastAsia" w:ascii="仿宋" w:hAnsi="仿宋" w:eastAsia="仿宋" w:cs="仿宋"/>
          <w:bCs/>
          <w:color w:val="auto"/>
          <w:kern w:val="0"/>
          <w:sz w:val="32"/>
          <w:szCs w:val="32"/>
          <w:lang w:val="en-US" w:eastAsia="zh-CN"/>
        </w:rPr>
        <w:t>1</w:t>
      </w:r>
      <w:r>
        <w:rPr>
          <w:rFonts w:hint="eastAsia" w:ascii="仿宋" w:hAnsi="仿宋" w:eastAsia="仿宋" w:cs="仿宋"/>
          <w:bCs/>
          <w:color w:val="auto"/>
          <w:kern w:val="0"/>
          <w:sz w:val="32"/>
          <w:szCs w:val="32"/>
        </w:rPr>
        <w:t>年部门决算汇总公开单位构成包括：怀化市文化市场综合</w:t>
      </w:r>
      <w:r>
        <w:rPr>
          <w:rFonts w:hint="eastAsia" w:ascii="仿宋" w:hAnsi="仿宋" w:eastAsia="仿宋" w:cs="仿宋"/>
          <w:bCs/>
          <w:color w:val="auto"/>
          <w:kern w:val="0"/>
          <w:sz w:val="32"/>
          <w:szCs w:val="32"/>
          <w:lang w:eastAsia="zh-CN"/>
        </w:rPr>
        <w:t>行政</w:t>
      </w:r>
      <w:r>
        <w:rPr>
          <w:rFonts w:hint="eastAsia" w:ascii="仿宋" w:hAnsi="仿宋" w:eastAsia="仿宋" w:cs="仿宋"/>
          <w:bCs/>
          <w:color w:val="auto"/>
          <w:kern w:val="0"/>
          <w:sz w:val="32"/>
          <w:szCs w:val="32"/>
        </w:rPr>
        <w:t>执法</w:t>
      </w:r>
      <w:r>
        <w:rPr>
          <w:rFonts w:hint="eastAsia" w:ascii="仿宋" w:hAnsi="仿宋" w:eastAsia="仿宋" w:cs="仿宋"/>
          <w:bCs/>
          <w:color w:val="auto"/>
          <w:kern w:val="0"/>
          <w:sz w:val="32"/>
          <w:szCs w:val="32"/>
          <w:lang w:eastAsia="zh-CN"/>
        </w:rPr>
        <w:t>支队</w:t>
      </w:r>
      <w:r>
        <w:rPr>
          <w:rFonts w:hint="eastAsia" w:ascii="仿宋" w:hAnsi="仿宋" w:eastAsia="仿宋" w:cs="仿宋"/>
          <w:bCs/>
          <w:color w:val="auto"/>
          <w:kern w:val="0"/>
          <w:sz w:val="32"/>
          <w:szCs w:val="32"/>
        </w:rPr>
        <w:t>本级</w:t>
      </w:r>
      <w:r>
        <w:rPr>
          <w:rFonts w:hint="eastAsia" w:ascii="仿宋" w:hAnsi="仿宋" w:eastAsia="仿宋" w:cs="仿宋"/>
          <w:bCs/>
          <w:color w:val="auto"/>
          <w:kern w:val="0"/>
          <w:sz w:val="32"/>
          <w:szCs w:val="32"/>
          <w:lang w:eastAsia="zh-CN"/>
        </w:rPr>
        <w:t>。</w:t>
      </w:r>
    </w:p>
    <w:p>
      <w:pPr>
        <w:keepNext w:val="0"/>
        <w:keepLines w:val="0"/>
        <w:pageBreakBefore w:val="0"/>
        <w:widowControl/>
        <w:kinsoku/>
        <w:wordWrap/>
        <w:overflowPunct/>
        <w:topLinePunct w:val="0"/>
        <w:bidi w:val="0"/>
        <w:snapToGrid/>
        <w:spacing w:line="600" w:lineRule="exact"/>
        <w:ind w:left="0" w:leftChars="0" w:firstLine="640" w:firstLineChars="200"/>
        <w:textAlignment w:val="auto"/>
        <w:rPr>
          <w:rFonts w:hint="eastAsia" w:ascii="仿宋" w:hAnsi="仿宋" w:eastAsia="仿宋" w:cs="仿宋"/>
          <w:bCs/>
          <w:color w:val="auto"/>
          <w:kern w:val="0"/>
          <w:sz w:val="32"/>
          <w:szCs w:val="32"/>
          <w:lang w:eastAsia="zh-CN"/>
        </w:rPr>
      </w:pPr>
    </w:p>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 </w:t>
      </w:r>
    </w:p>
    <w:p>
      <w:pPr>
        <w:keepNext w:val="0"/>
        <w:keepLines w:val="0"/>
        <w:pageBreakBefore w:val="0"/>
        <w:kinsoku/>
        <w:wordWrap/>
        <w:overflowPunct/>
        <w:topLinePunct w:val="0"/>
        <w:autoSpaceDE/>
        <w:autoSpaceDN/>
        <w:bidi w:val="0"/>
        <w:adjustRightInd/>
        <w:snapToGrid/>
        <w:spacing w:line="600" w:lineRule="exact"/>
        <w:jc w:val="center"/>
        <w:textAlignment w:val="auto"/>
        <w:rPr>
          <w:rStyle w:val="8"/>
          <w:rFonts w:hint="eastAsia" w:ascii="黑体" w:hAnsi="黑体" w:eastAsia="黑体" w:cs="黑体"/>
          <w:i w:val="0"/>
          <w:iCs w:val="0"/>
          <w:caps w:val="0"/>
          <w:color w:val="auto"/>
          <w:spacing w:val="0"/>
          <w:sz w:val="44"/>
          <w:szCs w:val="44"/>
          <w:highlight w:val="none"/>
          <w:shd w:val="clear" w:color="auto" w:fill="FFFFFF"/>
        </w:rPr>
      </w:pPr>
      <w:r>
        <w:rPr>
          <w:rStyle w:val="8"/>
          <w:rFonts w:hint="eastAsia" w:ascii="黑体" w:hAnsi="黑体" w:eastAsia="黑体" w:cs="黑体"/>
          <w:i w:val="0"/>
          <w:iCs w:val="0"/>
          <w:caps w:val="0"/>
          <w:color w:val="auto"/>
          <w:spacing w:val="0"/>
          <w:sz w:val="44"/>
          <w:szCs w:val="44"/>
          <w:highlight w:val="none"/>
          <w:shd w:val="clear" w:color="auto" w:fill="FFFFFF"/>
        </w:rPr>
        <w:t>第二部分 2021年度部门决算表</w:t>
      </w:r>
    </w:p>
    <w:p>
      <w:pPr>
        <w:keepNext w:val="0"/>
        <w:keepLines w:val="0"/>
        <w:pageBreakBefore w:val="0"/>
        <w:kinsoku/>
        <w:wordWrap/>
        <w:overflowPunct/>
        <w:topLinePunct w:val="0"/>
        <w:autoSpaceDE/>
        <w:autoSpaceDN/>
        <w:bidi w:val="0"/>
        <w:adjustRightInd/>
        <w:snapToGrid/>
        <w:spacing w:line="600" w:lineRule="exact"/>
        <w:jc w:val="center"/>
        <w:textAlignment w:val="auto"/>
        <w:rPr>
          <w:rStyle w:val="8"/>
          <w:rFonts w:hint="eastAsia" w:ascii="仿宋" w:hAnsi="仿宋" w:eastAsia="仿宋" w:cs="仿宋"/>
          <w:i w:val="0"/>
          <w:iCs w:val="0"/>
          <w:caps w:val="0"/>
          <w:color w:val="auto"/>
          <w:spacing w:val="0"/>
          <w:sz w:val="32"/>
          <w:szCs w:val="32"/>
          <w:highlight w:val="yellow"/>
          <w:shd w:val="clear" w:color="auto" w:fill="FFFFFF"/>
          <w:lang w:val="en-US" w:eastAsia="zh-CN"/>
        </w:rPr>
      </w:pPr>
      <w:r>
        <w:rPr>
          <w:rStyle w:val="8"/>
          <w:rFonts w:hint="eastAsia" w:ascii="仿宋" w:hAnsi="仿宋" w:eastAsia="仿宋" w:cs="仿宋"/>
          <w:i w:val="0"/>
          <w:iCs w:val="0"/>
          <w:caps w:val="0"/>
          <w:color w:val="auto"/>
          <w:spacing w:val="0"/>
          <w:sz w:val="32"/>
          <w:szCs w:val="32"/>
          <w:highlight w:val="none"/>
          <w:shd w:val="clear" w:color="auto" w:fill="FFFFFF"/>
          <w:lang w:val="en-US" w:eastAsia="zh-CN"/>
        </w:rPr>
        <w:t>见附表</w:t>
      </w:r>
    </w:p>
    <w:p>
      <w:pPr>
        <w:pStyle w:val="5"/>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60" w:beforeAutospacing="0" w:after="0" w:afterAutospacing="0" w:line="600" w:lineRule="exact"/>
        <w:ind w:right="0"/>
        <w:jc w:val="center"/>
        <w:textAlignment w:val="auto"/>
        <w:rPr>
          <w:rFonts w:hint="eastAsia" w:ascii="黑体" w:hAnsi="黑体" w:eastAsia="黑体" w:cs="黑体"/>
          <w:i w:val="0"/>
          <w:iCs w:val="0"/>
          <w:caps w:val="0"/>
          <w:color w:val="auto"/>
          <w:spacing w:val="0"/>
          <w:sz w:val="44"/>
          <w:szCs w:val="44"/>
        </w:rPr>
      </w:pPr>
      <w:r>
        <w:rPr>
          <w:rFonts w:hint="eastAsia" w:ascii="仿宋" w:hAnsi="仿宋" w:eastAsia="仿宋" w:cs="仿宋"/>
          <w:b/>
          <w:bCs/>
          <w:color w:val="auto"/>
          <w:sz w:val="32"/>
          <w:szCs w:val="32"/>
        </w:rPr>
        <w:t> </w:t>
      </w:r>
      <w:r>
        <w:rPr>
          <w:rStyle w:val="8"/>
          <w:rFonts w:hint="eastAsia" w:ascii="黑体" w:hAnsi="黑体" w:eastAsia="黑体" w:cs="黑体"/>
          <w:i w:val="0"/>
          <w:iCs w:val="0"/>
          <w:caps w:val="0"/>
          <w:color w:val="auto"/>
          <w:spacing w:val="0"/>
          <w:sz w:val="44"/>
          <w:szCs w:val="44"/>
          <w:shd w:val="clear" w:color="auto" w:fill="FFFFFF"/>
        </w:rPr>
        <w:t>第三部分 2021年度部门决算情况说明</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60" w:beforeAutospacing="0" w:after="0" w:afterAutospacing="0" w:line="600" w:lineRule="exact"/>
        <w:ind w:left="0" w:right="0" w:firstLine="640" w:firstLineChars="200"/>
        <w:textAlignment w:val="auto"/>
        <w:rPr>
          <w:rFonts w:hint="eastAsia" w:ascii="仿宋" w:hAnsi="仿宋" w:eastAsia="仿宋" w:cs="仿宋"/>
          <w:i w:val="0"/>
          <w:iCs w:val="0"/>
          <w:caps w:val="0"/>
          <w:color w:val="auto"/>
          <w:spacing w:val="0"/>
          <w:sz w:val="32"/>
          <w:szCs w:val="32"/>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60" w:beforeAutospacing="0" w:after="0" w:afterAutospacing="0" w:line="600" w:lineRule="exact"/>
        <w:ind w:left="0" w:right="0" w:firstLine="640" w:firstLineChars="200"/>
        <w:textAlignment w:val="auto"/>
        <w:rPr>
          <w:rFonts w:hint="eastAsia" w:ascii="仿宋" w:hAnsi="仿宋" w:eastAsia="仿宋" w:cs="仿宋"/>
          <w:b w:val="0"/>
          <w:bCs w:val="0"/>
          <w:color w:val="auto"/>
          <w:sz w:val="32"/>
          <w:szCs w:val="32"/>
        </w:rPr>
      </w:pPr>
      <w:r>
        <w:rPr>
          <w:rStyle w:val="8"/>
          <w:rFonts w:hint="eastAsia" w:ascii="黑体" w:hAnsi="黑体" w:eastAsia="黑体" w:cs="黑体"/>
          <w:b w:val="0"/>
          <w:bCs w:val="0"/>
          <w:i w:val="0"/>
          <w:iCs w:val="0"/>
          <w:caps w:val="0"/>
          <w:color w:val="auto"/>
          <w:spacing w:val="0"/>
          <w:sz w:val="32"/>
          <w:szCs w:val="32"/>
          <w:shd w:val="clear" w:color="auto" w:fill="FFFFFF"/>
        </w:rPr>
        <w:t>一、收入支出决算总体情况说明</w:t>
      </w:r>
    </w:p>
    <w:p>
      <w:pPr>
        <w:pStyle w:val="12"/>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年度</w:t>
      </w:r>
      <w:r>
        <w:rPr>
          <w:rFonts w:hint="eastAsia" w:ascii="仿宋" w:hAnsi="仿宋" w:eastAsia="仿宋" w:cs="仿宋"/>
          <w:color w:val="auto"/>
          <w:kern w:val="0"/>
          <w:sz w:val="32"/>
          <w:szCs w:val="32"/>
        </w:rPr>
        <w:t>收、支合计</w:t>
      </w:r>
      <w:r>
        <w:rPr>
          <w:rFonts w:hint="eastAsia" w:ascii="仿宋" w:hAnsi="仿宋" w:eastAsia="仿宋" w:cs="仿宋"/>
          <w:color w:val="auto"/>
          <w:kern w:val="0"/>
          <w:sz w:val="32"/>
          <w:szCs w:val="32"/>
          <w:lang w:val="en-US" w:eastAsia="zh-CN"/>
        </w:rPr>
        <w:t>各563.92</w:t>
      </w:r>
      <w:r>
        <w:rPr>
          <w:rFonts w:hint="eastAsia" w:ascii="仿宋" w:hAnsi="仿宋" w:eastAsia="仿宋" w:cs="仿宋"/>
          <w:color w:val="auto"/>
          <w:kern w:val="0"/>
          <w:sz w:val="32"/>
          <w:szCs w:val="32"/>
        </w:rPr>
        <w:t>万元。与20</w:t>
      </w:r>
      <w:r>
        <w:rPr>
          <w:rFonts w:hint="eastAsia" w:ascii="仿宋" w:hAnsi="仿宋" w:eastAsia="仿宋" w:cs="仿宋"/>
          <w:color w:val="auto"/>
          <w:kern w:val="0"/>
          <w:sz w:val="32"/>
          <w:szCs w:val="32"/>
          <w:lang w:val="en-US" w:eastAsia="zh-CN"/>
        </w:rPr>
        <w:t>20</w:t>
      </w:r>
      <w:r>
        <w:rPr>
          <w:rFonts w:hint="eastAsia" w:ascii="仿宋" w:hAnsi="仿宋" w:eastAsia="仿宋" w:cs="仿宋"/>
          <w:color w:val="auto"/>
          <w:kern w:val="0"/>
          <w:sz w:val="32"/>
          <w:szCs w:val="32"/>
        </w:rPr>
        <w:t>年度相比，</w:t>
      </w:r>
      <w:r>
        <w:rPr>
          <w:rFonts w:hint="eastAsia" w:ascii="仿宋" w:hAnsi="仿宋" w:eastAsia="仿宋" w:cs="仿宋"/>
          <w:color w:val="auto"/>
          <w:kern w:val="0"/>
          <w:sz w:val="32"/>
          <w:szCs w:val="32"/>
          <w:lang w:val="en-US" w:eastAsia="zh-CN"/>
        </w:rPr>
        <w:t>减少7.95</w:t>
      </w:r>
      <w:r>
        <w:rPr>
          <w:rFonts w:hint="eastAsia" w:ascii="仿宋" w:hAnsi="仿宋" w:eastAsia="仿宋" w:cs="仿宋"/>
          <w:color w:val="auto"/>
          <w:kern w:val="0"/>
          <w:sz w:val="32"/>
          <w:szCs w:val="32"/>
        </w:rPr>
        <w:t>万元，</w:t>
      </w:r>
      <w:r>
        <w:rPr>
          <w:rFonts w:hint="eastAsia" w:ascii="仿宋" w:hAnsi="仿宋" w:eastAsia="仿宋" w:cs="仿宋"/>
          <w:color w:val="auto"/>
          <w:kern w:val="0"/>
          <w:sz w:val="32"/>
          <w:szCs w:val="32"/>
          <w:lang w:val="en-US" w:eastAsia="zh-CN"/>
        </w:rPr>
        <w:t>减少1.39</w:t>
      </w:r>
      <w:r>
        <w:rPr>
          <w:rFonts w:hint="eastAsia" w:ascii="仿宋" w:hAnsi="仿宋" w:eastAsia="仿宋" w:cs="仿宋"/>
          <w:color w:val="auto"/>
          <w:kern w:val="0"/>
          <w:sz w:val="32"/>
          <w:szCs w:val="32"/>
        </w:rPr>
        <w:t>%，</w:t>
      </w:r>
      <w:r>
        <w:rPr>
          <w:rFonts w:hint="eastAsia" w:ascii="仿宋" w:hAnsi="仿宋" w:eastAsia="仿宋" w:cs="仿宋"/>
          <w:color w:val="auto"/>
          <w:kern w:val="0"/>
          <w:sz w:val="32"/>
          <w:szCs w:val="32"/>
          <w:lang w:val="en-US" w:eastAsia="zh-CN"/>
        </w:rPr>
        <w:t>主要</w:t>
      </w:r>
      <w:r>
        <w:rPr>
          <w:rFonts w:hint="eastAsia" w:ascii="仿宋" w:hAnsi="仿宋" w:eastAsia="仿宋" w:cs="仿宋"/>
          <w:color w:val="auto"/>
          <w:kern w:val="0"/>
          <w:sz w:val="32"/>
          <w:szCs w:val="32"/>
        </w:rPr>
        <w:t>是</w:t>
      </w:r>
      <w:r>
        <w:rPr>
          <w:rFonts w:hint="eastAsia" w:ascii="仿宋" w:hAnsi="仿宋" w:eastAsia="仿宋" w:cs="仿宋"/>
          <w:color w:val="auto"/>
          <w:kern w:val="0"/>
          <w:sz w:val="32"/>
          <w:szCs w:val="32"/>
          <w:lang w:eastAsia="zh-CN"/>
        </w:rPr>
        <w:t>因为</w:t>
      </w:r>
      <w:r>
        <w:rPr>
          <w:rFonts w:hint="eastAsia" w:ascii="仿宋" w:hAnsi="仿宋" w:eastAsia="仿宋" w:cs="仿宋"/>
          <w:color w:val="auto"/>
          <w:kern w:val="0"/>
          <w:sz w:val="32"/>
          <w:szCs w:val="32"/>
          <w:lang w:val="en-US" w:eastAsia="zh-CN"/>
        </w:rPr>
        <w:t>2020年度年前结余高于2021年度年前结余</w:t>
      </w:r>
      <w:r>
        <w:rPr>
          <w:rFonts w:hint="eastAsia" w:ascii="仿宋" w:hAnsi="仿宋" w:eastAsia="仿宋" w:cs="仿宋"/>
          <w:color w:val="auto"/>
          <w:kern w:val="0"/>
          <w:sz w:val="32"/>
          <w:szCs w:val="32"/>
        </w:rPr>
        <w:t>。</w:t>
      </w:r>
    </w:p>
    <w:p>
      <w:pPr>
        <w:pStyle w:val="12"/>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二、收入决算情况说明</w:t>
      </w:r>
    </w:p>
    <w:p>
      <w:pPr>
        <w:pStyle w:val="12"/>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本年收入合计</w:t>
      </w:r>
      <w:r>
        <w:rPr>
          <w:rFonts w:hint="eastAsia" w:ascii="仿宋" w:hAnsi="仿宋" w:eastAsia="仿宋" w:cs="仿宋"/>
          <w:color w:val="auto"/>
          <w:sz w:val="32"/>
          <w:szCs w:val="32"/>
          <w:lang w:val="en-US" w:eastAsia="zh-CN"/>
        </w:rPr>
        <w:t>557.99</w:t>
      </w:r>
      <w:r>
        <w:rPr>
          <w:rFonts w:hint="eastAsia" w:ascii="仿宋" w:hAnsi="仿宋" w:eastAsia="仿宋" w:cs="仿宋"/>
          <w:color w:val="auto"/>
          <w:sz w:val="32"/>
          <w:szCs w:val="32"/>
        </w:rPr>
        <w:t>万元，其中：财政拨款收入</w:t>
      </w:r>
      <w:r>
        <w:rPr>
          <w:rFonts w:hint="eastAsia" w:ascii="仿宋" w:hAnsi="仿宋" w:eastAsia="仿宋" w:cs="仿宋"/>
          <w:color w:val="auto"/>
          <w:sz w:val="32"/>
          <w:szCs w:val="32"/>
          <w:lang w:val="en-US" w:eastAsia="zh-CN"/>
        </w:rPr>
        <w:t>557.99</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上级补助收入0万元，占0%；事业收入0万元，占0%；经营收入0万元，占0%；附属单位上缴收入0万元</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占0%，；其他收入</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w:t>
      </w:r>
    </w:p>
    <w:p>
      <w:pPr>
        <w:pStyle w:val="12"/>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三、支出决算情况说明</w:t>
      </w:r>
    </w:p>
    <w:p>
      <w:pPr>
        <w:pStyle w:val="5"/>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本年支出合计</w:t>
      </w:r>
      <w:r>
        <w:rPr>
          <w:rFonts w:hint="eastAsia" w:ascii="仿宋" w:hAnsi="仿宋" w:eastAsia="仿宋" w:cs="仿宋"/>
          <w:color w:val="auto"/>
          <w:sz w:val="32"/>
          <w:szCs w:val="32"/>
          <w:lang w:val="en-US" w:eastAsia="zh-CN"/>
        </w:rPr>
        <w:t>561.42</w:t>
      </w:r>
      <w:r>
        <w:rPr>
          <w:rFonts w:hint="eastAsia" w:ascii="仿宋" w:hAnsi="仿宋" w:eastAsia="仿宋" w:cs="仿宋"/>
          <w:color w:val="auto"/>
          <w:sz w:val="32"/>
          <w:szCs w:val="32"/>
        </w:rPr>
        <w:t>万元，其中：基本支出</w:t>
      </w:r>
      <w:r>
        <w:rPr>
          <w:rFonts w:hint="eastAsia" w:ascii="仿宋" w:hAnsi="仿宋" w:eastAsia="仿宋" w:cs="仿宋"/>
          <w:color w:val="auto"/>
          <w:sz w:val="32"/>
          <w:szCs w:val="32"/>
          <w:lang w:val="en-US" w:eastAsia="zh-CN"/>
        </w:rPr>
        <w:t>561.42</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项目支出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%；上缴上级支出0万元，占0%；经营支出0万元，占0%；对附属单位补助支出0万元，占0%。</w:t>
      </w:r>
    </w:p>
    <w:p>
      <w:pPr>
        <w:pStyle w:val="12"/>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四、财政拨款收入支出决算总体情况说明</w:t>
      </w:r>
    </w:p>
    <w:p>
      <w:pPr>
        <w:pStyle w:val="12"/>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年度财政拨款收、支总计</w:t>
      </w:r>
      <w:r>
        <w:rPr>
          <w:rFonts w:hint="eastAsia" w:ascii="仿宋" w:hAnsi="仿宋" w:eastAsia="仿宋" w:cs="仿宋"/>
          <w:color w:val="auto"/>
          <w:sz w:val="32"/>
          <w:szCs w:val="32"/>
          <w:lang w:val="en-US" w:eastAsia="zh-CN"/>
        </w:rPr>
        <w:t>各563.92</w:t>
      </w:r>
      <w:r>
        <w:rPr>
          <w:rFonts w:hint="eastAsia" w:ascii="仿宋" w:hAnsi="仿宋" w:eastAsia="仿宋" w:cs="仿宋"/>
          <w:color w:val="auto"/>
          <w:sz w:val="32"/>
          <w:szCs w:val="32"/>
        </w:rPr>
        <w:t>万元，与上年相比，减少</w:t>
      </w:r>
      <w:r>
        <w:rPr>
          <w:rFonts w:hint="eastAsia" w:ascii="仿宋" w:hAnsi="仿宋" w:eastAsia="仿宋" w:cs="仿宋"/>
          <w:color w:val="auto"/>
          <w:sz w:val="32"/>
          <w:szCs w:val="32"/>
          <w:lang w:val="en-US" w:eastAsia="zh-CN"/>
        </w:rPr>
        <w:t>3.95</w:t>
      </w:r>
      <w:r>
        <w:rPr>
          <w:rFonts w:hint="eastAsia" w:ascii="仿宋" w:hAnsi="仿宋" w:eastAsia="仿宋" w:cs="仿宋"/>
          <w:color w:val="auto"/>
          <w:sz w:val="32"/>
          <w:szCs w:val="32"/>
        </w:rPr>
        <w:t>万元,减少</w:t>
      </w:r>
      <w:r>
        <w:rPr>
          <w:rFonts w:hint="eastAsia" w:ascii="仿宋" w:hAnsi="仿宋" w:eastAsia="仿宋" w:cs="仿宋"/>
          <w:color w:val="auto"/>
          <w:sz w:val="32"/>
          <w:szCs w:val="32"/>
          <w:lang w:val="en-US" w:eastAsia="zh-CN"/>
        </w:rPr>
        <w:t>0.70</w:t>
      </w:r>
      <w:r>
        <w:rPr>
          <w:rFonts w:hint="eastAsia" w:ascii="仿宋" w:hAnsi="仿宋" w:eastAsia="仿宋" w:cs="仿宋"/>
          <w:color w:val="auto"/>
          <w:sz w:val="32"/>
          <w:szCs w:val="32"/>
        </w:rPr>
        <w:t>%，主要是</w:t>
      </w:r>
      <w:r>
        <w:rPr>
          <w:rFonts w:hint="eastAsia" w:ascii="仿宋" w:hAnsi="仿宋" w:eastAsia="仿宋" w:cs="仿宋"/>
          <w:color w:val="auto"/>
          <w:sz w:val="32"/>
          <w:szCs w:val="32"/>
          <w:lang w:eastAsia="zh-CN"/>
        </w:rPr>
        <w:t>响应厉行</w:t>
      </w:r>
      <w:r>
        <w:rPr>
          <w:rFonts w:hint="eastAsia" w:ascii="仿宋" w:hAnsi="仿宋" w:eastAsia="仿宋" w:cs="仿宋"/>
          <w:color w:val="auto"/>
          <w:kern w:val="0"/>
          <w:sz w:val="32"/>
          <w:szCs w:val="32"/>
          <w:lang w:val="en-US" w:eastAsia="zh-CN"/>
        </w:rPr>
        <w:t>节约，相关项目支出减少</w:t>
      </w:r>
      <w:r>
        <w:rPr>
          <w:rFonts w:hint="eastAsia" w:ascii="仿宋" w:hAnsi="仿宋" w:eastAsia="仿宋" w:cs="仿宋"/>
          <w:color w:val="auto"/>
          <w:kern w:val="0"/>
          <w:sz w:val="32"/>
          <w:szCs w:val="32"/>
        </w:rPr>
        <w:t>。</w:t>
      </w:r>
    </w:p>
    <w:p>
      <w:pPr>
        <w:pStyle w:val="12"/>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五、一般公共预算财政拨款支出决算情况说明</w:t>
      </w:r>
    </w:p>
    <w:p>
      <w:pPr>
        <w:pStyle w:val="12"/>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仿宋" w:hAnsi="仿宋" w:eastAsia="仿宋" w:cs="仿宋"/>
          <w:b/>
          <w:color w:val="auto"/>
          <w:sz w:val="32"/>
          <w:szCs w:val="32"/>
        </w:rPr>
      </w:pPr>
      <w:r>
        <w:rPr>
          <w:rFonts w:hint="eastAsia" w:ascii="仿宋" w:hAnsi="仿宋" w:eastAsia="仿宋" w:cs="仿宋"/>
          <w:b/>
          <w:color w:val="auto"/>
          <w:sz w:val="32"/>
          <w:szCs w:val="32"/>
        </w:rPr>
        <w:t>（一）财政拨款支出决算总体情况</w:t>
      </w:r>
    </w:p>
    <w:p>
      <w:pPr>
        <w:pStyle w:val="12"/>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年度财政拨款支出</w:t>
      </w:r>
      <w:r>
        <w:rPr>
          <w:rFonts w:hint="eastAsia" w:ascii="仿宋" w:hAnsi="仿宋" w:eastAsia="仿宋" w:cs="仿宋"/>
          <w:color w:val="auto"/>
          <w:sz w:val="32"/>
          <w:szCs w:val="32"/>
          <w:lang w:val="en-US" w:eastAsia="zh-CN"/>
        </w:rPr>
        <w:t>561.42</w:t>
      </w:r>
      <w:r>
        <w:rPr>
          <w:rFonts w:hint="eastAsia" w:ascii="仿宋" w:hAnsi="仿宋" w:eastAsia="仿宋" w:cs="仿宋"/>
          <w:color w:val="auto"/>
          <w:sz w:val="32"/>
          <w:szCs w:val="32"/>
        </w:rPr>
        <w:t>万元，占本年支出合计的</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%，与上年相比，财政拨款支出减少</w:t>
      </w:r>
      <w:r>
        <w:rPr>
          <w:rFonts w:hint="eastAsia" w:ascii="仿宋" w:hAnsi="仿宋" w:eastAsia="仿宋" w:cs="仿宋"/>
          <w:color w:val="auto"/>
          <w:sz w:val="32"/>
          <w:szCs w:val="32"/>
          <w:lang w:val="en-US" w:eastAsia="zh-CN"/>
        </w:rPr>
        <w:t>5.22</w:t>
      </w:r>
      <w:r>
        <w:rPr>
          <w:rFonts w:hint="eastAsia" w:ascii="仿宋" w:hAnsi="仿宋" w:eastAsia="仿宋" w:cs="仿宋"/>
          <w:color w:val="auto"/>
          <w:sz w:val="32"/>
          <w:szCs w:val="32"/>
        </w:rPr>
        <w:t>万元，减少</w:t>
      </w:r>
      <w:r>
        <w:rPr>
          <w:rFonts w:hint="eastAsia" w:ascii="仿宋" w:hAnsi="仿宋" w:eastAsia="仿宋" w:cs="仿宋"/>
          <w:color w:val="auto"/>
          <w:sz w:val="32"/>
          <w:szCs w:val="32"/>
          <w:lang w:val="en-US" w:eastAsia="zh-CN"/>
        </w:rPr>
        <w:t>0.92</w:t>
      </w:r>
      <w:r>
        <w:rPr>
          <w:rFonts w:hint="eastAsia" w:ascii="仿宋" w:hAnsi="仿宋" w:eastAsia="仿宋" w:cs="仿宋"/>
          <w:color w:val="auto"/>
          <w:sz w:val="32"/>
          <w:szCs w:val="32"/>
        </w:rPr>
        <w:t>%，主要是</w:t>
      </w:r>
      <w:r>
        <w:rPr>
          <w:rFonts w:hint="eastAsia" w:ascii="仿宋" w:hAnsi="仿宋" w:eastAsia="仿宋" w:cs="仿宋"/>
          <w:color w:val="auto"/>
          <w:sz w:val="32"/>
          <w:szCs w:val="32"/>
          <w:lang w:eastAsia="zh-CN"/>
        </w:rPr>
        <w:t>响应厉行</w:t>
      </w:r>
      <w:r>
        <w:rPr>
          <w:rFonts w:hint="eastAsia" w:ascii="仿宋" w:hAnsi="仿宋" w:eastAsia="仿宋" w:cs="仿宋"/>
          <w:color w:val="auto"/>
          <w:kern w:val="0"/>
          <w:sz w:val="32"/>
          <w:szCs w:val="32"/>
          <w:lang w:val="en-US" w:eastAsia="zh-CN"/>
        </w:rPr>
        <w:t>节约，相关项目支出减少</w:t>
      </w:r>
      <w:r>
        <w:rPr>
          <w:rFonts w:hint="eastAsia" w:ascii="仿宋" w:hAnsi="仿宋" w:eastAsia="仿宋" w:cs="仿宋"/>
          <w:color w:val="auto"/>
          <w:kern w:val="0"/>
          <w:sz w:val="32"/>
          <w:szCs w:val="32"/>
        </w:rPr>
        <w:t>。</w:t>
      </w:r>
    </w:p>
    <w:p>
      <w:pPr>
        <w:pStyle w:val="12"/>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仿宋" w:hAnsi="仿宋" w:eastAsia="仿宋" w:cs="仿宋"/>
          <w:b/>
          <w:color w:val="auto"/>
          <w:sz w:val="32"/>
          <w:szCs w:val="32"/>
        </w:rPr>
      </w:pPr>
      <w:r>
        <w:rPr>
          <w:rFonts w:hint="eastAsia" w:ascii="仿宋" w:hAnsi="仿宋" w:eastAsia="仿宋" w:cs="仿宋"/>
          <w:b/>
          <w:color w:val="auto"/>
          <w:sz w:val="32"/>
          <w:szCs w:val="32"/>
        </w:rPr>
        <w:t>（二）财政拨款支出决算结构情况</w:t>
      </w:r>
    </w:p>
    <w:p>
      <w:pPr>
        <w:pStyle w:val="12"/>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年度财政拨款支出</w:t>
      </w:r>
      <w:r>
        <w:rPr>
          <w:rFonts w:hint="eastAsia" w:ascii="仿宋" w:hAnsi="仿宋" w:eastAsia="仿宋" w:cs="仿宋"/>
          <w:color w:val="auto"/>
          <w:sz w:val="32"/>
          <w:szCs w:val="32"/>
          <w:lang w:val="en-US" w:eastAsia="zh-CN"/>
        </w:rPr>
        <w:t>561.42</w:t>
      </w:r>
      <w:r>
        <w:rPr>
          <w:rFonts w:hint="eastAsia" w:ascii="仿宋" w:hAnsi="仿宋" w:eastAsia="仿宋" w:cs="仿宋"/>
          <w:color w:val="auto"/>
          <w:sz w:val="32"/>
          <w:szCs w:val="32"/>
        </w:rPr>
        <w:t>万元，主要用于以下方面：</w:t>
      </w:r>
      <w:r>
        <w:rPr>
          <w:rFonts w:hint="eastAsia" w:ascii="仿宋" w:hAnsi="仿宋" w:eastAsia="仿宋" w:cs="仿宋"/>
          <w:color w:val="auto"/>
          <w:sz w:val="32"/>
          <w:szCs w:val="32"/>
          <w:lang w:val="en-US" w:eastAsia="zh-CN"/>
        </w:rPr>
        <w:t>科学技术</w:t>
      </w:r>
      <w:r>
        <w:rPr>
          <w:rFonts w:hint="eastAsia" w:ascii="仿宋" w:hAnsi="仿宋" w:eastAsia="仿宋" w:cs="仿宋"/>
          <w:color w:val="auto"/>
          <w:sz w:val="32"/>
          <w:szCs w:val="32"/>
        </w:rPr>
        <w:t>支出</w:t>
      </w:r>
      <w:r>
        <w:rPr>
          <w:rFonts w:hint="eastAsia" w:ascii="仿宋" w:hAnsi="仿宋" w:eastAsia="仿宋" w:cs="仿宋"/>
          <w:color w:val="auto"/>
          <w:sz w:val="32"/>
          <w:szCs w:val="32"/>
          <w:lang w:val="en-US" w:eastAsia="zh-CN"/>
        </w:rPr>
        <w:t>类219.01</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39.01</w:t>
      </w:r>
      <w:r>
        <w:rPr>
          <w:rFonts w:hint="eastAsia" w:ascii="仿宋" w:hAnsi="仿宋" w:eastAsia="仿宋" w:cs="仿宋"/>
          <w:color w:val="auto"/>
          <w:sz w:val="32"/>
          <w:szCs w:val="32"/>
        </w:rPr>
        <w:t>%;文化旅游体育与传媒支出</w:t>
      </w:r>
      <w:r>
        <w:rPr>
          <w:rFonts w:hint="eastAsia" w:ascii="仿宋" w:hAnsi="仿宋" w:eastAsia="仿宋" w:cs="仿宋"/>
          <w:color w:val="auto"/>
          <w:sz w:val="32"/>
          <w:szCs w:val="32"/>
          <w:lang w:val="en-US" w:eastAsia="zh-CN"/>
        </w:rPr>
        <w:t>类208.71</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37.18</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rPr>
        <w:t>社会保障和就业支出</w:t>
      </w:r>
      <w:r>
        <w:rPr>
          <w:rFonts w:hint="eastAsia" w:ascii="仿宋" w:hAnsi="仿宋" w:eastAsia="仿宋" w:cs="仿宋"/>
          <w:color w:val="auto"/>
          <w:sz w:val="32"/>
          <w:szCs w:val="32"/>
          <w:lang w:val="en-US" w:eastAsia="zh-CN"/>
        </w:rPr>
        <w:t>类113.88</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20.28</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rPr>
        <w:t>卫生健康支出</w:t>
      </w:r>
      <w:r>
        <w:rPr>
          <w:rFonts w:hint="eastAsia" w:ascii="仿宋" w:hAnsi="仿宋" w:eastAsia="仿宋" w:cs="仿宋"/>
          <w:color w:val="auto"/>
          <w:sz w:val="32"/>
          <w:szCs w:val="32"/>
          <w:lang w:val="en-US" w:eastAsia="zh-CN"/>
        </w:rPr>
        <w:t>类19.83</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3.53</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w:t>
      </w:r>
    </w:p>
    <w:p>
      <w:pPr>
        <w:pStyle w:val="12"/>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仿宋" w:hAnsi="仿宋" w:eastAsia="仿宋" w:cs="仿宋"/>
          <w:b/>
          <w:color w:val="auto"/>
          <w:sz w:val="32"/>
          <w:szCs w:val="32"/>
        </w:rPr>
      </w:pPr>
      <w:r>
        <w:rPr>
          <w:rFonts w:hint="eastAsia" w:ascii="仿宋" w:hAnsi="仿宋" w:eastAsia="仿宋" w:cs="仿宋"/>
          <w:b/>
          <w:color w:val="auto"/>
          <w:sz w:val="32"/>
          <w:szCs w:val="32"/>
        </w:rPr>
        <w:t>（三）财政拨款支出决算具体情况</w:t>
      </w:r>
    </w:p>
    <w:p>
      <w:pPr>
        <w:pStyle w:val="12"/>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年度财政拨款支出年初预算数为</w:t>
      </w:r>
      <w:r>
        <w:rPr>
          <w:rFonts w:hint="eastAsia" w:ascii="仿宋" w:hAnsi="仿宋" w:eastAsia="仿宋" w:cs="仿宋"/>
          <w:color w:val="auto"/>
          <w:sz w:val="32"/>
          <w:szCs w:val="32"/>
          <w:lang w:val="en-US" w:eastAsia="zh-CN"/>
        </w:rPr>
        <w:t>372.17</w:t>
      </w:r>
      <w:r>
        <w:rPr>
          <w:rFonts w:hint="eastAsia" w:ascii="仿宋" w:hAnsi="仿宋" w:eastAsia="仿宋" w:cs="仿宋"/>
          <w:color w:val="auto"/>
          <w:sz w:val="32"/>
          <w:szCs w:val="32"/>
        </w:rPr>
        <w:t>万元，支出决算数为</w:t>
      </w:r>
      <w:r>
        <w:rPr>
          <w:rFonts w:hint="eastAsia" w:ascii="仿宋" w:hAnsi="仿宋" w:eastAsia="仿宋" w:cs="仿宋"/>
          <w:color w:val="auto"/>
          <w:sz w:val="32"/>
          <w:szCs w:val="32"/>
          <w:lang w:val="en-US" w:eastAsia="zh-CN"/>
        </w:rPr>
        <w:t>561.42</w:t>
      </w:r>
      <w:r>
        <w:rPr>
          <w:rFonts w:hint="eastAsia" w:ascii="仿宋" w:hAnsi="仿宋" w:eastAsia="仿宋" w:cs="仿宋"/>
          <w:color w:val="auto"/>
          <w:sz w:val="32"/>
          <w:szCs w:val="32"/>
        </w:rPr>
        <w:t>万元，完成年初预算的</w:t>
      </w:r>
      <w:r>
        <w:rPr>
          <w:rFonts w:hint="eastAsia" w:ascii="仿宋" w:hAnsi="仿宋" w:eastAsia="仿宋" w:cs="仿宋"/>
          <w:color w:val="auto"/>
          <w:sz w:val="32"/>
          <w:szCs w:val="32"/>
          <w:lang w:val="en-US" w:eastAsia="zh-CN"/>
        </w:rPr>
        <w:t>150.85</w:t>
      </w:r>
      <w:r>
        <w:rPr>
          <w:rFonts w:hint="eastAsia" w:ascii="仿宋" w:hAnsi="仿宋" w:eastAsia="仿宋" w:cs="仿宋"/>
          <w:color w:val="auto"/>
          <w:sz w:val="32"/>
          <w:szCs w:val="32"/>
        </w:rPr>
        <w:t>%，其中：</w:t>
      </w:r>
    </w:p>
    <w:p>
      <w:pPr>
        <w:pStyle w:val="12"/>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w:t>
      </w:r>
      <w:r>
        <w:rPr>
          <w:rFonts w:hint="eastAsia" w:ascii="仿宋" w:hAnsi="仿宋" w:eastAsia="仿宋" w:cs="仿宋"/>
          <w:color w:val="auto"/>
          <w:sz w:val="32"/>
          <w:szCs w:val="32"/>
          <w:lang w:val="en-US" w:eastAsia="zh-CN"/>
        </w:rPr>
        <w:t>科学技术</w:t>
      </w:r>
      <w:r>
        <w:rPr>
          <w:rFonts w:hint="eastAsia" w:ascii="仿宋" w:hAnsi="仿宋" w:eastAsia="仿宋" w:cs="仿宋"/>
          <w:color w:val="auto"/>
          <w:sz w:val="32"/>
          <w:szCs w:val="32"/>
        </w:rPr>
        <w:t>支出（类）科技条件与服务（款）机构运行（项）。</w:t>
      </w:r>
    </w:p>
    <w:p>
      <w:pPr>
        <w:pStyle w:val="12"/>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219.01</w:t>
      </w:r>
      <w:r>
        <w:rPr>
          <w:rFonts w:hint="eastAsia" w:ascii="仿宋" w:hAnsi="仿宋" w:eastAsia="仿宋" w:cs="仿宋"/>
          <w:color w:val="auto"/>
          <w:sz w:val="32"/>
          <w:szCs w:val="32"/>
        </w:rPr>
        <w:t>万元，</w:t>
      </w:r>
      <w:r>
        <w:rPr>
          <w:rFonts w:hint="eastAsia" w:ascii="仿宋" w:hAnsi="仿宋" w:eastAsia="仿宋" w:cs="仿宋"/>
          <w:i w:val="0"/>
          <w:iCs w:val="0"/>
          <w:caps w:val="0"/>
          <w:color w:val="auto"/>
          <w:spacing w:val="0"/>
          <w:sz w:val="32"/>
          <w:szCs w:val="32"/>
          <w:shd w:val="clear" w:color="auto" w:fill="FFFFFF"/>
        </w:rPr>
        <w:t>年初预算为0万元，无法计算完成比例。</w:t>
      </w:r>
      <w:r>
        <w:rPr>
          <w:rFonts w:hint="eastAsia" w:ascii="仿宋" w:hAnsi="仿宋" w:eastAsia="仿宋" w:cs="仿宋"/>
          <w:color w:val="auto"/>
          <w:sz w:val="32"/>
          <w:szCs w:val="32"/>
        </w:rPr>
        <w:t>决算数大于年初预算数的原因是</w:t>
      </w:r>
      <w:r>
        <w:rPr>
          <w:rFonts w:hint="eastAsia" w:ascii="仿宋" w:hAnsi="仿宋" w:eastAsia="仿宋" w:cs="仿宋"/>
          <w:color w:val="auto"/>
          <w:sz w:val="32"/>
          <w:szCs w:val="32"/>
          <w:lang w:eastAsia="zh-CN"/>
        </w:rPr>
        <w:t>年初未纳入预算，年终财政科目调整。</w:t>
      </w:r>
    </w:p>
    <w:p>
      <w:pPr>
        <w:pStyle w:val="12"/>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文化旅游体育与传媒支出（类）文化和旅游（款）行政运行（项）。</w:t>
      </w:r>
    </w:p>
    <w:p>
      <w:pPr>
        <w:pStyle w:val="12"/>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341.59</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84.10</w:t>
      </w:r>
      <w:r>
        <w:rPr>
          <w:rFonts w:hint="eastAsia" w:ascii="仿宋" w:hAnsi="仿宋" w:eastAsia="仿宋" w:cs="仿宋"/>
          <w:color w:val="auto"/>
          <w:sz w:val="32"/>
          <w:szCs w:val="32"/>
        </w:rPr>
        <w:t>万元，</w:t>
      </w:r>
      <w:r>
        <w:rPr>
          <w:rFonts w:hint="eastAsia" w:ascii="仿宋" w:hAnsi="仿宋" w:eastAsia="仿宋" w:cs="仿宋"/>
          <w:color w:val="auto"/>
          <w:sz w:val="32"/>
          <w:szCs w:val="32"/>
          <w:lang w:val="en-US" w:eastAsia="zh-CN"/>
        </w:rPr>
        <w:t>完成年初预算的24.62%，</w:t>
      </w:r>
      <w:r>
        <w:rPr>
          <w:rFonts w:hint="eastAsia" w:ascii="仿宋" w:hAnsi="仿宋" w:eastAsia="仿宋" w:cs="仿宋"/>
          <w:color w:val="auto"/>
          <w:sz w:val="32"/>
          <w:szCs w:val="32"/>
        </w:rPr>
        <w:t>决算数小于年初预算数的主要原因是</w:t>
      </w:r>
      <w:r>
        <w:rPr>
          <w:rFonts w:hint="eastAsia" w:ascii="仿宋" w:hAnsi="仿宋" w:eastAsia="仿宋" w:cs="仿宋"/>
          <w:color w:val="auto"/>
          <w:sz w:val="32"/>
          <w:szCs w:val="32"/>
          <w:lang w:eastAsia="zh-CN"/>
        </w:rPr>
        <w:t>年终财政科目调整。</w:t>
      </w:r>
    </w:p>
    <w:p>
      <w:pPr>
        <w:pStyle w:val="12"/>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文化旅游体育与传媒支出（类）文化和旅游（款）</w:t>
      </w:r>
      <w:r>
        <w:rPr>
          <w:rFonts w:hint="eastAsia" w:ascii="仿宋" w:hAnsi="仿宋" w:eastAsia="仿宋" w:cs="仿宋"/>
          <w:color w:val="auto"/>
          <w:sz w:val="32"/>
          <w:szCs w:val="32"/>
          <w:lang w:eastAsia="zh-CN"/>
        </w:rPr>
        <w:t>文化和旅游市场管理</w:t>
      </w:r>
      <w:r>
        <w:rPr>
          <w:rFonts w:hint="eastAsia" w:ascii="仿宋" w:hAnsi="仿宋" w:eastAsia="仿宋" w:cs="仿宋"/>
          <w:color w:val="auto"/>
          <w:sz w:val="32"/>
          <w:szCs w:val="32"/>
        </w:rPr>
        <w:t>（项）。</w:t>
      </w:r>
    </w:p>
    <w:p>
      <w:pPr>
        <w:pStyle w:val="12"/>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94.35</w:t>
      </w:r>
      <w:r>
        <w:rPr>
          <w:rFonts w:hint="eastAsia" w:ascii="仿宋" w:hAnsi="仿宋" w:eastAsia="仿宋" w:cs="仿宋"/>
          <w:color w:val="auto"/>
          <w:sz w:val="32"/>
          <w:szCs w:val="32"/>
        </w:rPr>
        <w:t>万元，</w:t>
      </w:r>
      <w:r>
        <w:rPr>
          <w:rFonts w:hint="eastAsia" w:ascii="仿宋" w:hAnsi="仿宋" w:eastAsia="仿宋" w:cs="仿宋"/>
          <w:i w:val="0"/>
          <w:iCs w:val="0"/>
          <w:caps w:val="0"/>
          <w:color w:val="auto"/>
          <w:spacing w:val="0"/>
          <w:sz w:val="32"/>
          <w:szCs w:val="32"/>
          <w:shd w:val="clear" w:color="auto" w:fill="FFFFFF"/>
        </w:rPr>
        <w:t>年初预算为0万元，无法计算完成比例。</w:t>
      </w:r>
      <w:r>
        <w:rPr>
          <w:rFonts w:hint="eastAsia" w:ascii="仿宋" w:hAnsi="仿宋" w:eastAsia="仿宋" w:cs="仿宋"/>
          <w:color w:val="auto"/>
          <w:sz w:val="32"/>
          <w:szCs w:val="32"/>
        </w:rPr>
        <w:t>决算数</w:t>
      </w:r>
      <w:r>
        <w:rPr>
          <w:rFonts w:hint="eastAsia" w:ascii="仿宋" w:hAnsi="仿宋" w:eastAsia="仿宋" w:cs="仿宋"/>
          <w:color w:val="auto"/>
          <w:sz w:val="32"/>
          <w:szCs w:val="32"/>
          <w:lang w:eastAsia="zh-CN"/>
        </w:rPr>
        <w:t>大</w:t>
      </w:r>
      <w:r>
        <w:rPr>
          <w:rFonts w:hint="eastAsia" w:ascii="仿宋" w:hAnsi="仿宋" w:eastAsia="仿宋" w:cs="仿宋"/>
          <w:color w:val="auto"/>
          <w:sz w:val="32"/>
          <w:szCs w:val="32"/>
        </w:rPr>
        <w:t>于年初预算数的主要原因是</w:t>
      </w:r>
      <w:r>
        <w:rPr>
          <w:rFonts w:hint="eastAsia" w:ascii="仿宋" w:hAnsi="仿宋" w:eastAsia="仿宋" w:cs="仿宋"/>
          <w:color w:val="auto"/>
          <w:sz w:val="32"/>
          <w:szCs w:val="32"/>
          <w:lang w:eastAsia="zh-CN"/>
        </w:rPr>
        <w:t>：本年度发生的文化和旅游市场管理支出年初未纳入预算。</w:t>
      </w:r>
    </w:p>
    <w:p>
      <w:pPr>
        <w:pStyle w:val="12"/>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文化旅游体育与传媒支出（类）文化和旅游（款）</w:t>
      </w:r>
      <w:r>
        <w:rPr>
          <w:rFonts w:hint="eastAsia" w:ascii="仿宋" w:hAnsi="仿宋" w:eastAsia="仿宋" w:cs="仿宋"/>
          <w:color w:val="auto"/>
          <w:sz w:val="32"/>
          <w:szCs w:val="32"/>
          <w:lang w:eastAsia="zh-CN"/>
        </w:rPr>
        <w:t>其他文化和旅游支出</w:t>
      </w:r>
      <w:r>
        <w:rPr>
          <w:rFonts w:hint="eastAsia" w:ascii="仿宋" w:hAnsi="仿宋" w:eastAsia="仿宋" w:cs="仿宋"/>
          <w:color w:val="auto"/>
          <w:sz w:val="32"/>
          <w:szCs w:val="32"/>
        </w:rPr>
        <w:t>（项）。</w:t>
      </w:r>
    </w:p>
    <w:p>
      <w:pPr>
        <w:pStyle w:val="12"/>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30.25</w:t>
      </w:r>
      <w:r>
        <w:rPr>
          <w:rFonts w:hint="eastAsia" w:ascii="仿宋" w:hAnsi="仿宋" w:eastAsia="仿宋" w:cs="仿宋"/>
          <w:color w:val="auto"/>
          <w:sz w:val="32"/>
          <w:szCs w:val="32"/>
        </w:rPr>
        <w:t>万元，</w:t>
      </w:r>
      <w:r>
        <w:rPr>
          <w:rFonts w:hint="eastAsia" w:ascii="仿宋" w:hAnsi="仿宋" w:eastAsia="仿宋" w:cs="仿宋"/>
          <w:color w:val="auto"/>
          <w:sz w:val="32"/>
          <w:szCs w:val="32"/>
          <w:lang w:val="en-US" w:eastAsia="zh-CN"/>
        </w:rPr>
        <w:t>完成年初预算的605%，</w:t>
      </w:r>
      <w:r>
        <w:rPr>
          <w:rFonts w:hint="eastAsia" w:ascii="仿宋" w:hAnsi="仿宋" w:eastAsia="仿宋" w:cs="仿宋"/>
          <w:color w:val="auto"/>
          <w:sz w:val="32"/>
          <w:szCs w:val="32"/>
        </w:rPr>
        <w:t>决算数</w:t>
      </w:r>
      <w:r>
        <w:rPr>
          <w:rFonts w:hint="eastAsia" w:ascii="仿宋" w:hAnsi="仿宋" w:eastAsia="仿宋" w:cs="仿宋"/>
          <w:color w:val="auto"/>
          <w:sz w:val="32"/>
          <w:szCs w:val="32"/>
          <w:lang w:val="en-US" w:eastAsia="zh-CN"/>
        </w:rPr>
        <w:t>大</w:t>
      </w:r>
      <w:r>
        <w:rPr>
          <w:rFonts w:hint="eastAsia" w:ascii="仿宋" w:hAnsi="仿宋" w:eastAsia="仿宋" w:cs="仿宋"/>
          <w:color w:val="auto"/>
          <w:sz w:val="32"/>
          <w:szCs w:val="32"/>
        </w:rPr>
        <w:t>于年初预算数的主要原因</w:t>
      </w:r>
      <w:r>
        <w:rPr>
          <w:rFonts w:hint="eastAsia" w:ascii="仿宋" w:hAnsi="仿宋" w:eastAsia="仿宋" w:cs="仿宋"/>
          <w:color w:val="auto"/>
          <w:sz w:val="32"/>
          <w:szCs w:val="32"/>
          <w:lang w:val="en-US" w:eastAsia="zh-CN"/>
        </w:rPr>
        <w:t>是</w:t>
      </w:r>
      <w:r>
        <w:rPr>
          <w:rFonts w:hint="eastAsia" w:ascii="仿宋" w:hAnsi="仿宋" w:eastAsia="仿宋" w:cs="仿宋"/>
          <w:color w:val="auto"/>
          <w:sz w:val="32"/>
          <w:szCs w:val="32"/>
        </w:rPr>
        <w:t>年</w:t>
      </w:r>
      <w:r>
        <w:rPr>
          <w:rFonts w:hint="eastAsia" w:ascii="仿宋" w:hAnsi="仿宋" w:eastAsia="仿宋" w:cs="仿宋"/>
          <w:color w:val="auto"/>
          <w:sz w:val="32"/>
          <w:szCs w:val="32"/>
          <w:lang w:eastAsia="zh-CN"/>
        </w:rPr>
        <w:t>终财政科目调整。</w:t>
      </w:r>
    </w:p>
    <w:p>
      <w:pPr>
        <w:pStyle w:val="12"/>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社会保障和就业支出（类）行政事业单位养老支出（款）</w:t>
      </w:r>
      <w:r>
        <w:rPr>
          <w:rFonts w:hint="eastAsia" w:ascii="仿宋" w:hAnsi="仿宋" w:eastAsia="仿宋" w:cs="仿宋"/>
          <w:color w:val="auto"/>
          <w:sz w:val="32"/>
          <w:szCs w:val="32"/>
          <w:lang w:eastAsia="zh-CN"/>
        </w:rPr>
        <w:t>事业</w:t>
      </w:r>
      <w:r>
        <w:rPr>
          <w:rFonts w:hint="eastAsia" w:ascii="仿宋" w:hAnsi="仿宋" w:eastAsia="仿宋" w:cs="仿宋"/>
          <w:color w:val="auto"/>
          <w:sz w:val="32"/>
          <w:szCs w:val="32"/>
        </w:rPr>
        <w:t>单位离退休（项）。</w:t>
      </w:r>
    </w:p>
    <w:p>
      <w:pPr>
        <w:pStyle w:val="12"/>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25.58</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66.32</w:t>
      </w:r>
      <w:r>
        <w:rPr>
          <w:rFonts w:hint="eastAsia" w:ascii="仿宋" w:hAnsi="仿宋" w:eastAsia="仿宋" w:cs="仿宋"/>
          <w:color w:val="auto"/>
          <w:sz w:val="32"/>
          <w:szCs w:val="32"/>
        </w:rPr>
        <w:t>万元，</w:t>
      </w:r>
      <w:r>
        <w:rPr>
          <w:rFonts w:hint="eastAsia" w:ascii="仿宋" w:hAnsi="仿宋" w:eastAsia="仿宋" w:cs="仿宋"/>
          <w:color w:val="auto"/>
          <w:sz w:val="32"/>
          <w:szCs w:val="32"/>
          <w:lang w:val="en-US" w:eastAsia="zh-CN"/>
        </w:rPr>
        <w:t>完成年初预算的259.27%，</w:t>
      </w:r>
      <w:r>
        <w:rPr>
          <w:rFonts w:hint="eastAsia" w:ascii="仿宋" w:hAnsi="仿宋" w:eastAsia="仿宋" w:cs="仿宋"/>
          <w:color w:val="auto"/>
          <w:sz w:val="32"/>
          <w:szCs w:val="32"/>
        </w:rPr>
        <w:t>决算数大于年初预算数的主要原因是年</w:t>
      </w:r>
      <w:r>
        <w:rPr>
          <w:rFonts w:hint="eastAsia" w:ascii="仿宋" w:hAnsi="仿宋" w:eastAsia="仿宋" w:cs="仿宋"/>
          <w:color w:val="auto"/>
          <w:sz w:val="32"/>
          <w:szCs w:val="32"/>
          <w:lang w:eastAsia="zh-CN"/>
        </w:rPr>
        <w:t>终财政科目调整</w:t>
      </w:r>
      <w:r>
        <w:rPr>
          <w:rFonts w:hint="eastAsia" w:ascii="仿宋" w:hAnsi="仿宋" w:eastAsia="仿宋" w:cs="仿宋"/>
          <w:color w:val="auto"/>
          <w:sz w:val="32"/>
          <w:szCs w:val="32"/>
        </w:rPr>
        <w:t>。</w:t>
      </w:r>
    </w:p>
    <w:p>
      <w:pPr>
        <w:pStyle w:val="12"/>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rPr>
        <w:t>社会保障和就业支出（类）行政事业单位养老支出（款）</w:t>
      </w:r>
      <w:r>
        <w:rPr>
          <w:rFonts w:hint="eastAsia" w:ascii="仿宋" w:hAnsi="仿宋" w:eastAsia="仿宋" w:cs="仿宋"/>
          <w:color w:val="auto"/>
          <w:sz w:val="32"/>
          <w:szCs w:val="32"/>
          <w:lang w:eastAsia="zh-CN"/>
        </w:rPr>
        <w:t>机关事业单位基本养老保险缴费支出</w:t>
      </w:r>
      <w:r>
        <w:rPr>
          <w:rFonts w:hint="eastAsia" w:ascii="仿宋" w:hAnsi="仿宋" w:eastAsia="仿宋" w:cs="仿宋"/>
          <w:color w:val="auto"/>
          <w:sz w:val="32"/>
          <w:szCs w:val="32"/>
        </w:rPr>
        <w:t>（项）。</w:t>
      </w:r>
    </w:p>
    <w:p>
      <w:pPr>
        <w:pStyle w:val="12"/>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40.88</w:t>
      </w:r>
      <w:r>
        <w:rPr>
          <w:rFonts w:hint="eastAsia" w:ascii="仿宋" w:hAnsi="仿宋" w:eastAsia="仿宋" w:cs="仿宋"/>
          <w:color w:val="auto"/>
          <w:sz w:val="32"/>
          <w:szCs w:val="32"/>
        </w:rPr>
        <w:t>万元，</w:t>
      </w:r>
      <w:r>
        <w:rPr>
          <w:rFonts w:hint="eastAsia" w:ascii="仿宋" w:hAnsi="仿宋" w:eastAsia="仿宋" w:cs="仿宋"/>
          <w:i w:val="0"/>
          <w:iCs w:val="0"/>
          <w:caps w:val="0"/>
          <w:color w:val="auto"/>
          <w:spacing w:val="0"/>
          <w:sz w:val="32"/>
          <w:szCs w:val="32"/>
          <w:shd w:val="clear" w:color="auto" w:fill="FFFFFF"/>
        </w:rPr>
        <w:t>年初预算为0万元，无法计算完成比例。</w:t>
      </w:r>
      <w:r>
        <w:rPr>
          <w:rFonts w:hint="eastAsia" w:ascii="仿宋" w:hAnsi="仿宋" w:eastAsia="仿宋" w:cs="仿宋"/>
          <w:color w:val="auto"/>
          <w:sz w:val="32"/>
          <w:szCs w:val="32"/>
        </w:rPr>
        <w:t>决算数</w:t>
      </w:r>
      <w:r>
        <w:rPr>
          <w:rFonts w:hint="eastAsia" w:ascii="仿宋" w:hAnsi="仿宋" w:eastAsia="仿宋" w:cs="仿宋"/>
          <w:color w:val="auto"/>
          <w:sz w:val="32"/>
          <w:szCs w:val="32"/>
          <w:lang w:eastAsia="zh-CN"/>
        </w:rPr>
        <w:t>大</w:t>
      </w:r>
      <w:r>
        <w:rPr>
          <w:rFonts w:hint="eastAsia" w:ascii="仿宋" w:hAnsi="仿宋" w:eastAsia="仿宋" w:cs="仿宋"/>
          <w:color w:val="auto"/>
          <w:sz w:val="32"/>
          <w:szCs w:val="32"/>
        </w:rPr>
        <w:t>于年初预算数的原因是</w:t>
      </w:r>
      <w:r>
        <w:rPr>
          <w:rFonts w:hint="eastAsia" w:ascii="仿宋" w:hAnsi="仿宋" w:eastAsia="仿宋" w:cs="仿宋"/>
          <w:color w:val="auto"/>
          <w:sz w:val="32"/>
          <w:szCs w:val="32"/>
          <w:lang w:eastAsia="zh-CN"/>
        </w:rPr>
        <w:t>：本年度发生的机关事业单位基本养老保险缴费支出年初未纳入预算。</w:t>
      </w:r>
    </w:p>
    <w:p>
      <w:pPr>
        <w:pStyle w:val="12"/>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社会保障和就业支出（类）行政事业单位养老支出（款）</w:t>
      </w:r>
      <w:r>
        <w:rPr>
          <w:rFonts w:hint="eastAsia" w:ascii="仿宋" w:hAnsi="仿宋" w:eastAsia="仿宋" w:cs="仿宋"/>
          <w:color w:val="auto"/>
          <w:sz w:val="32"/>
          <w:szCs w:val="32"/>
          <w:lang w:eastAsia="zh-CN"/>
        </w:rPr>
        <w:t>其他行政事业单位养老支出</w:t>
      </w:r>
      <w:r>
        <w:rPr>
          <w:rFonts w:hint="eastAsia" w:ascii="仿宋" w:hAnsi="仿宋" w:eastAsia="仿宋" w:cs="仿宋"/>
          <w:color w:val="auto"/>
          <w:sz w:val="32"/>
          <w:szCs w:val="32"/>
        </w:rPr>
        <w:t>（项）。</w:t>
      </w:r>
    </w:p>
    <w:p>
      <w:pPr>
        <w:pStyle w:val="12"/>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6.68</w:t>
      </w:r>
      <w:r>
        <w:rPr>
          <w:rFonts w:hint="eastAsia" w:ascii="仿宋" w:hAnsi="仿宋" w:eastAsia="仿宋" w:cs="仿宋"/>
          <w:color w:val="auto"/>
          <w:sz w:val="32"/>
          <w:szCs w:val="32"/>
        </w:rPr>
        <w:t>万元，</w:t>
      </w:r>
      <w:r>
        <w:rPr>
          <w:rFonts w:hint="eastAsia" w:ascii="仿宋" w:hAnsi="仿宋" w:eastAsia="仿宋" w:cs="仿宋"/>
          <w:i w:val="0"/>
          <w:iCs w:val="0"/>
          <w:caps w:val="0"/>
          <w:color w:val="auto"/>
          <w:spacing w:val="0"/>
          <w:sz w:val="32"/>
          <w:szCs w:val="32"/>
          <w:shd w:val="clear" w:color="auto" w:fill="FFFFFF"/>
        </w:rPr>
        <w:t>年初预算为0万元，无法计算完成比例。</w:t>
      </w:r>
      <w:r>
        <w:rPr>
          <w:rFonts w:hint="eastAsia" w:ascii="仿宋" w:hAnsi="仿宋" w:eastAsia="仿宋" w:cs="仿宋"/>
          <w:color w:val="auto"/>
          <w:sz w:val="32"/>
          <w:szCs w:val="32"/>
        </w:rPr>
        <w:t>决算数大于年初预算数的原因是</w:t>
      </w:r>
      <w:r>
        <w:rPr>
          <w:rFonts w:hint="eastAsia" w:ascii="仿宋" w:hAnsi="仿宋" w:eastAsia="仿宋" w:cs="仿宋"/>
          <w:color w:val="auto"/>
          <w:sz w:val="32"/>
          <w:szCs w:val="32"/>
          <w:lang w:eastAsia="zh-CN"/>
        </w:rPr>
        <w:t>：本年度发生的其他行政事业单位养老支出年初未纳入预算</w:t>
      </w:r>
      <w:r>
        <w:rPr>
          <w:rFonts w:hint="eastAsia" w:ascii="仿宋" w:hAnsi="仿宋" w:eastAsia="仿宋" w:cs="仿宋"/>
          <w:color w:val="auto"/>
          <w:sz w:val="32"/>
          <w:szCs w:val="32"/>
        </w:rPr>
        <w:t>。</w:t>
      </w:r>
    </w:p>
    <w:p>
      <w:pPr>
        <w:pStyle w:val="12"/>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rPr>
        <w:t>卫生健康支出（类）行政事业单位医疗（款）行政单位医疗（项）。</w:t>
      </w:r>
    </w:p>
    <w:p>
      <w:pPr>
        <w:pStyle w:val="12"/>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19.31</w:t>
      </w:r>
      <w:r>
        <w:rPr>
          <w:rFonts w:hint="eastAsia" w:ascii="仿宋" w:hAnsi="仿宋" w:eastAsia="仿宋" w:cs="仿宋"/>
          <w:color w:val="auto"/>
          <w:sz w:val="32"/>
          <w:szCs w:val="32"/>
        </w:rPr>
        <w:t>万元，</w:t>
      </w:r>
      <w:r>
        <w:rPr>
          <w:rFonts w:hint="eastAsia" w:ascii="仿宋" w:hAnsi="仿宋" w:eastAsia="仿宋" w:cs="仿宋"/>
          <w:i w:val="0"/>
          <w:iCs w:val="0"/>
          <w:caps w:val="0"/>
          <w:color w:val="auto"/>
          <w:spacing w:val="0"/>
          <w:sz w:val="32"/>
          <w:szCs w:val="32"/>
          <w:shd w:val="clear" w:color="auto" w:fill="FFFFFF"/>
        </w:rPr>
        <w:t>年初预算为0万元，无法计算完成比例。</w:t>
      </w:r>
      <w:r>
        <w:rPr>
          <w:rFonts w:hint="eastAsia" w:ascii="仿宋" w:hAnsi="仿宋" w:eastAsia="仿宋" w:cs="仿宋"/>
          <w:color w:val="auto"/>
          <w:sz w:val="32"/>
          <w:szCs w:val="32"/>
        </w:rPr>
        <w:t>决算数大于年初预算数的原因是</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行政单位医疗保险缴费额度的下拨需年初上报基数，经财政及人社部门审批后，年中拨付相关经费</w:t>
      </w:r>
      <w:r>
        <w:rPr>
          <w:rFonts w:hint="eastAsia" w:ascii="仿宋" w:hAnsi="仿宋" w:eastAsia="仿宋" w:cs="仿宋"/>
          <w:color w:val="auto"/>
          <w:sz w:val="32"/>
          <w:szCs w:val="32"/>
          <w:lang w:eastAsia="zh-CN"/>
        </w:rPr>
        <w:t>，年初未纳入预算</w:t>
      </w:r>
      <w:r>
        <w:rPr>
          <w:rFonts w:hint="eastAsia" w:ascii="仿宋" w:hAnsi="仿宋" w:eastAsia="仿宋" w:cs="仿宋"/>
          <w:color w:val="auto"/>
          <w:sz w:val="32"/>
          <w:szCs w:val="32"/>
        </w:rPr>
        <w:t>。</w:t>
      </w:r>
    </w:p>
    <w:p>
      <w:pPr>
        <w:pStyle w:val="12"/>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rPr>
        <w:t>卫生健康支出（类）行政事业单位医疗（款）其他行政事业单位医疗支出（项）。</w:t>
      </w:r>
    </w:p>
    <w:p>
      <w:pPr>
        <w:pStyle w:val="12"/>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0.51</w:t>
      </w:r>
      <w:r>
        <w:rPr>
          <w:rFonts w:hint="eastAsia" w:ascii="仿宋" w:hAnsi="仿宋" w:eastAsia="仿宋" w:cs="仿宋"/>
          <w:color w:val="auto"/>
          <w:sz w:val="32"/>
          <w:szCs w:val="32"/>
        </w:rPr>
        <w:t>万元，</w:t>
      </w:r>
      <w:r>
        <w:rPr>
          <w:rFonts w:hint="eastAsia" w:ascii="仿宋" w:hAnsi="仿宋" w:eastAsia="仿宋" w:cs="仿宋"/>
          <w:i w:val="0"/>
          <w:iCs w:val="0"/>
          <w:caps w:val="0"/>
          <w:color w:val="auto"/>
          <w:spacing w:val="0"/>
          <w:sz w:val="32"/>
          <w:szCs w:val="32"/>
          <w:shd w:val="clear" w:color="auto" w:fill="FFFFFF"/>
        </w:rPr>
        <w:t>年初预算为0万元，无法计算完成比例。</w:t>
      </w:r>
      <w:r>
        <w:rPr>
          <w:rFonts w:hint="eastAsia" w:ascii="仿宋" w:hAnsi="仿宋" w:eastAsia="仿宋" w:cs="仿宋"/>
          <w:color w:val="auto"/>
          <w:sz w:val="32"/>
          <w:szCs w:val="32"/>
        </w:rPr>
        <w:t>决算数大于年初预算数的原因是</w:t>
      </w:r>
      <w:r>
        <w:rPr>
          <w:rFonts w:hint="eastAsia" w:ascii="仿宋" w:hAnsi="仿宋" w:eastAsia="仿宋" w:cs="仿宋"/>
          <w:color w:val="auto"/>
          <w:sz w:val="32"/>
          <w:szCs w:val="32"/>
          <w:lang w:eastAsia="zh-CN"/>
        </w:rPr>
        <w:t>：其他行政事业单位医疗保险缴费额度的下拨需年初上报基数，经财政及人社部门审批后，年中拨付相关经费，</w:t>
      </w:r>
      <w:r>
        <w:rPr>
          <w:rFonts w:hint="eastAsia" w:ascii="仿宋" w:hAnsi="仿宋" w:eastAsia="仿宋" w:cs="仿宋"/>
          <w:color w:val="auto"/>
          <w:sz w:val="32"/>
          <w:szCs w:val="32"/>
        </w:rPr>
        <w:t>年初</w:t>
      </w:r>
      <w:r>
        <w:rPr>
          <w:rFonts w:hint="eastAsia" w:ascii="仿宋" w:hAnsi="仿宋" w:eastAsia="仿宋" w:cs="仿宋"/>
          <w:color w:val="auto"/>
          <w:sz w:val="32"/>
          <w:szCs w:val="32"/>
          <w:lang w:eastAsia="zh-CN"/>
        </w:rPr>
        <w:t>未纳入预算</w:t>
      </w:r>
      <w:r>
        <w:rPr>
          <w:rFonts w:hint="eastAsia" w:ascii="仿宋" w:hAnsi="仿宋" w:eastAsia="仿宋" w:cs="仿宋"/>
          <w:color w:val="auto"/>
          <w:sz w:val="32"/>
          <w:szCs w:val="32"/>
        </w:rPr>
        <w:t>。</w:t>
      </w:r>
    </w:p>
    <w:p>
      <w:pPr>
        <w:pStyle w:val="12"/>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六、一般公共预算财政拨款基本支出决算情况说明</w:t>
      </w:r>
    </w:p>
    <w:p>
      <w:pPr>
        <w:keepNext w:val="0"/>
        <w:keepLines w:val="0"/>
        <w:pageBreakBefore w:val="0"/>
        <w:widowControl/>
        <w:kinsoku/>
        <w:wordWrap/>
        <w:overflowPunct/>
        <w:topLinePunct w:val="0"/>
        <w:bidi w:val="0"/>
        <w:snapToGrid/>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年度财政拨款基本支出</w:t>
      </w:r>
      <w:r>
        <w:rPr>
          <w:rFonts w:hint="eastAsia" w:ascii="仿宋" w:hAnsi="仿宋" w:eastAsia="仿宋" w:cs="仿宋"/>
          <w:color w:val="auto"/>
          <w:sz w:val="32"/>
          <w:szCs w:val="32"/>
          <w:lang w:val="en-US" w:eastAsia="zh-CN"/>
        </w:rPr>
        <w:t>561.42</w:t>
      </w:r>
      <w:r>
        <w:rPr>
          <w:rFonts w:hint="eastAsia" w:ascii="仿宋" w:hAnsi="仿宋" w:eastAsia="仿宋" w:cs="仿宋"/>
          <w:color w:val="auto"/>
          <w:sz w:val="32"/>
          <w:szCs w:val="32"/>
        </w:rPr>
        <w:t>万元，其中：人员经费</w:t>
      </w:r>
      <w:r>
        <w:rPr>
          <w:rFonts w:hint="eastAsia" w:ascii="仿宋" w:hAnsi="仿宋" w:eastAsia="仿宋" w:cs="仿宋"/>
          <w:color w:val="auto"/>
          <w:sz w:val="32"/>
          <w:szCs w:val="32"/>
          <w:lang w:val="en-US" w:eastAsia="zh-CN"/>
        </w:rPr>
        <w:t>435.38</w:t>
      </w:r>
      <w:r>
        <w:rPr>
          <w:rFonts w:hint="eastAsia" w:ascii="仿宋" w:hAnsi="仿宋" w:eastAsia="仿宋" w:cs="仿宋"/>
          <w:color w:val="auto"/>
          <w:sz w:val="32"/>
          <w:szCs w:val="32"/>
        </w:rPr>
        <w:t>万元，占基本支出的</w:t>
      </w:r>
      <w:r>
        <w:rPr>
          <w:rFonts w:hint="eastAsia" w:ascii="仿宋" w:hAnsi="仿宋" w:eastAsia="仿宋" w:cs="仿宋"/>
          <w:color w:val="auto"/>
          <w:sz w:val="32"/>
          <w:szCs w:val="32"/>
          <w:lang w:val="en-US" w:eastAsia="zh-CN"/>
        </w:rPr>
        <w:t>77.55</w:t>
      </w:r>
      <w:r>
        <w:rPr>
          <w:rFonts w:hint="eastAsia" w:ascii="仿宋" w:hAnsi="仿宋" w:eastAsia="仿宋" w:cs="仿宋"/>
          <w:color w:val="auto"/>
          <w:sz w:val="32"/>
          <w:szCs w:val="32"/>
        </w:rPr>
        <w:t>%,主要包括</w:t>
      </w:r>
      <w:r>
        <w:rPr>
          <w:rFonts w:hint="eastAsia" w:ascii="仿宋" w:hAnsi="仿宋" w:eastAsia="仿宋" w:cs="仿宋"/>
          <w:color w:val="auto"/>
          <w:kern w:val="0"/>
          <w:sz w:val="32"/>
          <w:szCs w:val="32"/>
        </w:rPr>
        <w:t>基本工资支出</w:t>
      </w:r>
      <w:r>
        <w:rPr>
          <w:rFonts w:hint="eastAsia" w:ascii="仿宋" w:hAnsi="仿宋" w:eastAsia="仿宋" w:cs="仿宋"/>
          <w:color w:val="auto"/>
          <w:kern w:val="0"/>
          <w:sz w:val="32"/>
          <w:szCs w:val="32"/>
          <w:lang w:val="en-US" w:eastAsia="zh-CN"/>
        </w:rPr>
        <w:t>135.98</w:t>
      </w:r>
      <w:r>
        <w:rPr>
          <w:rFonts w:hint="eastAsia" w:ascii="仿宋" w:hAnsi="仿宋" w:eastAsia="仿宋" w:cs="仿宋"/>
          <w:color w:val="auto"/>
          <w:kern w:val="0"/>
          <w:sz w:val="32"/>
          <w:szCs w:val="32"/>
        </w:rPr>
        <w:t>万元、津补贴</w:t>
      </w:r>
      <w:r>
        <w:rPr>
          <w:rFonts w:hint="eastAsia" w:ascii="仿宋" w:hAnsi="仿宋" w:eastAsia="仿宋" w:cs="仿宋"/>
          <w:color w:val="auto"/>
          <w:kern w:val="0"/>
          <w:sz w:val="32"/>
          <w:szCs w:val="32"/>
          <w:lang w:val="en-US" w:eastAsia="zh-CN"/>
        </w:rPr>
        <w:t>99.43</w:t>
      </w:r>
      <w:r>
        <w:rPr>
          <w:rFonts w:hint="eastAsia" w:ascii="仿宋" w:hAnsi="仿宋" w:eastAsia="仿宋" w:cs="仿宋"/>
          <w:color w:val="auto"/>
          <w:kern w:val="0"/>
          <w:sz w:val="32"/>
          <w:szCs w:val="32"/>
        </w:rPr>
        <w:t>万元、奖金</w:t>
      </w:r>
      <w:r>
        <w:rPr>
          <w:rFonts w:hint="eastAsia" w:ascii="仿宋" w:hAnsi="仿宋" w:eastAsia="仿宋" w:cs="仿宋"/>
          <w:color w:val="auto"/>
          <w:kern w:val="0"/>
          <w:sz w:val="32"/>
          <w:szCs w:val="32"/>
          <w:lang w:val="en-US" w:eastAsia="zh-CN"/>
        </w:rPr>
        <w:t>102.70</w:t>
      </w:r>
      <w:r>
        <w:rPr>
          <w:rFonts w:hint="eastAsia" w:ascii="仿宋" w:hAnsi="仿宋" w:eastAsia="仿宋" w:cs="仿宋"/>
          <w:color w:val="auto"/>
          <w:kern w:val="0"/>
          <w:sz w:val="32"/>
          <w:szCs w:val="32"/>
        </w:rPr>
        <w:t>万元、机关事业</w:t>
      </w:r>
      <w:r>
        <w:rPr>
          <w:rFonts w:hint="eastAsia" w:ascii="仿宋" w:hAnsi="仿宋" w:eastAsia="仿宋" w:cs="仿宋"/>
          <w:color w:val="auto"/>
          <w:kern w:val="0"/>
          <w:sz w:val="32"/>
          <w:szCs w:val="32"/>
          <w:lang w:eastAsia="zh-CN"/>
        </w:rPr>
        <w:t>单位基本</w:t>
      </w:r>
      <w:r>
        <w:rPr>
          <w:rFonts w:hint="eastAsia" w:ascii="仿宋" w:hAnsi="仿宋" w:eastAsia="仿宋" w:cs="仿宋"/>
          <w:color w:val="auto"/>
          <w:kern w:val="0"/>
          <w:sz w:val="32"/>
          <w:szCs w:val="32"/>
        </w:rPr>
        <w:t>养老</w:t>
      </w:r>
      <w:r>
        <w:rPr>
          <w:rFonts w:hint="eastAsia" w:ascii="仿宋" w:hAnsi="仿宋" w:eastAsia="仿宋" w:cs="仿宋"/>
          <w:color w:val="auto"/>
          <w:kern w:val="0"/>
          <w:sz w:val="32"/>
          <w:szCs w:val="32"/>
          <w:lang w:eastAsia="zh-CN"/>
        </w:rPr>
        <w:t>保险</w:t>
      </w:r>
      <w:r>
        <w:rPr>
          <w:rFonts w:hint="eastAsia" w:ascii="仿宋" w:hAnsi="仿宋" w:eastAsia="仿宋" w:cs="仿宋"/>
          <w:color w:val="auto"/>
          <w:kern w:val="0"/>
          <w:sz w:val="32"/>
          <w:szCs w:val="32"/>
        </w:rPr>
        <w:t>缴费</w:t>
      </w:r>
      <w:r>
        <w:rPr>
          <w:rFonts w:hint="eastAsia" w:ascii="仿宋" w:hAnsi="仿宋" w:eastAsia="仿宋" w:cs="仿宋"/>
          <w:color w:val="auto"/>
          <w:kern w:val="0"/>
          <w:sz w:val="32"/>
          <w:szCs w:val="32"/>
          <w:lang w:val="en-US" w:eastAsia="zh-CN"/>
        </w:rPr>
        <w:t>39.65</w:t>
      </w:r>
      <w:r>
        <w:rPr>
          <w:rFonts w:hint="eastAsia" w:ascii="仿宋" w:hAnsi="仿宋" w:eastAsia="仿宋" w:cs="仿宋"/>
          <w:color w:val="auto"/>
          <w:kern w:val="0"/>
          <w:sz w:val="32"/>
          <w:szCs w:val="32"/>
        </w:rPr>
        <w:t>万元、职工基本医疗</w:t>
      </w:r>
      <w:r>
        <w:rPr>
          <w:rFonts w:hint="eastAsia" w:ascii="仿宋" w:hAnsi="仿宋" w:eastAsia="仿宋" w:cs="仿宋"/>
          <w:color w:val="auto"/>
          <w:kern w:val="0"/>
          <w:sz w:val="32"/>
          <w:szCs w:val="32"/>
          <w:lang w:val="en-US" w:eastAsia="zh-CN"/>
        </w:rPr>
        <w:t>保障</w:t>
      </w:r>
      <w:r>
        <w:rPr>
          <w:rFonts w:hint="eastAsia" w:ascii="仿宋" w:hAnsi="仿宋" w:eastAsia="仿宋" w:cs="仿宋"/>
          <w:color w:val="auto"/>
          <w:kern w:val="0"/>
          <w:sz w:val="32"/>
          <w:szCs w:val="32"/>
        </w:rPr>
        <w:t>缴费</w:t>
      </w:r>
      <w:r>
        <w:rPr>
          <w:rFonts w:hint="eastAsia" w:ascii="仿宋" w:hAnsi="仿宋" w:eastAsia="仿宋" w:cs="仿宋"/>
          <w:color w:val="auto"/>
          <w:kern w:val="0"/>
          <w:sz w:val="32"/>
          <w:szCs w:val="32"/>
          <w:lang w:val="en-US" w:eastAsia="zh-CN"/>
        </w:rPr>
        <w:t>20.47</w:t>
      </w:r>
      <w:r>
        <w:rPr>
          <w:rFonts w:hint="eastAsia" w:ascii="仿宋" w:hAnsi="仿宋" w:eastAsia="仿宋" w:cs="仿宋"/>
          <w:color w:val="auto"/>
          <w:kern w:val="0"/>
          <w:sz w:val="32"/>
          <w:szCs w:val="32"/>
        </w:rPr>
        <w:t>万元、其他社会保障缴费</w:t>
      </w:r>
      <w:r>
        <w:rPr>
          <w:rFonts w:hint="eastAsia" w:ascii="仿宋" w:hAnsi="仿宋" w:eastAsia="仿宋" w:cs="仿宋"/>
          <w:color w:val="auto"/>
          <w:kern w:val="0"/>
          <w:sz w:val="32"/>
          <w:szCs w:val="32"/>
          <w:lang w:val="en-US" w:eastAsia="zh-CN"/>
        </w:rPr>
        <w:t>3.77</w:t>
      </w:r>
      <w:r>
        <w:rPr>
          <w:rFonts w:hint="eastAsia" w:ascii="仿宋" w:hAnsi="仿宋" w:eastAsia="仿宋" w:cs="仿宋"/>
          <w:color w:val="auto"/>
          <w:kern w:val="0"/>
          <w:sz w:val="32"/>
          <w:szCs w:val="32"/>
        </w:rPr>
        <w:t>万元、</w:t>
      </w:r>
      <w:r>
        <w:rPr>
          <w:rFonts w:hint="eastAsia" w:ascii="仿宋" w:hAnsi="仿宋" w:eastAsia="仿宋" w:cs="仿宋"/>
          <w:color w:val="auto"/>
          <w:kern w:val="0"/>
          <w:sz w:val="32"/>
          <w:szCs w:val="32"/>
          <w:lang w:eastAsia="zh-CN"/>
        </w:rPr>
        <w:t>其他工资福利支出</w:t>
      </w:r>
      <w:r>
        <w:rPr>
          <w:rFonts w:hint="eastAsia" w:ascii="仿宋" w:hAnsi="仿宋" w:eastAsia="仿宋" w:cs="仿宋"/>
          <w:color w:val="auto"/>
          <w:kern w:val="0"/>
          <w:sz w:val="32"/>
          <w:szCs w:val="32"/>
          <w:lang w:val="en-US" w:eastAsia="zh-CN"/>
        </w:rPr>
        <w:t>0.20</w:t>
      </w:r>
      <w:r>
        <w:rPr>
          <w:rFonts w:hint="eastAsia" w:ascii="仿宋" w:hAnsi="仿宋" w:eastAsia="仿宋" w:cs="仿宋"/>
          <w:color w:val="auto"/>
          <w:kern w:val="0"/>
          <w:sz w:val="32"/>
          <w:szCs w:val="32"/>
        </w:rPr>
        <w:t>万元、对个人和家庭的补助</w:t>
      </w:r>
      <w:r>
        <w:rPr>
          <w:rFonts w:hint="eastAsia" w:ascii="仿宋" w:hAnsi="仿宋" w:eastAsia="仿宋" w:cs="仿宋"/>
          <w:color w:val="auto"/>
          <w:kern w:val="0"/>
          <w:sz w:val="32"/>
          <w:szCs w:val="32"/>
          <w:lang w:val="en-US" w:eastAsia="zh-CN"/>
        </w:rPr>
        <w:t>33.18</w:t>
      </w:r>
      <w:r>
        <w:rPr>
          <w:rFonts w:hint="eastAsia" w:ascii="仿宋" w:hAnsi="仿宋" w:eastAsia="仿宋" w:cs="仿宋"/>
          <w:color w:val="auto"/>
          <w:kern w:val="0"/>
          <w:sz w:val="32"/>
          <w:szCs w:val="32"/>
        </w:rPr>
        <w:t>万元</w:t>
      </w:r>
      <w:r>
        <w:rPr>
          <w:rFonts w:hint="eastAsia" w:ascii="仿宋" w:hAnsi="仿宋" w:eastAsia="仿宋" w:cs="仿宋"/>
          <w:color w:val="auto"/>
          <w:sz w:val="32"/>
          <w:szCs w:val="32"/>
        </w:rPr>
        <w:t>；公用经费</w:t>
      </w:r>
      <w:r>
        <w:rPr>
          <w:rFonts w:hint="eastAsia" w:ascii="仿宋" w:hAnsi="仿宋" w:eastAsia="仿宋" w:cs="仿宋"/>
          <w:color w:val="auto"/>
          <w:sz w:val="32"/>
          <w:szCs w:val="32"/>
          <w:lang w:val="en-US" w:eastAsia="zh-CN"/>
        </w:rPr>
        <w:t>126.04</w:t>
      </w:r>
      <w:r>
        <w:rPr>
          <w:rFonts w:hint="eastAsia" w:ascii="仿宋" w:hAnsi="仿宋" w:eastAsia="仿宋" w:cs="仿宋"/>
          <w:color w:val="auto"/>
          <w:sz w:val="32"/>
          <w:szCs w:val="32"/>
        </w:rPr>
        <w:t>万元，占基本支出的</w:t>
      </w:r>
      <w:r>
        <w:rPr>
          <w:rFonts w:hint="eastAsia" w:ascii="仿宋" w:hAnsi="仿宋" w:eastAsia="仿宋" w:cs="仿宋"/>
          <w:color w:val="auto"/>
          <w:sz w:val="32"/>
          <w:szCs w:val="32"/>
          <w:lang w:val="en-US" w:eastAsia="zh-CN"/>
        </w:rPr>
        <w:t>22.45</w:t>
      </w:r>
      <w:r>
        <w:rPr>
          <w:rFonts w:hint="eastAsia" w:ascii="仿宋" w:hAnsi="仿宋" w:eastAsia="仿宋" w:cs="仿宋"/>
          <w:color w:val="auto"/>
          <w:sz w:val="32"/>
          <w:szCs w:val="32"/>
        </w:rPr>
        <w:t>%，主要包括</w:t>
      </w:r>
      <w:r>
        <w:rPr>
          <w:rFonts w:hint="eastAsia" w:ascii="仿宋" w:hAnsi="仿宋" w:eastAsia="仿宋" w:cs="仿宋"/>
          <w:color w:val="auto"/>
          <w:kern w:val="0"/>
          <w:sz w:val="32"/>
          <w:szCs w:val="32"/>
        </w:rPr>
        <w:t>办公费</w:t>
      </w:r>
      <w:r>
        <w:rPr>
          <w:rFonts w:hint="eastAsia" w:ascii="仿宋" w:hAnsi="仿宋" w:eastAsia="仿宋" w:cs="仿宋"/>
          <w:color w:val="auto"/>
          <w:kern w:val="0"/>
          <w:sz w:val="32"/>
          <w:szCs w:val="32"/>
          <w:lang w:val="en-US" w:eastAsia="zh-CN"/>
        </w:rPr>
        <w:t>9.24</w:t>
      </w:r>
      <w:r>
        <w:rPr>
          <w:rFonts w:hint="eastAsia" w:ascii="仿宋" w:hAnsi="仿宋" w:eastAsia="仿宋" w:cs="仿宋"/>
          <w:color w:val="auto"/>
          <w:kern w:val="0"/>
          <w:sz w:val="32"/>
          <w:szCs w:val="32"/>
        </w:rPr>
        <w:t>万元、印刷费</w:t>
      </w:r>
      <w:r>
        <w:rPr>
          <w:rFonts w:hint="eastAsia" w:ascii="仿宋" w:hAnsi="仿宋" w:eastAsia="仿宋" w:cs="仿宋"/>
          <w:color w:val="auto"/>
          <w:kern w:val="0"/>
          <w:sz w:val="32"/>
          <w:szCs w:val="32"/>
          <w:lang w:val="en-US" w:eastAsia="zh-CN"/>
        </w:rPr>
        <w:t>2.84</w:t>
      </w:r>
      <w:r>
        <w:rPr>
          <w:rFonts w:hint="eastAsia" w:ascii="仿宋" w:hAnsi="仿宋" w:eastAsia="仿宋" w:cs="仿宋"/>
          <w:color w:val="auto"/>
          <w:kern w:val="0"/>
          <w:sz w:val="32"/>
          <w:szCs w:val="32"/>
        </w:rPr>
        <w:t>万元、邮电费</w:t>
      </w:r>
      <w:r>
        <w:rPr>
          <w:rFonts w:hint="eastAsia" w:ascii="仿宋" w:hAnsi="仿宋" w:eastAsia="仿宋" w:cs="仿宋"/>
          <w:color w:val="auto"/>
          <w:kern w:val="0"/>
          <w:sz w:val="32"/>
          <w:szCs w:val="32"/>
          <w:lang w:val="en-US" w:eastAsia="zh-CN"/>
        </w:rPr>
        <w:t>0.36</w:t>
      </w:r>
      <w:r>
        <w:rPr>
          <w:rFonts w:hint="eastAsia" w:ascii="仿宋" w:hAnsi="仿宋" w:eastAsia="仿宋" w:cs="仿宋"/>
          <w:color w:val="auto"/>
          <w:kern w:val="0"/>
          <w:sz w:val="32"/>
          <w:szCs w:val="32"/>
        </w:rPr>
        <w:t>万元、差旅费</w:t>
      </w:r>
      <w:r>
        <w:rPr>
          <w:rFonts w:hint="eastAsia" w:ascii="仿宋" w:hAnsi="仿宋" w:eastAsia="仿宋" w:cs="仿宋"/>
          <w:color w:val="auto"/>
          <w:kern w:val="0"/>
          <w:sz w:val="32"/>
          <w:szCs w:val="32"/>
          <w:lang w:val="en-US" w:eastAsia="zh-CN"/>
        </w:rPr>
        <w:t>11.83</w:t>
      </w:r>
      <w:r>
        <w:rPr>
          <w:rFonts w:hint="eastAsia" w:ascii="仿宋" w:hAnsi="仿宋" w:eastAsia="仿宋" w:cs="仿宋"/>
          <w:color w:val="auto"/>
          <w:kern w:val="0"/>
          <w:sz w:val="32"/>
          <w:szCs w:val="32"/>
        </w:rPr>
        <w:t>万元、维修费</w:t>
      </w:r>
      <w:r>
        <w:rPr>
          <w:rFonts w:hint="eastAsia" w:ascii="仿宋" w:hAnsi="仿宋" w:eastAsia="仿宋" w:cs="仿宋"/>
          <w:color w:val="auto"/>
          <w:kern w:val="0"/>
          <w:sz w:val="32"/>
          <w:szCs w:val="32"/>
          <w:lang w:val="en-US" w:eastAsia="zh-CN"/>
        </w:rPr>
        <w:t>0.08</w:t>
      </w:r>
      <w:r>
        <w:rPr>
          <w:rFonts w:hint="eastAsia" w:ascii="仿宋" w:hAnsi="仿宋" w:eastAsia="仿宋" w:cs="仿宋"/>
          <w:color w:val="auto"/>
          <w:kern w:val="0"/>
          <w:sz w:val="32"/>
          <w:szCs w:val="32"/>
        </w:rPr>
        <w:t>万元、培训费</w:t>
      </w:r>
      <w:r>
        <w:rPr>
          <w:rFonts w:hint="eastAsia" w:ascii="仿宋" w:hAnsi="仿宋" w:eastAsia="仿宋" w:cs="仿宋"/>
          <w:color w:val="auto"/>
          <w:kern w:val="0"/>
          <w:sz w:val="32"/>
          <w:szCs w:val="32"/>
          <w:lang w:val="en-US" w:eastAsia="zh-CN"/>
        </w:rPr>
        <w:t>0.57</w:t>
      </w:r>
      <w:r>
        <w:rPr>
          <w:rFonts w:hint="eastAsia" w:ascii="仿宋" w:hAnsi="仿宋" w:eastAsia="仿宋" w:cs="仿宋"/>
          <w:color w:val="auto"/>
          <w:kern w:val="0"/>
          <w:sz w:val="32"/>
          <w:szCs w:val="32"/>
        </w:rPr>
        <w:t>万元、</w:t>
      </w:r>
      <w:r>
        <w:rPr>
          <w:rFonts w:hint="eastAsia" w:ascii="仿宋" w:hAnsi="仿宋" w:eastAsia="仿宋" w:cs="仿宋"/>
          <w:color w:val="auto"/>
          <w:kern w:val="0"/>
          <w:sz w:val="32"/>
          <w:szCs w:val="32"/>
          <w:lang w:val="en-US" w:eastAsia="zh-CN"/>
        </w:rPr>
        <w:t>公务接</w:t>
      </w:r>
      <w:r>
        <w:rPr>
          <w:rFonts w:hint="eastAsia" w:ascii="仿宋" w:hAnsi="仿宋" w:eastAsia="仿宋" w:cs="仿宋"/>
          <w:color w:val="auto"/>
          <w:kern w:val="0"/>
          <w:sz w:val="32"/>
          <w:szCs w:val="32"/>
        </w:rPr>
        <w:t>待费</w:t>
      </w:r>
      <w:r>
        <w:rPr>
          <w:rFonts w:hint="eastAsia" w:ascii="仿宋" w:hAnsi="仿宋" w:eastAsia="仿宋" w:cs="仿宋"/>
          <w:color w:val="auto"/>
          <w:kern w:val="0"/>
          <w:sz w:val="32"/>
          <w:szCs w:val="32"/>
          <w:lang w:val="en-US" w:eastAsia="zh-CN"/>
        </w:rPr>
        <w:t>0.83</w:t>
      </w:r>
      <w:r>
        <w:rPr>
          <w:rFonts w:hint="eastAsia" w:ascii="仿宋" w:hAnsi="仿宋" w:eastAsia="仿宋" w:cs="仿宋"/>
          <w:color w:val="auto"/>
          <w:kern w:val="0"/>
          <w:sz w:val="32"/>
          <w:szCs w:val="32"/>
        </w:rPr>
        <w:t>万元、劳务费</w:t>
      </w:r>
      <w:r>
        <w:rPr>
          <w:rFonts w:hint="eastAsia" w:ascii="仿宋" w:hAnsi="仿宋" w:eastAsia="仿宋" w:cs="仿宋"/>
          <w:color w:val="auto"/>
          <w:kern w:val="0"/>
          <w:sz w:val="32"/>
          <w:szCs w:val="32"/>
          <w:lang w:val="en-US" w:eastAsia="zh-CN"/>
        </w:rPr>
        <w:t>0.62</w:t>
      </w:r>
      <w:r>
        <w:rPr>
          <w:rFonts w:hint="eastAsia" w:ascii="仿宋" w:hAnsi="仿宋" w:eastAsia="仿宋" w:cs="仿宋"/>
          <w:color w:val="auto"/>
          <w:kern w:val="0"/>
          <w:sz w:val="32"/>
          <w:szCs w:val="32"/>
        </w:rPr>
        <w:t>万元、工会经费</w:t>
      </w:r>
      <w:r>
        <w:rPr>
          <w:rFonts w:hint="eastAsia" w:ascii="仿宋" w:hAnsi="仿宋" w:eastAsia="仿宋" w:cs="仿宋"/>
          <w:color w:val="auto"/>
          <w:kern w:val="0"/>
          <w:sz w:val="32"/>
          <w:szCs w:val="32"/>
          <w:lang w:val="en-US" w:eastAsia="zh-CN"/>
        </w:rPr>
        <w:t>12.10</w:t>
      </w:r>
      <w:r>
        <w:rPr>
          <w:rFonts w:hint="eastAsia" w:ascii="仿宋" w:hAnsi="仿宋" w:eastAsia="仿宋" w:cs="仿宋"/>
          <w:color w:val="auto"/>
          <w:kern w:val="0"/>
          <w:sz w:val="32"/>
          <w:szCs w:val="32"/>
        </w:rPr>
        <w:t>万元、福利费</w:t>
      </w:r>
      <w:r>
        <w:rPr>
          <w:rFonts w:hint="eastAsia" w:ascii="仿宋" w:hAnsi="仿宋" w:eastAsia="仿宋" w:cs="仿宋"/>
          <w:color w:val="auto"/>
          <w:kern w:val="0"/>
          <w:sz w:val="32"/>
          <w:szCs w:val="32"/>
          <w:lang w:val="en-US" w:eastAsia="zh-CN"/>
        </w:rPr>
        <w:t>15.33</w:t>
      </w:r>
      <w:r>
        <w:rPr>
          <w:rFonts w:hint="eastAsia" w:ascii="仿宋" w:hAnsi="仿宋" w:eastAsia="仿宋" w:cs="仿宋"/>
          <w:color w:val="auto"/>
          <w:kern w:val="0"/>
          <w:sz w:val="32"/>
          <w:szCs w:val="32"/>
        </w:rPr>
        <w:t>万元、公车运行维护费</w:t>
      </w:r>
      <w:r>
        <w:rPr>
          <w:rFonts w:hint="eastAsia" w:ascii="仿宋" w:hAnsi="仿宋" w:eastAsia="仿宋" w:cs="仿宋"/>
          <w:color w:val="auto"/>
          <w:kern w:val="0"/>
          <w:sz w:val="32"/>
          <w:szCs w:val="32"/>
          <w:lang w:val="en-US" w:eastAsia="zh-CN"/>
        </w:rPr>
        <w:t>6.92</w:t>
      </w:r>
      <w:r>
        <w:rPr>
          <w:rFonts w:hint="eastAsia" w:ascii="仿宋" w:hAnsi="仿宋" w:eastAsia="仿宋" w:cs="仿宋"/>
          <w:color w:val="auto"/>
          <w:kern w:val="0"/>
          <w:sz w:val="32"/>
          <w:szCs w:val="32"/>
        </w:rPr>
        <w:t>万元、其他交通费用</w:t>
      </w:r>
      <w:r>
        <w:rPr>
          <w:rFonts w:hint="eastAsia" w:ascii="仿宋" w:hAnsi="仿宋" w:eastAsia="仿宋" w:cs="仿宋"/>
          <w:color w:val="auto"/>
          <w:kern w:val="0"/>
          <w:sz w:val="32"/>
          <w:szCs w:val="32"/>
          <w:lang w:val="en-US" w:eastAsia="zh-CN"/>
        </w:rPr>
        <w:t>25.16</w:t>
      </w:r>
      <w:r>
        <w:rPr>
          <w:rFonts w:hint="eastAsia" w:ascii="仿宋" w:hAnsi="仿宋" w:eastAsia="仿宋" w:cs="仿宋"/>
          <w:color w:val="auto"/>
          <w:kern w:val="0"/>
          <w:sz w:val="32"/>
          <w:szCs w:val="32"/>
        </w:rPr>
        <w:t>万元、其他商品服务支出</w:t>
      </w:r>
      <w:r>
        <w:rPr>
          <w:rFonts w:hint="eastAsia" w:ascii="仿宋" w:hAnsi="仿宋" w:eastAsia="仿宋" w:cs="仿宋"/>
          <w:color w:val="auto"/>
          <w:kern w:val="0"/>
          <w:sz w:val="32"/>
          <w:szCs w:val="32"/>
          <w:lang w:val="en-US" w:eastAsia="zh-CN"/>
        </w:rPr>
        <w:t>38.33</w:t>
      </w:r>
      <w:r>
        <w:rPr>
          <w:rFonts w:hint="eastAsia" w:ascii="仿宋" w:hAnsi="仿宋" w:eastAsia="仿宋" w:cs="仿宋"/>
          <w:color w:val="auto"/>
          <w:kern w:val="0"/>
          <w:sz w:val="32"/>
          <w:szCs w:val="32"/>
        </w:rPr>
        <w:t>万元、资本性支出</w:t>
      </w:r>
      <w:r>
        <w:rPr>
          <w:rFonts w:hint="eastAsia" w:ascii="仿宋" w:hAnsi="仿宋" w:eastAsia="仿宋" w:cs="仿宋"/>
          <w:color w:val="auto"/>
          <w:kern w:val="0"/>
          <w:sz w:val="32"/>
          <w:szCs w:val="32"/>
          <w:lang w:val="en-US" w:eastAsia="zh-CN"/>
        </w:rPr>
        <w:t>1.84</w:t>
      </w:r>
      <w:r>
        <w:rPr>
          <w:rFonts w:hint="eastAsia" w:ascii="仿宋" w:hAnsi="仿宋" w:eastAsia="仿宋" w:cs="仿宋"/>
          <w:color w:val="auto"/>
          <w:kern w:val="0"/>
          <w:sz w:val="32"/>
          <w:szCs w:val="32"/>
        </w:rPr>
        <w:t>万元。</w:t>
      </w:r>
    </w:p>
    <w:p>
      <w:pPr>
        <w:pStyle w:val="12"/>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七、一般公共预算财政拨款三公经费支出决算情况说明</w:t>
      </w:r>
    </w:p>
    <w:p>
      <w:pPr>
        <w:pStyle w:val="12"/>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仿宋" w:hAnsi="仿宋" w:eastAsia="仿宋" w:cs="仿宋"/>
          <w:b/>
          <w:color w:val="auto"/>
          <w:sz w:val="32"/>
          <w:szCs w:val="32"/>
        </w:rPr>
      </w:pPr>
      <w:r>
        <w:rPr>
          <w:rFonts w:hint="eastAsia" w:ascii="仿宋" w:hAnsi="仿宋" w:eastAsia="仿宋" w:cs="仿宋"/>
          <w:b/>
          <w:color w:val="auto"/>
          <w:sz w:val="32"/>
          <w:szCs w:val="32"/>
        </w:rPr>
        <w:t>（一）“三公”经费财政拨款支出决算总体情况说明</w:t>
      </w:r>
    </w:p>
    <w:p>
      <w:pPr>
        <w:pStyle w:val="12"/>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“三公”经费财政拨款支出预算为</w:t>
      </w:r>
      <w:r>
        <w:rPr>
          <w:rFonts w:hint="eastAsia" w:ascii="仿宋" w:hAnsi="仿宋" w:eastAsia="仿宋" w:cs="仿宋"/>
          <w:color w:val="auto"/>
          <w:sz w:val="32"/>
          <w:szCs w:val="32"/>
          <w:lang w:val="en-US" w:eastAsia="zh-CN"/>
        </w:rPr>
        <w:t>10.70</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7.75</w:t>
      </w:r>
      <w:r>
        <w:rPr>
          <w:rFonts w:hint="eastAsia" w:ascii="仿宋" w:hAnsi="仿宋" w:eastAsia="仿宋" w:cs="仿宋"/>
          <w:color w:val="auto"/>
          <w:sz w:val="32"/>
          <w:szCs w:val="32"/>
        </w:rPr>
        <w:t>万元，完成预算的</w:t>
      </w:r>
      <w:r>
        <w:rPr>
          <w:rFonts w:hint="eastAsia" w:ascii="仿宋" w:hAnsi="仿宋" w:eastAsia="仿宋" w:cs="仿宋"/>
          <w:color w:val="auto"/>
          <w:sz w:val="32"/>
          <w:szCs w:val="32"/>
          <w:lang w:val="en-US" w:eastAsia="zh-CN"/>
        </w:rPr>
        <w:t>72.43</w:t>
      </w:r>
      <w:r>
        <w:rPr>
          <w:rFonts w:hint="eastAsia" w:ascii="仿宋" w:hAnsi="仿宋" w:eastAsia="仿宋" w:cs="仿宋"/>
          <w:color w:val="auto"/>
          <w:sz w:val="32"/>
          <w:szCs w:val="32"/>
        </w:rPr>
        <w:t>%，其中：</w:t>
      </w:r>
    </w:p>
    <w:p>
      <w:pPr>
        <w:pStyle w:val="12"/>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因公出国（境）费支出预算为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决算数与预算数相等，与上年相比持平。主要原因</w:t>
      </w:r>
      <w:r>
        <w:rPr>
          <w:rFonts w:hint="eastAsia" w:ascii="仿宋" w:hAnsi="仿宋" w:eastAsia="仿宋" w:cs="仿宋"/>
          <w:color w:val="auto"/>
          <w:sz w:val="32"/>
          <w:szCs w:val="32"/>
          <w:lang w:val="en-US" w:eastAsia="zh-CN"/>
        </w:rPr>
        <w:t>本年度未安排因公出国(境)</w:t>
      </w:r>
      <w:r>
        <w:rPr>
          <w:rFonts w:hint="eastAsia" w:ascii="仿宋" w:hAnsi="仿宋" w:eastAsia="仿宋" w:cs="仿宋"/>
          <w:color w:val="auto"/>
          <w:sz w:val="32"/>
          <w:szCs w:val="32"/>
          <w:lang w:eastAsia="zh-CN"/>
        </w:rPr>
        <w:t>。</w:t>
      </w:r>
    </w:p>
    <w:p>
      <w:pPr>
        <w:pStyle w:val="12"/>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公务接待费支出预算为</w:t>
      </w:r>
      <w:r>
        <w:rPr>
          <w:rFonts w:hint="eastAsia" w:ascii="仿宋" w:hAnsi="仿宋" w:eastAsia="仿宋" w:cs="仿宋"/>
          <w:color w:val="auto"/>
          <w:sz w:val="32"/>
          <w:szCs w:val="32"/>
          <w:lang w:val="en-US" w:eastAsia="zh-CN"/>
        </w:rPr>
        <w:t>3.50</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0.83</w:t>
      </w:r>
      <w:r>
        <w:rPr>
          <w:rFonts w:hint="eastAsia" w:ascii="仿宋" w:hAnsi="仿宋" w:eastAsia="仿宋" w:cs="仿宋"/>
          <w:color w:val="auto"/>
          <w:sz w:val="32"/>
          <w:szCs w:val="32"/>
        </w:rPr>
        <w:t>万元，完成预算的</w:t>
      </w:r>
      <w:r>
        <w:rPr>
          <w:rFonts w:hint="eastAsia" w:ascii="仿宋" w:hAnsi="仿宋" w:eastAsia="仿宋" w:cs="仿宋"/>
          <w:color w:val="auto"/>
          <w:sz w:val="32"/>
          <w:szCs w:val="32"/>
          <w:lang w:val="en-US" w:eastAsia="zh-CN"/>
        </w:rPr>
        <w:t>23.71</w:t>
      </w:r>
      <w:r>
        <w:rPr>
          <w:rFonts w:hint="eastAsia" w:ascii="仿宋" w:hAnsi="仿宋" w:eastAsia="仿宋" w:cs="仿宋"/>
          <w:color w:val="auto"/>
          <w:sz w:val="32"/>
          <w:szCs w:val="32"/>
        </w:rPr>
        <w:t>%，决算数小于预算数的主要原因是</w:t>
      </w:r>
      <w:r>
        <w:rPr>
          <w:rFonts w:hint="eastAsia" w:ascii="仿宋" w:hAnsi="仿宋" w:eastAsia="仿宋" w:cs="仿宋"/>
          <w:color w:val="auto"/>
          <w:kern w:val="0"/>
          <w:sz w:val="32"/>
          <w:szCs w:val="32"/>
        </w:rPr>
        <w:t>厉行节约</w:t>
      </w:r>
      <w:r>
        <w:rPr>
          <w:rFonts w:hint="eastAsia" w:ascii="仿宋" w:hAnsi="仿宋" w:eastAsia="仿宋" w:cs="仿宋"/>
          <w:color w:val="auto"/>
          <w:kern w:val="0"/>
          <w:sz w:val="32"/>
          <w:szCs w:val="32"/>
          <w:lang w:eastAsia="zh-CN"/>
        </w:rPr>
        <w:t>，三公经费压减</w:t>
      </w:r>
      <w:r>
        <w:rPr>
          <w:rFonts w:hint="eastAsia" w:ascii="仿宋" w:hAnsi="仿宋" w:eastAsia="仿宋" w:cs="仿宋"/>
          <w:color w:val="auto"/>
          <w:sz w:val="32"/>
          <w:szCs w:val="32"/>
        </w:rPr>
        <w:t>。与上年相比</w:t>
      </w:r>
      <w:r>
        <w:rPr>
          <w:rFonts w:hint="eastAsia" w:ascii="仿宋" w:hAnsi="仿宋" w:eastAsia="仿宋" w:cs="仿宋"/>
          <w:color w:val="auto"/>
          <w:sz w:val="32"/>
          <w:szCs w:val="32"/>
          <w:lang w:eastAsia="zh-CN"/>
        </w:rPr>
        <w:t>增加</w:t>
      </w:r>
      <w:r>
        <w:rPr>
          <w:rFonts w:hint="eastAsia" w:ascii="仿宋" w:hAnsi="仿宋" w:eastAsia="仿宋" w:cs="仿宋"/>
          <w:color w:val="auto"/>
          <w:sz w:val="32"/>
          <w:szCs w:val="32"/>
          <w:lang w:val="en-US" w:eastAsia="zh-CN"/>
        </w:rPr>
        <w:t>0.06</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增加</w:t>
      </w:r>
      <w:r>
        <w:rPr>
          <w:rFonts w:hint="eastAsia" w:ascii="仿宋" w:hAnsi="仿宋" w:eastAsia="仿宋" w:cs="仿宋"/>
          <w:color w:val="auto"/>
          <w:sz w:val="32"/>
          <w:szCs w:val="32"/>
          <w:lang w:val="en-US" w:eastAsia="zh-CN"/>
        </w:rPr>
        <w:t>7.79</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，主要是本年度接待业务相比上年略有增加</w:t>
      </w:r>
      <w:r>
        <w:rPr>
          <w:rFonts w:hint="eastAsia" w:ascii="仿宋" w:hAnsi="仿宋" w:eastAsia="仿宋" w:cs="仿宋"/>
          <w:color w:val="auto"/>
          <w:sz w:val="32"/>
          <w:szCs w:val="32"/>
        </w:rPr>
        <w:t>。</w:t>
      </w:r>
    </w:p>
    <w:p>
      <w:pPr>
        <w:pStyle w:val="12"/>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公务用车购置费及运行维护费支出预算为</w:t>
      </w:r>
      <w:r>
        <w:rPr>
          <w:rFonts w:hint="eastAsia" w:ascii="仿宋" w:hAnsi="仿宋" w:eastAsia="仿宋" w:cs="仿宋"/>
          <w:color w:val="auto"/>
          <w:sz w:val="32"/>
          <w:szCs w:val="32"/>
          <w:lang w:val="en-US" w:eastAsia="zh-CN"/>
        </w:rPr>
        <w:t>7.20</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6.92</w:t>
      </w:r>
      <w:r>
        <w:rPr>
          <w:rFonts w:hint="eastAsia" w:ascii="仿宋" w:hAnsi="仿宋" w:eastAsia="仿宋" w:cs="仿宋"/>
          <w:color w:val="auto"/>
          <w:sz w:val="32"/>
          <w:szCs w:val="32"/>
        </w:rPr>
        <w:t>万元，完成预算的</w:t>
      </w:r>
      <w:r>
        <w:rPr>
          <w:rFonts w:hint="eastAsia" w:ascii="仿宋" w:hAnsi="仿宋" w:eastAsia="仿宋" w:cs="仿宋"/>
          <w:color w:val="auto"/>
          <w:sz w:val="32"/>
          <w:szCs w:val="32"/>
          <w:lang w:val="en-US" w:eastAsia="zh-CN"/>
        </w:rPr>
        <w:t>96.11</w:t>
      </w:r>
      <w:r>
        <w:rPr>
          <w:rFonts w:hint="eastAsia" w:ascii="仿宋" w:hAnsi="仿宋" w:eastAsia="仿宋" w:cs="仿宋"/>
          <w:color w:val="auto"/>
          <w:sz w:val="32"/>
          <w:szCs w:val="32"/>
        </w:rPr>
        <w:t>%，决算数小于预算数的主要原因是</w:t>
      </w:r>
      <w:r>
        <w:rPr>
          <w:rFonts w:hint="eastAsia" w:ascii="仿宋" w:hAnsi="仿宋" w:eastAsia="仿宋" w:cs="仿宋"/>
          <w:color w:val="auto"/>
          <w:kern w:val="0"/>
          <w:sz w:val="32"/>
          <w:szCs w:val="32"/>
        </w:rPr>
        <w:t>厉行节约</w:t>
      </w:r>
      <w:r>
        <w:rPr>
          <w:rFonts w:hint="eastAsia" w:ascii="仿宋" w:hAnsi="仿宋" w:eastAsia="仿宋" w:cs="仿宋"/>
          <w:color w:val="auto"/>
          <w:sz w:val="32"/>
          <w:szCs w:val="32"/>
        </w:rPr>
        <w:t>。与上年相比</w:t>
      </w:r>
      <w:r>
        <w:rPr>
          <w:rFonts w:hint="eastAsia" w:ascii="仿宋" w:hAnsi="仿宋" w:eastAsia="仿宋" w:cs="仿宋"/>
          <w:color w:val="auto"/>
          <w:sz w:val="32"/>
          <w:szCs w:val="32"/>
          <w:lang w:eastAsia="zh-CN"/>
        </w:rPr>
        <w:t>增加</w:t>
      </w:r>
      <w:r>
        <w:rPr>
          <w:rFonts w:hint="eastAsia" w:ascii="仿宋" w:hAnsi="仿宋" w:eastAsia="仿宋" w:cs="仿宋"/>
          <w:color w:val="auto"/>
          <w:sz w:val="32"/>
          <w:szCs w:val="32"/>
          <w:lang w:val="en-US" w:eastAsia="zh-CN"/>
        </w:rPr>
        <w:t>1.33</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增加</w:t>
      </w:r>
      <w:r>
        <w:rPr>
          <w:rFonts w:hint="eastAsia" w:ascii="仿宋" w:hAnsi="仿宋" w:eastAsia="仿宋" w:cs="仿宋"/>
          <w:color w:val="auto"/>
          <w:sz w:val="32"/>
          <w:szCs w:val="32"/>
          <w:lang w:val="en-US" w:eastAsia="zh-CN"/>
        </w:rPr>
        <w:t>23.79</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增加</w:t>
      </w:r>
      <w:r>
        <w:rPr>
          <w:rFonts w:hint="eastAsia" w:ascii="仿宋" w:hAnsi="仿宋" w:eastAsia="仿宋" w:cs="仿宋"/>
          <w:color w:val="auto"/>
          <w:sz w:val="32"/>
          <w:szCs w:val="32"/>
        </w:rPr>
        <w:t>的主要原因是</w:t>
      </w:r>
      <w:r>
        <w:rPr>
          <w:rFonts w:hint="eastAsia" w:ascii="仿宋" w:hAnsi="仿宋" w:eastAsia="仿宋" w:cs="仿宋"/>
          <w:color w:val="auto"/>
          <w:kern w:val="0"/>
          <w:sz w:val="32"/>
          <w:szCs w:val="32"/>
          <w:lang w:eastAsia="zh-CN"/>
        </w:rPr>
        <w:t>车况老化，维修经费增加</w:t>
      </w:r>
      <w:r>
        <w:rPr>
          <w:rFonts w:hint="eastAsia" w:ascii="仿宋" w:hAnsi="仿宋" w:eastAsia="仿宋" w:cs="仿宋"/>
          <w:color w:val="auto"/>
          <w:sz w:val="32"/>
          <w:szCs w:val="32"/>
        </w:rPr>
        <w:t>。</w:t>
      </w:r>
    </w:p>
    <w:p>
      <w:pPr>
        <w:pStyle w:val="12"/>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仿宋" w:hAnsi="仿宋" w:eastAsia="仿宋" w:cs="仿宋"/>
          <w:b/>
          <w:color w:val="auto"/>
          <w:sz w:val="32"/>
          <w:szCs w:val="32"/>
        </w:rPr>
      </w:pPr>
      <w:r>
        <w:rPr>
          <w:rFonts w:hint="eastAsia" w:ascii="仿宋" w:hAnsi="仿宋" w:eastAsia="仿宋" w:cs="仿宋"/>
          <w:b/>
          <w:color w:val="auto"/>
          <w:sz w:val="32"/>
          <w:szCs w:val="32"/>
        </w:rPr>
        <w:t>（二）“三公”经费财政拨款支出决算具体情况说明</w:t>
      </w:r>
    </w:p>
    <w:p>
      <w:pPr>
        <w:pStyle w:val="12"/>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年度“三公”经费财政拨款支出决算中</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因公出国（境）费支出决算</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公务接待费支出决算</w:t>
      </w:r>
      <w:r>
        <w:rPr>
          <w:rFonts w:hint="eastAsia" w:ascii="仿宋" w:hAnsi="仿宋" w:eastAsia="仿宋" w:cs="仿宋"/>
          <w:color w:val="auto"/>
          <w:sz w:val="32"/>
          <w:szCs w:val="32"/>
          <w:lang w:val="en-US" w:eastAsia="zh-CN"/>
        </w:rPr>
        <w:t>0.83</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10.71</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公务用车购置费及运行维护费支出决算</w:t>
      </w:r>
      <w:r>
        <w:rPr>
          <w:rFonts w:hint="eastAsia" w:ascii="仿宋" w:hAnsi="仿宋" w:eastAsia="仿宋" w:cs="仿宋"/>
          <w:color w:val="auto"/>
          <w:sz w:val="32"/>
          <w:szCs w:val="32"/>
          <w:lang w:val="en-US" w:eastAsia="zh-CN"/>
        </w:rPr>
        <w:t>6.92</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89.29</w:t>
      </w:r>
      <w:r>
        <w:rPr>
          <w:rFonts w:hint="eastAsia" w:ascii="仿宋" w:hAnsi="仿宋" w:eastAsia="仿宋" w:cs="仿宋"/>
          <w:color w:val="auto"/>
          <w:sz w:val="32"/>
          <w:szCs w:val="32"/>
        </w:rPr>
        <w:t>%。其中：</w:t>
      </w:r>
    </w:p>
    <w:p>
      <w:pPr>
        <w:pStyle w:val="5"/>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1、因公出国（境）费支出决算为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全年安排因公出国（境）团组数0个，累计0人次。</w:t>
      </w:r>
    </w:p>
    <w:p>
      <w:pPr>
        <w:pStyle w:val="12"/>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2、公务接待费支出决算为</w:t>
      </w:r>
      <w:r>
        <w:rPr>
          <w:rFonts w:hint="eastAsia" w:ascii="仿宋" w:hAnsi="仿宋" w:eastAsia="仿宋" w:cs="仿宋"/>
          <w:color w:val="auto"/>
          <w:sz w:val="32"/>
          <w:szCs w:val="32"/>
          <w:lang w:val="en-US" w:eastAsia="zh-CN"/>
        </w:rPr>
        <w:t>0.83</w:t>
      </w:r>
      <w:r>
        <w:rPr>
          <w:rFonts w:hint="eastAsia" w:ascii="仿宋" w:hAnsi="仿宋" w:eastAsia="仿宋" w:cs="仿宋"/>
          <w:color w:val="auto"/>
          <w:sz w:val="32"/>
          <w:szCs w:val="32"/>
        </w:rPr>
        <w:t>万元，全年共接待来访团组</w:t>
      </w:r>
      <w:r>
        <w:rPr>
          <w:rFonts w:hint="eastAsia" w:ascii="仿宋" w:hAnsi="仿宋" w:eastAsia="仿宋" w:cs="仿宋"/>
          <w:color w:val="auto"/>
          <w:sz w:val="32"/>
          <w:szCs w:val="32"/>
          <w:lang w:val="en-US" w:eastAsia="zh-CN"/>
        </w:rPr>
        <w:t>14</w:t>
      </w:r>
      <w:r>
        <w:rPr>
          <w:rFonts w:hint="eastAsia" w:ascii="仿宋" w:hAnsi="仿宋" w:eastAsia="仿宋" w:cs="仿宋"/>
          <w:color w:val="auto"/>
          <w:sz w:val="32"/>
          <w:szCs w:val="32"/>
        </w:rPr>
        <w:t>个、来宾</w:t>
      </w:r>
      <w:r>
        <w:rPr>
          <w:rFonts w:hint="eastAsia" w:ascii="仿宋" w:hAnsi="仿宋" w:eastAsia="仿宋" w:cs="仿宋"/>
          <w:color w:val="auto"/>
          <w:sz w:val="32"/>
          <w:szCs w:val="32"/>
          <w:lang w:val="en-US" w:eastAsia="zh-CN"/>
        </w:rPr>
        <w:t>103</w:t>
      </w:r>
      <w:r>
        <w:rPr>
          <w:rFonts w:hint="eastAsia" w:ascii="仿宋" w:hAnsi="仿宋" w:eastAsia="仿宋" w:cs="仿宋"/>
          <w:color w:val="auto"/>
          <w:sz w:val="32"/>
          <w:szCs w:val="32"/>
        </w:rPr>
        <w:t>人次，主要是文化执法交流</w:t>
      </w:r>
      <w:r>
        <w:rPr>
          <w:rFonts w:hint="eastAsia" w:ascii="仿宋" w:hAnsi="仿宋" w:eastAsia="仿宋" w:cs="仿宋"/>
          <w:color w:val="auto"/>
          <w:sz w:val="32"/>
          <w:szCs w:val="32"/>
          <w:lang w:eastAsia="zh-CN"/>
        </w:rPr>
        <w:t>等活动发生</w:t>
      </w:r>
      <w:r>
        <w:rPr>
          <w:rFonts w:hint="eastAsia" w:ascii="仿宋" w:hAnsi="仿宋" w:eastAsia="仿宋" w:cs="仿宋"/>
          <w:color w:val="auto"/>
          <w:sz w:val="32"/>
          <w:szCs w:val="32"/>
        </w:rPr>
        <w:t>的接待支出。</w:t>
      </w:r>
    </w:p>
    <w:p>
      <w:pPr>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sz w:val="32"/>
          <w:szCs w:val="32"/>
        </w:rPr>
        <w:t>3、公务用车购置费及运行维护费支出决算为</w:t>
      </w:r>
      <w:r>
        <w:rPr>
          <w:rFonts w:hint="eastAsia" w:ascii="仿宋" w:hAnsi="仿宋" w:eastAsia="仿宋" w:cs="仿宋"/>
          <w:color w:val="auto"/>
          <w:sz w:val="32"/>
          <w:szCs w:val="32"/>
          <w:lang w:val="en-US" w:eastAsia="zh-CN"/>
        </w:rPr>
        <w:t>6.92</w:t>
      </w:r>
      <w:r>
        <w:rPr>
          <w:rFonts w:hint="eastAsia" w:ascii="仿宋" w:hAnsi="仿宋" w:eastAsia="仿宋" w:cs="仿宋"/>
          <w:color w:val="auto"/>
          <w:sz w:val="32"/>
          <w:szCs w:val="32"/>
        </w:rPr>
        <w:t>万元，其中：公务用车购置费</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更新公务用车0辆</w:t>
      </w:r>
      <w:bookmarkStart w:id="0" w:name="_GoBack"/>
      <w:bookmarkEnd w:id="0"/>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公务用车运行维护费</w:t>
      </w:r>
      <w:r>
        <w:rPr>
          <w:rFonts w:hint="eastAsia" w:ascii="仿宋" w:hAnsi="仿宋" w:eastAsia="仿宋" w:cs="仿宋"/>
          <w:color w:val="auto"/>
          <w:sz w:val="32"/>
          <w:szCs w:val="32"/>
          <w:lang w:val="en-US" w:eastAsia="zh-CN"/>
        </w:rPr>
        <w:t>6.92</w:t>
      </w:r>
      <w:r>
        <w:rPr>
          <w:rFonts w:hint="eastAsia" w:ascii="仿宋" w:hAnsi="仿宋" w:eastAsia="仿宋" w:cs="仿宋"/>
          <w:color w:val="auto"/>
          <w:sz w:val="32"/>
          <w:szCs w:val="32"/>
        </w:rPr>
        <w:t>万元，主要是汽油、车辆保险、车辆维修支出</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截止202</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年12月31日，我单位开支财政拨款的公务用车保有量为</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辆。</w:t>
      </w:r>
    </w:p>
    <w:p>
      <w:pPr>
        <w:pStyle w:val="12"/>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黑体" w:hAnsi="黑体" w:eastAsia="黑体" w:cs="黑体"/>
          <w:b w:val="0"/>
          <w:bCs/>
          <w:color w:val="auto"/>
          <w:sz w:val="32"/>
          <w:szCs w:val="32"/>
          <w:lang w:eastAsia="zh-CN"/>
        </w:rPr>
      </w:pPr>
      <w:r>
        <w:rPr>
          <w:rFonts w:hint="eastAsia" w:ascii="黑体" w:hAnsi="黑体" w:eastAsia="黑体" w:cs="黑体"/>
          <w:b w:val="0"/>
          <w:bCs/>
          <w:color w:val="auto"/>
          <w:sz w:val="32"/>
          <w:szCs w:val="32"/>
        </w:rPr>
        <w:t>八、政府性基金预算收入支出决算情况</w:t>
      </w:r>
      <w:r>
        <w:rPr>
          <w:rFonts w:hint="eastAsia" w:ascii="黑体" w:hAnsi="黑体" w:eastAsia="黑体" w:cs="黑体"/>
          <w:b w:val="0"/>
          <w:bCs/>
          <w:color w:val="auto"/>
          <w:sz w:val="32"/>
          <w:szCs w:val="32"/>
          <w:lang w:eastAsia="zh-CN"/>
        </w:rPr>
        <w:t>说明</w:t>
      </w:r>
    </w:p>
    <w:p>
      <w:pPr>
        <w:pStyle w:val="12"/>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本</w:t>
      </w:r>
      <w:r>
        <w:rPr>
          <w:rFonts w:hint="eastAsia" w:ascii="仿宋" w:hAnsi="仿宋" w:eastAsia="仿宋" w:cs="仿宋"/>
          <w:color w:val="auto"/>
          <w:kern w:val="0"/>
          <w:sz w:val="32"/>
          <w:szCs w:val="32"/>
          <w:lang w:eastAsia="zh-CN"/>
        </w:rPr>
        <w:t>部门</w:t>
      </w:r>
      <w:r>
        <w:rPr>
          <w:rFonts w:hint="eastAsia" w:ascii="仿宋" w:hAnsi="仿宋" w:eastAsia="仿宋" w:cs="仿宋"/>
          <w:color w:val="auto"/>
          <w:kern w:val="0"/>
          <w:sz w:val="32"/>
          <w:szCs w:val="32"/>
        </w:rPr>
        <w:t>20</w:t>
      </w:r>
      <w:r>
        <w:rPr>
          <w:rFonts w:hint="eastAsia" w:ascii="仿宋" w:hAnsi="仿宋" w:eastAsia="仿宋" w:cs="仿宋"/>
          <w:color w:val="auto"/>
          <w:kern w:val="0"/>
          <w:sz w:val="32"/>
          <w:szCs w:val="32"/>
          <w:lang w:val="en-US" w:eastAsia="zh-CN"/>
        </w:rPr>
        <w:t>21</w:t>
      </w:r>
      <w:r>
        <w:rPr>
          <w:rFonts w:hint="eastAsia" w:ascii="仿宋" w:hAnsi="仿宋" w:eastAsia="仿宋" w:cs="仿宋"/>
          <w:color w:val="auto"/>
          <w:kern w:val="0"/>
          <w:sz w:val="32"/>
          <w:szCs w:val="32"/>
        </w:rPr>
        <w:t>年度无政府性基金收支。</w:t>
      </w:r>
    </w:p>
    <w:p>
      <w:pPr>
        <w:pStyle w:val="12"/>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黑体" w:hAnsi="黑体" w:eastAsia="黑体" w:cs="黑体"/>
          <w:b w:val="0"/>
          <w:bCs/>
          <w:color w:val="auto"/>
          <w:sz w:val="32"/>
          <w:szCs w:val="32"/>
          <w:lang w:eastAsia="zh-CN"/>
        </w:rPr>
      </w:pPr>
      <w:r>
        <w:rPr>
          <w:rFonts w:hint="eastAsia" w:ascii="黑体" w:hAnsi="黑体" w:eastAsia="黑体" w:cs="黑体"/>
          <w:b w:val="0"/>
          <w:bCs/>
          <w:color w:val="auto"/>
          <w:sz w:val="32"/>
          <w:szCs w:val="32"/>
        </w:rPr>
        <w:t>九、</w:t>
      </w:r>
      <w:r>
        <w:rPr>
          <w:rFonts w:hint="eastAsia" w:ascii="黑体" w:hAnsi="黑体" w:eastAsia="黑体" w:cs="黑体"/>
          <w:b w:val="0"/>
          <w:bCs/>
          <w:color w:val="auto"/>
          <w:sz w:val="32"/>
          <w:szCs w:val="32"/>
          <w:lang w:eastAsia="zh-CN"/>
        </w:rPr>
        <w:t>国有资本经营预算财政拨款支出决算情况说明</w:t>
      </w:r>
    </w:p>
    <w:p>
      <w:pPr>
        <w:pStyle w:val="12"/>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lang w:eastAsia="zh-CN"/>
        </w:rPr>
        <w:t>本部门</w:t>
      </w:r>
      <w:r>
        <w:rPr>
          <w:rFonts w:hint="eastAsia" w:ascii="仿宋" w:hAnsi="仿宋" w:eastAsia="仿宋" w:cs="仿宋"/>
          <w:b w:val="0"/>
          <w:bCs/>
          <w:color w:val="auto"/>
          <w:sz w:val="32"/>
          <w:szCs w:val="32"/>
          <w:lang w:val="en-US" w:eastAsia="zh-CN"/>
        </w:rPr>
        <w:t>2021年度无国有资本经营预算财政拨款支出。</w:t>
      </w:r>
    </w:p>
    <w:p>
      <w:pPr>
        <w:pStyle w:val="12"/>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lang w:eastAsia="zh-CN"/>
        </w:rPr>
        <w:t>十、</w:t>
      </w:r>
      <w:r>
        <w:rPr>
          <w:rFonts w:hint="eastAsia" w:ascii="黑体" w:hAnsi="黑体" w:eastAsia="黑体" w:cs="黑体"/>
          <w:b w:val="0"/>
          <w:bCs/>
          <w:color w:val="auto"/>
          <w:sz w:val="32"/>
          <w:szCs w:val="32"/>
        </w:rPr>
        <w:t>关于机关运行经费支出说明</w:t>
      </w:r>
    </w:p>
    <w:p>
      <w:pPr>
        <w:pStyle w:val="12"/>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b w:val="0"/>
          <w:bCs/>
          <w:color w:val="auto"/>
          <w:sz w:val="32"/>
          <w:szCs w:val="32"/>
        </w:rPr>
        <w:t>本部门202</w:t>
      </w:r>
      <w:r>
        <w:rPr>
          <w:rFonts w:hint="eastAsia" w:ascii="仿宋" w:hAnsi="仿宋" w:eastAsia="仿宋" w:cs="仿宋"/>
          <w:b w:val="0"/>
          <w:bCs/>
          <w:color w:val="auto"/>
          <w:sz w:val="32"/>
          <w:szCs w:val="32"/>
          <w:lang w:val="en-US" w:eastAsia="zh-CN"/>
        </w:rPr>
        <w:t>1</w:t>
      </w:r>
      <w:r>
        <w:rPr>
          <w:rFonts w:hint="eastAsia" w:ascii="仿宋" w:hAnsi="仿宋" w:eastAsia="仿宋" w:cs="仿宋"/>
          <w:b w:val="0"/>
          <w:bCs/>
          <w:color w:val="auto"/>
          <w:sz w:val="32"/>
          <w:szCs w:val="32"/>
        </w:rPr>
        <w:t>年度机关运行经费支出</w:t>
      </w:r>
      <w:r>
        <w:rPr>
          <w:rFonts w:hint="eastAsia" w:ascii="仿宋" w:hAnsi="仿宋" w:eastAsia="仿宋" w:cs="仿宋"/>
          <w:b w:val="0"/>
          <w:bCs/>
          <w:color w:val="auto"/>
          <w:sz w:val="32"/>
          <w:szCs w:val="32"/>
          <w:lang w:val="en-US" w:eastAsia="zh-CN"/>
        </w:rPr>
        <w:t>126.04</w:t>
      </w:r>
      <w:r>
        <w:rPr>
          <w:rFonts w:hint="eastAsia" w:ascii="仿宋" w:hAnsi="仿宋" w:eastAsia="仿宋" w:cs="仿宋"/>
          <w:b w:val="0"/>
          <w:bCs/>
          <w:color w:val="auto"/>
          <w:sz w:val="32"/>
          <w:szCs w:val="32"/>
        </w:rPr>
        <w:t>万元，比上年决</w:t>
      </w:r>
      <w:r>
        <w:rPr>
          <w:rFonts w:hint="eastAsia" w:ascii="仿宋" w:hAnsi="仿宋" w:eastAsia="仿宋" w:cs="仿宋"/>
          <w:color w:val="auto"/>
          <w:sz w:val="32"/>
          <w:szCs w:val="32"/>
        </w:rPr>
        <w:t>算数减少</w:t>
      </w:r>
      <w:r>
        <w:rPr>
          <w:rFonts w:hint="eastAsia" w:ascii="仿宋" w:hAnsi="仿宋" w:eastAsia="仿宋" w:cs="仿宋"/>
          <w:color w:val="auto"/>
          <w:sz w:val="32"/>
          <w:szCs w:val="32"/>
          <w:lang w:val="en-US" w:eastAsia="zh-CN"/>
        </w:rPr>
        <w:t>16.38</w:t>
      </w:r>
      <w:r>
        <w:rPr>
          <w:rFonts w:hint="eastAsia" w:ascii="仿宋" w:hAnsi="仿宋" w:eastAsia="仿宋" w:cs="仿宋"/>
          <w:color w:val="auto"/>
          <w:sz w:val="32"/>
          <w:szCs w:val="32"/>
        </w:rPr>
        <w:t>万元，降低</w:t>
      </w:r>
      <w:r>
        <w:rPr>
          <w:rFonts w:hint="eastAsia" w:ascii="仿宋" w:hAnsi="仿宋" w:eastAsia="仿宋" w:cs="仿宋"/>
          <w:color w:val="auto"/>
          <w:sz w:val="32"/>
          <w:szCs w:val="32"/>
          <w:lang w:val="en-US" w:eastAsia="zh-CN"/>
        </w:rPr>
        <w:t>11.50</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主要原因是</w:t>
      </w:r>
      <w:r>
        <w:rPr>
          <w:rFonts w:hint="eastAsia" w:ascii="仿宋" w:hAnsi="仿宋" w:eastAsia="仿宋" w:cs="仿宋"/>
          <w:color w:val="auto"/>
          <w:kern w:val="2"/>
          <w:sz w:val="32"/>
          <w:szCs w:val="32"/>
          <w:lang w:val="en-US" w:eastAsia="zh-CN" w:bidi="ar-SA"/>
        </w:rPr>
        <w:t>执行中央八项规定，厉行节约，严格把控机关运行经费开支。</w:t>
      </w:r>
    </w:p>
    <w:p>
      <w:pPr>
        <w:pStyle w:val="12"/>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黑体" w:hAnsi="黑体" w:eastAsia="黑体" w:cs="黑体"/>
          <w:b w:val="0"/>
          <w:bCs/>
          <w:color w:val="auto"/>
          <w:sz w:val="32"/>
          <w:szCs w:val="32"/>
          <w:lang w:eastAsia="zh-CN"/>
        </w:rPr>
      </w:pPr>
      <w:r>
        <w:rPr>
          <w:rFonts w:hint="eastAsia" w:ascii="黑体" w:hAnsi="黑体" w:eastAsia="黑体" w:cs="黑体"/>
          <w:b w:val="0"/>
          <w:bCs/>
          <w:color w:val="auto"/>
          <w:sz w:val="32"/>
          <w:szCs w:val="32"/>
        </w:rPr>
        <w:t>十</w:t>
      </w:r>
      <w:r>
        <w:rPr>
          <w:rFonts w:hint="eastAsia" w:ascii="黑体" w:hAnsi="黑体" w:eastAsia="黑体" w:cs="黑体"/>
          <w:b w:val="0"/>
          <w:bCs/>
          <w:color w:val="auto"/>
          <w:sz w:val="32"/>
          <w:szCs w:val="32"/>
          <w:lang w:eastAsia="zh-CN"/>
        </w:rPr>
        <w:t>一</w:t>
      </w:r>
      <w:r>
        <w:rPr>
          <w:rFonts w:hint="eastAsia" w:ascii="黑体" w:hAnsi="黑体" w:eastAsia="黑体" w:cs="黑体"/>
          <w:b w:val="0"/>
          <w:bCs/>
          <w:color w:val="auto"/>
          <w:sz w:val="32"/>
          <w:szCs w:val="32"/>
        </w:rPr>
        <w:t>、一般性支出情况</w:t>
      </w:r>
      <w:r>
        <w:rPr>
          <w:rFonts w:hint="eastAsia" w:ascii="黑体" w:hAnsi="黑体" w:eastAsia="黑体" w:cs="黑体"/>
          <w:b w:val="0"/>
          <w:bCs/>
          <w:color w:val="auto"/>
          <w:sz w:val="32"/>
          <w:szCs w:val="32"/>
          <w:lang w:eastAsia="zh-CN"/>
        </w:rPr>
        <w:t>说明</w:t>
      </w:r>
    </w:p>
    <w:p>
      <w:pPr>
        <w:pStyle w:val="5"/>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年本部门</w:t>
      </w:r>
      <w:r>
        <w:rPr>
          <w:rFonts w:hint="eastAsia" w:ascii="仿宋" w:hAnsi="仿宋" w:eastAsia="仿宋" w:cs="仿宋"/>
          <w:color w:val="auto"/>
          <w:sz w:val="32"/>
          <w:szCs w:val="32"/>
          <w:lang w:val="en-US" w:eastAsia="zh-CN"/>
        </w:rPr>
        <w:t>会议费0万元；</w:t>
      </w:r>
      <w:r>
        <w:rPr>
          <w:rFonts w:hint="eastAsia" w:ascii="仿宋" w:hAnsi="仿宋" w:eastAsia="仿宋" w:cs="仿宋"/>
          <w:color w:val="auto"/>
          <w:sz w:val="32"/>
          <w:szCs w:val="32"/>
        </w:rPr>
        <w:t>开支培训费</w:t>
      </w:r>
      <w:r>
        <w:rPr>
          <w:rFonts w:hint="eastAsia" w:ascii="仿宋" w:hAnsi="仿宋" w:eastAsia="仿宋" w:cs="仿宋"/>
          <w:color w:val="auto"/>
          <w:kern w:val="0"/>
          <w:sz w:val="32"/>
          <w:szCs w:val="32"/>
        </w:rPr>
        <w:t>0.</w:t>
      </w:r>
      <w:r>
        <w:rPr>
          <w:rFonts w:hint="eastAsia" w:ascii="仿宋" w:hAnsi="仿宋" w:eastAsia="仿宋" w:cs="仿宋"/>
          <w:color w:val="auto"/>
          <w:kern w:val="0"/>
          <w:sz w:val="32"/>
          <w:szCs w:val="32"/>
          <w:lang w:val="en-US" w:eastAsia="zh-CN"/>
        </w:rPr>
        <w:t>57</w:t>
      </w:r>
      <w:r>
        <w:rPr>
          <w:rFonts w:hint="eastAsia" w:ascii="仿宋" w:hAnsi="仿宋" w:eastAsia="仿宋" w:cs="仿宋"/>
          <w:color w:val="auto"/>
          <w:sz w:val="32"/>
          <w:szCs w:val="32"/>
        </w:rPr>
        <w:t>万元，用于</w:t>
      </w:r>
      <w:r>
        <w:rPr>
          <w:rFonts w:hint="eastAsia" w:ascii="仿宋" w:hAnsi="仿宋" w:eastAsia="仿宋" w:cs="仿宋"/>
          <w:color w:val="auto"/>
          <w:sz w:val="32"/>
          <w:szCs w:val="32"/>
          <w:lang w:eastAsia="zh-CN"/>
        </w:rPr>
        <w:t>支队</w:t>
      </w:r>
      <w:r>
        <w:rPr>
          <w:rFonts w:hint="eastAsia" w:ascii="仿宋" w:hAnsi="仿宋" w:eastAsia="仿宋" w:cs="仿宋"/>
          <w:color w:val="auto"/>
          <w:sz w:val="32"/>
          <w:szCs w:val="32"/>
          <w:lang w:val="en-US" w:eastAsia="zh-CN"/>
        </w:rPr>
        <w:t>17名</w:t>
      </w:r>
      <w:r>
        <w:rPr>
          <w:rFonts w:hint="eastAsia" w:ascii="仿宋" w:hAnsi="仿宋" w:eastAsia="仿宋" w:cs="仿宋"/>
          <w:color w:val="auto"/>
          <w:sz w:val="32"/>
          <w:szCs w:val="32"/>
          <w:lang w:eastAsia="zh-CN"/>
        </w:rPr>
        <w:t>职工参与机关事业单位职工</w:t>
      </w:r>
      <w:r>
        <w:rPr>
          <w:rFonts w:hint="eastAsia" w:ascii="仿宋" w:hAnsi="仿宋" w:eastAsia="仿宋" w:cs="仿宋"/>
          <w:color w:val="auto"/>
          <w:sz w:val="32"/>
          <w:szCs w:val="32"/>
        </w:rPr>
        <w:t>培训</w:t>
      </w:r>
      <w:r>
        <w:rPr>
          <w:rFonts w:hint="eastAsia" w:ascii="仿宋" w:hAnsi="仿宋" w:eastAsia="仿宋" w:cs="仿宋"/>
          <w:color w:val="auto"/>
          <w:sz w:val="32"/>
          <w:szCs w:val="32"/>
          <w:lang w:eastAsia="zh-CN"/>
        </w:rPr>
        <w:t>学习，学习</w:t>
      </w:r>
      <w:r>
        <w:rPr>
          <w:rFonts w:hint="eastAsia" w:ascii="仿宋" w:hAnsi="仿宋" w:eastAsia="仿宋" w:cs="仿宋"/>
          <w:color w:val="auto"/>
          <w:sz w:val="32"/>
          <w:szCs w:val="32"/>
          <w:lang w:val="en-US" w:eastAsia="zh-CN"/>
        </w:rPr>
        <w:t>内容为湖南省事业单位培训管理平台上要求的学习课程。</w:t>
      </w:r>
      <w:r>
        <w:rPr>
          <w:rFonts w:hint="eastAsia" w:ascii="仿宋" w:hAnsi="仿宋" w:eastAsia="仿宋" w:cs="仿宋"/>
          <w:color w:val="auto"/>
          <w:sz w:val="32"/>
          <w:szCs w:val="32"/>
        </w:rPr>
        <w:t>未举办节庆、晚会、论坛、赛事等活动。</w:t>
      </w:r>
    </w:p>
    <w:p>
      <w:pPr>
        <w:pStyle w:val="12"/>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ascii="黑体" w:hAnsi="黑体" w:eastAsia="黑体" w:cs="黑体"/>
          <w:b w:val="0"/>
          <w:bCs/>
          <w:color w:val="auto"/>
          <w:sz w:val="32"/>
          <w:szCs w:val="32"/>
          <w:lang w:eastAsia="zh-CN"/>
        </w:rPr>
        <w:t>二</w:t>
      </w:r>
      <w:r>
        <w:rPr>
          <w:rFonts w:hint="eastAsia" w:ascii="黑体" w:hAnsi="黑体" w:eastAsia="黑体" w:cs="黑体"/>
          <w:b w:val="0"/>
          <w:bCs/>
          <w:color w:val="auto"/>
          <w:sz w:val="32"/>
          <w:szCs w:val="32"/>
        </w:rPr>
        <w:t>、关于政府采购支出说明</w:t>
      </w:r>
    </w:p>
    <w:p>
      <w:pPr>
        <w:pStyle w:val="12"/>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关于政府采购支出2021年度政府采购支出总额0万元，其中：政府采购货物支出0万元、政府采购工程支出0万元、政府采购服务支出0万元。授予中小企业合同金额0万元，由于政府采购总额为0万元，无法计算百分比，其中：授予小微企业合同金额0万元，由于政府采购总额为0万元，无法计算百分比。</w:t>
      </w:r>
    </w:p>
    <w:p>
      <w:pPr>
        <w:pStyle w:val="12"/>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ascii="黑体" w:hAnsi="黑体" w:eastAsia="黑体" w:cs="黑体"/>
          <w:b w:val="0"/>
          <w:bCs/>
          <w:color w:val="auto"/>
          <w:sz w:val="32"/>
          <w:szCs w:val="32"/>
          <w:lang w:eastAsia="zh-CN"/>
        </w:rPr>
        <w:t>三</w:t>
      </w:r>
      <w:r>
        <w:rPr>
          <w:rFonts w:hint="eastAsia" w:ascii="黑体" w:hAnsi="黑体" w:eastAsia="黑体" w:cs="黑体"/>
          <w:b w:val="0"/>
          <w:bCs/>
          <w:color w:val="auto"/>
          <w:sz w:val="32"/>
          <w:szCs w:val="32"/>
        </w:rPr>
        <w:t>、关于国有资产占用情况说明</w:t>
      </w:r>
    </w:p>
    <w:p>
      <w:pPr>
        <w:pStyle w:val="12"/>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截至202</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年12月31日，</w:t>
      </w:r>
      <w:r>
        <w:rPr>
          <w:rFonts w:hint="eastAsia" w:ascii="仿宋" w:hAnsi="仿宋" w:eastAsia="仿宋" w:cs="仿宋"/>
          <w:color w:val="auto"/>
          <w:kern w:val="0"/>
          <w:sz w:val="32"/>
          <w:szCs w:val="32"/>
        </w:rPr>
        <w:t>本</w:t>
      </w:r>
      <w:r>
        <w:rPr>
          <w:rFonts w:hint="eastAsia" w:ascii="仿宋" w:hAnsi="仿宋" w:eastAsia="仿宋" w:cs="仿宋"/>
          <w:color w:val="auto"/>
          <w:kern w:val="0"/>
          <w:sz w:val="32"/>
          <w:szCs w:val="32"/>
          <w:lang w:eastAsia="zh-CN"/>
        </w:rPr>
        <w:t>部门</w:t>
      </w:r>
      <w:r>
        <w:rPr>
          <w:rFonts w:hint="eastAsia" w:ascii="仿宋" w:hAnsi="仿宋" w:eastAsia="仿宋" w:cs="仿宋"/>
          <w:color w:val="auto"/>
          <w:kern w:val="0"/>
          <w:sz w:val="32"/>
          <w:szCs w:val="32"/>
        </w:rPr>
        <w:t>共有车辆2辆，</w:t>
      </w:r>
      <w:r>
        <w:rPr>
          <w:rFonts w:hint="eastAsia" w:ascii="仿宋" w:hAnsi="仿宋" w:eastAsia="仿宋" w:cs="仿宋"/>
          <w:color w:val="auto"/>
          <w:sz w:val="32"/>
          <w:szCs w:val="32"/>
        </w:rPr>
        <w:t>其中，领导干部用车0辆、机要通信用车0辆、应急保障用车0辆、执法执勤用车</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辆、特种专业技术用车0辆、公务用车</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w:t>
      </w:r>
      <w:r>
        <w:rPr>
          <w:rFonts w:hint="eastAsia" w:ascii="仿宋" w:hAnsi="仿宋" w:eastAsia="仿宋" w:cs="仿宋"/>
          <w:color w:val="auto"/>
          <w:kern w:val="0"/>
          <w:sz w:val="32"/>
          <w:szCs w:val="32"/>
        </w:rPr>
        <w:t>单位价值50万元以上通用设备0台（套）；单位价值100万元以上专用设备0台（套）。</w:t>
      </w:r>
    </w:p>
    <w:p>
      <w:pPr>
        <w:pStyle w:val="12"/>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ascii="黑体" w:hAnsi="黑体" w:eastAsia="黑体" w:cs="黑体"/>
          <w:b w:val="0"/>
          <w:bCs/>
          <w:color w:val="auto"/>
          <w:sz w:val="32"/>
          <w:szCs w:val="32"/>
          <w:lang w:eastAsia="zh-CN"/>
        </w:rPr>
        <w:t>四</w:t>
      </w:r>
      <w:r>
        <w:rPr>
          <w:rFonts w:hint="eastAsia" w:ascii="黑体" w:hAnsi="黑体" w:eastAsia="黑体" w:cs="黑体"/>
          <w:b w:val="0"/>
          <w:bCs/>
          <w:color w:val="auto"/>
          <w:sz w:val="32"/>
          <w:szCs w:val="32"/>
        </w:rPr>
        <w:t>、关于202</w:t>
      </w:r>
      <w:r>
        <w:rPr>
          <w:rFonts w:hint="eastAsia" w:ascii="黑体" w:hAnsi="黑体" w:eastAsia="黑体" w:cs="黑体"/>
          <w:b w:val="0"/>
          <w:bCs/>
          <w:color w:val="auto"/>
          <w:sz w:val="32"/>
          <w:szCs w:val="32"/>
          <w:lang w:val="en-US" w:eastAsia="zh-CN"/>
        </w:rPr>
        <w:t>1</w:t>
      </w:r>
      <w:r>
        <w:rPr>
          <w:rFonts w:hint="eastAsia" w:ascii="黑体" w:hAnsi="黑体" w:eastAsia="黑体" w:cs="黑体"/>
          <w:b w:val="0"/>
          <w:bCs/>
          <w:color w:val="auto"/>
          <w:sz w:val="32"/>
          <w:szCs w:val="32"/>
        </w:rPr>
        <w:t>年度预算绩效情况的说明</w:t>
      </w:r>
    </w:p>
    <w:p>
      <w:pPr>
        <w:pStyle w:val="12"/>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2021年度本部门预算绩效管理开展情况、绩效目标和绩效评价报告等按照财政绩效部门要求已公开，见附件。</w:t>
      </w:r>
    </w:p>
    <w:p>
      <w:pPr>
        <w:pStyle w:val="12"/>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本单位无重点项目，因此无重点项目绩效报告。</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60" w:beforeAutospacing="0" w:after="0" w:afterAutospacing="0" w:line="600" w:lineRule="exact"/>
        <w:ind w:right="0"/>
        <w:jc w:val="center"/>
        <w:textAlignment w:val="auto"/>
        <w:rPr>
          <w:rFonts w:hint="eastAsia" w:ascii="黑体" w:hAnsi="黑体" w:eastAsia="黑体" w:cs="黑体"/>
          <w:i w:val="0"/>
          <w:iCs w:val="0"/>
          <w:caps w:val="0"/>
          <w:color w:val="auto"/>
          <w:spacing w:val="0"/>
          <w:sz w:val="44"/>
          <w:szCs w:val="44"/>
        </w:rPr>
      </w:pPr>
      <w:r>
        <w:rPr>
          <w:rStyle w:val="8"/>
          <w:rFonts w:hint="eastAsia" w:ascii="黑体" w:hAnsi="黑体" w:eastAsia="黑体" w:cs="黑体"/>
          <w:i w:val="0"/>
          <w:iCs w:val="0"/>
          <w:caps w:val="0"/>
          <w:color w:val="auto"/>
          <w:spacing w:val="0"/>
          <w:sz w:val="44"/>
          <w:szCs w:val="44"/>
          <w:shd w:val="clear" w:color="auto" w:fill="FFFFFF"/>
        </w:rPr>
        <w:t>第四部分名词解释</w:t>
      </w:r>
    </w:p>
    <w:p>
      <w:pPr>
        <w:pStyle w:val="5"/>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一、财政拨款收入：指单位本年度从市级财政部门取得的财政拨款。</w:t>
      </w:r>
    </w:p>
    <w:p>
      <w:pPr>
        <w:pStyle w:val="5"/>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二、上级补助收入：指事业单位从主管部门和上级单位取得的非财政补助收入。</w:t>
      </w:r>
    </w:p>
    <w:p>
      <w:pPr>
        <w:pStyle w:val="5"/>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三、事业收入：指事业单位开展专业业务活动及其辅助活动取得的收入，事业单位收到的财政专户实际核拨的教育收费等资金在此反映。</w:t>
      </w:r>
    </w:p>
    <w:p>
      <w:pPr>
        <w:pStyle w:val="5"/>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四、经营收入：指事业单位在专业业务活动及其辅助活动之外开展非独立核算经营活动取得的收入。</w:t>
      </w:r>
    </w:p>
    <w:p>
      <w:pPr>
        <w:pStyle w:val="5"/>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五、附属单位缴款：指事业单位附属独立核算单位按照有关规定上缴的收入。</w:t>
      </w:r>
    </w:p>
    <w:p>
      <w:pPr>
        <w:pStyle w:val="5"/>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六、其他收入：指单位取得的除上述“财政拨款收入”、“事业收入”、“经营收入”等以外的各项收入。</w:t>
      </w:r>
    </w:p>
    <w:p>
      <w:pPr>
        <w:pStyle w:val="5"/>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七、用事业基金弥补收支差额：指事业单位用事业基金弥补当年收支差额的数额。</w:t>
      </w:r>
    </w:p>
    <w:p>
      <w:pPr>
        <w:pStyle w:val="5"/>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八、年初结转和结余：指单位上年结转本年使用的基本支出结转、项目支出结转和结余和经营结余。</w:t>
      </w:r>
    </w:p>
    <w:p>
      <w:pPr>
        <w:pStyle w:val="5"/>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九、一般公共服务（类）人大事务（款）行政运行（项）：指人大常委会办公厅用于保障机构正常运行、开展日常工作的基本支出。</w:t>
      </w:r>
    </w:p>
    <w:p>
      <w:pPr>
        <w:pStyle w:val="5"/>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十、结余分配：指事业单位按规定对非财政补助结余资金提取的职工福利基金、事业基金和缴纳的所得税，以及减少单位按规定应缴回的基本建设竣工项目结余资金。</w:t>
      </w:r>
    </w:p>
    <w:p>
      <w:pPr>
        <w:pStyle w:val="5"/>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十一、年末结转和结余资金：指本年度或以前年度预算安排、因客观条件发生变化无法按原计划实施，需要延迟到以后年度按有关规定继续使用的资金。</w:t>
      </w:r>
    </w:p>
    <w:p>
      <w:pPr>
        <w:pStyle w:val="5"/>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十二、基本支出：指为保障机构正常运转、完成日常工作任务而发生的人员支出和公用支出。</w:t>
      </w:r>
    </w:p>
    <w:p>
      <w:pPr>
        <w:pStyle w:val="5"/>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十三、项目支出：指在基本支出之外为完成特定的行政任务或事业发展目标所发生的支出。</w:t>
      </w:r>
    </w:p>
    <w:p>
      <w:pPr>
        <w:pStyle w:val="5"/>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十四、上缴上级支出：指事业单位按照财政部门和主管部门的规定上缴上级单位的支出。</w:t>
      </w:r>
    </w:p>
    <w:p>
      <w:pPr>
        <w:pStyle w:val="5"/>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十五、经营支出：指事业单位在专业业务活动及其辅助活动之外开展非独立核算经营活动发生的支出。</w:t>
      </w:r>
    </w:p>
    <w:p>
      <w:pPr>
        <w:pStyle w:val="5"/>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十六、对附属单位补助支出：指事业单位用财政补助收入之外的收入对附属单位补助发生的支出。</w:t>
      </w:r>
    </w:p>
    <w:p>
      <w:pPr>
        <w:pStyle w:val="5"/>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七、“三公”经费：指市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pStyle w:val="5"/>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八、机关运行经费：指为保障行政单位（含参照公务员法管理的事业单位）运行用于购买货物和服务的各项资金，包括办公费、印刷费、差旅费、会议费、日常维修费、专用材料及办公用房水电费、物业管理费、公务用车运行维护费等。在财政部有明确规定前，“机关运行经费”暂指一般公共预算安排的基本支出中的“商品和服务支出”经费。</w:t>
      </w:r>
    </w:p>
    <w:p>
      <w:pPr>
        <w:pStyle w:val="5"/>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jc w:val="left"/>
        <w:textAlignment w:val="auto"/>
        <w:rPr>
          <w:rFonts w:hint="eastAsia" w:ascii="仿宋" w:hAnsi="仿宋" w:eastAsia="仿宋" w:cs="仿宋"/>
          <w:color w:val="auto"/>
          <w:sz w:val="32"/>
          <w:szCs w:val="32"/>
        </w:rPr>
      </w:pPr>
    </w:p>
    <w:p>
      <w:pPr>
        <w:pStyle w:val="5"/>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jc w:val="center"/>
        <w:textAlignment w:val="auto"/>
        <w:rPr>
          <w:rFonts w:hint="eastAsia" w:ascii="黑体" w:hAnsi="黑体" w:eastAsia="黑体" w:cs="黑体"/>
          <w:color w:val="auto"/>
          <w:sz w:val="44"/>
          <w:szCs w:val="44"/>
        </w:rPr>
      </w:pPr>
      <w:r>
        <w:rPr>
          <w:rFonts w:hint="eastAsia" w:ascii="黑体" w:hAnsi="黑体" w:eastAsia="黑体" w:cs="黑体"/>
          <w:b/>
          <w:bCs/>
          <w:color w:val="auto"/>
          <w:sz w:val="44"/>
          <w:szCs w:val="44"/>
        </w:rPr>
        <w:t>第五部分  附件</w:t>
      </w:r>
    </w:p>
    <w:p>
      <w:pPr>
        <w:pStyle w:val="5"/>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 w:hAnsi="仿宋" w:eastAsia="仿宋" w:cs="仿宋"/>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 w:hAnsi="仿宋" w:eastAsia="仿宋" w:cs="仿宋"/>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 w:hAnsi="仿宋" w:eastAsia="仿宋" w:cs="仿宋"/>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 w:hAnsi="仿宋" w:eastAsia="仿宋" w:cs="仿宋"/>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 w:hAnsi="仿宋" w:eastAsia="仿宋" w:cs="仿宋"/>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 w:hAnsi="仿宋" w:eastAsia="仿宋" w:cs="仿宋"/>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 w:hAnsi="仿宋" w:eastAsia="仿宋" w:cs="仿宋"/>
          <w:b/>
          <w:color w:val="auto"/>
          <w:sz w:val="32"/>
          <w:szCs w:val="32"/>
        </w:rPr>
      </w:pPr>
      <w:r>
        <w:rPr>
          <w:rFonts w:hint="eastAsia" w:ascii="仿宋" w:hAnsi="仿宋" w:eastAsia="仿宋" w:cs="仿宋"/>
          <w:b/>
          <w:bCs/>
          <w:color w:val="auto"/>
          <w:sz w:val="32"/>
          <w:szCs w:val="32"/>
        </w:rPr>
        <w:t>2021年度</w:t>
      </w:r>
      <w:r>
        <w:rPr>
          <w:rFonts w:hint="eastAsia" w:ascii="仿宋" w:hAnsi="仿宋" w:eastAsia="仿宋" w:cs="仿宋"/>
          <w:b/>
          <w:bCs/>
          <w:color w:val="auto"/>
          <w:sz w:val="32"/>
          <w:szCs w:val="32"/>
          <w:lang w:eastAsia="zh-CN"/>
        </w:rPr>
        <w:t>部门</w:t>
      </w:r>
      <w:r>
        <w:rPr>
          <w:rFonts w:hint="eastAsia" w:ascii="仿宋" w:hAnsi="仿宋" w:eastAsia="仿宋" w:cs="仿宋"/>
          <w:b/>
          <w:bCs/>
          <w:color w:val="auto"/>
          <w:sz w:val="32"/>
          <w:szCs w:val="32"/>
        </w:rPr>
        <w:t>整体支出绩效自评报告</w:t>
      </w:r>
    </w:p>
    <w:p>
      <w:pPr>
        <w:keepNext w:val="0"/>
        <w:keepLines w:val="0"/>
        <w:pageBreakBefore w:val="0"/>
        <w:kinsoku/>
        <w:wordWrap/>
        <w:overflowPunct/>
        <w:topLinePunct w:val="0"/>
        <w:autoSpaceDE/>
        <w:autoSpaceDN/>
        <w:bidi w:val="0"/>
        <w:adjustRightInd/>
        <w:snapToGrid/>
        <w:spacing w:line="600" w:lineRule="exact"/>
        <w:ind w:left="0" w:leftChars="0" w:firstLine="632" w:firstLineChars="200"/>
        <w:textAlignment w:val="auto"/>
        <w:rPr>
          <w:rFonts w:hint="eastAsia" w:ascii="仿宋" w:hAnsi="仿宋" w:eastAsia="仿宋" w:cs="仿宋"/>
          <w:b/>
          <w:color w:val="auto"/>
          <w:sz w:val="32"/>
          <w:szCs w:val="32"/>
        </w:rPr>
      </w:pPr>
      <w:r>
        <w:rPr>
          <w:rFonts w:hint="eastAsia" w:ascii="仿宋" w:hAnsi="仿宋" w:eastAsia="仿宋" w:cs="仿宋"/>
          <w:color w:val="auto"/>
          <w:spacing w:val="-2"/>
          <w:sz w:val="32"/>
          <w:szCs w:val="32"/>
        </w:rPr>
        <w:t>按照《怀化市财政局关于开展202</w:t>
      </w:r>
      <w:r>
        <w:rPr>
          <w:rFonts w:hint="eastAsia" w:ascii="仿宋" w:hAnsi="仿宋" w:eastAsia="仿宋" w:cs="仿宋"/>
          <w:color w:val="auto"/>
          <w:spacing w:val="-2"/>
          <w:sz w:val="32"/>
          <w:szCs w:val="32"/>
          <w:lang w:val="en-US" w:eastAsia="zh-CN"/>
        </w:rPr>
        <w:t>1</w:t>
      </w:r>
      <w:r>
        <w:rPr>
          <w:rFonts w:hint="eastAsia" w:ascii="仿宋" w:hAnsi="仿宋" w:eastAsia="仿宋" w:cs="仿宋"/>
          <w:color w:val="auto"/>
          <w:spacing w:val="-2"/>
          <w:sz w:val="32"/>
          <w:szCs w:val="32"/>
        </w:rPr>
        <w:t>年度市级财政资金绩效自评工作的通知》要求，现将我</w:t>
      </w:r>
      <w:r>
        <w:rPr>
          <w:rFonts w:hint="eastAsia" w:ascii="仿宋" w:hAnsi="仿宋" w:eastAsia="仿宋" w:cs="仿宋"/>
          <w:color w:val="auto"/>
          <w:spacing w:val="-2"/>
          <w:sz w:val="32"/>
          <w:szCs w:val="32"/>
          <w:lang w:eastAsia="zh-CN"/>
        </w:rPr>
        <w:t>单位</w:t>
      </w:r>
      <w:r>
        <w:rPr>
          <w:rFonts w:hint="eastAsia" w:ascii="仿宋" w:hAnsi="仿宋" w:eastAsia="仿宋" w:cs="仿宋"/>
          <w:color w:val="auto"/>
          <w:spacing w:val="-2"/>
          <w:sz w:val="32"/>
          <w:szCs w:val="32"/>
        </w:rPr>
        <w:t>整体支出绩效评价情况报告如下：</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left="0" w:leftChars="0" w:firstLine="632" w:firstLineChars="200"/>
        <w:textAlignment w:val="auto"/>
        <w:rPr>
          <w:rFonts w:hint="eastAsia" w:ascii="仿宋" w:hAnsi="仿宋" w:eastAsia="仿宋" w:cs="仿宋"/>
          <w:b/>
          <w:color w:val="auto"/>
          <w:spacing w:val="-2"/>
          <w:sz w:val="32"/>
          <w:szCs w:val="32"/>
        </w:rPr>
      </w:pPr>
      <w:r>
        <w:rPr>
          <w:rFonts w:hint="eastAsia" w:ascii="仿宋" w:hAnsi="仿宋" w:eastAsia="仿宋" w:cs="仿宋"/>
          <w:b/>
          <w:color w:val="auto"/>
          <w:spacing w:val="-2"/>
          <w:sz w:val="32"/>
          <w:szCs w:val="32"/>
        </w:rPr>
        <w:t>一、部门概况</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（一）部门基本情况。</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怀化市文化市场综合行政执法支队属副处级全额拨款事业单位，核定编制为41名，设支队长1名，副支队长3名；正科级领导职数6名，副科级领导职数3名，现有在职人员36名。三定方案科室配备情况：内设9个科室（大队），办公室、政策法规室、监控举报投诉室、娱乐演艺执法大队、网吧执法大队、新闻出版和版权网络执法大队、广电体育执法大队、旅游执法大队、文物执法大队。工作职能：以市文化旅游广电体育局的名义统一执法，负责组织协调全市文化市场综合行政执法工作，负责对怀化市、鹤城区（含乡镇）、怀化经济开发区范围内的文化、文物、出版、广播电视、电影、体育、旅游市场等领域实施综合执法。</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cs="仿宋"/>
          <w:color w:val="auto"/>
          <w:spacing w:val="-2"/>
          <w:sz w:val="32"/>
          <w:szCs w:val="32"/>
        </w:rPr>
      </w:pPr>
      <w:r>
        <w:rPr>
          <w:rFonts w:hint="eastAsia" w:ascii="仿宋" w:hAnsi="仿宋" w:eastAsia="仿宋" w:cs="仿宋"/>
          <w:color w:val="auto"/>
          <w:sz w:val="32"/>
          <w:szCs w:val="32"/>
        </w:rPr>
        <w:t>（二）</w:t>
      </w:r>
      <w:r>
        <w:rPr>
          <w:rFonts w:hint="eastAsia" w:ascii="仿宋" w:hAnsi="仿宋" w:eastAsia="仿宋" w:cs="仿宋"/>
          <w:color w:val="auto"/>
          <w:spacing w:val="-2"/>
          <w:sz w:val="32"/>
          <w:szCs w:val="32"/>
        </w:rPr>
        <w:t>部门整体支出规模、使用方向和主要内容、涉及范围等。</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2021年度总收入557.99万元、上年结余结转5.93万元，合计563.92万元，总支出561.42万元</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具体</w:t>
      </w:r>
      <w:r>
        <w:rPr>
          <w:rFonts w:hint="eastAsia" w:ascii="仿宋" w:hAnsi="仿宋" w:eastAsia="仿宋" w:cs="仿宋"/>
          <w:color w:val="auto"/>
          <w:sz w:val="32"/>
          <w:szCs w:val="32"/>
        </w:rPr>
        <w:t>使用方向</w:t>
      </w:r>
      <w:r>
        <w:rPr>
          <w:rFonts w:hint="eastAsia" w:ascii="仿宋" w:hAnsi="仿宋" w:eastAsia="仿宋" w:cs="仿宋"/>
          <w:color w:val="auto"/>
          <w:sz w:val="32"/>
          <w:szCs w:val="32"/>
          <w:lang w:val="en-US" w:eastAsia="zh-CN"/>
        </w:rPr>
        <w:t>为基本支出，主要包括：</w:t>
      </w:r>
      <w:r>
        <w:rPr>
          <w:rFonts w:hint="eastAsia" w:ascii="仿宋" w:hAnsi="仿宋" w:eastAsia="仿宋" w:cs="仿宋"/>
          <w:color w:val="auto"/>
          <w:sz w:val="32"/>
          <w:szCs w:val="32"/>
        </w:rPr>
        <w:t>人员工资福利开支402.20万元，商品和服务支出124.20万元，对个人和家庭补助支出33.18万元，资本性支出1.84万元。</w:t>
      </w:r>
      <w:r>
        <w:rPr>
          <w:rFonts w:hint="eastAsia" w:ascii="仿宋" w:hAnsi="仿宋" w:eastAsia="仿宋" w:cs="仿宋"/>
          <w:color w:val="auto"/>
          <w:sz w:val="32"/>
          <w:szCs w:val="32"/>
          <w:lang w:eastAsia="zh-CN"/>
        </w:rPr>
        <w:t>部门</w:t>
      </w:r>
      <w:r>
        <w:rPr>
          <w:rFonts w:hint="eastAsia" w:ascii="仿宋" w:hAnsi="仿宋" w:eastAsia="仿宋" w:cs="仿宋"/>
          <w:color w:val="auto"/>
          <w:sz w:val="32"/>
          <w:szCs w:val="32"/>
          <w:lang w:val="en-US" w:eastAsia="zh-CN"/>
        </w:rPr>
        <w:t>支出主要用于支队</w:t>
      </w:r>
      <w:r>
        <w:rPr>
          <w:rFonts w:hint="eastAsia" w:ascii="仿宋" w:hAnsi="仿宋" w:eastAsia="仿宋" w:cs="仿宋"/>
          <w:color w:val="auto"/>
          <w:sz w:val="32"/>
          <w:szCs w:val="32"/>
        </w:rPr>
        <w:t>负责组织协调全市文化市场综合行政执法工作，对怀化市、鹤城区（含乡镇）、怀化经济开发区范围内的文化、文物、出版、广播电视、电影、体育、旅游市场等领域的行政处罚权以及与行政处罚相关的行政检查、行政强制等执法职能</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落实“扫黄打非”工作具体执法任务及承办上级交办的其他事项的开支。</w:t>
      </w:r>
    </w:p>
    <w:p>
      <w:pPr>
        <w:keepNext w:val="0"/>
        <w:keepLines w:val="0"/>
        <w:pageBreakBefore w:val="0"/>
        <w:widowControl/>
        <w:numPr>
          <w:ilvl w:val="0"/>
          <w:numId w:val="2"/>
        </w:numPr>
        <w:shd w:val="clear" w:color="auto" w:fill="FFFFFF"/>
        <w:kinsoku/>
        <w:wordWrap/>
        <w:overflowPunct/>
        <w:topLinePunct w:val="0"/>
        <w:autoSpaceDE/>
        <w:autoSpaceDN/>
        <w:bidi w:val="0"/>
        <w:adjustRightInd/>
        <w:snapToGrid/>
        <w:spacing w:line="600" w:lineRule="exact"/>
        <w:ind w:left="0" w:leftChars="0" w:firstLine="632" w:firstLineChars="200"/>
        <w:textAlignment w:val="auto"/>
        <w:rPr>
          <w:rFonts w:hint="eastAsia" w:ascii="仿宋" w:hAnsi="仿宋" w:eastAsia="仿宋" w:cs="仿宋"/>
          <w:b/>
          <w:color w:val="auto"/>
          <w:spacing w:val="-2"/>
          <w:sz w:val="32"/>
          <w:szCs w:val="32"/>
        </w:rPr>
      </w:pPr>
      <w:r>
        <w:rPr>
          <w:rFonts w:hint="eastAsia" w:ascii="仿宋" w:hAnsi="仿宋" w:eastAsia="仿宋" w:cs="仿宋"/>
          <w:b/>
          <w:color w:val="auto"/>
          <w:spacing w:val="-2"/>
          <w:sz w:val="32"/>
          <w:szCs w:val="32"/>
        </w:rPr>
        <w:t>部门整体支出管理及使用情况</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（一）基本支出</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2021年度基本支出561.42万元，主要用于：</w:t>
      </w:r>
      <w:r>
        <w:rPr>
          <w:rFonts w:hint="eastAsia" w:ascii="仿宋" w:hAnsi="仿宋" w:eastAsia="仿宋" w:cs="仿宋"/>
          <w:color w:val="auto"/>
          <w:kern w:val="2"/>
          <w:sz w:val="32"/>
          <w:szCs w:val="32"/>
          <w:lang w:val="en-US" w:eastAsia="zh-CN" w:bidi="ar-SA"/>
        </w:rPr>
        <w:fldChar w:fldCharType="begin"/>
      </w:r>
      <w:r>
        <w:rPr>
          <w:rFonts w:hint="eastAsia" w:ascii="仿宋" w:hAnsi="仿宋" w:eastAsia="仿宋" w:cs="仿宋"/>
          <w:color w:val="auto"/>
          <w:kern w:val="2"/>
          <w:sz w:val="32"/>
          <w:szCs w:val="32"/>
          <w:lang w:val="en-US" w:eastAsia="zh-CN" w:bidi="ar-SA"/>
        </w:rPr>
        <w:instrText xml:space="preserve"> = 1 \* GB3 \* MERGEFORMAT </w:instrText>
      </w:r>
      <w:r>
        <w:rPr>
          <w:rFonts w:hint="eastAsia" w:ascii="仿宋" w:hAnsi="仿宋" w:eastAsia="仿宋" w:cs="仿宋"/>
          <w:color w:val="auto"/>
          <w:kern w:val="2"/>
          <w:sz w:val="32"/>
          <w:szCs w:val="32"/>
          <w:lang w:val="en-US" w:eastAsia="zh-CN" w:bidi="ar-SA"/>
        </w:rPr>
        <w:fldChar w:fldCharType="separate"/>
      </w:r>
      <w:r>
        <w:rPr>
          <w:rFonts w:hint="eastAsia" w:ascii="仿宋" w:hAnsi="仿宋" w:eastAsia="仿宋" w:cs="仿宋"/>
          <w:color w:val="auto"/>
          <w:kern w:val="2"/>
          <w:sz w:val="32"/>
          <w:szCs w:val="32"/>
          <w:lang w:val="en-US" w:eastAsia="zh-CN" w:bidi="ar-SA"/>
        </w:rPr>
        <w:t>①</w:t>
      </w:r>
      <w:r>
        <w:rPr>
          <w:rFonts w:hint="eastAsia" w:ascii="仿宋" w:hAnsi="仿宋" w:eastAsia="仿宋" w:cs="仿宋"/>
          <w:color w:val="auto"/>
          <w:kern w:val="2"/>
          <w:sz w:val="32"/>
          <w:szCs w:val="32"/>
          <w:lang w:val="en-US" w:eastAsia="zh-CN" w:bidi="ar-SA"/>
        </w:rPr>
        <w:fldChar w:fldCharType="end"/>
      </w:r>
      <w:r>
        <w:rPr>
          <w:rFonts w:hint="eastAsia" w:ascii="仿宋" w:hAnsi="仿宋" w:eastAsia="仿宋" w:cs="仿宋"/>
          <w:color w:val="auto"/>
          <w:sz w:val="32"/>
          <w:szCs w:val="32"/>
        </w:rPr>
        <w:t>人员支出435.38万元。其中:基本工资支出135.98万元；津补贴99.43万元；奖金102.7万元；机关事业养老缴费39.65万元；职工基本医疗补助缴费20.47万元；其他社会保障缴费3.69万元；其他工资福利支出0.20万元；其他对个人和家庭的补助支出33.18万元。</w:t>
      </w:r>
      <w:r>
        <w:rPr>
          <w:rFonts w:hint="eastAsia" w:ascii="仿宋" w:hAnsi="仿宋" w:eastAsia="仿宋" w:cs="仿宋"/>
          <w:color w:val="auto"/>
          <w:kern w:val="2"/>
          <w:sz w:val="32"/>
          <w:szCs w:val="32"/>
          <w:lang w:val="en-US" w:eastAsia="zh-CN" w:bidi="ar-SA"/>
        </w:rPr>
        <w:fldChar w:fldCharType="begin"/>
      </w:r>
      <w:r>
        <w:rPr>
          <w:rFonts w:hint="eastAsia" w:ascii="仿宋" w:hAnsi="仿宋" w:eastAsia="仿宋" w:cs="仿宋"/>
          <w:color w:val="auto"/>
          <w:kern w:val="2"/>
          <w:sz w:val="32"/>
          <w:szCs w:val="32"/>
          <w:lang w:val="en-US" w:eastAsia="zh-CN" w:bidi="ar-SA"/>
        </w:rPr>
        <w:instrText xml:space="preserve"> = 2 \* GB3 \* MERGEFORMAT </w:instrText>
      </w:r>
      <w:r>
        <w:rPr>
          <w:rFonts w:hint="eastAsia" w:ascii="仿宋" w:hAnsi="仿宋" w:eastAsia="仿宋" w:cs="仿宋"/>
          <w:color w:val="auto"/>
          <w:kern w:val="2"/>
          <w:sz w:val="32"/>
          <w:szCs w:val="32"/>
          <w:lang w:val="en-US" w:eastAsia="zh-CN" w:bidi="ar-SA"/>
        </w:rPr>
        <w:fldChar w:fldCharType="separate"/>
      </w:r>
      <w:r>
        <w:rPr>
          <w:rFonts w:hint="eastAsia" w:ascii="仿宋" w:hAnsi="仿宋" w:eastAsia="仿宋" w:cs="仿宋"/>
          <w:color w:val="auto"/>
          <w:kern w:val="2"/>
          <w:sz w:val="32"/>
          <w:szCs w:val="32"/>
          <w:lang w:val="en-US" w:eastAsia="zh-CN" w:bidi="ar-SA"/>
        </w:rPr>
        <w:t>②</w:t>
      </w:r>
      <w:r>
        <w:rPr>
          <w:rFonts w:hint="eastAsia" w:ascii="仿宋" w:hAnsi="仿宋" w:eastAsia="仿宋" w:cs="仿宋"/>
          <w:color w:val="auto"/>
          <w:kern w:val="2"/>
          <w:sz w:val="32"/>
          <w:szCs w:val="32"/>
          <w:lang w:val="en-US" w:eastAsia="zh-CN" w:bidi="ar-SA"/>
        </w:rPr>
        <w:fldChar w:fldCharType="end"/>
      </w:r>
      <w:r>
        <w:rPr>
          <w:rFonts w:hint="eastAsia" w:ascii="仿宋" w:hAnsi="仿宋" w:eastAsia="仿宋" w:cs="仿宋"/>
          <w:color w:val="auto"/>
          <w:sz w:val="32"/>
          <w:szCs w:val="32"/>
        </w:rPr>
        <w:t>公用商品服务经费支出126.04万元,其中：办公费9.24万元、印刷费2.84万元、邮电费0.36万元、差旅费11.83万元、维修（护）费0.08万元、培训费0.57万元，公务接待费0.83万元、劳务费0.62万元、工会经费12.10万元、福利费15.33万元、公车运行维护费6.92万元、其他交通费用25.16万元、其他商品服务支出38.33万元、资本性支出的办公设备购置1.84万元。</w:t>
      </w:r>
    </w:p>
    <w:p>
      <w:pPr>
        <w:keepNext w:val="0"/>
        <w:keepLines w:val="0"/>
        <w:pageBreakBefore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重</w:t>
      </w:r>
      <w:r>
        <w:rPr>
          <w:rFonts w:hint="eastAsia" w:ascii="仿宋" w:hAnsi="仿宋" w:eastAsia="仿宋" w:cs="仿宋"/>
          <w:color w:val="auto"/>
          <w:sz w:val="32"/>
          <w:szCs w:val="32"/>
        </w:rPr>
        <w:t>点经费项目下达情况：</w:t>
      </w:r>
      <w:r>
        <w:rPr>
          <w:rFonts w:hint="eastAsia" w:ascii="仿宋" w:hAnsi="仿宋" w:eastAsia="仿宋" w:cs="仿宋"/>
          <w:color w:val="auto"/>
          <w:sz w:val="32"/>
          <w:szCs w:val="32"/>
          <w:lang w:val="en-US" w:eastAsia="zh-CN"/>
        </w:rPr>
        <w:t>2021年度共下达3个项目经费，</w:t>
      </w:r>
      <w:r>
        <w:rPr>
          <w:rFonts w:hint="eastAsia" w:ascii="仿宋" w:hAnsi="仿宋" w:eastAsia="仿宋" w:cs="仿宋"/>
          <w:color w:val="auto"/>
          <w:sz w:val="32"/>
          <w:szCs w:val="32"/>
          <w:lang w:eastAsia="zh-CN"/>
        </w:rPr>
        <w:t>一是</w:t>
      </w:r>
      <w:r>
        <w:rPr>
          <w:rFonts w:hint="eastAsia" w:ascii="仿宋" w:hAnsi="仿宋" w:eastAsia="仿宋" w:cs="仿宋"/>
          <w:color w:val="auto"/>
          <w:sz w:val="32"/>
          <w:szCs w:val="32"/>
        </w:rPr>
        <w:t>打击政治非法出版专项经费3万元</w:t>
      </w:r>
      <w:r>
        <w:rPr>
          <w:rFonts w:hint="eastAsia" w:ascii="仿宋" w:hAnsi="仿宋" w:eastAsia="仿宋" w:cs="仿宋"/>
          <w:color w:val="auto"/>
          <w:sz w:val="32"/>
          <w:szCs w:val="32"/>
          <w:lang w:eastAsia="zh-CN"/>
        </w:rPr>
        <w:t>，二是</w:t>
      </w:r>
      <w:r>
        <w:rPr>
          <w:rFonts w:hint="eastAsia" w:ascii="仿宋" w:hAnsi="仿宋" w:eastAsia="仿宋" w:cs="仿宋"/>
          <w:color w:val="auto"/>
          <w:sz w:val="32"/>
          <w:szCs w:val="32"/>
        </w:rPr>
        <w:t>“扫黄打非”专项整治经费6万元</w:t>
      </w:r>
      <w:r>
        <w:rPr>
          <w:rFonts w:hint="eastAsia" w:ascii="仿宋" w:hAnsi="仿宋" w:eastAsia="仿宋" w:cs="仿宋"/>
          <w:color w:val="auto"/>
          <w:sz w:val="32"/>
          <w:szCs w:val="32"/>
          <w:lang w:eastAsia="zh-CN"/>
        </w:rPr>
        <w:t>，三是</w:t>
      </w:r>
      <w:r>
        <w:rPr>
          <w:rFonts w:hint="eastAsia" w:ascii="仿宋" w:hAnsi="仿宋" w:eastAsia="仿宋" w:cs="仿宋"/>
          <w:color w:val="auto"/>
          <w:sz w:val="32"/>
          <w:szCs w:val="32"/>
        </w:rPr>
        <w:t>网吧专项整治经费3万元。</w:t>
      </w:r>
    </w:p>
    <w:p>
      <w:pPr>
        <w:keepNext w:val="0"/>
        <w:keepLines w:val="0"/>
        <w:pageBreakBefore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kern w:val="2"/>
          <w:sz w:val="32"/>
          <w:szCs w:val="32"/>
          <w:lang w:val="en-US" w:eastAsia="zh-CN" w:bidi="ar-SA"/>
        </w:rPr>
        <w:t>（3）</w:t>
      </w:r>
      <w:r>
        <w:rPr>
          <w:rFonts w:hint="eastAsia" w:ascii="仿宋" w:hAnsi="仿宋" w:eastAsia="仿宋" w:cs="仿宋"/>
          <w:color w:val="auto"/>
          <w:sz w:val="32"/>
          <w:szCs w:val="32"/>
        </w:rPr>
        <w:t>三公经费的使用及管理情况</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按预算严格控制“三公”经费支出</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为加强招待费管理，单位制定招待费管理制度。</w:t>
      </w:r>
      <w:r>
        <w:rPr>
          <w:rFonts w:hint="eastAsia" w:ascii="仿宋" w:hAnsi="仿宋" w:eastAsia="仿宋" w:cs="仿宋"/>
          <w:color w:val="auto"/>
          <w:sz w:val="32"/>
          <w:szCs w:val="32"/>
          <w:lang w:eastAsia="zh-CN"/>
        </w:rPr>
        <w:t>一是</w:t>
      </w:r>
      <w:r>
        <w:rPr>
          <w:rFonts w:hint="eastAsia" w:ascii="仿宋" w:hAnsi="仿宋" w:eastAsia="仿宋" w:cs="仿宋"/>
          <w:color w:val="auto"/>
          <w:sz w:val="32"/>
          <w:szCs w:val="32"/>
        </w:rPr>
        <w:t>实行派餐申报制度。接待科室须事前到办公室财务申报，经办公室向分管局长汇报同意，方可接待。统一结账时，先交办公室负责审核，无接待明细单据，无领导审批不予报销。</w:t>
      </w:r>
      <w:r>
        <w:rPr>
          <w:rFonts w:hint="eastAsia" w:ascii="仿宋" w:hAnsi="仿宋" w:eastAsia="仿宋" w:cs="仿宋"/>
          <w:color w:val="auto"/>
          <w:sz w:val="32"/>
          <w:szCs w:val="32"/>
          <w:lang w:eastAsia="zh-CN"/>
        </w:rPr>
        <w:t>二是</w:t>
      </w:r>
      <w:r>
        <w:rPr>
          <w:rFonts w:hint="eastAsia" w:ascii="仿宋" w:hAnsi="仿宋" w:eastAsia="仿宋" w:cs="仿宋"/>
          <w:color w:val="auto"/>
          <w:sz w:val="32"/>
          <w:szCs w:val="32"/>
        </w:rPr>
        <w:t>厉行节约，三公经费的开支，严格按照市委市政府文件要求执行。2021年度“三公”经费预算数10.7万元</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其中</w:t>
      </w:r>
      <w:r>
        <w:rPr>
          <w:rFonts w:hint="eastAsia" w:ascii="仿宋" w:hAnsi="仿宋" w:eastAsia="仿宋" w:cs="仿宋"/>
          <w:color w:val="auto"/>
          <w:sz w:val="32"/>
          <w:szCs w:val="32"/>
          <w:highlight w:val="none"/>
        </w:rPr>
        <w:t>公务接待费预算数3.5万元，通过对公务接待加强管理，2021年招待费决算数为0.83万元，减少开支2.67万元；2021年公务用车运行费预算数7.2万</w:t>
      </w:r>
      <w:r>
        <w:rPr>
          <w:rFonts w:hint="eastAsia" w:ascii="仿宋" w:hAnsi="仿宋" w:eastAsia="仿宋" w:cs="仿宋"/>
          <w:color w:val="auto"/>
          <w:sz w:val="32"/>
          <w:szCs w:val="32"/>
          <w:highlight w:val="none"/>
          <w:lang w:val="en-US" w:eastAsia="zh-CN"/>
        </w:rPr>
        <w:t>元，通过</w:t>
      </w:r>
      <w:r>
        <w:rPr>
          <w:rFonts w:hint="eastAsia" w:ascii="仿宋" w:hAnsi="仿宋" w:eastAsia="仿宋" w:cs="仿宋"/>
          <w:color w:val="auto"/>
          <w:sz w:val="32"/>
          <w:szCs w:val="32"/>
          <w:highlight w:val="none"/>
        </w:rPr>
        <w:t>加强公务用车管理，单位出台了一系列公车管理制度，2021年公务用车运行费6.92万元，减少开支0.28万元；出国（境）经费2020年为0，2021年为0</w:t>
      </w:r>
      <w:r>
        <w:rPr>
          <w:rFonts w:hint="eastAsia" w:ascii="仿宋" w:hAnsi="仿宋" w:eastAsia="仿宋" w:cs="仿宋"/>
          <w:color w:val="auto"/>
          <w:sz w:val="32"/>
          <w:szCs w:val="32"/>
          <w:highlight w:val="none"/>
          <w:lang w:eastAsia="zh-CN"/>
        </w:rPr>
        <w:t>。</w:t>
      </w:r>
    </w:p>
    <w:p>
      <w:pPr>
        <w:keepNext w:val="0"/>
        <w:keepLines w:val="0"/>
        <w:pageBreakBefore w:val="0"/>
        <w:numPr>
          <w:ilvl w:val="0"/>
          <w:numId w:val="4"/>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专项支出：单位无发生专项支出</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left="0" w:leftChars="0" w:firstLine="632" w:firstLineChars="200"/>
        <w:textAlignment w:val="auto"/>
        <w:rPr>
          <w:rFonts w:hint="eastAsia" w:ascii="仿宋" w:hAnsi="仿宋" w:eastAsia="仿宋" w:cs="仿宋"/>
          <w:b/>
          <w:color w:val="auto"/>
          <w:spacing w:val="-2"/>
          <w:sz w:val="32"/>
          <w:szCs w:val="32"/>
          <w:lang w:val="en-US" w:eastAsia="zh-CN"/>
        </w:rPr>
      </w:pPr>
      <w:r>
        <w:rPr>
          <w:rFonts w:hint="eastAsia" w:ascii="仿宋" w:hAnsi="仿宋" w:eastAsia="仿宋" w:cs="仿宋"/>
          <w:b/>
          <w:color w:val="auto"/>
          <w:spacing w:val="-2"/>
          <w:sz w:val="32"/>
          <w:szCs w:val="32"/>
          <w:lang w:val="en-US" w:eastAsia="zh-CN"/>
        </w:rPr>
        <w:t>三、部门专项组织实施情况</w:t>
      </w:r>
    </w:p>
    <w:p>
      <w:pPr>
        <w:keepNext w:val="0"/>
        <w:keepLines w:val="0"/>
        <w:pageBreakBefore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lang w:val="en-US" w:eastAsia="zh-CN"/>
        </w:rPr>
        <w:t>1.</w:t>
      </w:r>
      <w:r>
        <w:rPr>
          <w:rFonts w:hint="eastAsia" w:ascii="仿宋" w:hAnsi="仿宋" w:eastAsia="仿宋" w:cs="仿宋"/>
          <w:b/>
          <w:color w:val="auto"/>
          <w:sz w:val="32"/>
          <w:szCs w:val="32"/>
        </w:rPr>
        <w:t>持续严管文旅市场。</w:t>
      </w:r>
      <w:r>
        <w:rPr>
          <w:rFonts w:hint="eastAsia" w:ascii="仿宋" w:hAnsi="仿宋" w:eastAsia="仿宋" w:cs="仿宋"/>
          <w:color w:val="auto"/>
          <w:sz w:val="32"/>
          <w:szCs w:val="32"/>
        </w:rPr>
        <w:t>加大了文旅市场案件查办力度，积极受理文旅市场各类投诉举报。</w:t>
      </w:r>
      <w:r>
        <w:rPr>
          <w:rFonts w:hint="eastAsia" w:ascii="仿宋" w:hAnsi="仿宋" w:eastAsia="仿宋" w:cs="仿宋"/>
          <w:color w:val="auto"/>
          <w:kern w:val="0"/>
          <w:sz w:val="32"/>
          <w:szCs w:val="32"/>
        </w:rPr>
        <w:t>深入</w:t>
      </w:r>
      <w:r>
        <w:rPr>
          <w:rStyle w:val="16"/>
          <w:rFonts w:hint="eastAsia" w:ascii="仿宋" w:hAnsi="仿宋" w:eastAsia="仿宋" w:cs="仿宋"/>
          <w:bCs/>
          <w:color w:val="auto"/>
          <w:kern w:val="0"/>
          <w:sz w:val="32"/>
          <w:szCs w:val="32"/>
          <w:shd w:val="clear" w:color="auto" w:fill="FFFFFF"/>
        </w:rPr>
        <w:t>持续</w:t>
      </w:r>
      <w:r>
        <w:rPr>
          <w:rFonts w:hint="eastAsia" w:ascii="仿宋" w:hAnsi="仿宋" w:eastAsia="仿宋" w:cs="仿宋"/>
          <w:color w:val="auto"/>
          <w:kern w:val="0"/>
          <w:sz w:val="32"/>
          <w:szCs w:val="32"/>
        </w:rPr>
        <w:t>开展了净化校园周边文化市场环境整治行动。加强网吧市场专项治理，严肃查处了网吧违规接纳未成年人等行为；加强了娱乐演艺市场的监管。开展了以查处无证经营、接纳未成年人、违禁歌曲、低俗表演、虚假宣传及炒票等为重点的“春雷”专项整治行动；持续开展“黑导游”、“低价游”专项整治，开展了全市旅游市场的暗访督查。市支队旅游执法大队办理的《湖南洪凌生态农业开发有限公司怀化分公司未经许可经营旅行社业务》一案被省厅评为重大案件；落实广播电视地面接收设施专项整治，对市城区的影院、星级宾馆进行了全面的检查。</w:t>
      </w:r>
      <w:r>
        <w:rPr>
          <w:rFonts w:hint="eastAsia" w:ascii="仿宋" w:hAnsi="仿宋" w:eastAsia="仿宋" w:cs="仿宋"/>
          <w:color w:val="auto"/>
          <w:sz w:val="32"/>
          <w:szCs w:val="32"/>
        </w:rPr>
        <w:t>落实社会信用体系建设工作，</w:t>
      </w:r>
      <w:r>
        <w:rPr>
          <w:rFonts w:hint="eastAsia" w:ascii="仿宋" w:hAnsi="仿宋" w:eastAsia="仿宋" w:cs="仿宋"/>
          <w:color w:val="auto"/>
          <w:kern w:val="0"/>
          <w:sz w:val="32"/>
          <w:szCs w:val="32"/>
        </w:rPr>
        <w:t>对严重违规的文化市场经营单位和文化产品实施黑名单管理上传平台并予以公布。</w:t>
      </w:r>
      <w:r>
        <w:rPr>
          <w:rFonts w:hint="eastAsia" w:ascii="仿宋" w:hAnsi="仿宋" w:eastAsia="仿宋" w:cs="仿宋"/>
          <w:color w:val="auto"/>
          <w:sz w:val="32"/>
          <w:szCs w:val="32"/>
        </w:rPr>
        <w:t>截至11月30日为止，文化市场技术监管与服务平台上统计显示：市区两级执法机构共完成市场巡查15706次；办结案件340件（市支队办结案件96件），其中：网吧类187件、游戏游艺类13件、歌舞娱乐类82件、出版物类16件、印刷类32件、著作权类5件、旅游类3件、广电类1件、文物类1件。日常检查、执法办案等综合数据暂处全省靠前。</w:t>
      </w:r>
      <w:r>
        <w:rPr>
          <w:rFonts w:hint="eastAsia" w:ascii="仿宋" w:hAnsi="仿宋" w:eastAsia="仿宋" w:cs="仿宋"/>
          <w:color w:val="auto"/>
          <w:sz w:val="32"/>
          <w:szCs w:val="32"/>
          <w:lang w:val="en-US" w:eastAsia="zh-CN"/>
        </w:rPr>
        <w:t>2.</w:t>
      </w:r>
      <w:r>
        <w:rPr>
          <w:rFonts w:hint="eastAsia" w:ascii="仿宋" w:hAnsi="仿宋" w:eastAsia="仿宋" w:cs="仿宋"/>
          <w:b/>
          <w:bCs/>
          <w:color w:val="auto"/>
          <w:kern w:val="0"/>
          <w:sz w:val="32"/>
          <w:szCs w:val="32"/>
        </w:rPr>
        <w:t>深入开展“扫黄打非”工作。</w:t>
      </w:r>
      <w:r>
        <w:rPr>
          <w:rFonts w:hint="eastAsia" w:ascii="仿宋" w:hAnsi="仿宋" w:eastAsia="仿宋" w:cs="仿宋"/>
          <w:color w:val="auto"/>
          <w:kern w:val="0"/>
          <w:sz w:val="32"/>
          <w:szCs w:val="32"/>
        </w:rPr>
        <w:t>强化“红线”意识和“底线”思维，保持高压态势，加强对昌顺雪峰书市、家电城音像批发市场、银河电脑城、福兴数码广场三大出版物市场和印刷复制行业的监管力度</w:t>
      </w:r>
      <w:r>
        <w:rPr>
          <w:rFonts w:hint="eastAsia" w:ascii="仿宋" w:hAnsi="仿宋" w:eastAsia="仿宋" w:cs="仿宋"/>
          <w:color w:val="auto"/>
          <w:sz w:val="32"/>
          <w:szCs w:val="32"/>
        </w:rPr>
        <w:t>。</w:t>
      </w:r>
      <w:r>
        <w:rPr>
          <w:rFonts w:hint="eastAsia" w:ascii="仿宋" w:hAnsi="仿宋" w:eastAsia="仿宋" w:cs="仿宋"/>
          <w:color w:val="auto"/>
          <w:kern w:val="0"/>
          <w:sz w:val="32"/>
          <w:szCs w:val="32"/>
        </w:rPr>
        <w:t>把封堵查缴非法政治性等“三类违禁”出版物和有害信息作为“扫黄打非”工作重中之重，深入开展了“护苗”、“净网”等专项行动，全面扫除非法政治性、淫秽色情、侵权盗版出版物及不良信息。开展了以校园周边小书店、电子游戏室、文具店违规售卖“口袋书”和教材教辅等为重点的专项整治行动，</w:t>
      </w:r>
      <w:r>
        <w:rPr>
          <w:rStyle w:val="16"/>
          <w:rFonts w:hint="eastAsia" w:ascii="仿宋" w:hAnsi="仿宋" w:eastAsia="仿宋" w:cs="仿宋"/>
          <w:bCs/>
          <w:color w:val="auto"/>
          <w:kern w:val="0"/>
          <w:sz w:val="32"/>
          <w:szCs w:val="32"/>
          <w:shd w:val="clear" w:color="auto" w:fill="FFFFFF"/>
        </w:rPr>
        <w:t>为未成年人营造了良好的成长环境。办理了《江石发行违禁出版物》、《鹤城区贰肆捌广告店未经著作权人许可，复制其作品》等一批有较大影响力的出版物经营案件，</w:t>
      </w:r>
      <w:r>
        <w:rPr>
          <w:rFonts w:hint="eastAsia" w:ascii="仿宋" w:hAnsi="仿宋" w:eastAsia="仿宋" w:cs="仿宋"/>
          <w:color w:val="auto"/>
          <w:kern w:val="0"/>
          <w:sz w:val="32"/>
          <w:szCs w:val="32"/>
        </w:rPr>
        <w:t>收缴各类侵权盗版出版物1000余册。</w:t>
      </w:r>
      <w:r>
        <w:rPr>
          <w:rFonts w:hint="eastAsia" w:ascii="仿宋" w:hAnsi="仿宋" w:eastAsia="仿宋" w:cs="仿宋"/>
          <w:color w:val="auto"/>
          <w:kern w:val="0"/>
          <w:sz w:val="32"/>
          <w:szCs w:val="32"/>
          <w:lang w:val="en-US" w:eastAsia="zh-CN"/>
        </w:rPr>
        <w:t>3.</w:t>
      </w:r>
      <w:r>
        <w:rPr>
          <w:rFonts w:hint="eastAsia" w:ascii="仿宋" w:hAnsi="仿宋" w:eastAsia="仿宋" w:cs="仿宋"/>
          <w:b/>
          <w:color w:val="auto"/>
          <w:kern w:val="0"/>
          <w:sz w:val="32"/>
          <w:szCs w:val="32"/>
        </w:rPr>
        <w:t>深入开展扫黑除恶常态化工作。</w:t>
      </w:r>
      <w:r>
        <w:rPr>
          <w:rFonts w:hint="eastAsia" w:ascii="仿宋" w:hAnsi="仿宋" w:eastAsia="仿宋" w:cs="仿宋"/>
          <w:color w:val="auto"/>
          <w:kern w:val="0"/>
          <w:sz w:val="32"/>
          <w:szCs w:val="32"/>
        </w:rPr>
        <w:t>加强扫黑除恶线索摸排和督导检查，及时掌握市城区文化旅游市场的情况。以行业治乱为重点，</w:t>
      </w:r>
      <w:r>
        <w:rPr>
          <w:rFonts w:hint="eastAsia" w:ascii="仿宋" w:hAnsi="仿宋" w:eastAsia="仿宋" w:cs="仿宋"/>
          <w:color w:val="auto"/>
          <w:sz w:val="32"/>
          <w:szCs w:val="32"/>
        </w:rPr>
        <w:t>积极</w:t>
      </w:r>
      <w:r>
        <w:rPr>
          <w:rFonts w:hint="eastAsia" w:ascii="仿宋" w:hAnsi="仿宋" w:eastAsia="仿宋" w:cs="仿宋"/>
          <w:color w:val="auto"/>
          <w:kern w:val="0"/>
          <w:sz w:val="32"/>
          <w:szCs w:val="32"/>
        </w:rPr>
        <w:t>引导和鼓励文化市场各经营业主通过举报电话积极检举揭发文化市场行业内部欺压同行、称霸市场、无证经营和扰乱行业秩序等违法违规经营行为，积极维护市场的公平正义。通过积极汇报，市政府积极协调市、区两级各相关行政职能部门，原市城区13家无证经营的歌舞娱乐场所目前已办理好10家，其余正在办理中。</w:t>
      </w:r>
      <w:r>
        <w:rPr>
          <w:rFonts w:hint="eastAsia" w:ascii="仿宋" w:hAnsi="仿宋" w:eastAsia="仿宋" w:cs="仿宋"/>
          <w:color w:val="auto"/>
          <w:kern w:val="0"/>
          <w:sz w:val="32"/>
          <w:szCs w:val="32"/>
          <w:lang w:val="en-US" w:eastAsia="zh-CN"/>
        </w:rPr>
        <w:t>4.</w:t>
      </w:r>
      <w:r>
        <w:rPr>
          <w:rFonts w:hint="eastAsia" w:ascii="仿宋" w:hAnsi="仿宋" w:eastAsia="仿宋" w:cs="仿宋"/>
          <w:b/>
          <w:color w:val="auto"/>
          <w:sz w:val="32"/>
          <w:szCs w:val="32"/>
        </w:rPr>
        <w:t>严格落实安全生产责任。</w:t>
      </w:r>
      <w:r>
        <w:rPr>
          <w:rFonts w:hint="eastAsia" w:ascii="仿宋" w:hAnsi="仿宋" w:eastAsia="仿宋" w:cs="仿宋"/>
          <w:color w:val="auto"/>
          <w:sz w:val="32"/>
          <w:szCs w:val="32"/>
        </w:rPr>
        <w:t>与文旅市场日常巡查同步进行，切实履行文化旅游市场安全生产监管责任，加强安全生产宣传，督促辖区文化市场经营单位、旅游景区、旅行社全面落实安全生产主体责任。在对日常巡查中发现安全隐患要责令立即整改或限时整改到位，并严格按照要求落实痕迹化管理。开展了安全生产隐患排查整治。先后开展了“元旦”、“春节”、“五一”、“端午”、“中秋”、“国庆”期间文化市场安全生产隐患排查整治。持续开展市城区文旅市场“打非治违”工作。2021年10月中旬至2022年3月上旬，集中开展全市文化旅游市场安全生产“大排查大整治大整改”专项行动。1月底，市、区两级相关职能部门对存在安全生产隐患，无证经营的夜未央娱乐公馆等娱乐场所进行了联合取缔或关停。今年以来，排查整改安全生产隐患40余个，及时消除了安全生产隐患。</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left="0" w:leftChars="0" w:firstLine="632" w:firstLineChars="200"/>
        <w:textAlignment w:val="auto"/>
        <w:rPr>
          <w:rFonts w:hint="eastAsia" w:ascii="仿宋" w:hAnsi="仿宋" w:eastAsia="仿宋" w:cs="仿宋"/>
          <w:b/>
          <w:color w:val="auto"/>
          <w:spacing w:val="-2"/>
          <w:sz w:val="32"/>
          <w:szCs w:val="32"/>
        </w:rPr>
      </w:pPr>
      <w:r>
        <w:rPr>
          <w:rFonts w:hint="eastAsia" w:ascii="仿宋" w:hAnsi="仿宋" w:eastAsia="仿宋" w:cs="仿宋"/>
          <w:b/>
          <w:color w:val="auto"/>
          <w:spacing w:val="-2"/>
          <w:sz w:val="32"/>
          <w:szCs w:val="32"/>
        </w:rPr>
        <w:t>四、资产管理情况</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资产管理。对单位确需购置的固定资产，由使用部门提出申请，分管部门的副支队长签署“拟同意购买”或“拟不同意购买”的意见后，报支队长审批或集体讨论决定。对属于政府采购的项目必须执行政府采购。采购与验收实行专人负责。对大宗、贵重物品，单位领导必须亲自参与验收。办公用品、办公设备设施等由办公室统一采购，统一分发，统一管理严格采购程序。办公用品采购，事前申报由相关科室事先提出采购计划，经分管财务副支队长同意后，由办公室统一采购。除数额较小（100元）的日常办公用品采购外，所有经费开支必须坚持先申报，后开支，凡事前没有申报的不予报销；成立询价小组（由纪检监察室、办公室、承办人组成），对重大项目的采购实行政府采购制度，并严格执行货物验收程序。日常办公用品由办公室专人统一保管和分发，各科室到办公室领取办公用品，应根据工作需要，坚持“勤俭节约、即用即领”的原则，不乱领，不多领。</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办公设备维护。要求各科室根据实际情况，及时向办公室报告，由办公室对单位办公设备统一维护、处理、办公用品保管。各科室办公用品、贵重物品由各科室自己保管，公共区域办公用品、贵重物品由办公室保管，办公室建立物品收发登记本，对贵重物品实行登记制度。对除房屋、建筑物以外的固定资产实行“谁使用、谁保管、谁维护”的原则。</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三）处置资产的程序。我单位在处置固定资产时，由财务人员到财政部门领取并填写《国有资产处置审批表》，同时提供被处置资产的有关资料（包括被处置资产原始凭证复印件、鉴定资料及有关证明等），按权限报分管副支队长、支队长审批决定，并经财政部门审查批准后进行处置。</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四）资产清查。为保证单位财产物资的账实相符，每年进行两次财产物资清查盘点工作。按清查结果进行相应的财务处理；对盘亏的财产物资应查明原因，落实责任。每年6月、12月，对单位的固定资产进行一次清查。清查盘点工作，由财务部门牵头，使用部门、保管部门配合，对单位财产物资进行具体的清查盘点。</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left="0" w:leftChars="0" w:firstLine="632" w:firstLineChars="200"/>
        <w:textAlignment w:val="auto"/>
        <w:rPr>
          <w:rFonts w:hint="eastAsia" w:ascii="仿宋" w:hAnsi="仿宋" w:eastAsia="仿宋" w:cs="仿宋"/>
          <w:b/>
          <w:color w:val="auto"/>
          <w:spacing w:val="-2"/>
          <w:sz w:val="32"/>
          <w:szCs w:val="32"/>
        </w:rPr>
      </w:pPr>
      <w:r>
        <w:rPr>
          <w:rFonts w:hint="eastAsia" w:ascii="仿宋" w:hAnsi="仿宋" w:eastAsia="仿宋" w:cs="仿宋"/>
          <w:b/>
          <w:color w:val="auto"/>
          <w:spacing w:val="-2"/>
          <w:sz w:val="32"/>
          <w:szCs w:val="32"/>
        </w:rPr>
        <w:t>五、部门整体支出绩效情况</w:t>
      </w:r>
    </w:p>
    <w:p>
      <w:pPr>
        <w:keepNext w:val="0"/>
        <w:keepLines w:val="0"/>
        <w:pageBreakBefore w:val="0"/>
        <w:numPr>
          <w:ilvl w:val="0"/>
          <w:numId w:val="5"/>
        </w:numPr>
        <w:kinsoku/>
        <w:wordWrap/>
        <w:overflowPunct/>
        <w:topLinePunct w:val="0"/>
        <w:autoSpaceDE/>
        <w:autoSpaceDN/>
        <w:bidi w:val="0"/>
        <w:adjustRightInd/>
        <w:snapToGrid/>
        <w:spacing w:line="600" w:lineRule="exact"/>
        <w:ind w:left="0" w:leftChars="0" w:firstLine="632" w:firstLineChars="200"/>
        <w:textAlignment w:val="auto"/>
        <w:rPr>
          <w:rFonts w:hint="eastAsia" w:ascii="仿宋" w:hAnsi="仿宋" w:eastAsia="仿宋" w:cs="仿宋"/>
          <w:b w:val="0"/>
          <w:bCs/>
          <w:color w:val="auto"/>
          <w:sz w:val="32"/>
          <w:szCs w:val="32"/>
        </w:rPr>
      </w:pPr>
      <w:r>
        <w:rPr>
          <w:rFonts w:hint="eastAsia" w:ascii="仿宋" w:hAnsi="仿宋" w:eastAsia="仿宋" w:cs="仿宋"/>
          <w:b w:val="0"/>
          <w:bCs/>
          <w:color w:val="auto"/>
          <w:spacing w:val="-2"/>
          <w:sz w:val="32"/>
          <w:szCs w:val="32"/>
          <w:lang w:val="en-US" w:eastAsia="zh-CN"/>
        </w:rPr>
        <w:t>党建工作。</w:t>
      </w:r>
      <w:r>
        <w:rPr>
          <w:rFonts w:hint="eastAsia" w:ascii="仿宋" w:hAnsi="仿宋" w:eastAsia="仿宋" w:cs="仿宋"/>
          <w:b w:val="0"/>
          <w:bCs/>
          <w:color w:val="auto"/>
          <w:sz w:val="32"/>
          <w:szCs w:val="32"/>
        </w:rPr>
        <w:t>严抓支部党建工作</w:t>
      </w:r>
      <w:r>
        <w:rPr>
          <w:rFonts w:hint="eastAsia" w:ascii="仿宋" w:hAnsi="仿宋" w:eastAsia="仿宋" w:cs="仿宋"/>
          <w:b w:val="0"/>
          <w:bCs/>
          <w:color w:val="auto"/>
          <w:sz w:val="32"/>
          <w:szCs w:val="32"/>
          <w:lang w:eastAsia="zh-CN"/>
        </w:rPr>
        <w:t>，</w:t>
      </w:r>
      <w:r>
        <w:rPr>
          <w:rFonts w:hint="eastAsia" w:ascii="仿宋" w:hAnsi="仿宋" w:eastAsia="仿宋" w:cs="仿宋"/>
          <w:b w:val="0"/>
          <w:bCs/>
          <w:color w:val="auto"/>
          <w:sz w:val="32"/>
          <w:szCs w:val="32"/>
        </w:rPr>
        <w:t>紧紧围绕“五化”支部建设、学习强国学习平台、支部主题党日活动开展、“三会一课”制度落实等主要内容，严格按照全年工作计划稳步推进。全面开展党史教育活动。坚持以自学与集中学习相结合，以《中国共产党简史》、《毛泽东邓小平江泽民胡锦涛关于中国共产党历史论述摘编》、《论中国共产党历史》等为主要学习内容，逐步逐项完成党员学习任务。并在学习中做到“四有”，即有考勤签到、有会议记录、有学习笔记、有讨论体会。1—11月份，共组织党员党史专题学习4次；书记上党课6次；学习习近平重要讲话精神、党纪党规、党风廉政集中学习5次，提升了党员同志的理论水平，也增强了党员的党性修养和政治觉悟。截止目前，在学习强国平台上，禹舒洋、符燕斌、胡巍、曾拥军等党员同志学习积分进入年度文化旅游广电体育系统适时排名前10。积极推进党支部“五化”建设。继续开展“三示范”（示范科室、示范窗口、示范岗位）创建活动。组织党员义务献血活动1次、开展主题党日活动11次、党员志愿服务活动10次、组织集中观看脱贫攻坚总结表彰大会、组织观看党史教育文献记录电影1次、乘坐“通道转兵号”红色专列开展党史教育活动1次。开展党费收缴专项检查，规范党费收缴管理使用。组织党员“我为群众办实事”，入茅谷冲社区无物管小区卫生帮扶活动30余次。开展“点燃受灾群众新希望”、“点亮微心愿党群圆梦行”、“爱心助残日”捐款活动，共捐款12950元。开展落实了全员新冠预防接种工作。安排1名优秀干部到通道县坪坦乡半坡村长期驻村蹲点助推乡村振兴计划，落实下盘村党员联系和走访工作，完成年度走访村民、慰问3名特困党员的任务。推进党风廉政建设。坚决落实中央八项规定、省委九项规定及市委相关规定，对“四风”问题紧盯不放，加强“三公”经费管理，加强人员管理和党风廉政教育，严肃查处不作为、慢作为、乱作为行为。</w:t>
      </w:r>
    </w:p>
    <w:p>
      <w:pPr>
        <w:keepNext w:val="0"/>
        <w:keepLines w:val="0"/>
        <w:pageBreakBefore w:val="0"/>
        <w:numPr>
          <w:ilvl w:val="0"/>
          <w:numId w:val="5"/>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cs="仿宋"/>
          <w:b w:val="0"/>
          <w:bCs/>
          <w:color w:val="auto"/>
          <w:sz w:val="32"/>
          <w:szCs w:val="32"/>
        </w:rPr>
      </w:pPr>
      <w:r>
        <w:rPr>
          <w:rFonts w:hint="eastAsia" w:ascii="仿宋" w:hAnsi="仿宋" w:eastAsia="仿宋" w:cs="仿宋"/>
          <w:b w:val="0"/>
          <w:bCs/>
          <w:color w:val="auto"/>
          <w:sz w:val="32"/>
          <w:szCs w:val="32"/>
        </w:rPr>
        <w:t>执法规范化建设</w:t>
      </w:r>
      <w:r>
        <w:rPr>
          <w:rFonts w:hint="eastAsia" w:ascii="仿宋" w:hAnsi="仿宋" w:eastAsia="仿宋" w:cs="仿宋"/>
          <w:b w:val="0"/>
          <w:bCs/>
          <w:color w:val="auto"/>
          <w:sz w:val="32"/>
          <w:szCs w:val="32"/>
          <w:lang w:val="en-US" w:eastAsia="zh-CN"/>
        </w:rPr>
        <w:t>。</w:t>
      </w:r>
      <w:r>
        <w:rPr>
          <w:rFonts w:hint="eastAsia" w:ascii="仿宋" w:hAnsi="仿宋" w:eastAsia="仿宋" w:cs="仿宋"/>
          <w:b w:val="0"/>
          <w:bCs/>
          <w:color w:val="auto"/>
          <w:sz w:val="32"/>
          <w:szCs w:val="32"/>
        </w:rPr>
        <w:t>按照“建设学习型机关、打造学习型队伍”的要求，落实了线上的文化市场技术监管平台学习和线下的春季文旅市场法律法规业务集中培训活动，努力提高执法队伍业务素质。在市城区范围开展了文化市场“双随机、一公开”工作。按照新的《三定方案》要求，基本完成中层干部配置工作，并将执法任务和责任落实到各执法大队的具体执法人员和执法岗位，强化文化市场事中事后监管，规范执法行为。完善行政执法审批内部工作程序，严格执行一案一卷、一案一结、网上平台办案与纸质案卷同步等具体要求。先后制定并实施《怀化市文化市场行政执法公示制度》、《行政执法全过程记录制度》、《怀化市文化市场重大行政执法决定法制审核制度》等三项制度及《怀化市文化旅游行政处罚自由裁量权实施办法》、《怀化市文化旅游行政处罚自由裁量基准》等文件，严肃查处超越职权，滥用职权、随意处罚的违法行为。实施涉案物品处理责任和监督制。规范证物室并及时整理物品保管仓库，确定专人按规定履行好工作职责。把2017年至2020年度行政执法案卷全部按照要求归档。严管执法队伍，坚决杜绝执法人员有向文旅市场经营单位索、拿、卡、要的违法违纪行为。</w:t>
      </w:r>
    </w:p>
    <w:p>
      <w:pPr>
        <w:pStyle w:val="5"/>
        <w:keepNext w:val="0"/>
        <w:keepLines w:val="0"/>
        <w:pageBreakBefore w:val="0"/>
        <w:widowControl/>
        <w:numPr>
          <w:ilvl w:val="0"/>
          <w:numId w:val="5"/>
        </w:numP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rPr>
          <w:rFonts w:hint="eastAsia" w:ascii="仿宋" w:hAnsi="仿宋" w:eastAsia="仿宋" w:cs="仿宋"/>
          <w:b w:val="0"/>
          <w:bCs/>
          <w:color w:val="auto"/>
          <w:sz w:val="32"/>
          <w:szCs w:val="32"/>
        </w:rPr>
      </w:pPr>
      <w:r>
        <w:rPr>
          <w:rFonts w:hint="eastAsia" w:ascii="仿宋" w:hAnsi="仿宋" w:eastAsia="仿宋" w:cs="仿宋"/>
          <w:b w:val="0"/>
          <w:bCs/>
          <w:color w:val="auto"/>
          <w:sz w:val="32"/>
          <w:szCs w:val="32"/>
        </w:rPr>
        <w:t>部门整体支出的效率性。做好财务监督，各项资金和经费统一由财会机构进行会计核算，实行财务监督，不准由非财会单位管理各项资金和经费。各科室的事业收入范围和标准严格按照相关法律法规执行，对非税收入执行“收支两条线”管理。以财务独立核算为标准，单位的各项收入支出收单位财务部门统一管理，统一核算。对预算外资金和非税收入等，按收费项目和收费标准严格收取，严禁私设账外账、“小金库”。2021年大力开展专项行动，积极推动文化市场平安、健康、有序发展，我单位年度绩效考核评定为良好单位。</w:t>
      </w:r>
    </w:p>
    <w:p>
      <w:pPr>
        <w:pStyle w:val="5"/>
        <w:keepNext w:val="0"/>
        <w:keepLines w:val="0"/>
        <w:pageBreakBefore w:val="0"/>
        <w:widowControl/>
        <w:numPr>
          <w:ilvl w:val="0"/>
          <w:numId w:val="5"/>
        </w:numPr>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b w:val="0"/>
          <w:bCs/>
          <w:color w:val="auto"/>
          <w:sz w:val="32"/>
          <w:szCs w:val="32"/>
        </w:rPr>
      </w:pPr>
      <w:r>
        <w:rPr>
          <w:rFonts w:hint="eastAsia" w:ascii="仿宋" w:hAnsi="仿宋" w:eastAsia="仿宋" w:cs="仿宋"/>
          <w:b w:val="0"/>
          <w:bCs/>
          <w:color w:val="auto"/>
          <w:sz w:val="32"/>
          <w:szCs w:val="32"/>
        </w:rPr>
        <w:t>部门整体支出的有效性。加强预算及审批报销管理，所有财务支出实行预算管理，非特殊情况不得超过标准，特殊情况应即时报告分管财务副支队长，否则，超支部分不予报销。各项支出实行严格的审批制度。日常财务管理工作由支队长、分管财务的副支队长负责审核，大额财务管理工作由支队领导集体审核；支出管理实行钱、帐、物三分离，确保资金安全；严格按审批程序，财务手续必须完备，否则财会部门不予办理支付手续；任何经济事项，内容必须真实，原始发票必须合法，必须符合《会计法》的有关规定；报销的原始凭证必须有经手人、审批人签字，购物还需有验收人。原始凭证不得涂、改、挖、擦、补，不得使用白纸条，否则不予报销。严格审批。所有财务支出由分管副支队长“一支笔”审批，支队长认可。</w:t>
      </w:r>
    </w:p>
    <w:p>
      <w:pPr>
        <w:pStyle w:val="5"/>
        <w:keepNext w:val="0"/>
        <w:keepLines w:val="0"/>
        <w:pageBreakBefore w:val="0"/>
        <w:widowControl/>
        <w:numPr>
          <w:ilvl w:val="0"/>
          <w:numId w:val="5"/>
        </w:numPr>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b w:val="0"/>
          <w:bCs/>
          <w:color w:val="auto"/>
          <w:sz w:val="32"/>
          <w:szCs w:val="32"/>
        </w:rPr>
      </w:pPr>
      <w:r>
        <w:rPr>
          <w:rFonts w:hint="eastAsia" w:ascii="仿宋" w:hAnsi="仿宋" w:eastAsia="仿宋" w:cs="仿宋"/>
          <w:b w:val="0"/>
          <w:bCs/>
          <w:color w:val="auto"/>
          <w:sz w:val="32"/>
          <w:szCs w:val="32"/>
        </w:rPr>
        <w:t>部门整体支出的可持续性。我单位经费安排财务支出力求做到“量入为出，精打细算，收支平衡，略有节余”；保障正常运转，保障干部职工的基本福利；坚持急事急办、特事特办、日常事务及时办，努力为单位、为干部职工做好经费保障。</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left="0" w:leftChars="0" w:firstLine="632" w:firstLineChars="200"/>
        <w:textAlignment w:val="auto"/>
        <w:rPr>
          <w:rFonts w:hint="eastAsia" w:ascii="仿宋" w:hAnsi="仿宋" w:eastAsia="仿宋" w:cs="仿宋"/>
          <w:b/>
          <w:color w:val="auto"/>
          <w:spacing w:val="-2"/>
          <w:sz w:val="32"/>
          <w:szCs w:val="32"/>
        </w:rPr>
      </w:pPr>
      <w:r>
        <w:rPr>
          <w:rFonts w:hint="eastAsia" w:ascii="仿宋" w:hAnsi="仿宋" w:eastAsia="仿宋" w:cs="仿宋"/>
          <w:b/>
          <w:color w:val="auto"/>
          <w:spacing w:val="-2"/>
          <w:sz w:val="32"/>
          <w:szCs w:val="32"/>
        </w:rPr>
        <w:t>六、存在的主要问题</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我单位担负的文化市场监管执法和巡查任务重、地域广,12345要求有举报要在30分钟赶到现场处置，在实际工作运行中，现有公务用车指标的2台车辆，不能满足工作需要。</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left="0" w:leftChars="0" w:firstLine="632" w:firstLineChars="200"/>
        <w:textAlignment w:val="auto"/>
        <w:rPr>
          <w:rFonts w:hint="eastAsia" w:ascii="仿宋" w:hAnsi="仿宋" w:eastAsia="仿宋" w:cs="仿宋"/>
          <w:b/>
          <w:color w:val="auto"/>
          <w:spacing w:val="-2"/>
          <w:sz w:val="32"/>
          <w:szCs w:val="32"/>
        </w:rPr>
      </w:pPr>
      <w:r>
        <w:rPr>
          <w:rFonts w:hint="eastAsia" w:ascii="仿宋" w:hAnsi="仿宋" w:eastAsia="仿宋" w:cs="仿宋"/>
          <w:b/>
          <w:color w:val="auto"/>
          <w:spacing w:val="-2"/>
          <w:sz w:val="32"/>
          <w:szCs w:val="32"/>
        </w:rPr>
        <w:t>七、改进措施和有关建议</w:t>
      </w:r>
    </w:p>
    <w:p>
      <w:pPr>
        <w:pStyle w:val="12"/>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仿宋" w:hAnsi="仿宋" w:eastAsia="仿宋" w:cs="仿宋"/>
          <w:b/>
          <w:color w:val="auto"/>
          <w:sz w:val="32"/>
          <w:szCs w:val="32"/>
          <w:lang w:val="en-US" w:eastAsia="zh-CN"/>
        </w:rPr>
      </w:pPr>
      <w:r>
        <w:rPr>
          <w:rFonts w:hint="eastAsia" w:ascii="仿宋" w:hAnsi="仿宋" w:eastAsia="仿宋" w:cs="仿宋"/>
          <w:color w:val="auto"/>
          <w:sz w:val="32"/>
          <w:szCs w:val="32"/>
        </w:rPr>
        <w:t>根据省委、省政府办公厅印发的《关于进一步深化文化市场综合执法改革的实施意见》(湘办发[2016]43号)文件精神提出“加强综合执法保障，按照文化部制定的文化市场综合执法装备基础标准，加强执法专用设施设备的配备工作，保障执法需要，综合执法车辆参照其他行政执法的标准予以保障”和文化部《关于加强文化市场综合执法装备配备工作的指导意见》(文市发[2010]39号)文件要求按照每5人配备1台执法车辆标准”的明确要求，现向上级申请增加我单位执法车辆，保障市场执法。</w:t>
      </w:r>
    </w:p>
    <w:p>
      <w:pPr>
        <w:pStyle w:val="12"/>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仿宋" w:hAnsi="仿宋" w:eastAsia="仿宋" w:cs="仿宋"/>
          <w:b/>
          <w:color w:val="auto"/>
          <w:sz w:val="32"/>
          <w:szCs w:val="32"/>
          <w:lang w:val="en-US" w:eastAsia="zh-CN"/>
        </w:rPr>
      </w:pPr>
    </w:p>
    <w:p>
      <w:pPr>
        <w:pStyle w:val="12"/>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仿宋" w:hAnsi="仿宋" w:eastAsia="仿宋" w:cs="仿宋"/>
          <w:b w:val="0"/>
          <w:bCs/>
          <w:color w:val="auto"/>
          <w:sz w:val="32"/>
          <w:szCs w:val="32"/>
          <w:lang w:val="en-US" w:eastAsia="zh-CN"/>
        </w:rPr>
      </w:pPr>
    </w:p>
    <w:sectPr>
      <w:footerReference r:id="rId3" w:type="default"/>
      <w:pgSz w:w="11906" w:h="16838"/>
      <w:pgMar w:top="1417" w:right="1587" w:bottom="1417" w:left="1587"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roman"/>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01BC21"/>
    <w:multiLevelType w:val="singleLevel"/>
    <w:tmpl w:val="8F01BC21"/>
    <w:lvl w:ilvl="0" w:tentative="0">
      <w:start w:val="2"/>
      <w:numFmt w:val="chineseCounting"/>
      <w:suff w:val="nothing"/>
      <w:lvlText w:val="(%1）"/>
      <w:lvlJc w:val="left"/>
      <w:rPr>
        <w:rFonts w:hint="eastAsia"/>
      </w:rPr>
    </w:lvl>
  </w:abstractNum>
  <w:abstractNum w:abstractNumId="1">
    <w:nsid w:val="A02190AA"/>
    <w:multiLevelType w:val="singleLevel"/>
    <w:tmpl w:val="A02190AA"/>
    <w:lvl w:ilvl="0" w:tentative="0">
      <w:start w:val="2"/>
      <w:numFmt w:val="decimal"/>
      <w:suff w:val="nothing"/>
      <w:lvlText w:val="（%1）"/>
      <w:lvlJc w:val="left"/>
    </w:lvl>
  </w:abstractNum>
  <w:abstractNum w:abstractNumId="2">
    <w:nsid w:val="B1490DBA"/>
    <w:multiLevelType w:val="singleLevel"/>
    <w:tmpl w:val="B1490DBA"/>
    <w:lvl w:ilvl="0" w:tentative="0">
      <w:start w:val="1"/>
      <w:numFmt w:val="chineseCounting"/>
      <w:lvlText w:val="第%1部分"/>
      <w:lvlJc w:val="left"/>
      <w:rPr>
        <w:rFonts w:hint="eastAsia"/>
      </w:rPr>
    </w:lvl>
  </w:abstractNum>
  <w:abstractNum w:abstractNumId="3">
    <w:nsid w:val="2D0929F7"/>
    <w:multiLevelType w:val="singleLevel"/>
    <w:tmpl w:val="2D0929F7"/>
    <w:lvl w:ilvl="0" w:tentative="0">
      <w:start w:val="2"/>
      <w:numFmt w:val="chineseCounting"/>
      <w:suff w:val="nothing"/>
      <w:lvlText w:val="%1、"/>
      <w:lvlJc w:val="left"/>
      <w:rPr>
        <w:rFonts w:hint="eastAsia"/>
      </w:rPr>
    </w:lvl>
  </w:abstractNum>
  <w:abstractNum w:abstractNumId="4">
    <w:nsid w:val="2E86C7FE"/>
    <w:multiLevelType w:val="singleLevel"/>
    <w:tmpl w:val="2E86C7FE"/>
    <w:lvl w:ilvl="0" w:tentative="0">
      <w:start w:val="1"/>
      <w:numFmt w:val="chineseCounting"/>
      <w:suff w:val="nothing"/>
      <w:lvlText w:val="（%1）"/>
      <w:lvlJc w:val="left"/>
      <w:pPr>
        <w:ind w:left="0" w:firstLine="420"/>
      </w:pPr>
      <w:rPr>
        <w:rFonts w:hint="eastAsia"/>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4MjM4OGRjMjA1YmIwNDg3YWY0MmMwNWU4YTAwYjIifQ=="/>
  </w:docVars>
  <w:rsids>
    <w:rsidRoot w:val="004506F9"/>
    <w:rsid w:val="0002229B"/>
    <w:rsid w:val="000273BD"/>
    <w:rsid w:val="000415B7"/>
    <w:rsid w:val="00041E3F"/>
    <w:rsid w:val="00055DAA"/>
    <w:rsid w:val="00061F7B"/>
    <w:rsid w:val="000658A3"/>
    <w:rsid w:val="00074155"/>
    <w:rsid w:val="000A3F69"/>
    <w:rsid w:val="00103957"/>
    <w:rsid w:val="00152C6D"/>
    <w:rsid w:val="00162D39"/>
    <w:rsid w:val="001678BD"/>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47E6"/>
    <w:rsid w:val="003C4FC2"/>
    <w:rsid w:val="00416E61"/>
    <w:rsid w:val="0042790C"/>
    <w:rsid w:val="004506F9"/>
    <w:rsid w:val="004717A2"/>
    <w:rsid w:val="00473DF3"/>
    <w:rsid w:val="00487911"/>
    <w:rsid w:val="00491741"/>
    <w:rsid w:val="00500E5F"/>
    <w:rsid w:val="005122EF"/>
    <w:rsid w:val="0051441A"/>
    <w:rsid w:val="00517C33"/>
    <w:rsid w:val="00523644"/>
    <w:rsid w:val="0054069E"/>
    <w:rsid w:val="00544866"/>
    <w:rsid w:val="005767CC"/>
    <w:rsid w:val="00590D9F"/>
    <w:rsid w:val="00595D26"/>
    <w:rsid w:val="005A74E6"/>
    <w:rsid w:val="005B404E"/>
    <w:rsid w:val="005D4D55"/>
    <w:rsid w:val="005E2CFB"/>
    <w:rsid w:val="005F3D1C"/>
    <w:rsid w:val="0062378F"/>
    <w:rsid w:val="00641842"/>
    <w:rsid w:val="00651EEC"/>
    <w:rsid w:val="00691E8C"/>
    <w:rsid w:val="006A22C4"/>
    <w:rsid w:val="006A351B"/>
    <w:rsid w:val="006B0422"/>
    <w:rsid w:val="006C1B53"/>
    <w:rsid w:val="006D7730"/>
    <w:rsid w:val="006E5284"/>
    <w:rsid w:val="006F3EB5"/>
    <w:rsid w:val="00702E34"/>
    <w:rsid w:val="00704395"/>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B33BEA"/>
    <w:rsid w:val="00B51E14"/>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44EE"/>
    <w:rsid w:val="00DD06FF"/>
    <w:rsid w:val="00DD5FE9"/>
    <w:rsid w:val="00E00C7A"/>
    <w:rsid w:val="00E37D6C"/>
    <w:rsid w:val="00E55B68"/>
    <w:rsid w:val="00E67BE6"/>
    <w:rsid w:val="00E8683C"/>
    <w:rsid w:val="00EA2B72"/>
    <w:rsid w:val="00F74360"/>
    <w:rsid w:val="00FB462F"/>
    <w:rsid w:val="00FE16FA"/>
    <w:rsid w:val="00FE328A"/>
    <w:rsid w:val="00FE6269"/>
    <w:rsid w:val="01C54C80"/>
    <w:rsid w:val="02EE79C2"/>
    <w:rsid w:val="05D52403"/>
    <w:rsid w:val="068911E3"/>
    <w:rsid w:val="06AF0C73"/>
    <w:rsid w:val="070F3EAA"/>
    <w:rsid w:val="08743157"/>
    <w:rsid w:val="0AE94136"/>
    <w:rsid w:val="0ED526CE"/>
    <w:rsid w:val="0F191313"/>
    <w:rsid w:val="0F731BC4"/>
    <w:rsid w:val="13721BAD"/>
    <w:rsid w:val="15EE2AC7"/>
    <w:rsid w:val="16C27A12"/>
    <w:rsid w:val="191D0679"/>
    <w:rsid w:val="1CB82955"/>
    <w:rsid w:val="1E460B37"/>
    <w:rsid w:val="1E4B13BC"/>
    <w:rsid w:val="1FB34119"/>
    <w:rsid w:val="20AB0AB7"/>
    <w:rsid w:val="211803A6"/>
    <w:rsid w:val="22196DD2"/>
    <w:rsid w:val="228F6A0D"/>
    <w:rsid w:val="23ED2BF2"/>
    <w:rsid w:val="24C54622"/>
    <w:rsid w:val="2A59051A"/>
    <w:rsid w:val="2C6223C2"/>
    <w:rsid w:val="2FE20A0C"/>
    <w:rsid w:val="32F32407"/>
    <w:rsid w:val="335A2A97"/>
    <w:rsid w:val="393F5C52"/>
    <w:rsid w:val="39DA51C3"/>
    <w:rsid w:val="41532710"/>
    <w:rsid w:val="417C68EE"/>
    <w:rsid w:val="41AD51ED"/>
    <w:rsid w:val="46DD77FA"/>
    <w:rsid w:val="495454BF"/>
    <w:rsid w:val="49C73340"/>
    <w:rsid w:val="4B9F509C"/>
    <w:rsid w:val="4EA61538"/>
    <w:rsid w:val="4FEB2E56"/>
    <w:rsid w:val="534B105D"/>
    <w:rsid w:val="541868D7"/>
    <w:rsid w:val="54AF1ECA"/>
    <w:rsid w:val="555D3AB2"/>
    <w:rsid w:val="56284A86"/>
    <w:rsid w:val="58B6353F"/>
    <w:rsid w:val="596D73E2"/>
    <w:rsid w:val="5D86069A"/>
    <w:rsid w:val="60BF32CA"/>
    <w:rsid w:val="615E5AF5"/>
    <w:rsid w:val="636C4EB9"/>
    <w:rsid w:val="64CE2822"/>
    <w:rsid w:val="658C51BD"/>
    <w:rsid w:val="69073A7F"/>
    <w:rsid w:val="72C10A82"/>
    <w:rsid w:val="7A8A5D97"/>
    <w:rsid w:val="7B6F782B"/>
    <w:rsid w:val="7F8411DA"/>
    <w:rsid w:val="7FC93E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4"/>
    <w:semiHidden/>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semiHidden/>
    <w:unhideWhenUsed/>
    <w:qFormat/>
    <w:uiPriority w:val="99"/>
    <w:rPr>
      <w:color w:val="0000FF"/>
      <w:u w:val="single"/>
    </w:rPr>
  </w:style>
  <w:style w:type="character" w:customStyle="1" w:styleId="10">
    <w:name w:val="页眉 Char"/>
    <w:basedOn w:val="7"/>
    <w:link w:val="4"/>
    <w:qFormat/>
    <w:uiPriority w:val="99"/>
    <w:rPr>
      <w:sz w:val="18"/>
      <w:szCs w:val="18"/>
    </w:rPr>
  </w:style>
  <w:style w:type="character" w:customStyle="1" w:styleId="11">
    <w:name w:val="页脚 Char"/>
    <w:basedOn w:val="7"/>
    <w:link w:val="3"/>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7"/>
    <w:link w:val="2"/>
    <w:semiHidden/>
    <w:qFormat/>
    <w:uiPriority w:val="99"/>
    <w:rPr>
      <w:sz w:val="18"/>
      <w:szCs w:val="18"/>
    </w:rPr>
  </w:style>
  <w:style w:type="character" w:customStyle="1" w:styleId="15">
    <w:name w:val="chapter"/>
    <w:basedOn w:val="7"/>
    <w:qFormat/>
    <w:uiPriority w:val="0"/>
  </w:style>
  <w:style w:type="character" w:customStyle="1" w:styleId="16">
    <w:name w:val="15"/>
    <w:basedOn w:val="7"/>
    <w:qFormat/>
    <w:uiPriority w:val="0"/>
    <w:rPr>
      <w:rFonts w:hint="eastAsia" w:ascii="等线" w:hAnsi="等线" w:eastAsia="等线"/>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8E8E99-0876-4457-84BE-74A901AF77D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24</Pages>
  <Words>11344</Words>
  <Characters>12087</Characters>
  <Lines>62</Lines>
  <Paragraphs>17</Paragraphs>
  <TotalTime>13</TotalTime>
  <ScaleCrop>false</ScaleCrop>
  <LinksUpToDate>false</LinksUpToDate>
  <CharactersWithSpaces>12094</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非鱼</cp:lastModifiedBy>
  <cp:lastPrinted>2022-08-24T00:07:00Z</cp:lastPrinted>
  <dcterms:modified xsi:type="dcterms:W3CDTF">2023-10-06T01:54:02Z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BA128877A88F4A6CAC77B5BE46AABA36_13</vt:lpwstr>
  </property>
</Properties>
</file>