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LwJlDWAAAACgEAAA8AAAAAAAAAAQAgAAAAIgAAAGRycy9kb3du&#10;cmV2LnhtbFBLAQIUABQAAAAIAIdO4kBDKpePOgIAAEwEAAAOAAAAAAAAAAEAIAAAACUBAABkcnMv&#10;ZTJvRG9jLnhtbFBLBQYAAAAABgAGAFkBAADRBQ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怀化市实验中学</w:t>
      </w: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怀化市实验中学</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 xml:space="preserve">二 </w:t>
      </w:r>
      <w:r>
        <w:rPr>
          <w:rFonts w:hint="eastAsia" w:ascii="仿宋_GB2312" w:hAnsi="仿宋_GB2312" w:eastAsia="仿宋_GB2312" w:cs="仿宋_GB2312"/>
          <w:color w:val="000000"/>
          <w:kern w:val="0"/>
          <w:sz w:val="28"/>
          <w:szCs w:val="28"/>
        </w:rPr>
        <w:t>、关于政府采购支出说明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怀化市实验中学</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（一）贯彻执行国家有关中学教育的方针、政策、法规；研究制定实验中学近远期发展规划，编制相关建设资金计划。</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（二）负责实验中学教育、建设与管理工作。</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（三）负责实验中学的防火及安全保卫工作。</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（四）负责对教学及其他专项项目的监督管理工作。</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（五）完成上级交办的其他工作。</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（一）内设机构设置。2023年本单位为正科级公益一类事业单位，隶属怀化市教育局的二级机构。单位内设机构包括教务处、德育处、教研处、总务处、团委、办公室、督导室、综治办7个科室。</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（二）决算单位构成。怀化市实验学校单位2023年部门决算汇总公开单位构成包括：怀化市实验中学单位本级。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object>
          <v:shape id="_x0000_i1025" o:spt="75" type="#_x0000_t75" style="height:522.8pt;width:564.95pt;" o:ole="t" filled="f" o:preferrelative="t" stroked="f" coordsize="21600,21600">
            <v:path/>
            <v:fill on="f" focussize="0,0"/>
            <v:stroke on="f"/>
            <v:imagedata r:id="rId5" o:title=""/>
            <o:lock v:ext="edit" aspectratio="f"/>
            <w10:wrap type="none"/>
            <w10:anchorlock/>
          </v:shape>
          <o:OLEObject Type="Embed" ProgID="Excel.Sheet.12" ShapeID="_x0000_i1025" DrawAspect="Content" ObjectID="_1468075725" r:id="rId4">
            <o:LockedField>false</o:LockedField>
          </o:OLEObject>
        </w:object>
      </w: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object>
          <v:shape id="_x0000_i1026" o:spt="75" type="#_x0000_t75" style="height:441.8pt;width:769.65pt;" o:ole="t" filled="f" o:preferrelative="t" stroked="f" coordsize="21600,21600">
            <v:path/>
            <v:fill on="f" focussize="0,0"/>
            <v:stroke on="f"/>
            <v:imagedata r:id="rId7" o:title=""/>
            <o:lock v:ext="edit" aspectratio="f"/>
            <w10:wrap type="none"/>
            <w10:anchorlock/>
          </v:shape>
          <o:OLEObject Type="Embed" ProgID="Excel.Sheet.12" ShapeID="_x0000_i1026" DrawAspect="Content" ObjectID="_1468075726" r:id="rId6">
            <o:LockedField>false</o:LockedField>
          </o:OLEObject>
        </w:object>
      </w: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object>
          <v:shape id="_x0000_i1027" o:spt="75" type="#_x0000_t75" style="height:453.6pt;width:709.8pt;" o:ole="t" filled="f" o:preferrelative="t" stroked="f" coordsize="21600,21600">
            <v:path/>
            <v:fill on="f" focussize="0,0"/>
            <v:stroke on="f"/>
            <v:imagedata r:id="rId9" o:title=""/>
            <o:lock v:ext="edit" aspectratio="f"/>
            <w10:wrap type="none"/>
            <w10:anchorlock/>
          </v:shape>
          <o:OLEObject Type="Embed" ProgID="Excel.Sheet.12" ShapeID="_x0000_i1027" DrawAspect="Content" ObjectID="_1468075727" r:id="rId8">
            <o:LockedField>false</o:LockedField>
          </o:OLEObject>
        </w:object>
      </w: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object>
          <v:shape id="_x0000_i1028" o:spt="75" type="#_x0000_t75" style="height:523.15pt;width:635.2pt;" o:ole="t" filled="f" o:preferrelative="t" stroked="f" coordsize="21600,21600">
            <v:path/>
            <v:fill on="f" focussize="0,0"/>
            <v:stroke on="f"/>
            <v:imagedata r:id="rId11" o:title=""/>
            <o:lock v:ext="edit" aspectratio="f"/>
            <w10:wrap type="none"/>
            <w10:anchorlock/>
          </v:shape>
          <o:OLEObject Type="Embed" ProgID="Excel.Sheet.12" ShapeID="_x0000_i1028" DrawAspect="Content" ObjectID="_1468075728" r:id="rId10">
            <o:LockedField>false</o:LockedField>
          </o:OLEObject>
        </w:object>
      </w: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object>
          <v:shape id="_x0000_i1029" o:spt="75" type="#_x0000_t75" style="height:406.8pt;width:527.4pt;" o:ole="t" filled="f" o:preferrelative="t" stroked="f" coordsize="21600,21600">
            <v:path/>
            <v:fill on="f" focussize="0,0"/>
            <v:stroke on="f"/>
            <v:imagedata r:id="rId13" o:title=""/>
            <o:lock v:ext="edit" aspectratio="f"/>
            <w10:wrap type="none"/>
            <w10:anchorlock/>
          </v:shape>
          <o:OLEObject Type="Embed" ProgID="Excel.Sheet.12" ShapeID="_x0000_i1029" DrawAspect="Content" ObjectID="_1468075729" r:id="rId12">
            <o:LockedField>false</o:LockedField>
          </o:OLEObject>
        </w:object>
      </w:r>
    </w:p>
    <w:p>
      <w:pPr>
        <w:widowControl/>
        <w:jc w:val="left"/>
        <w:rPr>
          <w:rFonts w:ascii="Times New Roman" w:hAnsi="Times New Roman" w:eastAsia="黑体" w:cs="Times New Roman"/>
          <w:bCs/>
          <w:kern w:val="0"/>
          <w:sz w:val="32"/>
          <w:szCs w:val="32"/>
        </w:rPr>
        <w:sectPr>
          <w:pgSz w:w="16838" w:h="11906" w:orient="landscape"/>
          <w:pgMar w:top="720" w:right="720" w:bottom="720" w:left="720" w:header="851" w:footer="992" w:gutter="0"/>
          <w:cols w:space="425" w:num="1"/>
          <w:docGrid w:type="linesAndChars" w:linePitch="312" w:charSpace="0"/>
        </w:sectPr>
      </w:pPr>
      <w:r>
        <w:rPr>
          <w:rFonts w:ascii="Times New Roman" w:hAnsi="Times New Roman" w:eastAsia="黑体" w:cs="Times New Roman"/>
          <w:bCs/>
          <w:kern w:val="0"/>
          <w:sz w:val="32"/>
          <w:szCs w:val="32"/>
        </w:rPr>
        <w:object>
          <v:shape id="_x0000_i1030" o:spt="75" type="#_x0000_t75" style="height:503.35pt;width:769.2pt;" o:ole="t" filled="f" o:preferrelative="t" stroked="f" coordsize="21600,21600">
            <v:path/>
            <v:fill on="f" focussize="0,0"/>
            <v:stroke on="f"/>
            <v:imagedata r:id="rId15" o:title=""/>
            <o:lock v:ext="edit" aspectratio="f"/>
            <w10:wrap type="none"/>
            <w10:anchorlock/>
          </v:shape>
          <o:OLEObject Type="Embed" ProgID="Excel.Sheet.12" ShapeID="_x0000_i1030" DrawAspect="Content" ObjectID="_1468075730" r:id="rId14">
            <o:LockedField>false</o:LockedField>
          </o:OLEObject>
        </w:object>
      </w:r>
    </w:p>
    <w:tbl>
      <w:tblPr>
        <w:tblStyle w:val="10"/>
        <w:tblW w:w="15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FFFFFF"/>
            <w:vAlign w:val="center"/>
          </w:tcPr>
          <w:p>
            <w:pPr>
              <w:widowControl/>
              <w:jc w:val="left"/>
              <w:rPr>
                <w:rFonts w:hint="eastAsia" w:ascii="华文中宋" w:hAnsi="华文中宋" w:eastAsia="华文中宋" w:cs="华文中宋"/>
                <w:i w:val="0"/>
                <w:color w:val="000000"/>
                <w:kern w:val="0"/>
                <w:sz w:val="32"/>
                <w:szCs w:val="32"/>
                <w:u w:val="none"/>
                <w:lang w:val="en-US" w:eastAsia="zh-CN" w:bidi="ar"/>
              </w:rPr>
            </w:pPr>
            <w:r>
              <w:rPr>
                <w:rFonts w:ascii="Times New Roman" w:hAnsi="Times New Roman" w:eastAsia="黑体" w:cs="Times New Roman"/>
                <w:bCs/>
                <w:kern w:val="0"/>
                <w:sz w:val="32"/>
                <w:szCs w:val="32"/>
              </w:rPr>
              <w:br w:type="page"/>
            </w: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怀化市实验中学</w:t>
            </w:r>
          </w:p>
        </w:tc>
        <w:tc>
          <w:tcPr>
            <w:tcW w:w="211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left"/>
        <w:rPr>
          <w:rFonts w:hint="eastAsia" w:ascii="Times New Roman" w:hAnsi="Times New Roman" w:eastAsia="黑体" w:cs="Times New Roman"/>
          <w:bCs/>
          <w:kern w:val="0"/>
          <w:sz w:val="32"/>
          <w:szCs w:val="32"/>
          <w:lang w:eastAsia="zh-CN"/>
        </w:rPr>
      </w:pPr>
    </w:p>
    <w:tbl>
      <w:tblPr>
        <w:tblStyle w:val="10"/>
        <w:tblW w:w="10691" w:type="dxa"/>
        <w:tblInd w:w="0" w:type="dxa"/>
        <w:shd w:val="clear" w:color="auto" w:fill="auto"/>
        <w:tblLayout w:type="fixed"/>
        <w:tblCellMar>
          <w:top w:w="0" w:type="dxa"/>
          <w:left w:w="0" w:type="dxa"/>
          <w:bottom w:w="0" w:type="dxa"/>
          <w:right w:w="0" w:type="dxa"/>
        </w:tblCellMar>
      </w:tblPr>
      <w:tblGrid>
        <w:gridCol w:w="2024"/>
        <w:gridCol w:w="297"/>
        <w:gridCol w:w="297"/>
        <w:gridCol w:w="3537"/>
        <w:gridCol w:w="1512"/>
        <w:gridCol w:w="1512"/>
        <w:gridCol w:w="1512"/>
      </w:tblGrid>
      <w:tr>
        <w:tblPrEx>
          <w:shd w:val="clear" w:color="auto" w:fill="auto"/>
          <w:tblLayout w:type="fixed"/>
          <w:tblCellMar>
            <w:top w:w="0" w:type="dxa"/>
            <w:left w:w="0" w:type="dxa"/>
            <w:bottom w:w="0" w:type="dxa"/>
            <w:right w:w="0" w:type="dxa"/>
          </w:tblCellMar>
        </w:tblPrEx>
        <w:trPr>
          <w:trHeight w:val="384" w:hRule="atLeast"/>
        </w:trPr>
        <w:tc>
          <w:tcPr>
            <w:tcW w:w="2024"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537" w:type="dxa"/>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国有资本经营预算财政拨款支出决算表</w:t>
            </w: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shd w:val="clear" w:color="auto" w:fill="auto"/>
          <w:tblLayout w:type="fixed"/>
          <w:tblCellMar>
            <w:top w:w="0" w:type="dxa"/>
            <w:left w:w="0" w:type="dxa"/>
            <w:bottom w:w="0" w:type="dxa"/>
            <w:right w:w="0" w:type="dxa"/>
          </w:tblCellMar>
        </w:tblPrEx>
        <w:trPr>
          <w:trHeight w:val="288" w:hRule="atLeast"/>
        </w:trPr>
        <w:tc>
          <w:tcPr>
            <w:tcW w:w="2024"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53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shd w:val="clear" w:color="auto" w:fill="auto"/>
          <w:tblLayout w:type="fixed"/>
          <w:tblCellMar>
            <w:top w:w="0" w:type="dxa"/>
            <w:left w:w="0" w:type="dxa"/>
            <w:bottom w:w="0" w:type="dxa"/>
            <w:right w:w="0" w:type="dxa"/>
          </w:tblCellMar>
        </w:tblPrEx>
        <w:trPr>
          <w:trHeight w:val="288" w:hRule="atLeast"/>
        </w:trPr>
        <w:tc>
          <w:tcPr>
            <w:tcW w:w="2024" w:type="dxa"/>
            <w:tcBorders>
              <w:top w:val="nil"/>
              <w:left w:val="nil"/>
              <w:bottom w:val="nil"/>
              <w:right w:val="nil"/>
            </w:tcBorders>
            <w:shd w:val="clear" w:color="auto" w:fill="auto"/>
            <w:noWrap/>
            <w:tcMar>
              <w:top w:w="12" w:type="dxa"/>
              <w:left w:w="12" w:type="dxa"/>
              <w:right w:w="12"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部门：怀化市实验中学</w:t>
            </w: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537"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512" w:type="dxa"/>
            <w:tcBorders>
              <w:top w:val="nil"/>
              <w:left w:val="nil"/>
              <w:bottom w:val="nil"/>
              <w:right w:val="nil"/>
            </w:tcBorders>
            <w:shd w:val="clear" w:color="auto" w:fill="auto"/>
            <w:noWrap/>
            <w:tcMar>
              <w:top w:w="12" w:type="dxa"/>
              <w:left w:w="12" w:type="dxa"/>
              <w:right w:w="12"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0" w:hRule="atLeast"/>
        </w:trPr>
        <w:tc>
          <w:tcPr>
            <w:tcW w:w="6155" w:type="dxa"/>
            <w:gridSpan w:val="4"/>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536" w:type="dxa"/>
            <w:gridSpan w:val="3"/>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Layout w:type="fixed"/>
          <w:tblCellMar>
            <w:top w:w="0" w:type="dxa"/>
            <w:left w:w="0" w:type="dxa"/>
            <w:bottom w:w="0" w:type="dxa"/>
            <w:right w:w="0" w:type="dxa"/>
          </w:tblCellMar>
        </w:tblPrEx>
        <w:trPr>
          <w:trHeight w:val="300" w:hRule="atLeast"/>
        </w:trPr>
        <w:tc>
          <w:tcPr>
            <w:tcW w:w="2618" w:type="dxa"/>
            <w:gridSpan w:val="3"/>
            <w:vMerge w:val="restart"/>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3537" w:type="dxa"/>
            <w:vMerge w:val="restart"/>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12" w:type="dxa"/>
            <w:vMerge w:val="restart"/>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12" w:type="dxa"/>
            <w:vMerge w:val="restart"/>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512" w:type="dxa"/>
            <w:vMerge w:val="restart"/>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Layout w:type="fixed"/>
          <w:tblCellMar>
            <w:top w:w="0" w:type="dxa"/>
            <w:left w:w="0" w:type="dxa"/>
            <w:bottom w:w="0" w:type="dxa"/>
            <w:right w:w="0" w:type="dxa"/>
          </w:tblCellMar>
        </w:tblPrEx>
        <w:trPr>
          <w:trHeight w:val="300" w:hRule="atLeast"/>
        </w:trPr>
        <w:tc>
          <w:tcPr>
            <w:tcW w:w="2618" w:type="dxa"/>
            <w:gridSpan w:val="3"/>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3537" w:type="dxa"/>
            <w:vMerge w:val="continue"/>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Layout w:type="fixed"/>
          <w:tblCellMar>
            <w:top w:w="0" w:type="dxa"/>
            <w:left w:w="0" w:type="dxa"/>
            <w:bottom w:w="0" w:type="dxa"/>
            <w:right w:w="0" w:type="dxa"/>
          </w:tblCellMar>
        </w:tblPrEx>
        <w:trPr>
          <w:trHeight w:val="300" w:hRule="atLeast"/>
        </w:trPr>
        <w:tc>
          <w:tcPr>
            <w:tcW w:w="2618" w:type="dxa"/>
            <w:gridSpan w:val="3"/>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3537" w:type="dxa"/>
            <w:vMerge w:val="continue"/>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Layout w:type="fixed"/>
          <w:tblCellMar>
            <w:top w:w="0" w:type="dxa"/>
            <w:left w:w="0" w:type="dxa"/>
            <w:bottom w:w="0" w:type="dxa"/>
            <w:right w:w="0" w:type="dxa"/>
          </w:tblCellMar>
        </w:tblPrEx>
        <w:trPr>
          <w:trHeight w:val="300" w:hRule="atLeast"/>
        </w:trPr>
        <w:tc>
          <w:tcPr>
            <w:tcW w:w="6155" w:type="dxa"/>
            <w:gridSpan w:val="4"/>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12" w:type="dxa"/>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12" w:type="dxa"/>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12" w:type="dxa"/>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Layout w:type="fixed"/>
          <w:tblCellMar>
            <w:top w:w="0" w:type="dxa"/>
            <w:left w:w="0" w:type="dxa"/>
            <w:bottom w:w="0" w:type="dxa"/>
            <w:right w:w="0" w:type="dxa"/>
          </w:tblCellMar>
        </w:tblPrEx>
        <w:trPr>
          <w:trHeight w:val="300" w:hRule="atLeast"/>
        </w:trPr>
        <w:tc>
          <w:tcPr>
            <w:tcW w:w="6155" w:type="dxa"/>
            <w:gridSpan w:val="4"/>
            <w:tcBorders>
              <w:top w:val="nil"/>
              <w:left w:val="nil"/>
              <w:bottom w:val="single" w:color="D4D4D4" w:sz="4" w:space="0"/>
              <w:right w:val="single" w:color="D4D4D4" w:sz="4" w:space="0"/>
            </w:tcBorders>
            <w:shd w:val="clear" w:color="auto" w:fill="F1F1F1"/>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right"/>
              <w:rPr>
                <w:rFonts w:hint="eastAsia" w:ascii="宋体" w:hAnsi="宋体" w:eastAsia="宋体" w:cs="宋体"/>
                <w:b/>
                <w:i w:val="0"/>
                <w:color w:val="000000"/>
                <w:sz w:val="22"/>
                <w:szCs w:val="22"/>
                <w:u w:val="none"/>
              </w:rPr>
            </w:pP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right"/>
              <w:rPr>
                <w:rFonts w:hint="eastAsia" w:ascii="宋体" w:hAnsi="宋体" w:eastAsia="宋体" w:cs="宋体"/>
                <w:b/>
                <w:i w:val="0"/>
                <w:color w:val="000000"/>
                <w:sz w:val="22"/>
                <w:szCs w:val="22"/>
                <w:u w:val="none"/>
              </w:rPr>
            </w:pPr>
          </w:p>
        </w:tc>
      </w:tr>
      <w:tr>
        <w:tblPrEx>
          <w:tblLayout w:type="fixed"/>
          <w:tblCellMar>
            <w:top w:w="0" w:type="dxa"/>
            <w:left w:w="0" w:type="dxa"/>
            <w:bottom w:w="0" w:type="dxa"/>
            <w:right w:w="0" w:type="dxa"/>
          </w:tblCellMar>
        </w:tblPrEx>
        <w:trPr>
          <w:trHeight w:val="300" w:hRule="atLeast"/>
        </w:trPr>
        <w:tc>
          <w:tcPr>
            <w:tcW w:w="2618" w:type="dxa"/>
            <w:gridSpan w:val="3"/>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left"/>
              <w:rPr>
                <w:rFonts w:hint="eastAsia" w:ascii="宋体" w:hAnsi="宋体" w:eastAsia="宋体" w:cs="宋体"/>
                <w:i w:val="0"/>
                <w:color w:val="000000"/>
                <w:sz w:val="22"/>
                <w:szCs w:val="22"/>
                <w:u w:val="none"/>
              </w:rPr>
            </w:pPr>
          </w:p>
        </w:tc>
        <w:tc>
          <w:tcPr>
            <w:tcW w:w="3537"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left"/>
              <w:rPr>
                <w:rFonts w:hint="eastAsia" w:ascii="宋体" w:hAnsi="宋体" w:eastAsia="宋体" w:cs="宋体"/>
                <w:i w:val="0"/>
                <w:color w:val="000000"/>
                <w:sz w:val="22"/>
                <w:szCs w:val="22"/>
                <w:u w:val="none"/>
              </w:rPr>
            </w:pP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right"/>
              <w:rPr>
                <w:rFonts w:hint="eastAsia" w:ascii="宋体" w:hAnsi="宋体" w:eastAsia="宋体" w:cs="宋体"/>
                <w:i w:val="0"/>
                <w:color w:val="000000"/>
                <w:sz w:val="22"/>
                <w:szCs w:val="22"/>
                <w:u w:val="none"/>
              </w:rPr>
            </w:pP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right"/>
              <w:rPr>
                <w:rFonts w:hint="eastAsia" w:ascii="宋体" w:hAnsi="宋体" w:eastAsia="宋体" w:cs="宋体"/>
                <w:i w:val="0"/>
                <w:color w:val="000000"/>
                <w:sz w:val="22"/>
                <w:szCs w:val="22"/>
                <w:u w:val="none"/>
              </w:rPr>
            </w:pPr>
          </w:p>
        </w:tc>
        <w:tc>
          <w:tcPr>
            <w:tcW w:w="1512" w:type="dxa"/>
            <w:tcBorders>
              <w:top w:val="nil"/>
              <w:left w:val="nil"/>
              <w:bottom w:val="single" w:color="D4D4D4" w:sz="4" w:space="0"/>
              <w:right w:val="single" w:color="D4D4D4" w:sz="4" w:space="0"/>
            </w:tcBorders>
            <w:shd w:val="clear" w:color="auto" w:fill="FFFFFF"/>
            <w:noWrap/>
            <w:tcMar>
              <w:top w:w="12" w:type="dxa"/>
              <w:left w:w="12" w:type="dxa"/>
              <w:right w:w="12"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0" w:hRule="atLeast"/>
        </w:trPr>
        <w:tc>
          <w:tcPr>
            <w:tcW w:w="10691" w:type="dxa"/>
            <w:gridSpan w:val="7"/>
            <w:tcBorders>
              <w:top w:val="nil"/>
              <w:left w:val="nil"/>
              <w:bottom w:val="nil"/>
              <w:right w:val="nil"/>
            </w:tcBorders>
            <w:shd w:val="clear" w:color="auto" w:fill="FFFFFF"/>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tc>
      </w:tr>
    </w:tbl>
    <w:p>
      <w:pPr>
        <w:widowControl/>
        <w:rPr>
          <w:rFonts w:ascii="Times New Roman" w:hAnsi="Times New Roman" w:eastAsia="方正小标宋_GBK" w:cs="Times New Roman"/>
          <w:color w:val="000000"/>
          <w:kern w:val="0"/>
          <w:sz w:val="36"/>
          <w:szCs w:val="36"/>
        </w:rPr>
      </w:pPr>
    </w:p>
    <w:p>
      <w:pPr>
        <w:pStyle w:val="2"/>
        <w:rPr>
          <w:rFonts w:ascii="Times New Roman" w:hAnsi="Times New Roman" w:eastAsia="方正小标宋_GBK" w:cs="Times New Roman"/>
          <w:color w:val="000000"/>
          <w:kern w:val="0"/>
          <w:sz w:val="36"/>
          <w:szCs w:val="36"/>
        </w:rPr>
      </w:pPr>
    </w:p>
    <w:p>
      <w:pPr>
        <w:pStyle w:val="3"/>
        <w:rPr>
          <w:rFonts w:ascii="Times New Roman" w:hAnsi="Times New Roman" w:eastAsia="方正小标宋_GBK" w:cs="Times New Roman"/>
          <w:color w:val="000000"/>
          <w:kern w:val="0"/>
          <w:sz w:val="36"/>
          <w:szCs w:val="36"/>
        </w:rPr>
      </w:pPr>
    </w:p>
    <w:p>
      <w:pPr>
        <w:rPr>
          <w:rFonts w:ascii="Times New Roman" w:hAnsi="Times New Roman" w:eastAsia="方正小标宋_GBK" w:cs="Times New Roman"/>
          <w:color w:val="000000"/>
          <w:kern w:val="0"/>
          <w:sz w:val="36"/>
          <w:szCs w:val="36"/>
        </w:rPr>
        <w:sectPr>
          <w:pgSz w:w="16838" w:h="11906" w:orient="landscape"/>
          <w:pgMar w:top="720" w:right="720" w:bottom="720" w:left="720" w:header="851" w:footer="992" w:gutter="0"/>
          <w:cols w:space="425" w:num="1"/>
          <w:docGrid w:type="linesAndChars" w:linePitch="312" w:charSpace="0"/>
        </w:sectPr>
      </w:pPr>
    </w:p>
    <w:p>
      <w:pPr>
        <w:pStyle w:val="2"/>
        <w:sectPr>
          <w:pgSz w:w="16838" w:h="11906" w:orient="landscape"/>
          <w:pgMar w:top="720" w:right="720" w:bottom="720" w:left="720" w:header="851" w:footer="992" w:gutter="0"/>
          <w:cols w:space="425" w:num="1"/>
          <w:docGrid w:type="linesAndChars" w:linePitch="312" w:charSpace="0"/>
        </w:sectPr>
      </w:pPr>
      <w:r>
        <w:object>
          <v:shape id="_x0000_i1031" o:spt="75" type="#_x0000_t75" style="height:177pt;width:764.4pt;" o:ole="t" filled="f" o:preferrelative="t" stroked="f" coordsize="21600,21600">
            <v:path/>
            <v:fill on="f" focussize="0,0"/>
            <v:stroke on="f"/>
            <v:imagedata r:id="rId17" o:title=""/>
            <o:lock v:ext="edit" aspectratio="f"/>
            <w10:wrap type="none"/>
            <w10:anchorlock/>
          </v:shape>
          <o:OLEObject Type="Embed" ProgID="Excel.Sheet.12" ShapeID="_x0000_i1031" DrawAspect="Content" ObjectID="_1468075731" r:id="rId16">
            <o:LockedField>false</o:LockedField>
          </o:OLEObject>
        </w:object>
      </w:r>
    </w:p>
    <w:p>
      <w:pPr>
        <w:pStyle w:val="3"/>
      </w:pPr>
    </w:p>
    <w:p>
      <w:pPr>
        <w:widowControl/>
        <w:jc w:val="both"/>
        <w:rPr>
          <w:rFonts w:ascii="Times New Roman" w:hAnsi="Times New Roman" w:eastAsia="方正小标宋_GBK" w:cs="Times New Roman"/>
          <w:color w:val="000000"/>
          <w:kern w:val="0"/>
          <w:sz w:val="36"/>
          <w:szCs w:val="21"/>
        </w:rPr>
      </w:pPr>
    </w:p>
    <w:p>
      <w:pPr>
        <w:widowControl/>
        <w:jc w:val="center"/>
        <w:rPr>
          <w:rFonts w:hint="eastAsia" w:ascii="Times New Roman" w:hAnsi="Times New Roman" w:eastAsia="方正小标宋_GBK" w:cs="Times New Roman"/>
          <w:color w:val="000000"/>
          <w:kern w:val="0"/>
          <w:sz w:val="36"/>
          <w:szCs w:val="36"/>
        </w:rPr>
      </w:pPr>
      <w:bookmarkStart w:id="0" w:name="RANGE!A1:I22"/>
      <w:bookmarkEnd w:id="0"/>
    </w:p>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年度收、支总计2403.6万元。与上年相比，减少</w:t>
      </w:r>
      <w:r>
        <w:rPr>
          <w:rFonts w:hint="eastAsia" w:ascii="Times New Roman" w:hAnsi="Times New Roman" w:eastAsia="仿宋_GB2312"/>
          <w:sz w:val="32"/>
          <w:szCs w:val="32"/>
          <w:lang w:val="en-US" w:eastAsia="zh-CN"/>
        </w:rPr>
        <w:t>927.32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27.84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上年度有推倒重建工程建设项目资金，本年度无该项目资金，故相应的收支减少。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年度收入合计2403.6万元，其中：财政拨款收入2187.34万元，占</w:t>
      </w:r>
      <w:r>
        <w:rPr>
          <w:rFonts w:hint="eastAsia" w:ascii="Times New Roman" w:hAnsi="Times New Roman" w:eastAsia="仿宋_GB2312"/>
          <w:sz w:val="32"/>
          <w:szCs w:val="32"/>
          <w:lang w:val="en-US" w:eastAsia="zh-CN"/>
        </w:rPr>
        <w:t>91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；其他收入216.26万元，占</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年度支出合计2403.6万元，其中：基本支出2146.28万元，占</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%；项目支257.32万元，占</w:t>
      </w:r>
      <w:r>
        <w:rPr>
          <w:rFonts w:hint="eastAsia" w:ascii="Times New Roman" w:hAnsi="Times New Roman" w:eastAsia="仿宋_GB2312"/>
          <w:sz w:val="32"/>
          <w:szCs w:val="32"/>
          <w:lang w:val="en-US" w:eastAsia="zh-CN"/>
        </w:rPr>
        <w:t>10.7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年度财政拨款收、支总计2187.34万元，与上年相比，减少</w:t>
      </w:r>
      <w:r>
        <w:rPr>
          <w:rFonts w:hint="eastAsia" w:ascii="Times New Roman" w:hAnsi="Times New Roman" w:eastAsia="仿宋_GB2312"/>
          <w:sz w:val="32"/>
          <w:szCs w:val="32"/>
          <w:lang w:val="en-US" w:eastAsia="zh-CN"/>
        </w:rPr>
        <w:t>846.9</w:t>
      </w:r>
      <w:r>
        <w:rPr>
          <w:rFonts w:hint="eastAsia" w:ascii="Times New Roman" w:hAnsi="Times New Roman" w:eastAsia="仿宋_GB2312"/>
          <w:sz w:val="32"/>
          <w:szCs w:val="32"/>
        </w:rPr>
        <w:t>万元,减</w:t>
      </w:r>
      <w:r>
        <w:rPr>
          <w:rFonts w:hint="eastAsia" w:ascii="Times New Roman" w:hAnsi="Times New Roman" w:eastAsia="仿宋_GB2312"/>
          <w:sz w:val="32"/>
          <w:szCs w:val="32"/>
          <w:lang w:val="en-US" w:eastAsia="zh-CN"/>
        </w:rPr>
        <w:t>少27.9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上年度有推倒重建工程建设项目资金，本年度无该项目资金，故相应财政拨款收入的收支减少。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年度财政拨款支出2187.34万元，占本年支出合计的</w:t>
      </w:r>
      <w:r>
        <w:rPr>
          <w:rFonts w:hint="eastAsia" w:ascii="Times New Roman" w:hAnsi="Times New Roman" w:eastAsia="仿宋_GB2312"/>
          <w:sz w:val="32"/>
          <w:szCs w:val="32"/>
          <w:lang w:val="en-US" w:eastAsia="zh-CN"/>
        </w:rPr>
        <w:t>91</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846.9</w:t>
      </w:r>
      <w:r>
        <w:rPr>
          <w:rFonts w:hint="eastAsia" w:ascii="Times New Roman" w:hAnsi="Times New Roman" w:eastAsia="仿宋_GB2312"/>
          <w:sz w:val="32"/>
          <w:szCs w:val="32"/>
        </w:rPr>
        <w:t>万元，减</w:t>
      </w:r>
      <w:r>
        <w:rPr>
          <w:rFonts w:hint="eastAsia" w:ascii="Times New Roman" w:hAnsi="Times New Roman" w:eastAsia="仿宋_GB2312"/>
          <w:sz w:val="32"/>
          <w:szCs w:val="32"/>
          <w:lang w:val="en-US" w:eastAsia="zh-CN"/>
        </w:rPr>
        <w:t>少27.9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上年度有推倒重建工程建设项目资金，本年度无该项目资金，故相应财政拨款收入的支出减少。</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年度财政拨款支出2187.34万元，主要用于以下方面：教育（类）支出1801.1万元，占</w:t>
      </w:r>
      <w:r>
        <w:rPr>
          <w:rFonts w:hint="eastAsia" w:ascii="Times New Roman" w:hAnsi="Times New Roman" w:eastAsia="仿宋_GB2312"/>
          <w:sz w:val="32"/>
          <w:szCs w:val="32"/>
          <w:lang w:val="en-US" w:eastAsia="zh-CN"/>
        </w:rPr>
        <w:t>82.34</w:t>
      </w:r>
      <w:r>
        <w:rPr>
          <w:rFonts w:hint="eastAsia" w:ascii="Times New Roman" w:hAnsi="Times New Roman" w:eastAsia="仿宋_GB2312"/>
          <w:sz w:val="32"/>
          <w:szCs w:val="32"/>
        </w:rPr>
        <w:t>%;社会保障和就业支出284.47万元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；卫生健康支出77.57</w:t>
      </w:r>
      <w:r>
        <w:rPr>
          <w:rFonts w:hint="eastAsia" w:ascii="Times New Roman" w:hAnsi="Times New Roman" w:eastAsia="仿宋_GB2312"/>
          <w:sz w:val="32"/>
          <w:szCs w:val="32"/>
          <w:lang w:val="en-US" w:eastAsia="zh-CN"/>
        </w:rPr>
        <w:t>万元，占4.66%。</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1903.33</w:t>
      </w:r>
      <w:r>
        <w:rPr>
          <w:rFonts w:hint="eastAsia" w:ascii="Times New Roman" w:hAnsi="Times New Roman" w:eastAsia="仿宋_GB2312"/>
          <w:sz w:val="32"/>
          <w:szCs w:val="32"/>
        </w:rPr>
        <w:t>万元，支出决算数为2187.34万元，完成年初预算的</w:t>
      </w:r>
      <w:r>
        <w:rPr>
          <w:rFonts w:hint="eastAsia" w:ascii="Times New Roman" w:hAnsi="Times New Roman" w:eastAsia="仿宋_GB2312"/>
          <w:sz w:val="32"/>
          <w:szCs w:val="32"/>
          <w:lang w:val="en-US" w:eastAsia="zh-CN"/>
        </w:rPr>
        <w:t>114.9</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教育（类）普通教育（款）小学教育（项）</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学校扩建（湖天组团D-3-19）等项目支出为小学教育。</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 xml:space="preserve">教育（类）普通教育（款）初中教育（项）。  </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1490.5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1750.76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人员工资构成每月增加。</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3、教育（类）普通教育（款）其他普通教育支出育（项）。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年初预算为0万元，支出决算为16.34万元，完成年初预算的116%，决算数大于年初预算数的主要原因是：发放人才引进补贴</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5、社会保障和就业（类）行政事业单位养老（款）机关事业单位基本养老保险缴费（项）。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年初预算为183.4万元，支出决算为192.47万元，完成年初预算的104.9%，决算数大于年初预算数的主要原因是：财政追加机关事业单位基本养老保险缴费支出。</w:t>
      </w:r>
    </w:p>
    <w:p>
      <w:pPr>
        <w:pStyle w:val="19"/>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ind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社会保障和就业（类）行政事业单位养老（款）其他行政事业单位养老保险缴费（项）。</w:t>
      </w:r>
    </w:p>
    <w:p>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ind w:right="0" w:rightChars="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年初预算为0万元，支出决算为92万元，完成年初预算的192%，决算数大于年初预算数的主要原因是：财政发放退休人员春节一次性补助。</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7、健康卫生支出（类）行政事业单位医疗（款）行政单位医疗（项）。</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年初预算为77.84万元，支出决算为77.57万元，完成年初预算的99.65%，决算数小于年初预算数的主要原因是：减少高工资的退休人员，新增人员工资偏低，导致医疗保险基数调整变少，缴费变少.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年度财政拨款基本支出1930.02万元，其中：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1731.84万元，占基本支出的</w:t>
      </w:r>
      <w:r>
        <w:rPr>
          <w:rFonts w:hint="eastAsia" w:ascii="Times New Roman" w:hAnsi="Times New Roman" w:eastAsia="仿宋_GB2312"/>
          <w:sz w:val="32"/>
          <w:szCs w:val="32"/>
          <w:lang w:val="en-US" w:eastAsia="zh-CN"/>
        </w:rPr>
        <w:t>89.7</w:t>
      </w:r>
      <w:r>
        <w:rPr>
          <w:rFonts w:hint="eastAsia" w:ascii="Times New Roman" w:hAnsi="Times New Roman" w:eastAsia="仿宋_GB2312"/>
          <w:sz w:val="32"/>
          <w:szCs w:val="32"/>
        </w:rPr>
        <w:t>%,主要包括基本工资606.84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、津贴补贴71.32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、奖金331.84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、伙食补助费11.67</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绩效工资315.5万元、</w:t>
      </w:r>
      <w:r>
        <w:rPr>
          <w:rFonts w:hint="eastAsia" w:ascii="Times New Roman" w:hAnsi="Times New Roman" w:eastAsia="仿宋_GB2312"/>
          <w:sz w:val="32"/>
          <w:szCs w:val="32"/>
        </w:rPr>
        <w:t>机关事业单位基本养老保险缴费192.47</w:t>
      </w:r>
      <w:r>
        <w:rPr>
          <w:rFonts w:hint="eastAsia" w:ascii="Times New Roman" w:hAnsi="Times New Roman" w:eastAsia="仿宋_GB2312"/>
          <w:sz w:val="32"/>
          <w:szCs w:val="32"/>
          <w:lang w:val="en-US" w:eastAsia="zh-CN"/>
        </w:rPr>
        <w:t>万元、  职工基本医疗保险缴费77.57万元、其他社会保障缴费20.14万元、其他工资福利支出4.16万元、生活补助95.31万元、奖励金3.91万元、其他对个人和家庭的补助</w:t>
      </w:r>
      <w:r>
        <w:rPr>
          <w:rFonts w:hint="default" w:ascii="Times New Roman" w:hAnsi="Times New Roman" w:eastAsia="仿宋_GB2312"/>
          <w:sz w:val="32"/>
          <w:szCs w:val="32"/>
          <w:lang w:val="en-US" w:eastAsia="zh-CN"/>
        </w:rPr>
        <w:t>1.11</w:t>
      </w:r>
      <w:r>
        <w:rPr>
          <w:rFonts w:hint="eastAsia" w:ascii="Times New Roman" w:hAnsi="Times New Roman" w:eastAsia="仿宋_GB2312"/>
          <w:sz w:val="32"/>
          <w:szCs w:val="32"/>
          <w:lang w:val="en-US" w:eastAsia="zh-CN"/>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198.18万元，占基本支出的</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%，主要包括办公费11.75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、咨询费0.15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水</w:t>
      </w:r>
      <w:r>
        <w:rPr>
          <w:rFonts w:hint="eastAsia" w:ascii="Times New Roman" w:hAnsi="Times New Roman" w:eastAsia="仿宋_GB2312"/>
          <w:sz w:val="32"/>
          <w:szCs w:val="32"/>
        </w:rPr>
        <w:t>费4.14</w:t>
      </w:r>
      <w:r>
        <w:rPr>
          <w:rFonts w:hint="eastAsia" w:ascii="Times New Roman" w:hAnsi="Times New Roman" w:eastAsia="仿宋_GB2312"/>
          <w:sz w:val="32"/>
          <w:szCs w:val="32"/>
          <w:lang w:val="en-US" w:eastAsia="zh-CN"/>
        </w:rPr>
        <w:t>万元、电费18.47万元、邮电费4.31万元、物业管理费27.77万元、差旅费8.61万元、维修（护）费11.92万元、劳务费0.07万元工会经费26.4万元、福利费22.69万元、其他交通费用0.41万元、税金及附加4.59万元、其他商品和服务支出56.9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国有资本经营预算收入支出决算情况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bookmarkStart w:id="1" w:name="_GoBack"/>
      <w:bookmarkEnd w:id="1"/>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本单位无国有资本经营收支。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198.18</w:t>
      </w:r>
      <w:r>
        <w:rPr>
          <w:rFonts w:hint="eastAsia" w:ascii="Times New Roman" w:hAnsi="Times New Roman" w:eastAsia="仿宋_GB2312"/>
          <w:sz w:val="32"/>
          <w:szCs w:val="32"/>
        </w:rPr>
        <w:t>万元</w:t>
      </w:r>
      <w:r>
        <w:rPr>
          <w:rFonts w:hint="eastAsia" w:ascii="楷体" w:hAnsi="楷体" w:eastAsia="楷体" w:cs="楷体"/>
          <w:b/>
          <w:bCs/>
          <w:i/>
          <w:color w:val="auto"/>
          <w:kern w:val="0"/>
          <w:sz w:val="32"/>
          <w:szCs w:val="32"/>
          <w:lang w:val="en-US" w:eastAsia="zh-CN" w:bidi="ar-SA"/>
        </w:rPr>
        <w:t>（与部门决算中行政单位和参照公务员法管理事业单位财政拨款基本支出中公用经费之和一致）</w:t>
      </w:r>
      <w:r>
        <w:rPr>
          <w:rFonts w:hint="eastAsia" w:ascii="Times New Roman" w:hAnsi="Times New Roman" w:eastAsia="仿宋_GB2312"/>
          <w:sz w:val="32"/>
          <w:szCs w:val="32"/>
        </w:rPr>
        <w:t>，比上年决算数增加</w:t>
      </w:r>
      <w:r>
        <w:rPr>
          <w:rFonts w:hint="eastAsia" w:ascii="Times New Roman" w:hAnsi="Times New Roman" w:eastAsia="仿宋_GB2312"/>
          <w:sz w:val="32"/>
          <w:szCs w:val="32"/>
          <w:lang w:val="en-US" w:eastAsia="zh-CN"/>
        </w:rPr>
        <w:t>46.29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30.4</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2022年因为疫情停课近2个月，水电、教学、维修等相关支出减少。2023年度正常上课，课时全满，相应的开支恢复到正常金额，比2022年增加。</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9"/>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2022年本部门开支会议费0万元，用于召开0会议，人数0人；开支培训0万元，用于0培训，人数0人；怀化市实验中学没有举办节庆、晚会、论坛、赛事活动，故没有这方面的开支。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53.8</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95.2</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楷体" w:hAnsi="楷体" w:eastAsia="楷体" w:cs="楷体"/>
          <w:b/>
          <w:bCs/>
          <w:i/>
          <w:color w:val="auto"/>
          <w:kern w:val="0"/>
          <w:sz w:val="32"/>
          <w:szCs w:val="32"/>
          <w:lang w:val="en-US" w:eastAsia="zh-CN" w:bidi="ar-SA"/>
        </w:rPr>
        <w:t>（政府采购金额的计算口径为：本部门纳入2023年度部门预算范围的各项政府采购支出金额之和，不包括涉密采购项目的支出金额）</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辆，其他用车主要是……；单位价值100万元以上设备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本单位绩效管理工作有序开展。年初制定明确的绩效目标，涵盖</w:t>
      </w:r>
      <w:r>
        <w:rPr>
          <w:rFonts w:hint="eastAsia" w:ascii="Times New Roman" w:hAnsi="Times New Roman" w:eastAsia="仿宋_GB2312"/>
          <w:color w:val="auto"/>
          <w:sz w:val="32"/>
          <w:szCs w:val="32"/>
          <w:lang w:val="en-US" w:eastAsia="zh-CN"/>
        </w:rPr>
        <w:t>教学质量</w:t>
      </w:r>
      <w:r>
        <w:rPr>
          <w:rFonts w:hint="eastAsia" w:ascii="Times New Roman" w:hAnsi="Times New Roman" w:eastAsia="仿宋_GB2312"/>
          <w:color w:val="auto"/>
          <w:sz w:val="32"/>
          <w:szCs w:val="32"/>
          <w:lang w:eastAsia="zh-CN"/>
        </w:rPr>
        <w:t>指标与工作态度等方面。定期监控绩效进展，提供必要辅导。考核时采用量化与定性结合的方式，确保公正客观。及时反馈结果并沟通，共同探讨改进措施。同时，根据实际情况不断优化绩效管理体系，以促进单位与</w:t>
      </w:r>
      <w:r>
        <w:rPr>
          <w:rFonts w:hint="eastAsia" w:ascii="Times New Roman" w:hAnsi="Times New Roman" w:eastAsia="仿宋_GB2312"/>
          <w:color w:val="auto"/>
          <w:sz w:val="32"/>
          <w:szCs w:val="32"/>
          <w:lang w:val="en-US" w:eastAsia="zh-CN"/>
        </w:rPr>
        <w:t>教职</w:t>
      </w:r>
      <w:r>
        <w:rPr>
          <w:rFonts w:hint="eastAsia" w:ascii="Times New Roman" w:hAnsi="Times New Roman" w:eastAsia="仿宋_GB2312"/>
          <w:color w:val="auto"/>
          <w:sz w:val="32"/>
          <w:szCs w:val="32"/>
          <w:lang w:eastAsia="zh-CN"/>
        </w:rPr>
        <w:t>工共同发展，提升整体工作效率与竞争力。</w:t>
      </w:r>
    </w:p>
    <w:p>
      <w:pPr>
        <w:pStyle w:val="19"/>
        <w:keepNext w:val="0"/>
        <w:keepLines w:val="0"/>
        <w:widowControl/>
        <w:suppressLineNumbers w:val="0"/>
        <w:spacing w:before="0" w:beforeAutospacing="0"/>
        <w:ind w:left="0" w:firstLine="640" w:firstLineChars="200"/>
        <w:jc w:val="left"/>
        <w:rPr>
          <w:rFonts w:hint="eastAsia" w:ascii="Times New Roman" w:hAnsi="Times New Roman" w:eastAsia="仿宋_GB2312"/>
          <w:color w:val="auto"/>
          <w:sz w:val="32"/>
          <w:szCs w:val="32"/>
          <w:lang w:eastAsia="zh-CN"/>
        </w:rPr>
      </w:pPr>
      <w:r>
        <w:rPr>
          <w:rFonts w:hint="eastAsia" w:ascii="Times New Roman" w:hAnsi="Times New Roman" w:eastAsia="仿宋_GB2312" w:cs="黑体"/>
          <w:color w:val="000000"/>
          <w:kern w:val="0"/>
          <w:sz w:val="32"/>
          <w:szCs w:val="32"/>
          <w:lang w:val="en-US" w:eastAsia="zh-CN" w:bidi="ar-SA"/>
        </w:rPr>
        <w:t>根据预算绩效管理要求，我部门组织对2023 年度“怀化市实验中学”1个单位开展整体支出绩效评价，涉及一般公共预算支出2187.34万元，政府性基金预算支出0万元。从评价情况来看，我单位绩效管理情况良好。具体见附件。</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9"/>
        <w:keepNext w:val="0"/>
        <w:keepLines w:val="0"/>
        <w:widowControl/>
        <w:suppressLineNumbers w:val="0"/>
        <w:spacing w:before="0" w:beforeAutospacing="0"/>
        <w:ind w:left="0" w:firstLine="632" w:firstLineChars="200"/>
        <w:jc w:val="left"/>
        <w:rPr>
          <w:rFonts w:ascii="仿宋" w:hAnsi="仿宋" w:eastAsia="仿宋"/>
          <w:b/>
          <w:spacing w:val="-2"/>
          <w:sz w:val="32"/>
          <w:szCs w:val="21"/>
        </w:rPr>
      </w:pPr>
      <w:r>
        <w:rPr>
          <w:rFonts w:hint="eastAsia" w:ascii="仿宋" w:hAnsi="仿宋" w:eastAsia="仿宋"/>
          <w:b/>
          <w:spacing w:val="-2"/>
          <w:sz w:val="32"/>
          <w:szCs w:val="32"/>
          <w:lang w:val="en-US" w:eastAsia="zh-CN"/>
        </w:rPr>
        <w:t>1、</w:t>
      </w:r>
      <w:r>
        <w:rPr>
          <w:rFonts w:ascii="仿宋" w:hAnsi="仿宋" w:eastAsia="仿宋"/>
          <w:b/>
          <w:spacing w:val="-2"/>
          <w:sz w:val="32"/>
          <w:szCs w:val="32"/>
        </w:rPr>
        <w:t>基本支出</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本部门基本支出主要用于维持学校正常运转发生的基本支出和完成各项教育教学任务而发生的各项支出。</w:t>
      </w:r>
    </w:p>
    <w:p>
      <w:pPr>
        <w:pStyle w:val="8"/>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本年基本支出2146.3万元，其中：</w:t>
      </w:r>
    </w:p>
    <w:p>
      <w:pPr>
        <w:pStyle w:val="8"/>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（1）人员经费支出：1885.53万元，占基本支出87.85%，其中：工资福利支出1784.73万元，对个人和家庭补助支出100.8元。</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华文仿宋" w:hAnsi="华文仿宋" w:eastAsia="华文仿宋" w:cs="华文仿宋"/>
          <w:color w:val="000000"/>
          <w:kern w:val="0"/>
          <w:sz w:val="32"/>
          <w:szCs w:val="32"/>
          <w:lang w:val="en-US" w:eastAsia="zh-CN" w:bidi="ar"/>
        </w:rPr>
        <w:t xml:space="preserve">（2）日常公用支出260.8万元，占基本支出12.15%，用于我校正常基本运行而发生的费用，包括办公费、水电费、邮电费、物业管理费、差旅费、培训费、维修费、专用材料费、三公经费、租赁费、劳务费、计提的福利费、其他交通费、保安费、其他商品和服务支出（用于学生的经费）。     </w:t>
      </w:r>
      <w:r>
        <w:rPr>
          <w:rFonts w:hint="eastAsia" w:ascii="Times New Roman" w:hAnsi="Times New Roman" w:eastAsia="仿宋_GB2312" w:cs="黑体"/>
          <w:color w:val="000000"/>
          <w:kern w:val="0"/>
          <w:sz w:val="32"/>
          <w:szCs w:val="32"/>
          <w:lang w:val="en-US" w:eastAsia="zh-CN" w:bidi="ar-SA"/>
        </w:rPr>
        <w:t>（3）“三公”经费的使用和管理情况</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贯彻落实中央“八项规定”，学校多次对“三公经费”使用情况进行，严控，自查，完善了“三公”经费各项使用制度，有效控制了“三公”经费开支。</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2023年“三公”经费预算总额为0万元，决算支出总额为0万元，与上年持平。</w:t>
      </w:r>
    </w:p>
    <w:p>
      <w:pPr>
        <w:widowControl/>
        <w:shd w:val="clear" w:color="auto" w:fill="FFFFFF"/>
        <w:spacing w:line="600" w:lineRule="atLeast"/>
        <w:ind w:firstLine="640"/>
        <w:rPr>
          <w:rFonts w:hint="eastAsia" w:ascii="Times New Roman" w:hAnsi="Times New Roman" w:eastAsia="仿宋_GB2312" w:cs="黑体"/>
          <w:color w:val="000000"/>
          <w:kern w:val="0"/>
          <w:sz w:val="32"/>
          <w:szCs w:val="32"/>
          <w:lang w:val="en-US" w:eastAsia="zh-CN" w:bidi="ar-SA"/>
        </w:rPr>
      </w:pPr>
    </w:p>
    <w:p>
      <w:pPr>
        <w:widowControl/>
        <w:shd w:val="clear" w:color="auto" w:fill="FFFFFF"/>
        <w:spacing w:line="600" w:lineRule="atLeast"/>
        <w:ind w:firstLine="640"/>
        <w:rPr>
          <w:rFonts w:hint="eastAsia" w:ascii="仿宋" w:hAnsi="仿宋" w:eastAsia="仿宋"/>
          <w:spacing w:val="-2"/>
          <w:sz w:val="32"/>
          <w:szCs w:val="32"/>
          <w:lang w:eastAsia="zh-CN"/>
        </w:rPr>
      </w:pPr>
      <w:r>
        <w:rPr>
          <w:rFonts w:hint="eastAsia" w:ascii="楷体" w:hAnsi="楷体" w:eastAsia="楷体"/>
          <w:b/>
          <w:spacing w:val="-2"/>
          <w:sz w:val="32"/>
          <w:szCs w:val="32"/>
          <w:lang w:val="en-US" w:eastAsia="zh-CN"/>
        </w:rPr>
        <w:t>2、</w:t>
      </w:r>
      <w:r>
        <w:rPr>
          <w:rFonts w:ascii="楷体" w:hAnsi="楷体" w:eastAsia="楷体"/>
          <w:b/>
          <w:spacing w:val="-2"/>
          <w:sz w:val="32"/>
          <w:szCs w:val="32"/>
        </w:rPr>
        <w:t>专项支出</w:t>
      </w:r>
      <w:r>
        <w:rPr>
          <w:rFonts w:ascii="仿宋" w:hAnsi="仿宋" w:eastAsia="仿宋"/>
          <w:spacing w:val="-2"/>
          <w:sz w:val="32"/>
          <w:szCs w:val="32"/>
        </w:rPr>
        <w:t>（包括财政资金、自筹资金等安排落实、总投入等情况分析。</w:t>
      </w:r>
      <w:r>
        <w:rPr>
          <w:rFonts w:hint="eastAsia" w:ascii="仿宋" w:hAnsi="仿宋" w:eastAsia="仿宋"/>
          <w:spacing w:val="-2"/>
          <w:sz w:val="32"/>
          <w:szCs w:val="32"/>
          <w:lang w:eastAsia="zh-CN"/>
        </w:rPr>
        <w:t>）</w:t>
      </w:r>
    </w:p>
    <w:p>
      <w:pPr>
        <w:widowControl/>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2023年我单位收到项目资金共257.3万元。具体支出情况如下：</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业务工作经费89.2万元，主要用于临聘教师工资和市直教师培训；</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运行维护费3.6万元，主要用于报告厅维修；</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学校扩建项目（湖天团组D-3-19）6万元，主要用于扩建项目地块设计图付费；</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校园安全工程39.4万元，主要用于玻璃幕墙、教学楼石塑线条、不锈钢防护网、车位改造、栏杆建设等项目；</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绿地恢复工程45.83万元，主要用于校园和湖天南路直接的公共绿地恢复建设；</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运动场恢复工程20.44万元，主要用于学校运动场的改造和升级；</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监控升级项目16.19万元，主要用于升级校园监控设备；</w:t>
      </w:r>
    </w:p>
    <w:p>
      <w:pPr>
        <w:widowControl/>
        <w:numPr>
          <w:ilvl w:val="0"/>
          <w:numId w:val="3"/>
        </w:numPr>
        <w:shd w:val="clear" w:color="auto" w:fill="FFFFFF"/>
        <w:spacing w:line="600" w:lineRule="atLeast"/>
        <w:ind w:firstLine="640"/>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kern w:val="2"/>
          <w:sz w:val="32"/>
          <w:szCs w:val="32"/>
          <w:lang w:val="en-US" w:eastAsia="zh-CN" w:bidi="ar-SA"/>
        </w:rPr>
        <w:t>机房改造项目37.64万元，主要用于学生机房的改造和升级。</w:t>
      </w:r>
    </w:p>
    <w:p>
      <w:pPr>
        <w:widowControl/>
        <w:numPr>
          <w:ilvl w:val="0"/>
          <w:numId w:val="0"/>
        </w:numPr>
        <w:shd w:val="clear" w:color="auto" w:fill="FFFFFF"/>
        <w:spacing w:line="600" w:lineRule="atLeast"/>
        <w:ind w:leftChars="300"/>
        <w:rPr>
          <w:rFonts w:ascii="楷体" w:hAnsi="楷体" w:eastAsia="楷体"/>
          <w:b/>
          <w:spacing w:val="-2"/>
          <w:sz w:val="32"/>
          <w:szCs w:val="32"/>
        </w:rPr>
      </w:pPr>
      <w:r>
        <w:rPr>
          <w:rFonts w:hint="eastAsia" w:ascii="楷体" w:hAnsi="楷体" w:eastAsia="楷体"/>
          <w:b/>
          <w:spacing w:val="-2"/>
          <w:sz w:val="32"/>
          <w:szCs w:val="32"/>
          <w:lang w:val="en-US" w:eastAsia="zh-CN"/>
        </w:rPr>
        <w:t>3、</w:t>
      </w:r>
      <w:r>
        <w:rPr>
          <w:rFonts w:ascii="楷体" w:hAnsi="楷体" w:eastAsia="楷体"/>
          <w:b/>
          <w:spacing w:val="-2"/>
          <w:sz w:val="32"/>
          <w:szCs w:val="32"/>
        </w:rPr>
        <w:t>部门整体支出绩效情况</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（1）学校取得的成绩</w:t>
      </w:r>
    </w:p>
    <w:p>
      <w:pPr>
        <w:pStyle w:val="8"/>
        <w:spacing w:before="0" w:beforeAutospacing="0" w:after="0" w:afterAutospacing="0" w:line="480" w:lineRule="auto"/>
        <w:ind w:firstLine="1049" w:firstLineChars="328"/>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2023年度在怀化市教育局的正确领导下，学校以提高教育教学质量为中心，充分发挥财政资金使用效率，确保各项计划和任务的顺利完成，使得学校的各项工作再上新台阶。</w:t>
      </w:r>
    </w:p>
    <w:p>
      <w:pPr>
        <w:spacing w:line="5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学校积极主动的做好校内外的宣传工作，认真开展教育宣传工作，按时报送教育正面宣传，保质保量完成每月上稿任务，重点推进宣传力度，积极外联，与怀化日报、边城晚报、湖南日报、红网等媒体达成合作关系，认真且及时撰写学校正面新闻稿并投稿媒体，共报道新闻近400篇，内容涵盖学校重大活动、学生活动、德育、党建、教研等等，其中国家级媒体2篇，省级媒体35篇，将学校宣传工作推上一个新台阶。</w:t>
      </w:r>
    </w:p>
    <w:p>
      <w:pPr>
        <w:pStyle w:val="8"/>
        <w:spacing w:before="0" w:beforeAutospacing="0" w:after="0" w:afterAutospacing="0" w:line="480" w:lineRule="auto"/>
        <w:ind w:firstLine="1049" w:firstLineChars="328"/>
        <w:jc w:val="both"/>
        <w:rPr>
          <w:rFonts w:hint="eastAsia" w:ascii="Times New Roman" w:hAnsi="Times New Roman" w:eastAsia="仿宋_GB2312" w:cs="黑体"/>
          <w:color w:val="000000"/>
          <w:kern w:val="0"/>
          <w:sz w:val="32"/>
          <w:szCs w:val="32"/>
          <w:lang w:val="en-US" w:eastAsia="zh-CN" w:bidi="ar-SA"/>
        </w:rPr>
      </w:pPr>
    </w:p>
    <w:p>
      <w:pPr>
        <w:spacing w:line="5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实验中学在2023年怀化市中小学生乒乓球锦标赛（U15男子团体）中获得一等奖（第二名）；实验中学被评为怀化市“清廉学校”；怀化市实验中学荣获2022年度怀化市“文明怀化、家校同行”雷锋青少年志愿服务先进集体（2023年5月）；实验中学在怀化市中小学2021-2022学年"校园阅读工程"活动中,被评为"书香校园"；实验中学工会委员会被评为2023年度怀化市直教育系统“巾帼建功集体”；实验中学初三年级组被评为2023年度怀化市直教育系统“巾帼文明岗”；实验中学在2023年怀化市中小学“心理健康月”优秀活动案例评选中，案例《生命，你好》荣获二等奖。市安全生产评估考核优秀单位，《理性教育、有效陪伴》2022年湖南省中小学“心理健康月”活动案例评选中，荣获二等奖。</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(2)经济性分析</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学校的各项支出实行厉行节约，严格按照预算额度执行，按部门预算进行成本控制。财政供养人员控制在预算编制以内，编制内在职人员控制率为94%；整体支出预算完成率100 %，“三公经费”预算数为0万元。”三公经费”实际支出0万元。</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（3）效率性、有效性分析</w:t>
      </w:r>
    </w:p>
    <w:p>
      <w:pPr>
        <w:pStyle w:val="8"/>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由于财务制度健全，会计核算规范，2023年各项资金及时到位后，学校各项日常工作进展顺利，取得较好成效。</w:t>
      </w:r>
    </w:p>
    <w:p>
      <w:pPr>
        <w:pStyle w:val="8"/>
        <w:spacing w:before="0" w:beforeAutospacing="0" w:after="0" w:afterAutospacing="0" w:line="480" w:lineRule="auto"/>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学校改善了办学条件，设计更合理，功能齐全，学校环境焕然一新。亮化工程、绿化工程、雕塑工程全部完工，提升了学校的教学环境。初中新建校区明亮的教室和现代化的教学设施，为培养更多的品学兼优的中学生奠定了基础。</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8"/>
        <w:spacing w:before="0" w:beforeAutospacing="0" w:after="0" w:afterAutospacing="0" w:line="480" w:lineRule="auto"/>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对于需要报废的资产，处置手续办理不及时。建议加强固定资产管理，增加管理固定资产的管理人员，科学分工分岗。</w:t>
      </w: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9"/>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9"/>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9"/>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9"/>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b/>
          <w:bCs/>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b/>
          <w:bCs/>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怀化市实验中学2023年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pStyle w:val="8"/>
        <w:spacing w:before="0" w:beforeAutospacing="0" w:after="0" w:afterAutospacing="0" w:line="480" w:lineRule="auto"/>
        <w:ind w:firstLine="480"/>
        <w:jc w:val="both"/>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color w:val="000000"/>
          <w:sz w:val="32"/>
          <w:szCs w:val="32"/>
        </w:rPr>
        <w:t>单位内设机构：教务处、德育处、教研处、总务处、团委、办公室、督导室7个科室。</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pStyle w:val="8"/>
        <w:spacing w:before="0" w:beforeAutospacing="0" w:after="0" w:afterAutospacing="0" w:line="480" w:lineRule="auto"/>
        <w:ind w:firstLine="480"/>
        <w:jc w:val="both"/>
        <w:rPr>
          <w:rFonts w:hint="default"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我校是独立核算的财政全额拨款事业单位，执行事业单位会计制度，编制部门给我校定有事业编制</w:t>
      </w:r>
      <w:r>
        <w:rPr>
          <w:rFonts w:hint="eastAsia" w:ascii="华文仿宋" w:hAnsi="华文仿宋" w:eastAsia="华文仿宋" w:cs="华文仿宋"/>
          <w:color w:val="000000"/>
          <w:sz w:val="32"/>
          <w:szCs w:val="32"/>
          <w:lang w:val="en-US" w:eastAsia="zh-CN"/>
        </w:rPr>
        <w:t>118</w:t>
      </w:r>
      <w:r>
        <w:rPr>
          <w:rFonts w:hint="eastAsia" w:ascii="华文仿宋" w:hAnsi="华文仿宋" w:eastAsia="华文仿宋" w:cs="华文仿宋"/>
          <w:color w:val="000000"/>
          <w:sz w:val="32"/>
          <w:szCs w:val="32"/>
        </w:rPr>
        <w:t>个，202</w:t>
      </w:r>
      <w:r>
        <w:rPr>
          <w:rFonts w:hint="eastAsia" w:ascii="华文仿宋" w:hAnsi="华文仿宋" w:eastAsia="华文仿宋" w:cs="华文仿宋"/>
          <w:color w:val="000000"/>
          <w:sz w:val="32"/>
          <w:szCs w:val="32"/>
          <w:lang w:val="en-US" w:eastAsia="zh-CN"/>
        </w:rPr>
        <w:t>3</w:t>
      </w:r>
      <w:r>
        <w:rPr>
          <w:rFonts w:hint="eastAsia" w:ascii="华文仿宋" w:hAnsi="华文仿宋" w:eastAsia="华文仿宋" w:cs="华文仿宋"/>
          <w:color w:val="000000"/>
          <w:sz w:val="32"/>
          <w:szCs w:val="32"/>
        </w:rPr>
        <w:t>年末我校共有在职教职员工</w:t>
      </w:r>
      <w:r>
        <w:rPr>
          <w:rFonts w:hint="eastAsia" w:ascii="华文仿宋" w:hAnsi="华文仿宋" w:eastAsia="华文仿宋" w:cs="华文仿宋"/>
          <w:color w:val="000000"/>
          <w:sz w:val="32"/>
          <w:szCs w:val="32"/>
          <w:lang w:val="en-US" w:eastAsia="zh-CN"/>
        </w:rPr>
        <w:t>111</w:t>
      </w:r>
      <w:r>
        <w:rPr>
          <w:rFonts w:hint="eastAsia" w:ascii="华文仿宋" w:hAnsi="华文仿宋" w:eastAsia="华文仿宋" w:cs="华文仿宋"/>
          <w:color w:val="000000"/>
          <w:sz w:val="32"/>
          <w:szCs w:val="32"/>
        </w:rPr>
        <w:t>人，聘用代课教师</w:t>
      </w:r>
      <w:r>
        <w:rPr>
          <w:rFonts w:hint="eastAsia" w:ascii="华文仿宋" w:hAnsi="华文仿宋" w:eastAsia="华文仿宋" w:cs="华文仿宋"/>
          <w:color w:val="000000"/>
          <w:sz w:val="32"/>
          <w:szCs w:val="32"/>
          <w:lang w:val="en-US" w:eastAsia="zh-CN"/>
        </w:rPr>
        <w:t>25</w:t>
      </w:r>
      <w:r>
        <w:rPr>
          <w:rFonts w:hint="eastAsia" w:ascii="华文仿宋" w:hAnsi="华文仿宋" w:eastAsia="华文仿宋" w:cs="华文仿宋"/>
          <w:color w:val="000000"/>
          <w:sz w:val="32"/>
          <w:szCs w:val="32"/>
        </w:rPr>
        <w:t>人，退休人员</w:t>
      </w:r>
      <w:r>
        <w:rPr>
          <w:rFonts w:hint="eastAsia" w:ascii="华文仿宋" w:hAnsi="华文仿宋" w:eastAsia="华文仿宋" w:cs="华文仿宋"/>
          <w:color w:val="000000"/>
          <w:sz w:val="32"/>
          <w:szCs w:val="32"/>
          <w:lang w:val="en-US" w:eastAsia="zh-CN"/>
        </w:rPr>
        <w:t>57</w:t>
      </w:r>
      <w:r>
        <w:rPr>
          <w:rFonts w:hint="eastAsia" w:ascii="华文仿宋" w:hAnsi="华文仿宋" w:eastAsia="华文仿宋" w:cs="华文仿宋"/>
          <w:color w:val="000000"/>
          <w:sz w:val="32"/>
          <w:szCs w:val="32"/>
        </w:rPr>
        <w:t>人。</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pStyle w:val="8"/>
        <w:spacing w:before="0" w:beforeAutospacing="0" w:after="0" w:afterAutospacing="0" w:line="480" w:lineRule="auto"/>
        <w:ind w:firstLine="480"/>
        <w:jc w:val="both"/>
        <w:rPr>
          <w:rFonts w:hint="default" w:ascii="楷体_GB2312" w:eastAsia="楷体_GB2312" w:cs="楷体_GB2312"/>
          <w:i w:val="0"/>
          <w:iCs w:val="0"/>
          <w:caps w:val="0"/>
          <w:color w:val="000000"/>
          <w:spacing w:val="0"/>
          <w:sz w:val="32"/>
          <w:szCs w:val="32"/>
          <w:shd w:val="clear" w:fill="FFFFFF"/>
        </w:rPr>
      </w:pPr>
      <w:r>
        <w:rPr>
          <w:rFonts w:hint="eastAsia" w:ascii="华文仿宋" w:hAnsi="华文仿宋" w:eastAsia="华文仿宋" w:cs="华文仿宋"/>
          <w:color w:val="000000"/>
          <w:sz w:val="32"/>
          <w:szCs w:val="32"/>
        </w:rPr>
        <w:t>单位职责主要是实施初中义务教育，促进教育事业发展。初中学历教育教改实验（相关社会服务）。</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p>
      <w:pPr>
        <w:numPr>
          <w:ilvl w:val="0"/>
          <w:numId w:val="0"/>
        </w:numPr>
        <w:snapToGrid w:val="0"/>
        <w:spacing w:line="520" w:lineRule="exact"/>
        <w:ind w:firstLine="640" w:firstLineChars="200"/>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1、以习近平新时代中国特色社会主义思想和十九大精神为指导，根据校领导班子确立的“强管理、重实效、提质量、促发展”的办学思想，围绕学校“精、特、新”的办学目标，学校办公室全体成员发扬团结协作、敬业奉献精神，以促进学生发展、教师发展、学校发展为根本，加强信息工作，加强制度建设，提高工作效率，推进学校各项工作顺利开展。</w:t>
      </w:r>
    </w:p>
    <w:p>
      <w:pPr>
        <w:numPr>
          <w:ilvl w:val="0"/>
          <w:numId w:val="0"/>
        </w:numPr>
        <w:snapToGrid w:val="0"/>
        <w:spacing w:line="520" w:lineRule="exact"/>
        <w:ind w:firstLine="640" w:firstLineChars="200"/>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2、充分发挥办公室的参谋、协调和服务职能，努力改进工作方法，克服瓶颈思维的束缚，提高工作效率，使办公室工作达到制度化、规范化、科学化，努力提高办公室成员的整体素质和服务意识，创设良好的服务育人新环境。</w:t>
      </w:r>
    </w:p>
    <w:p>
      <w:pPr>
        <w:numPr>
          <w:ilvl w:val="0"/>
          <w:numId w:val="0"/>
        </w:numPr>
        <w:snapToGrid w:val="0"/>
        <w:spacing w:line="520" w:lineRule="exact"/>
        <w:ind w:firstLine="640" w:firstLineChars="200"/>
        <w:rPr>
          <w:rFonts w:hint="default"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3、注重校园生态环境的建设，美丽的校园，始终展示愉悦宜人的感染力。开展富有特色的社会实践活动。让校园体艺节成为我校传统、特色活动。推进校园文化建设，让生命教育成为我校德育亮点，并再次完成市文明校园的申报工作。</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华文仿宋" w:hAnsi="华文仿宋" w:eastAsia="华文仿宋" w:cs="华文仿宋"/>
          <w:color w:val="000000"/>
          <w:sz w:val="32"/>
          <w:szCs w:val="32"/>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 xml:space="preserve">  </w:t>
      </w:r>
      <w:r>
        <w:rPr>
          <w:rFonts w:hint="eastAsia" w:ascii="华文仿宋" w:hAnsi="华文仿宋" w:eastAsia="华文仿宋" w:cs="华文仿宋"/>
          <w:color w:val="000000"/>
          <w:sz w:val="32"/>
          <w:szCs w:val="32"/>
          <w:lang w:val="en-US" w:eastAsia="zh-CN"/>
        </w:rPr>
        <w:t xml:space="preserve">  我单位2023年预算执行率为100%，严格使用预算一体化系统，按照预算一体化的规范要求使用资金。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1.基本支出情况</w:t>
      </w:r>
    </w:p>
    <w:p>
      <w:pPr>
        <w:pStyle w:val="8"/>
        <w:spacing w:before="0" w:beforeAutospacing="0" w:after="0" w:afterAutospacing="0" w:line="480" w:lineRule="auto"/>
        <w:ind w:firstLine="48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本部门基本支出主要用于维持学校正常运转发生的基本支出和完成各项教育教学任务而发生的各项支出。</w:t>
      </w:r>
    </w:p>
    <w:p>
      <w:pPr>
        <w:pStyle w:val="8"/>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本年基本支出2146.3万元，其中：</w:t>
      </w:r>
    </w:p>
    <w:p>
      <w:pPr>
        <w:pStyle w:val="8"/>
        <w:spacing w:before="0" w:beforeAutospacing="0" w:after="0" w:afterAutospacing="0" w:line="480" w:lineRule="auto"/>
        <w:ind w:firstLine="480"/>
        <w:jc w:val="both"/>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（1）人员经费支出：1885.53万元，占基本支出87.85%，其中：工资福利支出1784.73万元，对个人和家庭补助支出100.8元。</w:t>
      </w:r>
    </w:p>
    <w:p>
      <w:pPr>
        <w:pStyle w:val="8"/>
        <w:spacing w:before="0" w:beforeAutospacing="0" w:after="0" w:afterAutospacing="0" w:line="480" w:lineRule="auto"/>
        <w:ind w:firstLine="480"/>
        <w:jc w:val="both"/>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color w:val="000000"/>
          <w:kern w:val="0"/>
          <w:sz w:val="32"/>
          <w:szCs w:val="32"/>
          <w:lang w:val="en-US" w:eastAsia="zh-CN" w:bidi="ar"/>
        </w:rPr>
        <w:t>（2）日常公用支出260.8万元，占基本支出12.15%，用于我校正常基本运行而发生的费用，包括办公费、水电费、邮电费、物业管理费、差旅费、培训费、维修费、专用材料费、三公经费、租赁费、劳务费、计提的福利费、其他交通费、保安费、其他商品和服务支出（用于学生的经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2.项目支出情况</w:t>
      </w:r>
    </w:p>
    <w:p>
      <w:pPr>
        <w:widowControl/>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2023年我单位收到项目资金共257.3万元。具体支出情况如下：</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业务工作经费89.2万元，主要用于临聘教师工资和市直教师培训；</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运行维护费3.6万元，主要用于报告厅维修；</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学校扩建项目（湖天团组D-3-19）6万元，主要用于扩建项目地块设计图付费；</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校园安全工程39.4万元，主要用于玻璃幕墙、教学楼石塑线条、不锈钢防护网、车位改造、栏杆建设等项目；</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绿地恢复工程45.83万元，主要用于校园和湖天南路直接的公共绿地恢复建设；</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运动场恢复工程20.44万元，主要用于学校运动场的改造和升级；</w:t>
      </w:r>
    </w:p>
    <w:p>
      <w:pPr>
        <w:widowControl/>
        <w:numPr>
          <w:ilvl w:val="0"/>
          <w:numId w:val="3"/>
        </w:numPr>
        <w:shd w:val="clear" w:color="auto" w:fill="FFFFFF"/>
        <w:spacing w:line="600" w:lineRule="atLeast"/>
        <w:ind w:firstLine="640"/>
        <w:rPr>
          <w:rFonts w:hint="eastAsia" w:ascii="华文仿宋" w:hAnsi="华文仿宋" w:eastAsia="华文仿宋" w:cs="华文仿宋"/>
          <w:kern w:val="2"/>
          <w:sz w:val="32"/>
          <w:szCs w:val="32"/>
          <w:lang w:val="en-US" w:eastAsia="zh-CN" w:bidi="ar-SA"/>
        </w:rPr>
      </w:pPr>
      <w:r>
        <w:rPr>
          <w:rFonts w:hint="eastAsia" w:ascii="华文仿宋" w:hAnsi="华文仿宋" w:eastAsia="华文仿宋" w:cs="华文仿宋"/>
          <w:kern w:val="2"/>
          <w:sz w:val="32"/>
          <w:szCs w:val="32"/>
          <w:lang w:val="en-US" w:eastAsia="zh-CN" w:bidi="ar-SA"/>
        </w:rPr>
        <w:t>监控升级项目16.19万元，主要用于升级校园监控设备；</w:t>
      </w:r>
    </w:p>
    <w:p>
      <w:pPr>
        <w:widowControl/>
        <w:numPr>
          <w:ilvl w:val="0"/>
          <w:numId w:val="3"/>
        </w:numPr>
        <w:shd w:val="clear" w:color="auto" w:fill="FFFFFF"/>
        <w:spacing w:line="600" w:lineRule="atLeast"/>
        <w:ind w:firstLine="640"/>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kern w:val="2"/>
          <w:sz w:val="32"/>
          <w:szCs w:val="32"/>
          <w:lang w:val="en-US" w:eastAsia="zh-CN" w:bidi="ar-SA"/>
        </w:rPr>
        <w:t>机房改造项目37.64万元，主要用于学生机房的改造和升级。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贯彻落实中央“八项规定”，学校多次对“三公经费”使用情况进行，严控，自查，完善了“三公”经费各项使用制度，有效控制了“三公”经费开支。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val="en-US" w:eastAsia="zh-CN"/>
        </w:rPr>
        <w:t>2023年“三公”经费预算总额为0万元，与上年持平，决算支出总额为0万元，与上年持平。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三、政府性基金预算支出情况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本单位无</w:t>
      </w:r>
      <w:r>
        <w:rPr>
          <w:rFonts w:hint="eastAsia" w:ascii="楷体_GB2312" w:eastAsia="楷体_GB2312" w:cs="楷体_GB2312"/>
          <w:i w:val="0"/>
          <w:iCs w:val="0"/>
          <w:caps w:val="0"/>
          <w:color w:val="000000"/>
          <w:spacing w:val="0"/>
          <w:sz w:val="32"/>
          <w:szCs w:val="32"/>
          <w:shd w:val="clear" w:fill="FFFFFF"/>
        </w:rPr>
        <w:t>政府性基金预算支出</w:t>
      </w:r>
      <w:r>
        <w:rPr>
          <w:rFonts w:hint="eastAsia" w:ascii="楷体_GB2312" w:eastAsia="楷体_GB2312" w:cs="楷体_GB2312"/>
          <w:i w:val="0"/>
          <w:iCs w:val="0"/>
          <w:caps w:val="0"/>
          <w:color w:val="000000"/>
          <w:spacing w:val="0"/>
          <w:sz w:val="32"/>
          <w:szCs w:val="32"/>
          <w:shd w:val="clear" w:fill="FFFFFF"/>
          <w:lang w:eastAsia="zh-CN"/>
        </w:rPr>
        <w:t>。</w:t>
      </w:r>
    </w:p>
    <w:p>
      <w:pPr>
        <w:pStyle w:val="8"/>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val="en-US" w:eastAsia="zh-CN"/>
        </w:rPr>
        <w:t>本单位无</w:t>
      </w:r>
      <w:r>
        <w:rPr>
          <w:rFonts w:hint="eastAsia" w:ascii="楷体_GB2312" w:eastAsia="楷体_GB2312" w:cs="楷体_GB2312"/>
          <w:i w:val="0"/>
          <w:iCs w:val="0"/>
          <w:caps w:val="0"/>
          <w:color w:val="000000"/>
          <w:spacing w:val="0"/>
          <w:sz w:val="32"/>
          <w:szCs w:val="32"/>
          <w:shd w:val="clear" w:fill="FFFFFF"/>
        </w:rPr>
        <w:t>国有资本经营预算支出</w:t>
      </w:r>
      <w:r>
        <w:rPr>
          <w:rFonts w:hint="eastAsia" w:ascii="楷体_GB2312" w:eastAsia="楷体_GB2312" w:cs="楷体_GB2312"/>
          <w:i w:val="0"/>
          <w:iCs w:val="0"/>
          <w:caps w:val="0"/>
          <w:color w:val="000000"/>
          <w:spacing w:val="0"/>
          <w:sz w:val="32"/>
          <w:szCs w:val="32"/>
          <w:shd w:val="clear" w:fill="FFFFFF"/>
          <w:lang w:eastAsia="zh-CN"/>
        </w:rPr>
        <w:t>。</w:t>
      </w:r>
    </w:p>
    <w:p>
      <w:pPr>
        <w:pStyle w:val="8"/>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本单位无社会保险基金预算支出。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根据《怀化市财政局关于开展2023年度部门整体支出与专项资金绩效自评工作的通知》（怀财绩〔2024〕46号）要求，我单位开展绩效自评工作，综合评分9</w:t>
      </w:r>
      <w:r>
        <w:rPr>
          <w:rFonts w:hint="eastAsia" w:ascii="华文仿宋" w:hAnsi="华文仿宋" w:eastAsia="华文仿宋" w:cs="华文仿宋"/>
          <w:i w:val="0"/>
          <w:iCs w:val="0"/>
          <w:caps w:val="0"/>
          <w:color w:val="000000"/>
          <w:spacing w:val="0"/>
          <w:sz w:val="32"/>
          <w:szCs w:val="32"/>
          <w:shd w:val="clear" w:fill="FFFFFF"/>
          <w:lang w:val="en-US" w:eastAsia="zh-CN"/>
        </w:rPr>
        <w:t>7</w:t>
      </w:r>
      <w:r>
        <w:rPr>
          <w:rFonts w:hint="eastAsia" w:ascii="华文仿宋" w:hAnsi="华文仿宋" w:eastAsia="华文仿宋" w:cs="华文仿宋"/>
          <w:i w:val="0"/>
          <w:iCs w:val="0"/>
          <w:caps w:val="0"/>
          <w:color w:val="000000"/>
          <w:spacing w:val="0"/>
          <w:sz w:val="32"/>
          <w:szCs w:val="32"/>
          <w:shd w:val="clear" w:fill="FFFFFF"/>
        </w:rPr>
        <w:t>分，评价结果优秀。</w:t>
      </w:r>
    </w:p>
    <w:p>
      <w:pPr>
        <w:pStyle w:val="8"/>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pPr>
        <w:pStyle w:val="8"/>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整体绩效目标设定</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（1）绩效目标合理性。绩效目标符合国家法律法规、社会发展规划；符合部门“三定”方案确定的职责及中长期实施规划。</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（2）绩效指标明确性。设定的绩效指标与部门年度的任务数或计划数相对应；与本年度部门预算资金相匹配，细化到三级指标。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2、</w:t>
      </w:r>
      <w:r>
        <w:rPr>
          <w:rFonts w:hint="eastAsia" w:ascii="华文仿宋" w:hAnsi="华文仿宋" w:eastAsia="华文仿宋" w:cs="华文仿宋"/>
          <w:i w:val="0"/>
          <w:iCs w:val="0"/>
          <w:caps w:val="0"/>
          <w:color w:val="000000"/>
          <w:spacing w:val="0"/>
          <w:sz w:val="32"/>
          <w:szCs w:val="32"/>
          <w:shd w:val="clear" w:fill="FFFFFF"/>
        </w:rPr>
        <w:t>预算配置</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（1）在职人员控制率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2023年我单位编制数</w:t>
      </w:r>
      <w:r>
        <w:rPr>
          <w:rFonts w:hint="eastAsia" w:ascii="华文仿宋" w:hAnsi="华文仿宋" w:eastAsia="华文仿宋" w:cs="华文仿宋"/>
          <w:i w:val="0"/>
          <w:iCs w:val="0"/>
          <w:caps w:val="0"/>
          <w:color w:val="000000"/>
          <w:spacing w:val="0"/>
          <w:sz w:val="32"/>
          <w:szCs w:val="32"/>
          <w:shd w:val="clear" w:fill="FFFFFF"/>
          <w:lang w:val="en-US" w:eastAsia="zh-CN"/>
        </w:rPr>
        <w:t>118</w:t>
      </w:r>
      <w:r>
        <w:rPr>
          <w:rFonts w:hint="eastAsia" w:ascii="华文仿宋" w:hAnsi="华文仿宋" w:eastAsia="华文仿宋" w:cs="华文仿宋"/>
          <w:i w:val="0"/>
          <w:iCs w:val="0"/>
          <w:caps w:val="0"/>
          <w:color w:val="000000"/>
          <w:spacing w:val="0"/>
          <w:sz w:val="32"/>
          <w:szCs w:val="32"/>
          <w:shd w:val="clear" w:fill="FFFFFF"/>
        </w:rPr>
        <w:t>人，实际在职人员数</w:t>
      </w:r>
      <w:r>
        <w:rPr>
          <w:rFonts w:hint="eastAsia" w:ascii="华文仿宋" w:hAnsi="华文仿宋" w:eastAsia="华文仿宋" w:cs="华文仿宋"/>
          <w:i w:val="0"/>
          <w:iCs w:val="0"/>
          <w:caps w:val="0"/>
          <w:color w:val="000000"/>
          <w:spacing w:val="0"/>
          <w:sz w:val="32"/>
          <w:szCs w:val="32"/>
          <w:shd w:val="clear" w:fill="FFFFFF"/>
          <w:lang w:val="en-US" w:eastAsia="zh-CN"/>
        </w:rPr>
        <w:t>111</w:t>
      </w:r>
      <w:r>
        <w:rPr>
          <w:rFonts w:hint="eastAsia" w:ascii="华文仿宋" w:hAnsi="华文仿宋" w:eastAsia="华文仿宋" w:cs="华文仿宋"/>
          <w:i w:val="0"/>
          <w:iCs w:val="0"/>
          <w:caps w:val="0"/>
          <w:color w:val="000000"/>
          <w:spacing w:val="0"/>
          <w:sz w:val="32"/>
          <w:szCs w:val="32"/>
          <w:shd w:val="clear" w:fill="FFFFFF"/>
        </w:rPr>
        <w:t>人，在职人员控制率为</w:t>
      </w:r>
      <w:r>
        <w:rPr>
          <w:rFonts w:hint="eastAsia" w:ascii="华文仿宋" w:hAnsi="华文仿宋" w:eastAsia="华文仿宋" w:cs="华文仿宋"/>
          <w:i w:val="0"/>
          <w:iCs w:val="0"/>
          <w:caps w:val="0"/>
          <w:color w:val="000000"/>
          <w:spacing w:val="0"/>
          <w:sz w:val="32"/>
          <w:szCs w:val="32"/>
          <w:shd w:val="clear" w:fill="FFFFFF"/>
          <w:lang w:val="en-US" w:eastAsia="zh-CN"/>
        </w:rPr>
        <w:t>94</w:t>
      </w:r>
      <w:r>
        <w:rPr>
          <w:rFonts w:hint="eastAsia" w:ascii="华文仿宋" w:hAnsi="华文仿宋" w:eastAsia="华文仿宋" w:cs="华文仿宋"/>
          <w:i w:val="0"/>
          <w:iCs w:val="0"/>
          <w:caps w:val="0"/>
          <w:color w:val="000000"/>
          <w:spacing w:val="0"/>
          <w:sz w:val="32"/>
          <w:szCs w:val="32"/>
          <w:shd w:val="clear" w:fill="FFFFFF"/>
        </w:rPr>
        <w:t>%。严格执行了相关文件精神，无超编人员。</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（2）“三公经费”预算变动率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2023年“三公经费”预算数0万元，上年度“三公经费”预算数0万元，未发生变动。</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3、</w:t>
      </w:r>
      <w:r>
        <w:rPr>
          <w:rFonts w:hint="eastAsia" w:ascii="华文仿宋" w:hAnsi="华文仿宋" w:eastAsia="华文仿宋" w:cs="华文仿宋"/>
          <w:i w:val="0"/>
          <w:iCs w:val="0"/>
          <w:caps w:val="0"/>
          <w:color w:val="000000"/>
          <w:spacing w:val="0"/>
          <w:sz w:val="32"/>
          <w:szCs w:val="32"/>
          <w:shd w:val="clear" w:fill="FFFFFF"/>
        </w:rPr>
        <w:t>预算执行</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val="en-US" w:eastAsia="zh-CN"/>
        </w:rPr>
        <w:t xml:space="preserve">  </w:t>
      </w:r>
      <w:r>
        <w:rPr>
          <w:rFonts w:hint="eastAsia" w:ascii="华文仿宋" w:hAnsi="华文仿宋" w:eastAsia="华文仿宋" w:cs="华文仿宋"/>
          <w:i w:val="0"/>
          <w:iCs w:val="0"/>
          <w:caps w:val="0"/>
          <w:color w:val="000000"/>
          <w:spacing w:val="0"/>
          <w:sz w:val="32"/>
          <w:szCs w:val="32"/>
          <w:shd w:val="clear" w:fill="FFFFFF"/>
        </w:rPr>
        <w:t>（1）预算执行率。2023年全年预算数</w:t>
      </w:r>
      <w:r>
        <w:rPr>
          <w:rFonts w:hint="eastAsia" w:ascii="华文仿宋" w:hAnsi="华文仿宋" w:eastAsia="华文仿宋" w:cs="华文仿宋"/>
          <w:i w:val="0"/>
          <w:iCs w:val="0"/>
          <w:caps w:val="0"/>
          <w:color w:val="000000"/>
          <w:spacing w:val="0"/>
          <w:sz w:val="32"/>
          <w:szCs w:val="32"/>
          <w:shd w:val="clear" w:fill="FFFFFF"/>
          <w:lang w:val="en-US" w:eastAsia="zh-CN"/>
        </w:rPr>
        <w:t>2403.6</w:t>
      </w:r>
      <w:r>
        <w:rPr>
          <w:rFonts w:hint="eastAsia" w:ascii="华文仿宋" w:hAnsi="华文仿宋" w:eastAsia="华文仿宋" w:cs="华文仿宋"/>
          <w:i w:val="0"/>
          <w:iCs w:val="0"/>
          <w:caps w:val="0"/>
          <w:color w:val="000000"/>
          <w:spacing w:val="0"/>
          <w:sz w:val="32"/>
          <w:szCs w:val="32"/>
          <w:shd w:val="clear" w:fill="FFFFFF"/>
        </w:rPr>
        <w:t>万元，执行数</w:t>
      </w:r>
      <w:r>
        <w:rPr>
          <w:rFonts w:hint="eastAsia" w:ascii="华文仿宋" w:hAnsi="华文仿宋" w:eastAsia="华文仿宋" w:cs="华文仿宋"/>
          <w:i w:val="0"/>
          <w:iCs w:val="0"/>
          <w:caps w:val="0"/>
          <w:color w:val="000000"/>
          <w:spacing w:val="0"/>
          <w:sz w:val="32"/>
          <w:szCs w:val="32"/>
          <w:shd w:val="clear" w:fill="FFFFFF"/>
          <w:lang w:val="en-US" w:eastAsia="zh-CN"/>
        </w:rPr>
        <w:t>2403.6</w:t>
      </w:r>
      <w:r>
        <w:rPr>
          <w:rFonts w:hint="eastAsia" w:ascii="华文仿宋" w:hAnsi="华文仿宋" w:eastAsia="华文仿宋" w:cs="华文仿宋"/>
          <w:i w:val="0"/>
          <w:iCs w:val="0"/>
          <w:caps w:val="0"/>
          <w:color w:val="000000"/>
          <w:spacing w:val="0"/>
          <w:sz w:val="32"/>
          <w:szCs w:val="32"/>
          <w:shd w:val="clear" w:fill="FFFFFF"/>
        </w:rPr>
        <w:t>万元，预算执行率100%。</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（2）公用经费控制率。公用经费实际支出260.75万元（与预算统一口径，不包括车补金额），预算安排数218万元，公用经费控制率119.61%，未控制到位。</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（3</w:t>
      </w:r>
      <w:r>
        <w:rPr>
          <w:rFonts w:hint="eastAsia" w:ascii="华文仿宋" w:hAnsi="华文仿宋" w:eastAsia="华文仿宋" w:cs="华文仿宋"/>
          <w:i w:val="0"/>
          <w:iCs w:val="0"/>
          <w:caps w:val="0"/>
          <w:color w:val="000000"/>
          <w:spacing w:val="0"/>
          <w:sz w:val="32"/>
          <w:szCs w:val="32"/>
          <w:shd w:val="clear" w:fill="FFFFFF"/>
        </w:rPr>
        <w:t>）“三公经费”控制率。“三公经费”实际支出</w:t>
      </w:r>
      <w:r>
        <w:rPr>
          <w:rFonts w:hint="eastAsia" w:ascii="华文仿宋" w:hAnsi="华文仿宋" w:eastAsia="华文仿宋" w:cs="华文仿宋"/>
          <w:i w:val="0"/>
          <w:iCs w:val="0"/>
          <w:caps w:val="0"/>
          <w:color w:val="000000"/>
          <w:spacing w:val="0"/>
          <w:sz w:val="32"/>
          <w:szCs w:val="32"/>
          <w:shd w:val="clear" w:fill="FFFFFF"/>
          <w:lang w:val="en-US" w:eastAsia="zh-CN"/>
        </w:rPr>
        <w:t>0</w:t>
      </w:r>
      <w:r>
        <w:rPr>
          <w:rFonts w:hint="eastAsia" w:ascii="华文仿宋" w:hAnsi="华文仿宋" w:eastAsia="华文仿宋" w:cs="华文仿宋"/>
          <w:i w:val="0"/>
          <w:iCs w:val="0"/>
          <w:caps w:val="0"/>
          <w:color w:val="000000"/>
          <w:spacing w:val="0"/>
          <w:sz w:val="32"/>
          <w:szCs w:val="32"/>
          <w:shd w:val="clear" w:fill="FFFFFF"/>
        </w:rPr>
        <w:t>万元，</w:t>
      </w:r>
      <w:r>
        <w:rPr>
          <w:rFonts w:hint="eastAsia" w:ascii="华文仿宋" w:hAnsi="华文仿宋" w:eastAsia="华文仿宋" w:cs="华文仿宋"/>
          <w:i w:val="0"/>
          <w:iCs w:val="0"/>
          <w:caps w:val="0"/>
          <w:color w:val="000000"/>
          <w:spacing w:val="0"/>
          <w:sz w:val="32"/>
          <w:szCs w:val="32"/>
          <w:shd w:val="clear" w:fill="FFFFFF"/>
          <w:lang w:val="en-US" w:eastAsia="zh-CN"/>
        </w:rPr>
        <w:t>与上年比较无变动</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val="en-US" w:eastAsia="zh-CN"/>
        </w:rPr>
        <w:t>4、</w:t>
      </w:r>
      <w:r>
        <w:rPr>
          <w:rFonts w:hint="eastAsia" w:ascii="华文仿宋" w:hAnsi="华文仿宋" w:eastAsia="华文仿宋" w:cs="华文仿宋"/>
          <w:i w:val="0"/>
          <w:iCs w:val="0"/>
          <w:caps w:val="0"/>
          <w:color w:val="000000"/>
          <w:spacing w:val="0"/>
          <w:sz w:val="32"/>
          <w:szCs w:val="32"/>
          <w:shd w:val="clear" w:fill="FFFFFF"/>
        </w:rPr>
        <w:t>预算管理</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eastAsia="zh-CN"/>
        </w:rPr>
        <w:t>（</w:t>
      </w:r>
      <w:r>
        <w:rPr>
          <w:rFonts w:hint="eastAsia" w:ascii="华文仿宋" w:hAnsi="华文仿宋" w:eastAsia="华文仿宋" w:cs="华文仿宋"/>
          <w:i w:val="0"/>
          <w:iCs w:val="0"/>
          <w:caps w:val="0"/>
          <w:color w:val="000000"/>
          <w:spacing w:val="0"/>
          <w:sz w:val="32"/>
          <w:szCs w:val="32"/>
          <w:shd w:val="clear" w:fill="FFFFFF"/>
          <w:lang w:val="en-US" w:eastAsia="zh-CN"/>
        </w:rPr>
        <w:t>1）</w:t>
      </w:r>
      <w:r>
        <w:rPr>
          <w:rFonts w:hint="eastAsia" w:ascii="华文仿宋" w:hAnsi="华文仿宋" w:eastAsia="华文仿宋" w:cs="华文仿宋"/>
          <w:i w:val="0"/>
          <w:iCs w:val="0"/>
          <w:caps w:val="0"/>
          <w:color w:val="000000"/>
          <w:spacing w:val="0"/>
          <w:sz w:val="32"/>
          <w:szCs w:val="32"/>
          <w:shd w:val="clear" w:fill="FFFFFF"/>
        </w:rPr>
        <w:t>管理制度健全性。我单位严格按照财务管理的相关要求，制定了《预决算管理办法》，并严格按管理办法执行。</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eastAsia="zh-CN"/>
        </w:rPr>
        <w:t>（</w:t>
      </w:r>
      <w:r>
        <w:rPr>
          <w:rFonts w:hint="eastAsia" w:ascii="华文仿宋" w:hAnsi="华文仿宋" w:eastAsia="华文仿宋" w:cs="华文仿宋"/>
          <w:i w:val="0"/>
          <w:iCs w:val="0"/>
          <w:caps w:val="0"/>
          <w:color w:val="000000"/>
          <w:spacing w:val="0"/>
          <w:sz w:val="32"/>
          <w:szCs w:val="32"/>
          <w:shd w:val="clear" w:fill="FFFFFF"/>
          <w:lang w:val="en-US" w:eastAsia="zh-CN"/>
        </w:rPr>
        <w:t>2）</w:t>
      </w:r>
      <w:r>
        <w:rPr>
          <w:rFonts w:hint="eastAsia" w:ascii="华文仿宋" w:hAnsi="华文仿宋" w:eastAsia="华文仿宋" w:cs="华文仿宋"/>
          <w:i w:val="0"/>
          <w:iCs w:val="0"/>
          <w:caps w:val="0"/>
          <w:color w:val="000000"/>
          <w:spacing w:val="0"/>
          <w:sz w:val="32"/>
          <w:szCs w:val="32"/>
          <w:shd w:val="clear" w:fill="FFFFFF"/>
        </w:rPr>
        <w:t>资金使用合规性。资金的拨付有完整的审批程序和手续，预算支出的重大开支经集体决策；不存在截留、挤占、挪用、虚列支出等情况。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eastAsia="zh-CN"/>
        </w:rPr>
        <w:t>（</w:t>
      </w:r>
      <w:r>
        <w:rPr>
          <w:rFonts w:hint="eastAsia" w:ascii="华文仿宋" w:hAnsi="华文仿宋" w:eastAsia="华文仿宋" w:cs="华文仿宋"/>
          <w:i w:val="0"/>
          <w:iCs w:val="0"/>
          <w:caps w:val="0"/>
          <w:color w:val="000000"/>
          <w:spacing w:val="0"/>
          <w:sz w:val="32"/>
          <w:szCs w:val="32"/>
          <w:shd w:val="clear" w:fill="FFFFFF"/>
          <w:lang w:val="en-US" w:eastAsia="zh-CN"/>
        </w:rPr>
        <w:t>3）</w:t>
      </w:r>
      <w:r>
        <w:rPr>
          <w:rFonts w:hint="eastAsia" w:ascii="华文仿宋" w:hAnsi="华文仿宋" w:eastAsia="华文仿宋" w:cs="华文仿宋"/>
          <w:i w:val="0"/>
          <w:iCs w:val="0"/>
          <w:caps w:val="0"/>
          <w:color w:val="000000"/>
          <w:spacing w:val="0"/>
          <w:sz w:val="32"/>
          <w:szCs w:val="32"/>
          <w:shd w:val="clear" w:fill="FFFFFF"/>
        </w:rPr>
        <w:t>预决算信息公开。按财政要求按时公开预决算信息。</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val="en-US" w:eastAsia="zh-CN"/>
        </w:rPr>
        <w:t>5、</w:t>
      </w:r>
      <w:r>
        <w:rPr>
          <w:rFonts w:hint="eastAsia" w:ascii="华文仿宋" w:hAnsi="华文仿宋" w:eastAsia="华文仿宋" w:cs="华文仿宋"/>
          <w:i w:val="0"/>
          <w:iCs w:val="0"/>
          <w:caps w:val="0"/>
          <w:color w:val="000000"/>
          <w:spacing w:val="0"/>
          <w:sz w:val="32"/>
          <w:szCs w:val="32"/>
          <w:shd w:val="clear" w:fill="FFFFFF"/>
        </w:rPr>
        <w:t>资产管理</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（1）管理制度健全性。</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根据《行政单位国有资产管理暂行办法》(财政部令第35号）的规定，我单位严格按照财务管理的相关要求，建立了《固定资产一般管理制度》等资产内部管理规范。</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（2）资产管理安全性。</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学校严格按照财政部门制定的资产配置合理编制资产配置预算，对没有规定资产配置标准的，坚持厉行节约、从严控制的原则，对于预算配置内的资产，按照规定进行资产登记。对于报损资产严格执行国有资产处置制度，履行审批手续，规范处置行为，防止国有资产流失。为防止国有资产流失，学校制定了详细的资产管理办法，对各类不同资产，均配有资产专管员，资产购置、管理和处置均由资产专管员按照规定进行申报，定期盘点，集中处置，确保资产，账账相符、账实相符。</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6、</w:t>
      </w:r>
      <w:r>
        <w:rPr>
          <w:rFonts w:hint="eastAsia" w:ascii="华文仿宋" w:hAnsi="华文仿宋" w:eastAsia="华文仿宋" w:cs="华文仿宋"/>
          <w:i w:val="0"/>
          <w:iCs w:val="0"/>
          <w:caps w:val="0"/>
          <w:color w:val="000000"/>
          <w:spacing w:val="0"/>
          <w:sz w:val="32"/>
          <w:szCs w:val="32"/>
          <w:shd w:val="clear" w:fill="FFFFFF"/>
        </w:rPr>
        <w:t>职责履行</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1.实际完成情况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全年完成</w:t>
      </w:r>
      <w:r>
        <w:rPr>
          <w:rFonts w:hint="eastAsia" w:ascii="华文仿宋" w:hAnsi="华文仿宋" w:eastAsia="华文仿宋" w:cs="华文仿宋"/>
          <w:i w:val="0"/>
          <w:iCs w:val="0"/>
          <w:caps w:val="0"/>
          <w:color w:val="000000"/>
          <w:spacing w:val="0"/>
          <w:sz w:val="32"/>
          <w:szCs w:val="32"/>
          <w:shd w:val="clear" w:fill="FFFFFF"/>
          <w:lang w:val="en-US" w:eastAsia="zh-CN"/>
        </w:rPr>
        <w:t>教研会召开8次、扩班一个、临聘教师招聘上报25人</w:t>
      </w:r>
      <w:r>
        <w:rPr>
          <w:rFonts w:hint="eastAsia" w:ascii="华文仿宋" w:hAnsi="华文仿宋" w:eastAsia="华文仿宋" w:cs="华文仿宋"/>
          <w:i w:val="0"/>
          <w:iCs w:val="0"/>
          <w:caps w:val="0"/>
          <w:color w:val="000000"/>
          <w:spacing w:val="0"/>
          <w:sz w:val="32"/>
          <w:szCs w:val="32"/>
          <w:shd w:val="clear" w:fill="FFFFFF"/>
        </w:rPr>
        <w:t>，完成计划目标。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2.质量达标情况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达标完成率100%，完成计划目标。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3.完成及时情况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2023年11月之前完成全年培训计划，完成计划目标。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7、</w:t>
      </w:r>
      <w:r>
        <w:rPr>
          <w:rFonts w:hint="eastAsia" w:ascii="华文仿宋" w:hAnsi="华文仿宋" w:eastAsia="华文仿宋" w:cs="华文仿宋"/>
          <w:i w:val="0"/>
          <w:iCs w:val="0"/>
          <w:caps w:val="0"/>
          <w:color w:val="000000"/>
          <w:spacing w:val="0"/>
          <w:sz w:val="32"/>
          <w:szCs w:val="32"/>
          <w:shd w:val="clear" w:fill="FFFFFF"/>
        </w:rPr>
        <w:t>履职效益情况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（1）社会效益</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提升了</w:t>
      </w:r>
      <w:r>
        <w:rPr>
          <w:rFonts w:hint="eastAsia" w:ascii="华文仿宋" w:hAnsi="华文仿宋" w:eastAsia="华文仿宋" w:cs="华文仿宋"/>
          <w:i w:val="0"/>
          <w:iCs w:val="0"/>
          <w:caps w:val="0"/>
          <w:color w:val="000000"/>
          <w:spacing w:val="0"/>
          <w:sz w:val="32"/>
          <w:szCs w:val="32"/>
          <w:shd w:val="clear" w:fill="FFFFFF"/>
          <w:lang w:val="en-US" w:eastAsia="zh-CN"/>
        </w:rPr>
        <w:t>教学硬件条件</w:t>
      </w:r>
      <w:r>
        <w:rPr>
          <w:rFonts w:hint="eastAsia" w:ascii="华文仿宋" w:hAnsi="华文仿宋" w:eastAsia="华文仿宋" w:cs="华文仿宋"/>
          <w:i w:val="0"/>
          <w:iCs w:val="0"/>
          <w:caps w:val="0"/>
          <w:color w:val="000000"/>
          <w:spacing w:val="0"/>
          <w:sz w:val="32"/>
          <w:szCs w:val="32"/>
          <w:shd w:val="clear" w:fill="FFFFFF"/>
        </w:rPr>
        <w:t>，提高了</w:t>
      </w:r>
      <w:r>
        <w:rPr>
          <w:rFonts w:hint="eastAsia" w:ascii="华文仿宋" w:hAnsi="华文仿宋" w:eastAsia="华文仿宋" w:cs="华文仿宋"/>
          <w:i w:val="0"/>
          <w:iCs w:val="0"/>
          <w:caps w:val="0"/>
          <w:color w:val="000000"/>
          <w:spacing w:val="0"/>
          <w:sz w:val="32"/>
          <w:szCs w:val="32"/>
          <w:shd w:val="clear" w:fill="FFFFFF"/>
          <w:lang w:val="en-US" w:eastAsia="zh-CN"/>
        </w:rPr>
        <w:t>教师</w:t>
      </w:r>
      <w:r>
        <w:rPr>
          <w:rFonts w:hint="eastAsia" w:ascii="华文仿宋" w:hAnsi="华文仿宋" w:eastAsia="华文仿宋" w:cs="华文仿宋"/>
          <w:i w:val="0"/>
          <w:iCs w:val="0"/>
          <w:caps w:val="0"/>
          <w:color w:val="000000"/>
          <w:spacing w:val="0"/>
          <w:sz w:val="32"/>
          <w:szCs w:val="32"/>
          <w:shd w:val="clear" w:fill="FFFFFF"/>
        </w:rPr>
        <w:t>职业素养、业务能力，完成计划目标。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（2）可持续影响效益</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学校校园环境</w:t>
      </w:r>
      <w:r>
        <w:rPr>
          <w:rFonts w:hint="eastAsia" w:ascii="华文仿宋" w:hAnsi="华文仿宋" w:eastAsia="华文仿宋" w:cs="华文仿宋"/>
          <w:i w:val="0"/>
          <w:iCs w:val="0"/>
          <w:caps w:val="0"/>
          <w:color w:val="000000"/>
          <w:spacing w:val="0"/>
          <w:sz w:val="32"/>
          <w:szCs w:val="32"/>
          <w:shd w:val="clear" w:fill="FFFFFF"/>
        </w:rPr>
        <w:t>提升，完成计划目标。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eastAsia" w:ascii="华文仿宋" w:hAnsi="华文仿宋" w:eastAsia="华文仿宋" w:cs="华文仿宋"/>
          <w:i w:val="0"/>
          <w:iCs w:val="0"/>
          <w:caps w:val="0"/>
          <w:color w:val="000000"/>
          <w:spacing w:val="0"/>
          <w:sz w:val="32"/>
          <w:szCs w:val="32"/>
          <w:shd w:val="clear" w:fill="FFFFFF"/>
          <w:lang w:eastAsia="zh-CN"/>
        </w:rPr>
      </w:pPr>
      <w:r>
        <w:rPr>
          <w:rFonts w:hint="eastAsia" w:ascii="华文仿宋" w:hAnsi="华文仿宋" w:eastAsia="华文仿宋" w:cs="华文仿宋"/>
          <w:i w:val="0"/>
          <w:iCs w:val="0"/>
          <w:caps w:val="0"/>
          <w:color w:val="000000"/>
          <w:spacing w:val="0"/>
          <w:sz w:val="32"/>
          <w:szCs w:val="32"/>
          <w:shd w:val="clear" w:fill="FFFFFF"/>
        </w:rPr>
        <w:t>（3）满意度</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52" w:right="0" w:rightChars="0"/>
        <w:textAlignment w:val="auto"/>
        <w:rPr>
          <w:rFonts w:hint="default"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lang w:val="en-US" w:eastAsia="zh-CN"/>
        </w:rPr>
        <w:t>师生</w:t>
      </w:r>
      <w:r>
        <w:rPr>
          <w:rFonts w:hint="eastAsia" w:ascii="华文仿宋" w:hAnsi="华文仿宋" w:eastAsia="华文仿宋" w:cs="华文仿宋"/>
          <w:i w:val="0"/>
          <w:iCs w:val="0"/>
          <w:caps w:val="0"/>
          <w:color w:val="000000"/>
          <w:spacing w:val="0"/>
          <w:sz w:val="32"/>
          <w:szCs w:val="32"/>
          <w:shd w:val="clear" w:fill="FFFFFF"/>
        </w:rPr>
        <w:t>满意度达100%，完成计划目标。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仿宋_GB2312" w:eastAsia="仿宋_GB2312" w:cs="仿宋_GB2312"/>
          <w:i w:val="0"/>
          <w:iCs w:val="0"/>
          <w:caps w:val="0"/>
          <w:color w:val="000000"/>
          <w:spacing w:val="0"/>
          <w:sz w:val="32"/>
          <w:szCs w:val="32"/>
          <w:shd w:val="clear" w:fill="FFFFFF"/>
        </w:rPr>
      </w:pP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七、</w:t>
      </w:r>
      <w:r>
        <w:rPr>
          <w:rFonts w:hint="eastAsia" w:ascii="黑体" w:hAnsi="黑体" w:eastAsia="黑体" w:cs="黑体"/>
          <w:i w:val="0"/>
          <w:iCs w:val="0"/>
          <w:caps w:val="0"/>
          <w:color w:val="000000"/>
          <w:spacing w:val="0"/>
          <w:sz w:val="32"/>
          <w:szCs w:val="32"/>
          <w:shd w:val="clear" w:fill="FFFFFF"/>
        </w:rPr>
        <w:t>存在的问题及原因分析</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公用经费控制不到位，执行偏离绩效目标，主要是预算资金实际支出具有不可预见性，公用经费控制率的实际情况与预算存在一定的差距。</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八、</w:t>
      </w:r>
      <w:r>
        <w:rPr>
          <w:rFonts w:hint="eastAsia" w:ascii="黑体" w:hAnsi="黑体" w:eastAsia="黑体" w:cs="黑体"/>
          <w:i w:val="0"/>
          <w:iCs w:val="0"/>
          <w:caps w:val="0"/>
          <w:color w:val="000000"/>
          <w:spacing w:val="0"/>
          <w:sz w:val="32"/>
          <w:szCs w:val="32"/>
          <w:shd w:val="clear" w:fill="FFFFFF"/>
        </w:rPr>
        <w:t>下一步改进措施</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进一步加强预算管理。预算编制时必须全面考虑，避免经费遗漏，确保预算控制良好，严格按预算执行。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lang w:val="en-US" w:eastAsia="zh-CN"/>
        </w:rPr>
        <w:t>九、</w:t>
      </w:r>
      <w:r>
        <w:rPr>
          <w:rFonts w:hint="eastAsia" w:ascii="黑体" w:hAnsi="黑体" w:eastAsia="黑体" w:cs="黑体"/>
          <w:i w:val="0"/>
          <w:iCs w:val="0"/>
          <w:caps w:val="0"/>
          <w:color w:val="000000"/>
          <w:spacing w:val="0"/>
          <w:sz w:val="32"/>
          <w:szCs w:val="32"/>
          <w:shd w:val="clear" w:fill="FFFFFF"/>
        </w:rPr>
        <w:t>其他需要说明的情况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华文仿宋" w:hAnsi="华文仿宋" w:eastAsia="华文仿宋" w:cs="华文仿宋"/>
          <w:i w:val="0"/>
          <w:iCs w:val="0"/>
          <w:caps w:val="0"/>
          <w:color w:val="000000"/>
          <w:spacing w:val="0"/>
          <w:sz w:val="32"/>
          <w:szCs w:val="32"/>
          <w:shd w:val="clear" w:fill="FFFFFF"/>
        </w:rPr>
      </w:pPr>
      <w:r>
        <w:rPr>
          <w:rFonts w:hint="eastAsia" w:ascii="华文仿宋" w:hAnsi="华文仿宋" w:eastAsia="华文仿宋" w:cs="华文仿宋"/>
          <w:i w:val="0"/>
          <w:iCs w:val="0"/>
          <w:caps w:val="0"/>
          <w:color w:val="000000"/>
          <w:spacing w:val="0"/>
          <w:sz w:val="32"/>
          <w:szCs w:val="32"/>
          <w:shd w:val="clear" w:fill="FFFFFF"/>
        </w:rPr>
        <w:t>无其他需要说明的情况。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right"/>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right"/>
        <w:textAlignment w:val="auto"/>
        <w:rPr>
          <w:rFonts w:hint="eastAsia"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怀化市实验中学</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right"/>
        <w:textAlignment w:val="auto"/>
        <w:rPr>
          <w:rFonts w:hint="default" w:ascii="华文仿宋" w:hAnsi="华文仿宋" w:eastAsia="华文仿宋" w:cs="华文仿宋"/>
          <w:i w:val="0"/>
          <w:iCs w:val="0"/>
          <w:caps w:val="0"/>
          <w:color w:val="000000"/>
          <w:spacing w:val="0"/>
          <w:sz w:val="32"/>
          <w:szCs w:val="32"/>
          <w:shd w:val="clear" w:fill="FFFFFF"/>
          <w:lang w:val="en-US" w:eastAsia="zh-CN"/>
        </w:rPr>
      </w:pPr>
      <w:r>
        <w:rPr>
          <w:rFonts w:hint="eastAsia" w:ascii="华文仿宋" w:hAnsi="华文仿宋" w:eastAsia="华文仿宋" w:cs="华文仿宋"/>
          <w:i w:val="0"/>
          <w:iCs w:val="0"/>
          <w:caps w:val="0"/>
          <w:color w:val="000000"/>
          <w:spacing w:val="0"/>
          <w:sz w:val="32"/>
          <w:szCs w:val="32"/>
          <w:shd w:val="clear" w:fill="FFFFFF"/>
          <w:lang w:val="en-US" w:eastAsia="zh-CN"/>
        </w:rPr>
        <w:t>2024年6月27日</w:t>
      </w: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BFE754"/>
    <w:multiLevelType w:val="singleLevel"/>
    <w:tmpl w:val="C2BFE754"/>
    <w:lvl w:ilvl="0" w:tentative="0">
      <w:start w:val="2"/>
      <w:numFmt w:val="chineseCounting"/>
      <w:suff w:val="nothing"/>
      <w:lvlText w:val="（%1）"/>
      <w:lvlJc w:val="left"/>
      <w:rPr>
        <w:rFonts w:hint="eastAsia"/>
      </w:rPr>
    </w:lvl>
  </w:abstractNum>
  <w:abstractNum w:abstractNumId="1">
    <w:nsid w:val="FD7CAEAE"/>
    <w:multiLevelType w:val="singleLevel"/>
    <w:tmpl w:val="FD7CAEAE"/>
    <w:lvl w:ilvl="0" w:tentative="0">
      <w:start w:val="4"/>
      <w:numFmt w:val="chineseCounting"/>
      <w:suff w:val="nothing"/>
      <w:lvlText w:val="%1、"/>
      <w:lvlJc w:val="left"/>
      <w:rPr>
        <w:rFonts w:hint="eastAsia"/>
      </w:rPr>
    </w:lvl>
  </w:abstractNum>
  <w:abstractNum w:abstractNumId="2">
    <w:nsid w:val="0B423D93"/>
    <w:multiLevelType w:val="singleLevel"/>
    <w:tmpl w:val="0B423D93"/>
    <w:lvl w:ilvl="0" w:tentative="0">
      <w:start w:val="1"/>
      <w:numFmt w:val="decimal"/>
      <w:suff w:val="nothing"/>
      <w:lvlText w:val="%1、"/>
      <w:lvlJc w:val="left"/>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C867DE0"/>
    <w:multiLevelType w:val="singleLevel"/>
    <w:tmpl w:val="3C867DE0"/>
    <w:lvl w:ilvl="0" w:tentative="0">
      <w:start w:val="6"/>
      <w:numFmt w:val="decimal"/>
      <w:suff w:val="nothing"/>
      <w:lvlText w:val="%1、"/>
      <w:lvlJc w:val="left"/>
    </w:lvl>
  </w:abstractNum>
  <w:abstractNum w:abstractNumId="5">
    <w:nsid w:val="3D4E9A6B"/>
    <w:multiLevelType w:val="singleLevel"/>
    <w:tmpl w:val="3D4E9A6B"/>
    <w:lvl w:ilvl="0" w:tentative="0">
      <w:start w:val="1"/>
      <w:numFmt w:val="decimal"/>
      <w:suff w:val="nothing"/>
      <w:lvlText w:val="（%1）"/>
      <w:lvlJc w:val="left"/>
    </w:lvl>
  </w:abstractNum>
  <w:abstractNum w:abstractNumId="6">
    <w:nsid w:val="45DA3CC2"/>
    <w:multiLevelType w:val="singleLevel"/>
    <w:tmpl w:val="45DA3CC2"/>
    <w:lvl w:ilvl="0" w:tentative="0">
      <w:start w:val="2"/>
      <w:numFmt w:val="chineseCounting"/>
      <w:suff w:val="nothing"/>
      <w:lvlText w:val="（%1）"/>
      <w:lvlJc w:val="left"/>
      <w:rPr>
        <w:rFonts w:hint="eastAsia"/>
      </w:rPr>
    </w:lvl>
  </w:abstractNum>
  <w:num w:numId="1">
    <w:abstractNumId w:val="3"/>
  </w:num>
  <w:num w:numId="2">
    <w:abstractNumId w:val="4"/>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B1C26A8"/>
    <w:rsid w:val="1D97DEFF"/>
    <w:rsid w:val="1DFF72E5"/>
    <w:rsid w:val="1EFC6F07"/>
    <w:rsid w:val="2A6736AA"/>
    <w:rsid w:val="2FDF85B8"/>
    <w:rsid w:val="2FFFEE04"/>
    <w:rsid w:val="34DF85B0"/>
    <w:rsid w:val="37BD73E4"/>
    <w:rsid w:val="3B8F36BC"/>
    <w:rsid w:val="41922356"/>
    <w:rsid w:val="458B59FA"/>
    <w:rsid w:val="459C3FE1"/>
    <w:rsid w:val="47217E7B"/>
    <w:rsid w:val="491FF225"/>
    <w:rsid w:val="4B3F759A"/>
    <w:rsid w:val="4B58301B"/>
    <w:rsid w:val="4FFD214C"/>
    <w:rsid w:val="5777D4F5"/>
    <w:rsid w:val="59DD8326"/>
    <w:rsid w:val="5D095C6E"/>
    <w:rsid w:val="5DEF592A"/>
    <w:rsid w:val="5FC6BB1E"/>
    <w:rsid w:val="5FF358C7"/>
    <w:rsid w:val="5FF720F1"/>
    <w:rsid w:val="67FF5C0B"/>
    <w:rsid w:val="6EFC0924"/>
    <w:rsid w:val="6FB74722"/>
    <w:rsid w:val="6FEF8B7E"/>
    <w:rsid w:val="708D2EDF"/>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9"/>
    <w:link w:val="7"/>
    <w:qFormat/>
    <w:uiPriority w:val="99"/>
    <w:rPr>
      <w:sz w:val="18"/>
      <w:szCs w:val="18"/>
    </w:rPr>
  </w:style>
  <w:style w:type="character" w:customStyle="1" w:styleId="12">
    <w:name w:val="页脚 Char"/>
    <w:basedOn w:val="9"/>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5"/>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 w:type="paragraph" w:customStyle="1" w:styleId="19">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0</TotalTime>
  <ScaleCrop>false</ScaleCrop>
  <LinksUpToDate>false</LinksUpToDate>
  <CharactersWithSpaces>9008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Administered</cp:lastModifiedBy>
  <cp:lastPrinted>2024-08-08T10:20:00Z</cp:lastPrinted>
  <dcterms:modified xsi:type="dcterms:W3CDTF">2024-09-23T02:19:58Z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