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B65B64">
      <w:pPr>
        <w:widowControl/>
        <w:jc w:val="left"/>
        <w:rPr>
          <w:rFonts w:hint="eastAsia"/>
          <w:bCs/>
          <w:kern w:val="0"/>
          <w:sz w:val="32"/>
          <w:szCs w:val="32"/>
          <w:highlight w:val="none"/>
          <w:lang w:val="en-US" w:eastAsia="zh-CN"/>
        </w:rPr>
      </w:pPr>
    </w:p>
    <w:p w14:paraId="3D786C1E">
      <w:pPr>
        <w:widowControl/>
        <w:jc w:val="center"/>
        <w:rPr>
          <w:rFonts w:hint="eastAsia" w:ascii="宋体" w:hAnsi="宋体" w:eastAsia="宋体" w:cs="宋体"/>
          <w:b/>
          <w:bCs/>
          <w:kern w:val="0"/>
          <w:sz w:val="52"/>
          <w:szCs w:val="52"/>
          <w:highlight w:val="none"/>
        </w:rPr>
      </w:pPr>
      <w:r>
        <w:rPr>
          <w:rFonts w:hint="eastAsia" w:ascii="宋体" w:hAnsi="宋体" w:eastAsia="宋体" w:cs="宋体"/>
          <w:b/>
          <w:bCs/>
          <w:kern w:val="0"/>
          <w:sz w:val="52"/>
          <w:szCs w:val="52"/>
          <w:highlight w:val="none"/>
          <w:lang w:eastAsia="zh-CN"/>
        </w:rPr>
        <w:t>怀化市第三中学</w:t>
      </w:r>
      <w:r>
        <w:rPr>
          <w:rFonts w:hint="eastAsia" w:ascii="宋体" w:hAnsi="宋体" w:eastAsia="宋体" w:cs="宋体"/>
          <w:b/>
          <w:bCs/>
          <w:kern w:val="0"/>
          <w:sz w:val="52"/>
          <w:szCs w:val="52"/>
          <w:highlight w:val="none"/>
        </w:rPr>
        <w:t>20</w:t>
      </w:r>
      <w:r>
        <w:rPr>
          <w:rFonts w:hint="eastAsia" w:ascii="宋体" w:hAnsi="宋体" w:eastAsia="宋体" w:cs="宋体"/>
          <w:b/>
          <w:bCs/>
          <w:kern w:val="0"/>
          <w:sz w:val="52"/>
          <w:szCs w:val="52"/>
          <w:highlight w:val="none"/>
          <w:lang w:val="en-US" w:eastAsia="zh-CN"/>
        </w:rPr>
        <w:t>2</w:t>
      </w:r>
      <w:r>
        <w:rPr>
          <w:rFonts w:hint="eastAsia" w:ascii="宋体" w:hAnsi="宋体" w:cs="宋体"/>
          <w:b/>
          <w:bCs/>
          <w:kern w:val="0"/>
          <w:sz w:val="52"/>
          <w:szCs w:val="52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kern w:val="0"/>
          <w:sz w:val="52"/>
          <w:szCs w:val="52"/>
          <w:highlight w:val="none"/>
        </w:rPr>
        <w:t>年度部门</w:t>
      </w:r>
      <w:r>
        <w:rPr>
          <w:rFonts w:hint="eastAsia" w:ascii="宋体" w:hAnsi="宋体" w:eastAsia="宋体" w:cs="宋体"/>
          <w:b/>
          <w:bCs/>
          <w:kern w:val="0"/>
          <w:sz w:val="52"/>
          <w:szCs w:val="52"/>
          <w:highlight w:val="none"/>
          <w:lang w:eastAsia="zh-CN"/>
        </w:rPr>
        <w:t>预</w:t>
      </w:r>
      <w:r>
        <w:rPr>
          <w:rFonts w:hint="eastAsia" w:ascii="宋体" w:hAnsi="宋体" w:eastAsia="宋体" w:cs="宋体"/>
          <w:b/>
          <w:bCs/>
          <w:kern w:val="0"/>
          <w:sz w:val="52"/>
          <w:szCs w:val="52"/>
          <w:highlight w:val="none"/>
        </w:rPr>
        <w:t>算公开</w:t>
      </w:r>
      <w:r>
        <w:rPr>
          <w:rFonts w:hint="eastAsia" w:ascii="宋体" w:hAnsi="宋体" w:eastAsia="宋体" w:cs="宋体"/>
          <w:b/>
          <w:bCs/>
          <w:kern w:val="0"/>
          <w:sz w:val="52"/>
          <w:szCs w:val="52"/>
          <w:highlight w:val="none"/>
          <w:lang w:eastAsia="zh-CN"/>
        </w:rPr>
        <w:t>说明</w:t>
      </w:r>
    </w:p>
    <w:p w14:paraId="42BBE20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auto"/>
        <w:ind w:left="0" w:leftChars="0" w:right="0" w:rightChars="0" w:firstLine="588" w:firstLineChars="196"/>
        <w:jc w:val="left"/>
        <w:textAlignment w:val="auto"/>
        <w:outlineLvl w:val="9"/>
        <w:rPr>
          <w:rFonts w:hint="eastAsia" w:ascii="仿宋" w:hAnsi="仿宋" w:eastAsia="仿宋" w:cs="仿宋"/>
          <w:bCs/>
          <w:kern w:val="0"/>
          <w:sz w:val="30"/>
          <w:szCs w:val="30"/>
          <w:highlight w:val="none"/>
          <w:lang w:eastAsia="zh-CN"/>
        </w:rPr>
      </w:pPr>
    </w:p>
    <w:p w14:paraId="5862445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3" w:firstLineChars="200"/>
        <w:textAlignment w:val="auto"/>
        <w:rPr>
          <w:rFonts w:hint="eastAsia" w:ascii="仿宋" w:hAnsi="仿宋" w:eastAsia="仿宋" w:cs="仿宋"/>
          <w:b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kern w:val="0"/>
          <w:sz w:val="32"/>
          <w:szCs w:val="32"/>
          <w:highlight w:val="none"/>
          <w:u w:val="none" w:color="auto"/>
          <w:lang w:val="en-US" w:eastAsia="zh-CN" w:bidi="ar-SA"/>
        </w:rPr>
        <w:t>第一部分</w:t>
      </w:r>
      <w:r>
        <w:rPr>
          <w:rFonts w:hint="eastAsia" w:ascii="仿宋" w:hAnsi="仿宋" w:eastAsia="仿宋" w:cs="仿宋"/>
          <w:b/>
          <w:kern w:val="0"/>
          <w:sz w:val="32"/>
          <w:szCs w:val="32"/>
          <w:highlight w:val="none"/>
        </w:rPr>
        <w:t>202</w:t>
      </w:r>
      <w:r>
        <w:rPr>
          <w:rFonts w:hint="eastAsia" w:ascii="仿宋" w:hAnsi="仿宋" w:eastAsia="仿宋" w:cs="仿宋"/>
          <w:b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b/>
          <w:kern w:val="0"/>
          <w:sz w:val="32"/>
          <w:szCs w:val="32"/>
          <w:highlight w:val="none"/>
        </w:rPr>
        <w:t>年部门预算说明</w:t>
      </w:r>
    </w:p>
    <w:p w14:paraId="1D648DD5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FFFFFF"/>
        </w:rPr>
        <w:t>一、部门基本概况</w:t>
      </w:r>
    </w:p>
    <w:p w14:paraId="2824D4F9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FFFFFF"/>
        </w:rPr>
        <w:t>二、部门预算单位构成</w:t>
      </w:r>
    </w:p>
    <w:p w14:paraId="506CD094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FFFFFF"/>
        </w:rPr>
        <w:t>三、部门收支总体情况</w:t>
      </w:r>
    </w:p>
    <w:p w14:paraId="0449B47C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FFFFFF"/>
        </w:rPr>
        <w:t>四、一般公共预算拨款支出</w:t>
      </w:r>
    </w:p>
    <w:p w14:paraId="7944E46F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FFFFFF"/>
        </w:rPr>
        <w:t>五、政府性基金预算支出</w:t>
      </w:r>
    </w:p>
    <w:p w14:paraId="4C8708EE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FFFFFF"/>
        </w:rPr>
        <w:t>六、其他重要事项的情况说明</w:t>
      </w:r>
    </w:p>
    <w:p w14:paraId="71364AF0"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firstLine="640" w:firstLineChars="200"/>
        <w:textAlignment w:val="auto"/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 w:color="auto" w:fill="FFFFFF"/>
        </w:rPr>
        <w:t>七、名词解释</w:t>
      </w:r>
    </w:p>
    <w:p w14:paraId="515EC44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3" w:firstLineChars="200"/>
        <w:textAlignment w:val="auto"/>
        <w:rPr>
          <w:rFonts w:hint="eastAsia" w:ascii="仿宋" w:hAnsi="仿宋" w:eastAsia="仿宋" w:cs="仿宋"/>
          <w:b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kern w:val="0"/>
          <w:sz w:val="32"/>
          <w:szCs w:val="32"/>
          <w:highlight w:val="none"/>
        </w:rPr>
        <w:t>第二部分 202</w:t>
      </w:r>
      <w:r>
        <w:rPr>
          <w:rFonts w:hint="eastAsia" w:ascii="仿宋" w:hAnsi="仿宋" w:eastAsia="仿宋" w:cs="仿宋"/>
          <w:b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b/>
          <w:kern w:val="0"/>
          <w:sz w:val="32"/>
          <w:szCs w:val="32"/>
          <w:highlight w:val="none"/>
        </w:rPr>
        <w:t>年部门预算表</w:t>
      </w:r>
    </w:p>
    <w:p w14:paraId="68D48C8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1、收支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预算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总表</w:t>
      </w:r>
    </w:p>
    <w:p w14:paraId="19B7BBE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2、收入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预算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总表</w:t>
      </w:r>
    </w:p>
    <w:p w14:paraId="4CB07D6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3、支出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预算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总表</w:t>
      </w:r>
    </w:p>
    <w:p w14:paraId="3011D3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4、财政拨款收支总表</w:t>
      </w:r>
    </w:p>
    <w:p w14:paraId="15DE68B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5、一般公共预算支出表</w:t>
      </w:r>
    </w:p>
    <w:p w14:paraId="317CC5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6、一般公共预算基本支出表</w:t>
      </w:r>
    </w:p>
    <w:p w14:paraId="6E0A5C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7、一般公共预算“三公”经费支出表</w:t>
      </w:r>
    </w:p>
    <w:p w14:paraId="60AA9E1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8、政府性基金预算支出表</w:t>
      </w:r>
    </w:p>
    <w:p w14:paraId="65AF7C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9、国有资本经营预算支出表</w:t>
      </w:r>
    </w:p>
    <w:p w14:paraId="2DC1E95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  <w:sectPr>
          <w:headerReference r:id="rId3" w:type="default"/>
          <w:footerReference r:id="rId4" w:type="even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323C14E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10、项目支出绩效目标表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在平台集中公开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）</w:t>
      </w:r>
    </w:p>
    <w:p w14:paraId="3F7D2BE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11、部门整体支出绩效目标表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在平台集中公开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）</w:t>
      </w:r>
    </w:p>
    <w:p w14:paraId="57F5870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注：以上部门预算报表中，空表表示本部门无相关收支情况。</w:t>
      </w:r>
    </w:p>
    <w:p w14:paraId="0DCAB6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" w:hAnsi="仿宋" w:eastAsia="仿宋" w:cs="仿宋"/>
          <w:b/>
          <w:bCs w:val="0"/>
          <w:kern w:val="0"/>
          <w:sz w:val="32"/>
          <w:szCs w:val="32"/>
          <w:highlight w:val="none"/>
        </w:rPr>
      </w:pPr>
    </w:p>
    <w:p w14:paraId="20B8BC1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" w:hAnsi="仿宋" w:eastAsia="仿宋" w:cs="仿宋"/>
          <w:b/>
          <w:bCs w:val="0"/>
          <w:kern w:val="0"/>
          <w:sz w:val="36"/>
          <w:szCs w:val="36"/>
          <w:highlight w:val="none"/>
        </w:rPr>
      </w:pPr>
      <w:r>
        <w:rPr>
          <w:rFonts w:hint="eastAsia" w:ascii="仿宋" w:hAnsi="仿宋" w:eastAsia="仿宋" w:cs="仿宋"/>
          <w:b/>
          <w:bCs w:val="0"/>
          <w:kern w:val="0"/>
          <w:sz w:val="36"/>
          <w:szCs w:val="36"/>
          <w:highlight w:val="none"/>
        </w:rPr>
        <w:t xml:space="preserve">第一部分 </w:t>
      </w:r>
      <w:r>
        <w:rPr>
          <w:rFonts w:hint="eastAsia" w:ascii="仿宋" w:hAnsi="仿宋" w:eastAsia="仿宋" w:cs="仿宋"/>
          <w:b/>
          <w:bCs w:val="0"/>
          <w:kern w:val="0"/>
          <w:sz w:val="36"/>
          <w:szCs w:val="36"/>
          <w:highlight w:val="none"/>
          <w:lang w:val="en-US" w:eastAsia="zh-CN"/>
        </w:rPr>
        <w:t>2023年</w:t>
      </w:r>
      <w:r>
        <w:rPr>
          <w:rFonts w:hint="eastAsia" w:ascii="仿宋" w:hAnsi="仿宋" w:eastAsia="仿宋" w:cs="仿宋"/>
          <w:b/>
          <w:bCs w:val="0"/>
          <w:kern w:val="0"/>
          <w:sz w:val="36"/>
          <w:szCs w:val="36"/>
          <w:highlight w:val="none"/>
        </w:rPr>
        <w:t>部门预算说明</w:t>
      </w:r>
    </w:p>
    <w:p w14:paraId="06D3AF4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445EBDC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30" w:firstLineChars="196"/>
        <w:jc w:val="left"/>
        <w:textAlignment w:val="auto"/>
        <w:outlineLvl w:val="9"/>
        <w:rPr>
          <w:rFonts w:hint="eastAsia" w:ascii="仿宋" w:hAnsi="仿宋" w:eastAsia="仿宋" w:cs="仿宋"/>
          <w:b/>
          <w:bCs w:val="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 w:val="0"/>
          <w:kern w:val="0"/>
          <w:sz w:val="32"/>
          <w:szCs w:val="32"/>
          <w:highlight w:val="none"/>
        </w:rPr>
        <w:t>一、部门</w:t>
      </w:r>
      <w:r>
        <w:rPr>
          <w:rFonts w:hint="eastAsia" w:ascii="仿宋" w:hAnsi="仿宋" w:eastAsia="仿宋" w:cs="仿宋"/>
          <w:b/>
          <w:bCs w:val="0"/>
          <w:kern w:val="0"/>
          <w:sz w:val="32"/>
          <w:szCs w:val="32"/>
          <w:highlight w:val="none"/>
          <w:lang w:eastAsia="zh-CN"/>
        </w:rPr>
        <w:t>基本概况</w:t>
      </w:r>
    </w:p>
    <w:p w14:paraId="4834EC8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60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eastAsia="zh-CN"/>
        </w:rPr>
        <w:t>㈠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eastAsia="zh-CN"/>
        </w:rPr>
        <w:t>部门职责：</w:t>
      </w:r>
    </w:p>
    <w:p w14:paraId="408835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1、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宣传贯彻执行党和国家教育方针、政策和法律法规，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  <w:t>配合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省市有关教育工作的部署和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  <w:t>规划，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坚持依法治教、依法治学。</w:t>
      </w:r>
    </w:p>
    <w:p w14:paraId="3E9083D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2、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以学生的发展为本，为学生的终身发展服务。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坚持教书育人，服务育人，环境育人方针，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  <w:t>培养学生厚德、博学、诚信、和谐、创新理念，促进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学生的全面发展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  <w:t>。</w:t>
      </w:r>
    </w:p>
    <w:p w14:paraId="6110D39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3、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组织开展本校的教育教学科研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积极稳妥地推进教育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  <w:t>教学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改革，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  <w:t>负责教育教学管理及教研教改工作，全力推进素质教育，全面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</w:rPr>
        <w:t>提高教育质量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eastAsia="zh-CN"/>
        </w:rPr>
        <w:t>。</w:t>
      </w:r>
    </w:p>
    <w:p w14:paraId="0400D3B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4、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按照干部和教师职数、编制和管理权限，负责本校教师人事管理、继续教育和考核考评等工作。</w:t>
      </w:r>
    </w:p>
    <w:p w14:paraId="785DC0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5、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负责本校财务和基建管理，组织制定和实施校舍和校园建设规划，正确使用各项经费，不断改善办学条件，强化安全工作管理，创造良好的育人环境。</w:t>
      </w:r>
    </w:p>
    <w:p w14:paraId="5405ECD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30" w:firstLineChars="196"/>
        <w:jc w:val="left"/>
        <w:textAlignment w:val="auto"/>
        <w:outlineLvl w:val="9"/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eastAsia="zh-CN"/>
        </w:rPr>
        <w:t>㈡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eastAsia="zh-CN"/>
        </w:rPr>
        <w:t>机构设置情况</w:t>
      </w:r>
    </w:p>
    <w:p w14:paraId="1F87904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27" w:firstLineChars="196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怀化市第三中学作为一级部门预算单位，内设科室为：</w:t>
      </w:r>
      <w:r>
        <w:rPr>
          <w:rFonts w:hint="eastAsia" w:ascii="仿宋" w:hAnsi="仿宋" w:eastAsia="仿宋" w:cs="仿宋"/>
          <w:b w:val="0"/>
          <w:bCs/>
          <w:color w:val="101010"/>
          <w:sz w:val="32"/>
          <w:szCs w:val="32"/>
          <w:highlight w:val="none"/>
        </w:rPr>
        <w:t>办公室、教务处、德育处、总务处、教科室、现教室</w:t>
      </w:r>
      <w:r>
        <w:rPr>
          <w:rFonts w:hint="eastAsia" w:ascii="仿宋" w:hAnsi="仿宋" w:eastAsia="仿宋" w:cs="仿宋"/>
          <w:b w:val="0"/>
          <w:bCs/>
          <w:color w:val="101010"/>
          <w:sz w:val="32"/>
          <w:szCs w:val="32"/>
          <w:highlight w:val="none"/>
          <w:lang w:eastAsia="zh-CN"/>
        </w:rPr>
        <w:t>、督导室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。</w:t>
      </w:r>
    </w:p>
    <w:p w14:paraId="5AB44A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30" w:firstLineChars="196"/>
        <w:jc w:val="left"/>
        <w:textAlignment w:val="auto"/>
        <w:outlineLvl w:val="9"/>
        <w:rPr>
          <w:rFonts w:hint="eastAsia" w:ascii="仿宋" w:hAnsi="仿宋" w:eastAsia="仿宋" w:cs="仿宋"/>
          <w:b/>
          <w:bCs w:val="0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 w:val="0"/>
          <w:kern w:val="0"/>
          <w:sz w:val="32"/>
          <w:szCs w:val="32"/>
          <w:highlight w:val="none"/>
          <w:lang w:eastAsia="zh-CN"/>
        </w:rPr>
        <w:t>二、部门预算单位构成</w:t>
      </w:r>
    </w:p>
    <w:p w14:paraId="1330DD9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纳入2023年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怀化市第三中学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部门预算编制范围的包括：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怀化市第三中学部门本级。</w:t>
      </w:r>
    </w:p>
    <w:p w14:paraId="3A9DA59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30" w:firstLineChars="196"/>
        <w:jc w:val="left"/>
        <w:textAlignment w:val="auto"/>
        <w:outlineLvl w:val="9"/>
        <w:rPr>
          <w:rFonts w:hint="eastAsia" w:ascii="仿宋" w:hAnsi="仿宋" w:eastAsia="仿宋" w:cs="仿宋"/>
          <w:b/>
          <w:bCs w:val="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bCs w:val="0"/>
          <w:kern w:val="0"/>
          <w:sz w:val="32"/>
          <w:szCs w:val="32"/>
          <w:highlight w:val="none"/>
          <w:lang w:eastAsia="zh-CN"/>
        </w:rPr>
        <w:t>三</w:t>
      </w:r>
      <w:r>
        <w:rPr>
          <w:rFonts w:hint="eastAsia" w:ascii="仿宋" w:hAnsi="仿宋" w:eastAsia="仿宋" w:cs="仿宋"/>
          <w:b/>
          <w:bCs w:val="0"/>
          <w:kern w:val="0"/>
          <w:sz w:val="32"/>
          <w:szCs w:val="32"/>
          <w:highlight w:val="none"/>
        </w:rPr>
        <w:t>、</w:t>
      </w:r>
      <w:r>
        <w:rPr>
          <w:rFonts w:hint="eastAsia" w:ascii="仿宋" w:hAnsi="仿宋" w:eastAsia="仿宋" w:cs="仿宋"/>
          <w:b/>
          <w:bCs w:val="0"/>
          <w:kern w:val="0"/>
          <w:sz w:val="32"/>
          <w:szCs w:val="32"/>
          <w:highlight w:val="none"/>
          <w:lang w:eastAsia="zh-CN"/>
        </w:rPr>
        <w:t>部门收支总体情况</w:t>
      </w:r>
    </w:p>
    <w:p w14:paraId="4F126C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20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2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年部门预算包括本单位预算内的收支情况。</w:t>
      </w:r>
    </w:p>
    <w:p w14:paraId="6E6ADB9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27" w:firstLineChars="196"/>
        <w:jc w:val="left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eastAsia="zh-CN"/>
        </w:rPr>
        <w:t>㈠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</w:rPr>
        <w:t>收入预算：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包括一般公共预算、政府性基金、国有资本经营预算等财政拨款收入，以及经营收入、事业收入等单位资金。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202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年本部门收入预算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6612.69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万元，其中，一般公共预算拨款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4717.69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万元，纳入财政专户管理的非税收入拨款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1895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万元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</w:rPr>
        <w:t>收入较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eastAsia="zh-CN"/>
        </w:rPr>
        <w:t>上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1256.90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</w:rPr>
        <w:t>万元，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增长23.47%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</w:rPr>
        <w:t>主要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eastAsia="zh-CN"/>
        </w:rPr>
        <w:t>原因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</w:rPr>
        <w:t>是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一般公共预算拨款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。</w:t>
      </w:r>
    </w:p>
    <w:p w14:paraId="4791517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㈡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支出预算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</w:rPr>
        <w:t>：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202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年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本部门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支出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预算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6612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.69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万元，其中，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教育支出5966.27万元，社会保障和就业支出452.27万元，卫生健康支出194.15万元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highlight w:val="none"/>
          <w:lang w:eastAsia="zh-CN"/>
        </w:rPr>
        <w:t>压减公用经费和专项支出后，同口径对比，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</w:rPr>
        <w:t>支出较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eastAsia="zh-CN"/>
        </w:rPr>
        <w:t>上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eastAsia="zh-CN"/>
        </w:rPr>
        <w:t>增加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1256.90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</w:rPr>
        <w:t>万元，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增长23.47%，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</w:rPr>
        <w:t>主要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eastAsia="zh-CN"/>
        </w:rPr>
        <w:t>原因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</w:rPr>
        <w:t>是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教育支出的增加。</w:t>
      </w:r>
    </w:p>
    <w:p w14:paraId="2F7B592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left"/>
        <w:textAlignment w:val="auto"/>
        <w:outlineLvl w:val="9"/>
        <w:rPr>
          <w:rFonts w:hint="default" w:ascii="仿宋" w:hAnsi="仿宋" w:eastAsia="仿宋" w:cs="仿宋"/>
          <w:b w:val="0"/>
          <w:bCs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highlight w:val="none"/>
          <w:lang w:eastAsia="zh-CN"/>
        </w:rPr>
        <w:t>四、一般公共预算拨款</w:t>
      </w:r>
      <w:r>
        <w:rPr>
          <w:rFonts w:hint="eastAsia" w:ascii="仿宋" w:hAnsi="仿宋" w:eastAsia="仿宋" w:cs="仿宋"/>
          <w:b w:val="0"/>
          <w:bCs/>
          <w:kern w:val="0"/>
          <w:sz w:val="32"/>
          <w:szCs w:val="32"/>
          <w:highlight w:val="none"/>
          <w:lang w:val="en-US" w:eastAsia="zh-CN"/>
        </w:rPr>
        <w:t>支出</w:t>
      </w:r>
    </w:p>
    <w:p w14:paraId="50DC9E1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left"/>
        <w:textAlignment w:val="auto"/>
        <w:outlineLvl w:val="9"/>
        <w:rPr>
          <w:rFonts w:hint="eastAsia" w:ascii="仿宋" w:hAnsi="仿宋" w:eastAsia="仿宋" w:cs="仿宋"/>
          <w:bCs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202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年本部门一般公共预算拨款支出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4717.69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万元，</w:t>
      </w:r>
      <w:r>
        <w:rPr>
          <w:rFonts w:hint="eastAsia" w:ascii="仿宋" w:hAnsi="仿宋" w:eastAsia="仿宋" w:cs="仿宋"/>
          <w:sz w:val="32"/>
          <w:szCs w:val="32"/>
          <w:highlight w:val="none"/>
          <w:u w:val="none"/>
        </w:rPr>
        <w:t>其中，</w:t>
      </w: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教育</w:t>
      </w:r>
      <w:r>
        <w:rPr>
          <w:rFonts w:hint="eastAsia" w:ascii="仿宋" w:hAnsi="仿宋" w:eastAsia="仿宋" w:cs="仿宋"/>
          <w:sz w:val="32"/>
          <w:szCs w:val="32"/>
          <w:highlight w:val="none"/>
          <w:u w:val="none"/>
        </w:rPr>
        <w:t>支出</w:t>
      </w: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4071.27</w:t>
      </w:r>
      <w:r>
        <w:rPr>
          <w:rFonts w:hint="eastAsia" w:ascii="仿宋" w:hAnsi="仿宋" w:eastAsia="仿宋" w:cs="仿宋"/>
          <w:sz w:val="32"/>
          <w:szCs w:val="32"/>
          <w:highlight w:val="none"/>
          <w:u w:val="none"/>
        </w:rPr>
        <w:t>万元，占</w:t>
      </w: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86.30</w:t>
      </w:r>
      <w:r>
        <w:rPr>
          <w:rFonts w:hint="eastAsia" w:ascii="仿宋" w:hAnsi="仿宋" w:eastAsia="仿宋" w:cs="仿宋"/>
          <w:sz w:val="32"/>
          <w:szCs w:val="32"/>
          <w:highlight w:val="none"/>
          <w:u w:val="none"/>
        </w:rPr>
        <w:t>%；社会保障和就业支出</w:t>
      </w: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452.27</w:t>
      </w:r>
      <w:r>
        <w:rPr>
          <w:rFonts w:hint="eastAsia" w:ascii="仿宋" w:hAnsi="仿宋" w:eastAsia="仿宋" w:cs="仿宋"/>
          <w:sz w:val="32"/>
          <w:szCs w:val="32"/>
          <w:highlight w:val="none"/>
          <w:u w:val="none"/>
        </w:rPr>
        <w:t>万元，占</w:t>
      </w: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9.59</w:t>
      </w:r>
      <w:r>
        <w:rPr>
          <w:rFonts w:hint="eastAsia" w:ascii="仿宋" w:hAnsi="仿宋" w:eastAsia="仿宋" w:cs="仿宋"/>
          <w:sz w:val="32"/>
          <w:szCs w:val="32"/>
          <w:highlight w:val="none"/>
          <w:u w:val="none"/>
        </w:rPr>
        <w:t>%</w:t>
      </w: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eastAsia="zh-CN"/>
        </w:rPr>
        <w:t>；卫生健康支出</w:t>
      </w: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194.15万元，占4.11%。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具体安排情况如下：</w:t>
      </w:r>
    </w:p>
    <w:p w14:paraId="3F0E7E0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㈠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基本支出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202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年本部门基本支出预算数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466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3.3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万元，是指为保障单位机构正常运转、完成日常工作任务而发生的各项支出，包括用于基本工资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1475.2万元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、津贴补贴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8.41万元、绩效工资801.19万元、养老保险缴费452.27万元、职工基本医疗194.15万元，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办公费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8万元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、水电费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18万元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、培训费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10万元等。</w:t>
      </w:r>
    </w:p>
    <w:p w14:paraId="613EA6D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㈡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项目支出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202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年本部门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项目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支出预算数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54.39万元，是指单位为完成特定行政工作任务或事业发展目标而发生的支出，包括有关事业发展专项、专项业务费、基本建设支出等。其中：专项业务工作经费43.89万元，主要用于安保服务费、高考考点经费、校方责任险等方面；房产税等税金及其他支出10.5万元。</w:t>
      </w:r>
    </w:p>
    <w:p w14:paraId="76853C5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jc w:val="left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eastAsia="zh-CN"/>
        </w:rPr>
        <w:t>五、政府性基金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预算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eastAsia="zh-CN"/>
        </w:rPr>
        <w:t>支出情况</w:t>
      </w:r>
    </w:p>
    <w:p w14:paraId="5B2DD8D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2023年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本部门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无政府性基金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安排的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支出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。</w:t>
      </w:r>
    </w:p>
    <w:p w14:paraId="27358CA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jc w:val="left"/>
        <w:textAlignment w:val="auto"/>
        <w:outlineLvl w:val="9"/>
        <w:rPr>
          <w:rFonts w:hint="eastAsia" w:ascii="仿宋" w:hAnsi="仿宋" w:eastAsia="仿宋" w:cs="仿宋"/>
          <w:b/>
          <w:bCs w:val="0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 w:val="0"/>
          <w:kern w:val="0"/>
          <w:sz w:val="32"/>
          <w:szCs w:val="32"/>
          <w:highlight w:val="none"/>
          <w:lang w:eastAsia="zh-CN"/>
        </w:rPr>
        <w:t>六、其他重要事项的情况说明</w:t>
      </w:r>
    </w:p>
    <w:p w14:paraId="0564E83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60" w:leftChars="0" w:right="0" w:rightChars="0"/>
        <w:textAlignment w:val="auto"/>
        <w:outlineLvl w:val="9"/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㈠“三公”经费预算</w:t>
      </w:r>
    </w:p>
    <w:p w14:paraId="08939A0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textAlignment w:val="auto"/>
        <w:outlineLvl w:val="9"/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 xml:space="preserve">    2023年怀化市第三中学部门安排“三公”经费预算数为1.70万元，其中，公务接待费0万元，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公务用车购置及运行费</w:t>
      </w: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1.70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万元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公务用车购置费0万元，公务用车运行费1.70万元），因公出国（境）费0万元。2023年“三公”经费预算较上年预算数减少4.30万元，下降71.67%，主要因为按照“三公”经费“只减不增”原则，从严安排“三公”经费预算。</w:t>
      </w:r>
    </w:p>
    <w:p w14:paraId="15EDDEA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60" w:leftChars="0" w:right="0" w:rightChars="0"/>
        <w:textAlignment w:val="auto"/>
        <w:outlineLvl w:val="9"/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㈡ 机关运行经费</w:t>
      </w:r>
    </w:p>
    <w:p w14:paraId="7ECF3F5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2023年怀化市第三中学部门机关运行经费104.30万元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highlight w:val="none"/>
          <w:lang w:val="en-US" w:eastAsia="zh-CN"/>
        </w:rPr>
        <w:t>，压减公用经费后安排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highlight w:val="none"/>
          <w:lang w:val="en-US" w:eastAsia="zh-CN"/>
        </w:rPr>
        <w:t>83.44万元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highlight w:val="none"/>
          <w:lang w:val="en-US" w:eastAsia="zh-CN"/>
        </w:rPr>
        <w:t>，同口径对比，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比上年预算数减少16.56万元，下降16.56</w:t>
      </w:r>
      <w:bookmarkStart w:id="20" w:name="_GoBack"/>
      <w:bookmarkEnd w:id="20"/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%，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主要因为压减了部分商品和服务支出开支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eastAsia="zh-CN"/>
        </w:rPr>
        <w:t>主要用于：办公费支出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eastAsia="zh-CN"/>
        </w:rPr>
        <w:t>万元；水电费支出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18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eastAsia="zh-CN"/>
        </w:rPr>
        <w:t>万元；培训费支出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10万元；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eastAsia="zh-CN"/>
        </w:rPr>
        <w:t>其他商品服务支出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21.6万元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eastAsia="zh-CN"/>
        </w:rPr>
        <w:t>等。</w:t>
      </w:r>
    </w:p>
    <w:p w14:paraId="04F64F1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textAlignment w:val="auto"/>
        <w:outlineLvl w:val="9"/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 xml:space="preserve">    ㈢ 政府采购情况</w:t>
      </w:r>
    </w:p>
    <w:p w14:paraId="6213651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2023年本单位采购预算总额为0万元。其中，政府采购货物预算0万元、政府采购工程预算0万元、政府采购服务预算0万元。</w:t>
      </w:r>
    </w:p>
    <w:p w14:paraId="5E95E1B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jc w:val="left"/>
        <w:textAlignment w:val="auto"/>
        <w:outlineLvl w:val="9"/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㈣ 预算绩效管理情况</w:t>
      </w:r>
    </w:p>
    <w:p w14:paraId="25C694E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  <w:highlight w:val="none"/>
        </w:rPr>
        <w:t>本部门所有支出实行绩效目标管理。纳入</w:t>
      </w:r>
      <w:r>
        <w:rPr>
          <w:rFonts w:hint="eastAsia" w:ascii="仿宋" w:hAnsi="仿宋" w:eastAsia="仿宋" w:cs="仿宋"/>
          <w:bCs/>
          <w:kern w:val="0"/>
          <w:sz w:val="32"/>
          <w:szCs w:val="32"/>
          <w:highlight w:val="none"/>
          <w:lang w:eastAsia="zh-CN"/>
        </w:rPr>
        <w:t>202</w:t>
      </w:r>
      <w:r>
        <w:rPr>
          <w:rFonts w:hint="eastAsia" w:ascii="仿宋" w:hAnsi="仿宋" w:eastAsia="仿宋" w:cs="仿宋"/>
          <w:bCs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bCs/>
          <w:kern w:val="0"/>
          <w:sz w:val="32"/>
          <w:szCs w:val="32"/>
          <w:highlight w:val="none"/>
        </w:rPr>
        <w:t>年部门整体支出绩效目标的金额为</w:t>
      </w: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6612.69</w:t>
      </w:r>
      <w:r>
        <w:rPr>
          <w:rFonts w:hint="eastAsia" w:ascii="仿宋" w:hAnsi="仿宋" w:eastAsia="仿宋" w:cs="仿宋"/>
          <w:bCs/>
          <w:kern w:val="0"/>
          <w:sz w:val="32"/>
          <w:szCs w:val="32"/>
          <w:highlight w:val="none"/>
        </w:rPr>
        <w:t>万元，其中，基本支出</w:t>
      </w: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4983.77</w:t>
      </w:r>
      <w:r>
        <w:rPr>
          <w:rFonts w:hint="eastAsia" w:ascii="仿宋" w:hAnsi="仿宋" w:eastAsia="仿宋" w:cs="仿宋"/>
          <w:bCs/>
          <w:kern w:val="0"/>
          <w:sz w:val="32"/>
          <w:szCs w:val="32"/>
          <w:highlight w:val="none"/>
        </w:rPr>
        <w:t>万元，项目支出</w:t>
      </w:r>
      <w:r>
        <w:rPr>
          <w:rFonts w:hint="eastAsia" w:ascii="仿宋" w:hAnsi="仿宋" w:eastAsia="仿宋" w:cs="仿宋"/>
          <w:sz w:val="32"/>
          <w:szCs w:val="32"/>
          <w:highlight w:val="none"/>
          <w:u w:val="none"/>
          <w:lang w:val="en-US" w:eastAsia="zh-CN"/>
        </w:rPr>
        <w:t>1628.92</w:t>
      </w:r>
      <w:r>
        <w:rPr>
          <w:rFonts w:hint="eastAsia" w:ascii="仿宋" w:hAnsi="仿宋" w:eastAsia="仿宋" w:cs="仿宋"/>
          <w:bCs/>
          <w:kern w:val="0"/>
          <w:sz w:val="32"/>
          <w:szCs w:val="32"/>
          <w:highlight w:val="none"/>
        </w:rPr>
        <w:t>万元，具体绩效目标详见报表。</w:t>
      </w:r>
    </w:p>
    <w:p w14:paraId="187D791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jc w:val="left"/>
        <w:textAlignment w:val="auto"/>
        <w:outlineLvl w:val="9"/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㈤ 国有资产占用情况</w:t>
      </w:r>
    </w:p>
    <w:p w14:paraId="2E95A3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截至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eastAsia="zh-CN"/>
        </w:rPr>
        <w:t>2022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年12月底，本</w:t>
      </w:r>
      <w:bookmarkStart w:id="0" w:name="END_DEPT8"/>
      <w:bookmarkEnd w:id="0"/>
      <w:bookmarkStart w:id="1" w:name="START_DEPT8"/>
      <w:bookmarkEnd w:id="1"/>
      <w:bookmarkStart w:id="2" w:name="DIS_MARK_DEPT8"/>
      <w:bookmarkEnd w:id="2"/>
      <w:bookmarkStart w:id="3" w:name="IS_DEPT8"/>
      <w:bookmarkEnd w:id="3"/>
      <w:bookmarkStart w:id="4" w:name="START_DIV8"/>
      <w:bookmarkEnd w:id="4"/>
      <w:bookmarkStart w:id="5" w:name="DIS_MARK_DIV8"/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单位</w:t>
      </w:r>
      <w:bookmarkEnd w:id="5"/>
      <w:bookmarkStart w:id="6" w:name="END_DIV8"/>
      <w:bookmarkEnd w:id="6"/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共有公务用车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辆，其中，机要通信用车</w:t>
      </w:r>
      <w:bookmarkStart w:id="7" w:name="GYZC_TOTAL_JYTXYC"/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0</w:t>
      </w:r>
      <w:bookmarkEnd w:id="7"/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辆，应急保障用车</w:t>
      </w:r>
      <w:bookmarkStart w:id="8" w:name="GYZC_TOTAL_YJBZYC"/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0</w:t>
      </w:r>
      <w:bookmarkEnd w:id="8"/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辆，执法执勤用车</w:t>
      </w:r>
      <w:bookmarkStart w:id="9" w:name="GYZC_TOTAL_ZFZQYC"/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0</w:t>
      </w:r>
      <w:bookmarkEnd w:id="9"/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辆，特种专业技术用车</w:t>
      </w:r>
      <w:bookmarkStart w:id="10" w:name="GYZC_TOTAL_TZZYJSYC"/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0</w:t>
      </w:r>
      <w:bookmarkEnd w:id="10"/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辆，其他按照规定配备的公务用车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辆；单位价值50万元以上通用设备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台，单位价值100万元以上专用设备</w:t>
      </w:r>
      <w:bookmarkStart w:id="11" w:name="GYZC_TOTAL_DJ_100"/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0</w:t>
      </w:r>
      <w:bookmarkEnd w:id="11"/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台。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  <w:lang w:eastAsia="zh-CN"/>
        </w:rPr>
        <w:t>2023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年拟新增配置公务用车</w:t>
      </w:r>
      <w:bookmarkStart w:id="12" w:name="GYZC_NEW_GWYC"/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0</w:t>
      </w:r>
      <w:bookmarkEnd w:id="12"/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辆，其中，机要通信用车</w:t>
      </w:r>
      <w:bookmarkStart w:id="13" w:name="GYZC_NEW_JYTXYC"/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0</w:t>
      </w:r>
      <w:bookmarkEnd w:id="13"/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辆，应急保障用车</w:t>
      </w:r>
      <w:bookmarkStart w:id="14" w:name="GYZC_NEW_YJBZYC"/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0</w:t>
      </w:r>
      <w:bookmarkEnd w:id="14"/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辆，执法执勤用车</w:t>
      </w:r>
      <w:bookmarkStart w:id="15" w:name="GYZC_NEW_ZFZQYC"/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0</w:t>
      </w:r>
      <w:bookmarkEnd w:id="15"/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辆，特种专业技术用车</w:t>
      </w:r>
      <w:bookmarkStart w:id="16" w:name="GYZC_NEW_TZZYJSYC"/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0</w:t>
      </w:r>
      <w:bookmarkEnd w:id="16"/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辆，其他按照规定配备的公务用车</w:t>
      </w:r>
      <w:bookmarkStart w:id="17" w:name="GYZC_NEW_QTYC"/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0</w:t>
      </w:r>
      <w:bookmarkEnd w:id="17"/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辆；新增配备单位价值50万元以上通用设备</w:t>
      </w:r>
      <w:bookmarkStart w:id="18" w:name="GYZC_NEW_DJ_50"/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0</w:t>
      </w:r>
      <w:bookmarkEnd w:id="18"/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台，单位价值100万元以上专用设备</w:t>
      </w:r>
      <w:bookmarkStart w:id="19" w:name="GYZC_NEW_DJ_100"/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0</w:t>
      </w:r>
      <w:bookmarkEnd w:id="19"/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shd w:val="clear" w:color="auto" w:fill="FFFFFF"/>
        </w:rPr>
        <w:t>台。</w:t>
      </w:r>
    </w:p>
    <w:p w14:paraId="6576EE4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3" w:firstLineChars="200"/>
        <w:jc w:val="left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lang w:val="en-US" w:eastAsia="zh-CN"/>
        </w:rPr>
        <w:t>㈥ 一般性支出情况</w:t>
      </w:r>
    </w:p>
    <w:p w14:paraId="50B345B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/>
        <w:jc w:val="left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2023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val="en-US" w:eastAsia="zh-CN"/>
        </w:rPr>
        <w:t>年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eastAsia="zh-CN"/>
        </w:rPr>
        <w:t>本部门无会议费预算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eastAsia="zh-CN"/>
        </w:rPr>
        <w:t>。</w:t>
      </w:r>
    </w:p>
    <w:p w14:paraId="35536A5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/>
        <w:jc w:val="left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2023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年本部门培训费预算10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万元，具体为：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教师外派参加各学科专业培训，含省、市、国培计划，预计人数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105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人，预算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10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highlight w:val="none"/>
          <w:lang w:val="en-US" w:eastAsia="zh-CN"/>
        </w:rPr>
        <w:t>万元。</w:t>
      </w:r>
    </w:p>
    <w:p w14:paraId="66CC34FE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0"/>
        <w:jc w:val="left"/>
        <w:textAlignment w:val="auto"/>
        <w:outlineLvl w:val="9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2023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val="en-US" w:eastAsia="zh-CN"/>
        </w:rPr>
        <w:t>年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eastAsia="zh-CN"/>
        </w:rPr>
        <w:t>本部门无举办节庆、晚会、论坛、赛事等预算。</w:t>
      </w:r>
    </w:p>
    <w:p w14:paraId="54690CE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rightChars="0" w:firstLine="643" w:firstLineChars="200"/>
        <w:jc w:val="left"/>
        <w:textAlignment w:val="auto"/>
        <w:outlineLvl w:val="9"/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eastAsia="zh-CN"/>
        </w:rPr>
        <w:t>七、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</w:rPr>
        <w:t>名词解释</w:t>
      </w:r>
    </w:p>
    <w:p w14:paraId="45DE517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1.机关运行经费：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为保障行政单位（包括参照公务员法管理的事业单位）运行，用一般公共预算拨款安排用于购买货物和服务的各项资金，包括办公及印刷费、邮电费、差旅费、会议费、福利费、日常维修费、办公用房水电费、办公用房取暖费、办公用房物业管理费、公务用车运行维护费以及其他费用。</w:t>
      </w:r>
    </w:p>
    <w:p w14:paraId="5AFECE4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  <w:t>2.“三公”经费：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纳入财政预算管理的“三公“经费，是指用一般公共预算拨款安排的公务接待费、公务用车购置及运行维护费和因公出国（境）费。其中，公务接待费反映单位按规定开支的各类公务接待支出；公务用车购置及运行费反映单位公务用车车辆购置支出（含车辆购置税），以及燃料费、维修费、保险费等支出；因公出国（境）费反映单位公务出国（境）的国际旅费、国外城市间交通费、食宿费等支出。</w:t>
      </w:r>
    </w:p>
    <w:p w14:paraId="7153DE5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46353E4C">
      <w:pPr>
        <w:spacing w:line="600" w:lineRule="exact"/>
        <w:ind w:firstLine="883" w:firstLineChars="200"/>
        <w:jc w:val="center"/>
        <w:rPr>
          <w:rFonts w:hint="eastAsia" w:ascii="仿宋" w:hAnsi="仿宋" w:eastAsia="仿宋" w:cs="仿宋"/>
          <w:color w:val="auto"/>
          <w:sz w:val="23"/>
          <w:szCs w:val="23"/>
          <w:highlight w:val="none"/>
        </w:rPr>
      </w:pPr>
      <w:r>
        <w:rPr>
          <w:rStyle w:val="8"/>
          <w:rFonts w:hint="eastAsia" w:ascii="仿宋" w:hAnsi="仿宋" w:eastAsia="仿宋" w:cs="仿宋"/>
          <w:color w:val="auto"/>
          <w:sz w:val="44"/>
          <w:szCs w:val="44"/>
          <w:highlight w:val="none"/>
        </w:rPr>
        <w:t>第二部分202</w:t>
      </w:r>
      <w:r>
        <w:rPr>
          <w:rStyle w:val="8"/>
          <w:rFonts w:hint="eastAsia" w:ascii="仿宋" w:hAnsi="仿宋" w:eastAsia="仿宋" w:cs="仿宋"/>
          <w:color w:val="auto"/>
          <w:sz w:val="44"/>
          <w:szCs w:val="44"/>
          <w:highlight w:val="none"/>
          <w:lang w:val="en-US" w:eastAsia="zh-CN"/>
        </w:rPr>
        <w:t>3</w:t>
      </w:r>
      <w:r>
        <w:rPr>
          <w:rStyle w:val="8"/>
          <w:rFonts w:hint="eastAsia" w:ascii="仿宋" w:hAnsi="仿宋" w:eastAsia="仿宋" w:cs="仿宋"/>
          <w:color w:val="auto"/>
          <w:sz w:val="44"/>
          <w:szCs w:val="44"/>
          <w:highlight w:val="none"/>
        </w:rPr>
        <w:t>年部门预算表</w:t>
      </w:r>
    </w:p>
    <w:p w14:paraId="34919DCB">
      <w:pPr>
        <w:spacing w:line="600" w:lineRule="exact"/>
        <w:ind w:firstLine="640" w:firstLineChars="200"/>
        <w:jc w:val="center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（详情见公开附表）</w:t>
      </w:r>
    </w:p>
    <w:p w14:paraId="64A47368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highlight w:val="none"/>
          <w:lang w:val="en-US" w:eastAsia="zh-CN"/>
        </w:rPr>
      </w:pPr>
    </w:p>
    <w:sectPr>
      <w:headerReference r:id="rId5" w:type="default"/>
      <w:footerReference r:id="rId6" w:type="default"/>
      <w:footerReference r:id="rId7" w:type="even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0152EE">
    <w:pPr>
      <w:pStyle w:val="3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6670" cy="131445"/>
              <wp:effectExtent l="0" t="0" r="0" b="0"/>
              <wp:wrapSquare wrapText="bothSides"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67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E90CDC">
                          <w:pPr>
                            <w:pStyle w:val="3"/>
                            <w:rPr>
                              <w:rStyle w:val="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9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9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2.1pt;mso-position-horizontal:center;mso-position-horizontal-relative:margin;mso-wrap-distance-bottom:0pt;mso-wrap-distance-left:0pt;mso-wrap-distance-right:0pt;mso-wrap-distance-top:0pt;mso-wrap-style:none;z-index:251659264;mso-width-relative:page;mso-height-relative:page;" filled="f" stroked="f" coordsize="21600,21600" o:gfxdata="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jUeE/dAAAAACAQAADwAAAAAAAAABACAAAAAiAAAAZHJzL2Rvd25y&#10;ZXYueG1sUEsBAhQAFAAAAAgAh07iQHm14hnNAQAAlgMAAA4AAAAAAAAAAQAgAAAAHw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1E90CDC">
                    <w:pPr>
                      <w:pStyle w:val="3"/>
                      <w:rPr>
                        <w:rStyle w:val="9"/>
                      </w:rPr>
                    </w:pPr>
                    <w:r>
                      <w:fldChar w:fldCharType="begin"/>
                    </w:r>
                    <w:r>
                      <w:rPr>
                        <w:rStyle w:val="9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9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78D765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5FD81283"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7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GhpgkvTAAAABQEA&#10;AA8AAAAAAAAAAQAgAAAAIgAAAGRycy9kb3ducmV2LnhtbFBLAQIUABQAAAAIAIdO4kAHI8mW5gEA&#10;AMgDAAAOAAAAAAAAAAEAIAAAACIBAABkcnMvZTJvRG9jLnhtbFBLBQYAAAAABgAGAFkBAAB6BQAA&#10;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5FD81283"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7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00F77C">
    <w:pPr>
      <w:pStyle w:val="3"/>
    </w:pPr>
    <w: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6670" cy="131445"/>
              <wp:effectExtent l="0" t="0" r="0" b="0"/>
              <wp:wrapSquare wrapText="bothSides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67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912014">
                          <w:pPr>
                            <w:pStyle w:val="3"/>
                            <w:rPr>
                              <w:rStyle w:val="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9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9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top:0pt;height:10.35pt;width:2.1pt;mso-position-horizontal:center;mso-position-horizontal-relative:margin;mso-wrap-distance-bottom:0pt;mso-wrap-distance-left:0pt;mso-wrap-distance-right:0pt;mso-wrap-distance-top:0pt;mso-wrap-style:none;z-index:251660288;mso-width-relative:page;mso-height-relative:page;" filled="f" stroked="f" coordsize="21600,21600" o:gfxdata="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NR4T90AAAAAIBAAAPAAAAAAAAAAEAIAAAACIAAABkcnMvZG93bnJldi54bWxQSwECFAAUAAAA&#10;CACHTuJAa3zF770BAACVAwAADgAAAAAAAAABACAAAAAf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0912014">
                    <w:pPr>
                      <w:pStyle w:val="3"/>
                      <w:rPr>
                        <w:rStyle w:val="9"/>
                      </w:rPr>
                    </w:pPr>
                    <w:r>
                      <w:fldChar w:fldCharType="begin"/>
                    </w:r>
                    <w:r>
                      <w:rPr>
                        <w:rStyle w:val="9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9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698E60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FD6918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4ODRlYjhhM2RkNGEyZjY1NTA1YWZhOWU0YjkxY2YifQ=="/>
  </w:docVars>
  <w:rsids>
    <w:rsidRoot w:val="004E6E3D"/>
    <w:rsid w:val="01CC4663"/>
    <w:rsid w:val="03023DA5"/>
    <w:rsid w:val="042228D2"/>
    <w:rsid w:val="04433323"/>
    <w:rsid w:val="04806335"/>
    <w:rsid w:val="05250212"/>
    <w:rsid w:val="05881A2C"/>
    <w:rsid w:val="07D74632"/>
    <w:rsid w:val="099F09BE"/>
    <w:rsid w:val="09E5774A"/>
    <w:rsid w:val="0A2861FF"/>
    <w:rsid w:val="0CD95627"/>
    <w:rsid w:val="0DB66903"/>
    <w:rsid w:val="0E550BD9"/>
    <w:rsid w:val="118333F5"/>
    <w:rsid w:val="11907472"/>
    <w:rsid w:val="12EE1333"/>
    <w:rsid w:val="1496682F"/>
    <w:rsid w:val="157C6B16"/>
    <w:rsid w:val="17522CC8"/>
    <w:rsid w:val="1A1E0E7D"/>
    <w:rsid w:val="1A5051A5"/>
    <w:rsid w:val="1ED6141B"/>
    <w:rsid w:val="1FD65197"/>
    <w:rsid w:val="20D106E0"/>
    <w:rsid w:val="2143386B"/>
    <w:rsid w:val="250E7A8A"/>
    <w:rsid w:val="262A04A9"/>
    <w:rsid w:val="276F0967"/>
    <w:rsid w:val="28932515"/>
    <w:rsid w:val="29B0087A"/>
    <w:rsid w:val="29DB6414"/>
    <w:rsid w:val="2A0C345E"/>
    <w:rsid w:val="2A1918BB"/>
    <w:rsid w:val="2DBF79DD"/>
    <w:rsid w:val="2E2477F7"/>
    <w:rsid w:val="2F830D35"/>
    <w:rsid w:val="306155E3"/>
    <w:rsid w:val="30B03BFC"/>
    <w:rsid w:val="31636116"/>
    <w:rsid w:val="37EA6724"/>
    <w:rsid w:val="38122336"/>
    <w:rsid w:val="3927472C"/>
    <w:rsid w:val="3CD4369E"/>
    <w:rsid w:val="3DAD604A"/>
    <w:rsid w:val="3E2301BC"/>
    <w:rsid w:val="3E77212E"/>
    <w:rsid w:val="3F444C35"/>
    <w:rsid w:val="416B09D2"/>
    <w:rsid w:val="41EB7C13"/>
    <w:rsid w:val="43A43CCA"/>
    <w:rsid w:val="45C53535"/>
    <w:rsid w:val="45D61E36"/>
    <w:rsid w:val="46016013"/>
    <w:rsid w:val="49611DB1"/>
    <w:rsid w:val="4A67245D"/>
    <w:rsid w:val="4C887DEE"/>
    <w:rsid w:val="4CBB6770"/>
    <w:rsid w:val="4FA55302"/>
    <w:rsid w:val="4FBD228B"/>
    <w:rsid w:val="506435A4"/>
    <w:rsid w:val="51077170"/>
    <w:rsid w:val="53AF07EE"/>
    <w:rsid w:val="53D662C7"/>
    <w:rsid w:val="54591CB6"/>
    <w:rsid w:val="548E14C3"/>
    <w:rsid w:val="556F46EC"/>
    <w:rsid w:val="56CE5063"/>
    <w:rsid w:val="56FF5133"/>
    <w:rsid w:val="587D7AE3"/>
    <w:rsid w:val="595863A0"/>
    <w:rsid w:val="5A402642"/>
    <w:rsid w:val="5AA4755C"/>
    <w:rsid w:val="5B4930DF"/>
    <w:rsid w:val="5B9F041A"/>
    <w:rsid w:val="5BBC19D5"/>
    <w:rsid w:val="5C04693A"/>
    <w:rsid w:val="5C4752C9"/>
    <w:rsid w:val="5C5B50CB"/>
    <w:rsid w:val="5E873E9A"/>
    <w:rsid w:val="60CF1FB5"/>
    <w:rsid w:val="60E22426"/>
    <w:rsid w:val="620509C2"/>
    <w:rsid w:val="6361064F"/>
    <w:rsid w:val="63626092"/>
    <w:rsid w:val="642858BB"/>
    <w:rsid w:val="644D2C46"/>
    <w:rsid w:val="64AA0D0E"/>
    <w:rsid w:val="654F08FD"/>
    <w:rsid w:val="65897196"/>
    <w:rsid w:val="65D86EB4"/>
    <w:rsid w:val="6715556D"/>
    <w:rsid w:val="6AA60FBA"/>
    <w:rsid w:val="6B260820"/>
    <w:rsid w:val="6BE62B36"/>
    <w:rsid w:val="6C4957D6"/>
    <w:rsid w:val="6C4B567F"/>
    <w:rsid w:val="6F0A38BF"/>
    <w:rsid w:val="6F6C4E46"/>
    <w:rsid w:val="6FC22F83"/>
    <w:rsid w:val="78257F91"/>
    <w:rsid w:val="79156D7B"/>
    <w:rsid w:val="79D6799A"/>
    <w:rsid w:val="7A6829C7"/>
    <w:rsid w:val="7AFB76BD"/>
    <w:rsid w:val="7B2F18F7"/>
    <w:rsid w:val="7C266B35"/>
    <w:rsid w:val="7CC741E1"/>
    <w:rsid w:val="7EAD237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qFormat="1" w:uiPriority="99" w:semiHidden="0" w:name="HTML Acronym"/>
    <w:lsdException w:uiPriority="99" w:name="HTML Address"/>
    <w:lsdException w:qFormat="1" w:uiPriority="99" w:semiHidden="0" w:name="HTML Cite"/>
    <w:lsdException w:qFormat="1" w:uiPriority="99" w:semiHidden="0" w:name="HTML Code"/>
    <w:lsdException w:qFormat="1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semiHidden="0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lang w:bidi="ar-SA"/>
    </w:rPr>
  </w:style>
  <w:style w:type="character" w:styleId="8">
    <w:name w:val="Strong"/>
    <w:qFormat/>
    <w:uiPriority w:val="0"/>
    <w:rPr>
      <w:b/>
      <w:bCs/>
    </w:rPr>
  </w:style>
  <w:style w:type="character" w:styleId="9">
    <w:name w:val="page number"/>
    <w:basedOn w:val="7"/>
    <w:qFormat/>
    <w:uiPriority w:val="0"/>
  </w:style>
  <w:style w:type="character" w:styleId="10">
    <w:name w:val="FollowedHyperlink"/>
    <w:basedOn w:val="7"/>
    <w:unhideWhenUsed/>
    <w:qFormat/>
    <w:uiPriority w:val="99"/>
    <w:rPr>
      <w:color w:val="333333"/>
      <w:u w:val="none"/>
    </w:rPr>
  </w:style>
  <w:style w:type="character" w:styleId="11">
    <w:name w:val="Emphasis"/>
    <w:basedOn w:val="7"/>
    <w:qFormat/>
    <w:uiPriority w:val="20"/>
  </w:style>
  <w:style w:type="character" w:styleId="12">
    <w:name w:val="HTML Definition"/>
    <w:basedOn w:val="7"/>
    <w:unhideWhenUsed/>
    <w:qFormat/>
    <w:uiPriority w:val="99"/>
  </w:style>
  <w:style w:type="character" w:styleId="13">
    <w:name w:val="HTML Acronym"/>
    <w:basedOn w:val="7"/>
    <w:unhideWhenUsed/>
    <w:qFormat/>
    <w:uiPriority w:val="99"/>
  </w:style>
  <w:style w:type="character" w:styleId="14">
    <w:name w:val="HTML Variable"/>
    <w:basedOn w:val="7"/>
    <w:unhideWhenUsed/>
    <w:qFormat/>
    <w:uiPriority w:val="99"/>
  </w:style>
  <w:style w:type="character" w:styleId="15">
    <w:name w:val="Hyperlink"/>
    <w:basedOn w:val="7"/>
    <w:unhideWhenUsed/>
    <w:qFormat/>
    <w:uiPriority w:val="99"/>
    <w:rPr>
      <w:color w:val="333333"/>
      <w:u w:val="none"/>
    </w:rPr>
  </w:style>
  <w:style w:type="character" w:styleId="16">
    <w:name w:val="HTML Code"/>
    <w:basedOn w:val="7"/>
    <w:unhideWhenUsed/>
    <w:qFormat/>
    <w:uiPriority w:val="99"/>
    <w:rPr>
      <w:rFonts w:ascii="Courier New" w:hAnsi="Courier New"/>
      <w:sz w:val="20"/>
    </w:rPr>
  </w:style>
  <w:style w:type="character" w:styleId="17">
    <w:name w:val="HTML Cite"/>
    <w:basedOn w:val="7"/>
    <w:unhideWhenUsed/>
    <w:qFormat/>
    <w:uiPriority w:val="99"/>
  </w:style>
  <w:style w:type="character" w:customStyle="1" w:styleId="18">
    <w:name w:val="hj-easyread-speakerprocesser-position-action-icon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微软中国</Company>
  <Pages>7</Pages>
  <Words>2481</Words>
  <Characters>2752</Characters>
  <Lines>0</Lines>
  <Paragraphs>0</Paragraphs>
  <TotalTime>0</TotalTime>
  <ScaleCrop>false</ScaleCrop>
  <LinksUpToDate>false</LinksUpToDate>
  <CharactersWithSpaces>2776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2016-08-17T01:21:00Z</dcterms:created>
  <dc:creator>微软用户</dc:creator>
  <cp:lastModifiedBy>C＇estbon</cp:lastModifiedBy>
  <cp:lastPrinted>2021-02-28T08:07:00Z</cp:lastPrinted>
  <dcterms:modified xsi:type="dcterms:W3CDTF">2024-10-14T07:18:21Z</dcterms:modified>
  <dc:title>科学技术部2012年部门预算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KSOSaveFontToCloudKey">
    <vt:lpwstr>362188443_cloud</vt:lpwstr>
  </property>
  <property fmtid="{D5CDD505-2E9C-101B-9397-08002B2CF9AE}" pid="4" name="ICV">
    <vt:lpwstr>23B31462C5BB45D2A12D2E416564CB07</vt:lpwstr>
  </property>
</Properties>
</file>