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sz w:val="84"/>
          <w:szCs w:val="84"/>
        </w:rPr>
      </w:pPr>
    </w:p>
    <w:p>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2</w:t>
      </w:r>
      <w:r>
        <w:rPr>
          <w:rFonts w:hint="eastAsia" w:ascii="方正小标宋_GBK" w:hAnsi="方正小标宋_GBK" w:eastAsia="方正小标宋_GBK" w:cs="方正小标宋_GBK"/>
          <w:sz w:val="48"/>
          <w:szCs w:val="48"/>
        </w:rPr>
        <w:t>年度</w:t>
      </w:r>
    </w:p>
    <w:p>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val="en-US" w:eastAsia="zh-CN"/>
        </w:rPr>
        <w:t>怀化市第三中学</w:t>
      </w:r>
      <w:r>
        <w:rPr>
          <w:rFonts w:hint="eastAsia" w:ascii="方正小标宋_GBK" w:hAnsi="方正小标宋_GBK" w:eastAsia="方正小标宋_GBK" w:cs="方正小标宋_GBK"/>
          <w:sz w:val="48"/>
          <w:szCs w:val="48"/>
        </w:rPr>
        <w:t>部门决算</w:t>
      </w:r>
    </w:p>
    <w:p>
      <w:pPr>
        <w:pStyle w:val="14"/>
        <w:spacing w:line="500" w:lineRule="exact"/>
        <w:jc w:val="both"/>
        <w:rPr>
          <w:b/>
          <w:sz w:val="36"/>
          <w:szCs w:val="28"/>
        </w:rPr>
      </w:pPr>
    </w:p>
    <w:p>
      <w:pPr>
        <w:pStyle w:val="14"/>
        <w:spacing w:line="500" w:lineRule="exact"/>
        <w:jc w:val="both"/>
        <w:rPr>
          <w:b/>
          <w:sz w:val="36"/>
          <w:szCs w:val="28"/>
        </w:rPr>
      </w:pPr>
    </w:p>
    <w:p>
      <w:pPr>
        <w:pStyle w:val="14"/>
        <w:spacing w:line="500" w:lineRule="exact"/>
        <w:jc w:val="center"/>
        <w:rPr>
          <w:rFonts w:hint="eastAsia"/>
          <w:b/>
          <w:sz w:val="44"/>
          <w:szCs w:val="44"/>
        </w:rPr>
      </w:pPr>
      <w:r>
        <w:rPr>
          <w:rFonts w:hint="eastAsia"/>
          <w:b/>
          <w:sz w:val="44"/>
          <w:szCs w:val="44"/>
        </w:rPr>
        <w:t>目录</w:t>
      </w:r>
    </w:p>
    <w:p>
      <w:pPr>
        <w:pStyle w:val="14"/>
        <w:spacing w:line="500" w:lineRule="exact"/>
        <w:jc w:val="center"/>
        <w:rPr>
          <w:rFonts w:hint="eastAsia"/>
          <w:b/>
          <w:sz w:val="44"/>
          <w:szCs w:val="44"/>
        </w:rPr>
      </w:pPr>
    </w:p>
    <w:p>
      <w:pPr>
        <w:pStyle w:val="14"/>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第一部分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lang w:eastAsia="zh-CN"/>
        </w:rPr>
        <w:t>部门（</w:t>
      </w:r>
      <w:r>
        <w:rPr>
          <w:rFonts w:hint="eastAsia" w:ascii="黑体" w:hAnsi="黑体" w:eastAsia="黑体" w:cs="黑体"/>
          <w:b w:val="0"/>
          <w:bCs/>
          <w:sz w:val="32"/>
          <w:szCs w:val="32"/>
        </w:rPr>
        <w:t>单位</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概况</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pPr>
        <w:pStyle w:val="14"/>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第二部分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部门决算表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六、一般公共预算财政拨款基本支出决算明细表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七、政府性基金预算财政拨款收入支出决算表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八、国有资本经营预算财政拨款支出决算表</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九、财政拨款“三公”经费支出决算表</w:t>
      </w:r>
    </w:p>
    <w:p>
      <w:pPr>
        <w:pStyle w:val="14"/>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第三部分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部门决算情况说明</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三、支出决算情况说明</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四、财政拨款收入支出决算总体情况说明</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五、一般公共预算财政拨款支出决算情况说明</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六、一般公共预算财政拨款基本支出决算情况说明</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七、一般公共预算财政拨款三公经费支出决算情况说明</w:t>
      </w:r>
    </w:p>
    <w:p>
      <w:pPr>
        <w:autoSpaceDE w:val="0"/>
        <w:autoSpaceDN w:val="0"/>
        <w:adjustRightInd w:val="0"/>
        <w:spacing w:line="500" w:lineRule="exact"/>
        <w:ind w:firstLine="640" w:firstLineChars="20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八、政府性基金预算</w:t>
      </w:r>
      <w:r>
        <w:rPr>
          <w:rFonts w:hint="eastAsia" w:ascii="仿宋_GB2312" w:hAnsi="仿宋_GB2312" w:eastAsia="仿宋_GB2312" w:cs="仿宋_GB2312"/>
          <w:sz w:val="32"/>
          <w:szCs w:val="32"/>
        </w:rPr>
        <w:t>财政拨款</w:t>
      </w:r>
      <w:r>
        <w:rPr>
          <w:rFonts w:hint="eastAsia" w:ascii="仿宋_GB2312" w:hAnsi="仿宋_GB2312" w:eastAsia="仿宋_GB2312" w:cs="仿宋_GB2312"/>
          <w:color w:val="000000"/>
          <w:kern w:val="0"/>
          <w:sz w:val="32"/>
          <w:szCs w:val="32"/>
        </w:rPr>
        <w:t>收入支出决算情况</w:t>
      </w:r>
      <w:r>
        <w:rPr>
          <w:rFonts w:hint="eastAsia" w:ascii="仿宋_GB2312" w:hAnsi="仿宋_GB2312" w:eastAsia="仿宋_GB2312" w:cs="仿宋_GB2312"/>
          <w:color w:val="000000"/>
          <w:kern w:val="0"/>
          <w:sz w:val="32"/>
          <w:szCs w:val="32"/>
          <w:lang w:val="en-US" w:eastAsia="zh-CN"/>
        </w:rPr>
        <w:t>说明</w:t>
      </w:r>
    </w:p>
    <w:p>
      <w:pPr>
        <w:numPr>
          <w:ilvl w:val="0"/>
          <w:numId w:val="0"/>
        </w:numPr>
        <w:autoSpaceDE w:val="0"/>
        <w:autoSpaceDN w:val="0"/>
        <w:adjustRightInd w:val="0"/>
        <w:spacing w:line="500" w:lineRule="exact"/>
        <w:ind w:firstLine="640" w:firstLineChars="200"/>
        <w:jc w:val="left"/>
        <w:rPr>
          <w:rFonts w:hint="default"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rPr>
        <w:t>九、国有资本经营预算</w:t>
      </w:r>
      <w:r>
        <w:rPr>
          <w:rFonts w:hint="eastAsia" w:ascii="仿宋_GB2312" w:hAnsi="仿宋_GB2312" w:eastAsia="仿宋_GB2312" w:cs="仿宋_GB2312"/>
          <w:sz w:val="32"/>
          <w:szCs w:val="32"/>
        </w:rPr>
        <w:t>财政拨款</w:t>
      </w:r>
      <w:r>
        <w:rPr>
          <w:rFonts w:hint="eastAsia" w:ascii="仿宋_GB2312" w:hAnsi="仿宋_GB2312" w:eastAsia="仿宋_GB2312" w:cs="仿宋_GB2312"/>
          <w:color w:val="000000"/>
          <w:kern w:val="0"/>
          <w:sz w:val="32"/>
          <w:szCs w:val="32"/>
          <w:lang w:val="en-US" w:eastAsia="zh-CN"/>
        </w:rPr>
        <w:t>收入支出决算情况说明</w:t>
      </w:r>
    </w:p>
    <w:p>
      <w:pPr>
        <w:numPr>
          <w:ilvl w:val="0"/>
          <w:numId w:val="0"/>
        </w:num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十、</w:t>
      </w:r>
      <w:r>
        <w:rPr>
          <w:rFonts w:hint="eastAsia" w:ascii="仿宋_GB2312" w:hAnsi="仿宋_GB2312" w:eastAsia="仿宋_GB2312" w:cs="仿宋_GB2312"/>
          <w:color w:val="000000"/>
          <w:kern w:val="0"/>
          <w:sz w:val="32"/>
          <w:szCs w:val="32"/>
        </w:rPr>
        <w:t>关于机关运行经费支出说明</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十一、</w:t>
      </w:r>
      <w:r>
        <w:rPr>
          <w:rFonts w:hint="eastAsia" w:ascii="仿宋_GB2312" w:hAnsi="仿宋_GB2312" w:eastAsia="仿宋_GB2312" w:cs="仿宋_GB2312"/>
          <w:color w:val="000000"/>
          <w:kern w:val="0"/>
          <w:sz w:val="32"/>
          <w:szCs w:val="32"/>
        </w:rPr>
        <w:t>一般性支出情况说明</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十二、</w:t>
      </w:r>
      <w:r>
        <w:rPr>
          <w:rFonts w:hint="eastAsia" w:ascii="仿宋_GB2312" w:hAnsi="仿宋_GB2312" w:eastAsia="仿宋_GB2312" w:cs="仿宋_GB2312"/>
          <w:color w:val="000000"/>
          <w:kern w:val="0"/>
          <w:sz w:val="32"/>
          <w:szCs w:val="32"/>
        </w:rPr>
        <w:t>关于政府采购支出说明</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、关于国有资产占用情况说明</w:t>
      </w:r>
    </w:p>
    <w:p>
      <w:pPr>
        <w:pStyle w:val="14"/>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、关于预算绩效情况的说明</w:t>
      </w:r>
    </w:p>
    <w:p>
      <w:pPr>
        <w:pStyle w:val="14"/>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第四部分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名词解释</w:t>
      </w:r>
    </w:p>
    <w:p>
      <w:pP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 xml:space="preserve">第一部分 </w:t>
      </w:r>
      <w:r>
        <w:rPr>
          <w:rFonts w:hint="eastAsia" w:ascii="方正小标宋_GBK" w:hAnsi="方正小标宋_GBK" w:eastAsia="方正小标宋_GBK" w:cs="方正小标宋_GBK"/>
          <w:sz w:val="44"/>
          <w:szCs w:val="44"/>
          <w:lang w:val="en-US" w:eastAsia="zh-CN"/>
        </w:rPr>
        <w:t>部门</w:t>
      </w:r>
      <w:r>
        <w:rPr>
          <w:rFonts w:hint="eastAsia" w:ascii="方正小标宋_GBK" w:hAnsi="方正小标宋_GBK" w:eastAsia="方正小标宋_GBK" w:cs="方正小标宋_GBK"/>
          <w:sz w:val="44"/>
          <w:szCs w:val="44"/>
        </w:rPr>
        <w:t>概况</w:t>
      </w:r>
    </w:p>
    <w:p>
      <w:pPr>
        <w:jc w:val="both"/>
        <w:rPr>
          <w:sz w:val="72"/>
          <w:szCs w:val="72"/>
        </w:rPr>
      </w:pPr>
    </w:p>
    <w:p>
      <w:pPr>
        <w:pStyle w:val="15"/>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㈠ 宣传贯彻执行党和国家教育方针、政策和法律法规，</w:t>
      </w:r>
      <w:r>
        <w:rPr>
          <w:rFonts w:hint="eastAsia" w:ascii="仿宋" w:hAnsi="仿宋" w:eastAsia="仿宋" w:cs="仿宋"/>
          <w:sz w:val="32"/>
          <w:szCs w:val="32"/>
          <w:lang w:eastAsia="zh-CN"/>
        </w:rPr>
        <w:t>配合</w:t>
      </w:r>
      <w:r>
        <w:rPr>
          <w:rFonts w:hint="eastAsia" w:ascii="仿宋" w:hAnsi="仿宋" w:eastAsia="仿宋" w:cs="仿宋"/>
          <w:sz w:val="32"/>
          <w:szCs w:val="32"/>
        </w:rPr>
        <w:t>省市有关教育工作的部署和</w:t>
      </w:r>
      <w:r>
        <w:rPr>
          <w:rFonts w:hint="eastAsia" w:ascii="仿宋" w:hAnsi="仿宋" w:eastAsia="仿宋" w:cs="仿宋"/>
          <w:sz w:val="32"/>
          <w:szCs w:val="32"/>
          <w:lang w:eastAsia="zh-CN"/>
        </w:rPr>
        <w:t>规划，</w:t>
      </w:r>
      <w:r>
        <w:rPr>
          <w:rFonts w:hint="eastAsia" w:ascii="仿宋" w:hAnsi="仿宋" w:eastAsia="仿宋" w:cs="仿宋"/>
          <w:sz w:val="32"/>
          <w:szCs w:val="32"/>
        </w:rPr>
        <w:t>坚持依法治教、依法治学。</w:t>
      </w:r>
    </w:p>
    <w:p>
      <w:pPr>
        <w:pStyle w:val="14"/>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 xml:space="preserve">㈡ </w:t>
      </w:r>
      <w:r>
        <w:rPr>
          <w:rFonts w:hint="eastAsia" w:ascii="仿宋" w:hAnsi="仿宋" w:eastAsia="仿宋" w:cs="仿宋"/>
          <w:sz w:val="32"/>
          <w:szCs w:val="32"/>
          <w:lang w:eastAsia="zh-CN"/>
        </w:rPr>
        <w:t>以学生的发展为本，为学生的终身发展服务。</w:t>
      </w:r>
      <w:r>
        <w:rPr>
          <w:rFonts w:hint="eastAsia" w:ascii="仿宋" w:hAnsi="仿宋" w:eastAsia="仿宋" w:cs="仿宋"/>
          <w:sz w:val="32"/>
          <w:szCs w:val="32"/>
        </w:rPr>
        <w:t>坚持教书育人，服务育人，环境育人方针，</w:t>
      </w:r>
      <w:r>
        <w:rPr>
          <w:rFonts w:hint="eastAsia" w:ascii="仿宋" w:hAnsi="仿宋" w:eastAsia="仿宋" w:cs="仿宋"/>
          <w:sz w:val="32"/>
          <w:szCs w:val="32"/>
          <w:lang w:eastAsia="zh-CN"/>
        </w:rPr>
        <w:t>培养学生厚德、博学、诚信、和谐、创新理念，促进</w:t>
      </w:r>
      <w:r>
        <w:rPr>
          <w:rFonts w:hint="eastAsia" w:ascii="仿宋" w:hAnsi="仿宋" w:eastAsia="仿宋" w:cs="仿宋"/>
          <w:sz w:val="32"/>
          <w:szCs w:val="32"/>
        </w:rPr>
        <w:t>学生的全面发展</w:t>
      </w:r>
      <w:r>
        <w:rPr>
          <w:rFonts w:hint="eastAsia" w:ascii="仿宋" w:hAnsi="仿宋" w:eastAsia="仿宋" w:cs="仿宋"/>
          <w:sz w:val="32"/>
          <w:szCs w:val="32"/>
          <w:lang w:eastAsia="zh-CN"/>
        </w:rPr>
        <w:t>。</w:t>
      </w:r>
    </w:p>
    <w:p>
      <w:pPr>
        <w:pStyle w:val="14"/>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㈢ 组织开展本校的教育教学科研</w:t>
      </w:r>
      <w:r>
        <w:rPr>
          <w:rFonts w:hint="eastAsia" w:ascii="仿宋" w:hAnsi="仿宋" w:eastAsia="仿宋" w:cs="仿宋"/>
          <w:sz w:val="32"/>
          <w:szCs w:val="32"/>
          <w:lang w:eastAsia="zh-CN"/>
        </w:rPr>
        <w:t>，</w:t>
      </w:r>
      <w:r>
        <w:rPr>
          <w:rFonts w:hint="eastAsia" w:ascii="仿宋" w:hAnsi="仿宋" w:eastAsia="仿宋" w:cs="仿宋"/>
          <w:sz w:val="32"/>
          <w:szCs w:val="32"/>
        </w:rPr>
        <w:t>积极稳妥地推进教育</w:t>
      </w:r>
      <w:r>
        <w:rPr>
          <w:rFonts w:hint="eastAsia" w:ascii="仿宋" w:hAnsi="仿宋" w:eastAsia="仿宋" w:cs="仿宋"/>
          <w:sz w:val="32"/>
          <w:szCs w:val="32"/>
          <w:lang w:eastAsia="zh-CN"/>
        </w:rPr>
        <w:t>教学</w:t>
      </w:r>
      <w:r>
        <w:rPr>
          <w:rFonts w:hint="eastAsia" w:ascii="仿宋" w:hAnsi="仿宋" w:eastAsia="仿宋" w:cs="仿宋"/>
          <w:sz w:val="32"/>
          <w:szCs w:val="32"/>
        </w:rPr>
        <w:t>改革，</w:t>
      </w:r>
      <w:r>
        <w:rPr>
          <w:rFonts w:hint="eastAsia" w:ascii="仿宋" w:hAnsi="仿宋" w:eastAsia="仿宋" w:cs="仿宋"/>
          <w:sz w:val="32"/>
          <w:szCs w:val="32"/>
          <w:lang w:eastAsia="zh-CN"/>
        </w:rPr>
        <w:t>负责教育教学管理及教研教改工作，全力推进素质教育，全面</w:t>
      </w:r>
      <w:r>
        <w:rPr>
          <w:rFonts w:hint="eastAsia" w:ascii="仿宋" w:hAnsi="仿宋" w:eastAsia="仿宋" w:cs="仿宋"/>
          <w:sz w:val="32"/>
          <w:szCs w:val="32"/>
        </w:rPr>
        <w:t>提高教育质量</w:t>
      </w:r>
      <w:r>
        <w:rPr>
          <w:rFonts w:hint="eastAsia" w:ascii="仿宋" w:hAnsi="仿宋" w:eastAsia="仿宋" w:cs="仿宋"/>
          <w:sz w:val="32"/>
          <w:szCs w:val="32"/>
          <w:lang w:eastAsia="zh-CN"/>
        </w:rPr>
        <w:t>。</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㈣ 按照干部和教师职数、编制和管理权限，负责本校教师人事管理、继续教育和考核考评等工作。</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㈤ 负责本校财务和基建管理，组织制定和实施校舍和校园建设规划，正确使用各项经费，不断改善办学条件，强化安全工作管理，创造良好的育人环境。</w:t>
      </w:r>
    </w:p>
    <w:p>
      <w:pPr>
        <w:pStyle w:val="14"/>
        <w:bidi w:val="0"/>
        <w:ind w:firstLine="640" w:firstLineChars="200"/>
        <w:rPr>
          <w:rFonts w:hint="eastAsia"/>
          <w:sz w:val="32"/>
          <w:szCs w:val="32"/>
        </w:rPr>
      </w:pPr>
      <w:r>
        <w:rPr>
          <w:rFonts w:hint="eastAsia"/>
          <w:sz w:val="32"/>
          <w:szCs w:val="32"/>
        </w:rPr>
        <w:t>二、机构设置及决算单位构成</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内设机构设置。</w:t>
      </w:r>
      <w:r>
        <w:rPr>
          <w:rFonts w:hint="eastAsia" w:ascii="仿宋" w:hAnsi="仿宋" w:eastAsia="仿宋" w:cs="仿宋"/>
          <w:sz w:val="32"/>
          <w:szCs w:val="32"/>
          <w:lang w:eastAsia="zh-CN"/>
        </w:rPr>
        <w:t>怀化市第三中学</w:t>
      </w:r>
      <w:r>
        <w:rPr>
          <w:rFonts w:hint="eastAsia" w:ascii="仿宋" w:hAnsi="仿宋" w:eastAsia="仿宋" w:cs="仿宋"/>
          <w:sz w:val="32"/>
          <w:szCs w:val="32"/>
        </w:rPr>
        <w:t>内设</w:t>
      </w:r>
      <w:r>
        <w:rPr>
          <w:rFonts w:hint="eastAsia" w:ascii="仿宋" w:hAnsi="仿宋" w:eastAsia="仿宋" w:cs="仿宋"/>
          <w:sz w:val="32"/>
          <w:szCs w:val="32"/>
          <w:lang w:eastAsia="zh-CN"/>
        </w:rPr>
        <w:t>机构包括</w:t>
      </w:r>
      <w:r>
        <w:rPr>
          <w:rFonts w:hint="eastAsia" w:ascii="仿宋" w:hAnsi="仿宋" w:eastAsia="仿宋" w:cs="仿宋"/>
          <w:sz w:val="32"/>
          <w:szCs w:val="32"/>
        </w:rPr>
        <w:t>：办公室、教务处、德育处、教科室、总务处、现教室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督导室、党委办、校安办</w:t>
      </w:r>
      <w:r>
        <w:rPr>
          <w:rFonts w:hint="eastAsia" w:ascii="仿宋" w:hAnsi="仿宋" w:eastAsia="仿宋" w:cs="仿宋"/>
          <w:sz w:val="32"/>
          <w:szCs w:val="32"/>
          <w:lang w:eastAsia="zh-CN"/>
        </w:rPr>
        <w:t>。</w:t>
      </w:r>
    </w:p>
    <w:p>
      <w:pPr>
        <w:pStyle w:val="7"/>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ascii="黑体" w:hAnsi="黑体" w:eastAsia="黑体"/>
          <w:sz w:val="28"/>
          <w:szCs w:val="28"/>
        </w:rPr>
      </w:pPr>
      <w:r>
        <w:rPr>
          <w:rFonts w:hint="eastAsia" w:ascii="仿宋" w:hAnsi="仿宋" w:eastAsia="仿宋" w:cs="仿宋"/>
          <w:sz w:val="32"/>
          <w:szCs w:val="32"/>
        </w:rPr>
        <w:t>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shd w:val="clear" w:color="auto" w:fill="FFFFFF"/>
        </w:rPr>
        <w:t>决算单位构成。</w:t>
      </w:r>
      <w:r>
        <w:rPr>
          <w:rFonts w:hint="eastAsia" w:ascii="仿宋" w:hAnsi="仿宋" w:eastAsia="仿宋" w:cs="仿宋"/>
          <w:sz w:val="32"/>
          <w:szCs w:val="32"/>
        </w:rPr>
        <w:t>作为独立核算的一级部门预算单位，</w:t>
      </w:r>
      <w:r>
        <w:rPr>
          <w:rFonts w:hint="eastAsia" w:ascii="仿宋" w:hAnsi="仿宋" w:eastAsia="仿宋" w:cs="仿宋"/>
          <w:sz w:val="32"/>
          <w:szCs w:val="32"/>
          <w:shd w:val="clear" w:color="auto" w:fill="FFFFFF"/>
          <w:lang w:eastAsia="zh-CN"/>
        </w:rPr>
        <w:t>怀化市第三中学202</w:t>
      </w:r>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年部门决算汇总公开单位构成</w:t>
      </w:r>
      <w:r>
        <w:rPr>
          <w:rFonts w:hint="eastAsia" w:ascii="仿宋" w:hAnsi="仿宋" w:eastAsia="仿宋" w:cs="仿宋"/>
          <w:sz w:val="32"/>
          <w:szCs w:val="32"/>
          <w:shd w:val="clear" w:color="auto" w:fill="FFFFFF"/>
          <w:lang w:eastAsia="zh-CN"/>
        </w:rPr>
        <w:t>只</w:t>
      </w:r>
      <w:r>
        <w:rPr>
          <w:rFonts w:hint="eastAsia" w:ascii="仿宋" w:hAnsi="仿宋" w:eastAsia="仿宋" w:cs="仿宋"/>
          <w:sz w:val="32"/>
          <w:szCs w:val="32"/>
          <w:shd w:val="clear" w:color="auto" w:fill="FFFFFF"/>
        </w:rPr>
        <w:t>包括</w:t>
      </w:r>
      <w:r>
        <w:rPr>
          <w:rFonts w:hint="eastAsia" w:ascii="仿宋" w:hAnsi="仿宋" w:eastAsia="仿宋" w:cs="仿宋"/>
          <w:sz w:val="32"/>
          <w:szCs w:val="32"/>
          <w:shd w:val="clear" w:color="auto" w:fill="FFFFFF"/>
          <w:lang w:eastAsia="zh-CN"/>
        </w:rPr>
        <w:t>怀化市第三中学</w:t>
      </w:r>
      <w:r>
        <w:rPr>
          <w:rFonts w:hint="eastAsia" w:ascii="仿宋" w:hAnsi="仿宋" w:eastAsia="仿宋" w:cs="仿宋"/>
          <w:sz w:val="32"/>
          <w:szCs w:val="32"/>
          <w:shd w:val="clear" w:color="auto" w:fill="FFFFFF"/>
        </w:rPr>
        <w:t>本级 </w:t>
      </w:r>
      <w:r>
        <w:rPr>
          <w:rFonts w:hint="eastAsia" w:ascii="仿宋" w:hAnsi="仿宋" w:eastAsia="仿宋" w:cs="仿宋"/>
          <w:sz w:val="32"/>
          <w:szCs w:val="32"/>
          <w:shd w:val="clear" w:color="auto" w:fill="FFFFFF"/>
          <w:lang w:eastAsia="zh-CN"/>
        </w:rPr>
        <w:t>。</w:t>
      </w:r>
    </w:p>
    <w:p>
      <w:pPr>
        <w:pStyle w:val="14"/>
        <w:jc w:val="both"/>
        <w:rPr>
          <w:rFonts w:hint="eastAsia" w:ascii="方正小标宋_GBK" w:hAnsi="方正小标宋_GBK" w:eastAsia="方正小标宋_GBK" w:cs="方正小标宋_GBK"/>
          <w:sz w:val="84"/>
          <w:szCs w:val="84"/>
        </w:rPr>
      </w:pPr>
    </w:p>
    <w:p>
      <w:pPr>
        <w:pStyle w:val="14"/>
        <w:numPr>
          <w:ilvl w:val="0"/>
          <w:numId w:val="1"/>
        </w:num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部门决算表</w:t>
      </w:r>
    </w:p>
    <w:p>
      <w:pPr>
        <w:pStyle w:val="14"/>
        <w:jc w:val="center"/>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（见附件1:2022年部门决算公开表）</w:t>
      </w:r>
    </w:p>
    <w:p>
      <w:pPr>
        <w:pStyle w:val="14"/>
        <w:jc w:val="both"/>
        <w:rPr>
          <w:rFonts w:hint="eastAsia" w:ascii="Times New Roman" w:hAnsi="Times New Roman" w:eastAsia="仿宋_GB2312"/>
          <w:sz w:val="32"/>
          <w:szCs w:val="32"/>
          <w:lang w:val="en-US" w:eastAsia="zh-CN"/>
        </w:rPr>
      </w:pPr>
    </w:p>
    <w:p>
      <w:pPr>
        <w:pStyle w:val="14"/>
        <w:jc w:val="both"/>
        <w:rPr>
          <w:rFonts w:hint="eastAsia" w:ascii="Times New Roman" w:hAnsi="Times New Roman" w:eastAsia="仿宋_GB2312"/>
          <w:sz w:val="32"/>
          <w:szCs w:val="32"/>
          <w:lang w:val="en-US" w:eastAsia="zh-CN"/>
        </w:rPr>
      </w:pPr>
    </w:p>
    <w:p>
      <w:pPr>
        <w:pStyle w:val="14"/>
        <w:jc w:val="center"/>
        <w:rPr>
          <w:rFonts w:hint="eastAsia" w:ascii="方正小标宋_GBK" w:hAnsi="方正小标宋_GBK" w:eastAsia="方正小标宋_GBK" w:cs="方正小标宋_GBK"/>
          <w:sz w:val="28"/>
          <w:szCs w:val="28"/>
        </w:rPr>
      </w:pPr>
    </w:p>
    <w:p>
      <w:pPr>
        <w:pStyle w:val="14"/>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第三部分</w:t>
      </w:r>
    </w:p>
    <w:p>
      <w:pPr>
        <w:pStyle w:val="14"/>
        <w:bidi w:val="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2</w:t>
      </w:r>
      <w:r>
        <w:rPr>
          <w:rFonts w:hint="eastAsia" w:ascii="方正小标宋_GBK" w:hAnsi="方正小标宋_GBK" w:eastAsia="方正小标宋_GBK" w:cs="方正小标宋_GBK"/>
          <w:sz w:val="44"/>
          <w:szCs w:val="44"/>
        </w:rPr>
        <w:t>年度部门决算情况说明</w:t>
      </w:r>
    </w:p>
    <w:p>
      <w:pPr>
        <w:pStyle w:val="14"/>
        <w:bidi w:val="0"/>
        <w:jc w:val="center"/>
        <w:rPr>
          <w:rFonts w:hint="eastAsia" w:ascii="方正小标宋_GBK" w:hAnsi="方正小标宋_GBK" w:eastAsia="方正小标宋_GBK" w:cs="方正小标宋_GBK"/>
          <w:sz w:val="32"/>
          <w:szCs w:val="32"/>
        </w:rPr>
      </w:pPr>
    </w:p>
    <w:p>
      <w:pPr>
        <w:pStyle w:val="14"/>
        <w:bidi w:val="0"/>
        <w:ind w:firstLine="640" w:firstLineChars="200"/>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4"/>
        <w:bidi w:val="0"/>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6667.34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110.51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1.63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一般公共预算拨款增加459.63万元，事业收入减少151.80万元，年初结转和结余减少418.34万元。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6667.34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5212.90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78.19</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1454.44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21.81</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6667.34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5029.74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75.44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1637.6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24.56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5212.90</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仿宋" w:hAnsi="仿宋" w:eastAsia="仿宋" w:cs="仿宋"/>
          <w:sz w:val="32"/>
          <w:szCs w:val="32"/>
          <w:shd w:val="clear" w:color="auto" w:fill="FFFFFF"/>
          <w:lang w:val="en-US" w:eastAsia="zh-CN"/>
        </w:rPr>
        <w:t>41.29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一般公共预算拨款增加。</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5212.90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78.19</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41.29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一般公共预算拨款增加。</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5212.90</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72.80</w:t>
      </w:r>
      <w:r>
        <w:rPr>
          <w:rFonts w:hint="eastAsia" w:ascii="仿宋" w:hAnsi="仿宋" w:eastAsia="仿宋" w:cs="仿宋"/>
          <w:sz w:val="32"/>
          <w:szCs w:val="32"/>
        </w:rPr>
        <w:t>万元，占</w:t>
      </w:r>
      <w:r>
        <w:rPr>
          <w:rFonts w:hint="eastAsia" w:ascii="仿宋" w:hAnsi="仿宋" w:eastAsia="仿宋" w:cs="仿宋"/>
          <w:sz w:val="32"/>
          <w:szCs w:val="32"/>
          <w:lang w:val="en-US" w:eastAsia="zh-CN"/>
        </w:rPr>
        <w:t>1.40</w:t>
      </w:r>
      <w:r>
        <w:rPr>
          <w:rFonts w:hint="eastAsia" w:ascii="仿宋" w:hAnsi="仿宋" w:eastAsia="仿宋" w:cs="仿宋"/>
          <w:sz w:val="32"/>
          <w:szCs w:val="32"/>
        </w:rPr>
        <w:t>%；教育（类）支出</w:t>
      </w:r>
      <w:r>
        <w:rPr>
          <w:rFonts w:hint="eastAsia" w:ascii="仿宋" w:hAnsi="仿宋" w:eastAsia="仿宋" w:cs="仿宋"/>
          <w:sz w:val="32"/>
          <w:szCs w:val="32"/>
          <w:lang w:val="en-US" w:eastAsia="zh-CN"/>
        </w:rPr>
        <w:t>4320.18</w:t>
      </w:r>
      <w:r>
        <w:rPr>
          <w:rFonts w:hint="eastAsia" w:ascii="仿宋" w:hAnsi="仿宋" w:eastAsia="仿宋" w:cs="仿宋"/>
          <w:sz w:val="32"/>
          <w:szCs w:val="32"/>
        </w:rPr>
        <w:t>万元，占</w:t>
      </w:r>
      <w:r>
        <w:rPr>
          <w:rFonts w:hint="eastAsia" w:ascii="仿宋" w:hAnsi="仿宋" w:eastAsia="仿宋" w:cs="仿宋"/>
          <w:sz w:val="32"/>
          <w:szCs w:val="32"/>
          <w:lang w:val="en-US" w:eastAsia="zh-CN"/>
        </w:rPr>
        <w:t>82.87</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社会保障和就业（类）支出632.55万元，占12.13%，卫生健康（类）支出187.37万元，占3.60%。</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3333.19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3333.19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仿宋" w:hAnsi="仿宋" w:eastAsia="仿宋" w:cs="仿宋"/>
          <w:sz w:val="32"/>
          <w:szCs w:val="32"/>
          <w:shd w:val="clear" w:color="auto" w:fill="FFFFFF"/>
        </w:rPr>
        <w:t>一般公共服务（类）</w:t>
      </w:r>
      <w:r>
        <w:rPr>
          <w:rFonts w:hint="eastAsia" w:ascii="仿宋" w:hAnsi="仿宋" w:eastAsia="仿宋" w:cs="仿宋"/>
          <w:sz w:val="32"/>
          <w:szCs w:val="32"/>
          <w:shd w:val="clear" w:color="auto" w:fill="FFFFFF"/>
          <w:lang w:eastAsia="zh-CN"/>
        </w:rPr>
        <w:t>组织事务</w:t>
      </w:r>
      <w:r>
        <w:rPr>
          <w:rFonts w:hint="eastAsia" w:ascii="仿宋" w:hAnsi="仿宋" w:eastAsia="仿宋" w:cs="仿宋"/>
          <w:sz w:val="32"/>
          <w:szCs w:val="32"/>
          <w:shd w:val="clear" w:color="auto" w:fill="FFFFFF"/>
        </w:rPr>
        <w:t>（款）</w:t>
      </w:r>
      <w:r>
        <w:rPr>
          <w:rFonts w:hint="eastAsia" w:ascii="仿宋" w:hAnsi="仿宋" w:eastAsia="仿宋" w:cs="仿宋"/>
          <w:sz w:val="32"/>
          <w:szCs w:val="32"/>
          <w:shd w:val="clear" w:color="auto" w:fill="FFFFFF"/>
          <w:lang w:eastAsia="zh-CN"/>
        </w:rPr>
        <w:t>其他组织事务支出</w:t>
      </w:r>
      <w:r>
        <w:rPr>
          <w:rFonts w:hint="eastAsia" w:ascii="仿宋" w:hAnsi="仿宋" w:eastAsia="仿宋" w:cs="仿宋"/>
          <w:sz w:val="32"/>
          <w:szCs w:val="32"/>
          <w:shd w:val="clear" w:color="auto" w:fill="FFFFFF"/>
        </w:rPr>
        <w:t>（项）</w:t>
      </w:r>
      <w:r>
        <w:rPr>
          <w:rFonts w:hint="eastAsia" w:ascii="Times New Roman" w:hAnsi="Times New Roman" w:eastAsia="仿宋_GB2312"/>
          <w:sz w:val="32"/>
          <w:szCs w:val="32"/>
        </w:rPr>
        <w:t>。</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72.80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决算数大于年初预算数的主要原</w:t>
      </w:r>
      <w:r>
        <w:rPr>
          <w:rFonts w:hint="eastAsia" w:ascii="仿宋" w:hAnsi="仿宋" w:eastAsia="仿宋" w:cs="仿宋"/>
          <w:sz w:val="32"/>
          <w:szCs w:val="32"/>
        </w:rPr>
        <w:t>因是</w:t>
      </w:r>
      <w:r>
        <w:rPr>
          <w:rFonts w:hint="eastAsia" w:ascii="仿宋" w:hAnsi="仿宋" w:eastAsia="仿宋" w:cs="仿宋"/>
          <w:sz w:val="32"/>
          <w:szCs w:val="32"/>
          <w:lang w:val="en-US" w:eastAsia="zh-CN"/>
        </w:rPr>
        <w:t>追</w:t>
      </w:r>
      <w:r>
        <w:rPr>
          <w:rFonts w:hint="eastAsia" w:ascii="仿宋" w:hAnsi="仿宋" w:eastAsia="仿宋" w:cs="仿宋"/>
          <w:sz w:val="32"/>
          <w:szCs w:val="32"/>
          <w:lang w:eastAsia="zh-CN"/>
        </w:rPr>
        <w:t>加了人才引进补助支出。</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教育</w:t>
      </w:r>
      <w:r>
        <w:rPr>
          <w:rFonts w:hint="eastAsia" w:ascii="仿宋" w:hAnsi="仿宋" w:eastAsia="仿宋" w:cs="仿宋"/>
          <w:sz w:val="32"/>
          <w:szCs w:val="32"/>
        </w:rPr>
        <w:t>（类）</w:t>
      </w:r>
      <w:r>
        <w:rPr>
          <w:rFonts w:hint="eastAsia" w:ascii="仿宋" w:hAnsi="仿宋" w:eastAsia="仿宋" w:cs="仿宋"/>
          <w:sz w:val="32"/>
          <w:szCs w:val="32"/>
          <w:lang w:eastAsia="zh-CN"/>
        </w:rPr>
        <w:t>普通教育</w:t>
      </w:r>
      <w:r>
        <w:rPr>
          <w:rFonts w:hint="eastAsia" w:ascii="仿宋" w:hAnsi="仿宋" w:eastAsia="仿宋" w:cs="仿宋"/>
          <w:sz w:val="32"/>
          <w:szCs w:val="32"/>
        </w:rPr>
        <w:t>（款）</w:t>
      </w:r>
      <w:r>
        <w:rPr>
          <w:rFonts w:hint="eastAsia" w:ascii="仿宋" w:hAnsi="仿宋" w:eastAsia="仿宋" w:cs="仿宋"/>
          <w:sz w:val="32"/>
          <w:szCs w:val="32"/>
          <w:lang w:eastAsia="zh-CN"/>
        </w:rPr>
        <w:t>高中教育</w:t>
      </w:r>
      <w:r>
        <w:rPr>
          <w:rFonts w:hint="eastAsia" w:ascii="仿宋" w:hAnsi="仿宋" w:eastAsia="仿宋" w:cs="仿宋"/>
          <w:sz w:val="32"/>
          <w:szCs w:val="32"/>
        </w:rPr>
        <w:t>（项）。</w:t>
      </w:r>
    </w:p>
    <w:p>
      <w:pPr>
        <w:pStyle w:val="14"/>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2808.84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3609.67</w:t>
      </w:r>
      <w:r>
        <w:rPr>
          <w:rFonts w:hint="eastAsia" w:ascii="仿宋" w:hAnsi="仿宋" w:eastAsia="仿宋" w:cs="仿宋"/>
          <w:sz w:val="32"/>
          <w:szCs w:val="32"/>
        </w:rPr>
        <w:t>万元，</w:t>
      </w:r>
      <w:r>
        <w:rPr>
          <w:rFonts w:hint="eastAsia" w:ascii="仿宋" w:hAnsi="仿宋" w:eastAsia="仿宋" w:cs="仿宋"/>
          <w:sz w:val="32"/>
          <w:szCs w:val="32"/>
          <w:lang w:val="en-US" w:eastAsia="zh-CN"/>
        </w:rPr>
        <w:t>完成年初预算的128.51%，</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追</w:t>
      </w:r>
      <w:r>
        <w:rPr>
          <w:rFonts w:hint="eastAsia" w:ascii="仿宋" w:hAnsi="仿宋" w:eastAsia="仿宋" w:cs="仿宋"/>
          <w:sz w:val="32"/>
          <w:szCs w:val="32"/>
          <w:lang w:eastAsia="zh-CN"/>
        </w:rPr>
        <w:t>加了人员经费、生均经费</w:t>
      </w:r>
      <w:r>
        <w:rPr>
          <w:rFonts w:hint="eastAsia" w:ascii="仿宋" w:hAnsi="仿宋" w:eastAsia="仿宋" w:cs="仿宋"/>
          <w:sz w:val="32"/>
          <w:szCs w:val="32"/>
          <w:lang w:val="en-US" w:eastAsia="zh-CN"/>
        </w:rPr>
        <w:t>等</w:t>
      </w:r>
      <w:r>
        <w:rPr>
          <w:rFonts w:hint="eastAsia" w:ascii="仿宋" w:hAnsi="仿宋" w:eastAsia="仿宋" w:cs="仿宋"/>
          <w:sz w:val="32"/>
          <w:szCs w:val="32"/>
          <w:lang w:eastAsia="zh-CN"/>
        </w:rPr>
        <w:t>支出。</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教育</w:t>
      </w:r>
      <w:r>
        <w:rPr>
          <w:rFonts w:hint="eastAsia" w:ascii="仿宋" w:hAnsi="仿宋" w:eastAsia="仿宋" w:cs="仿宋"/>
          <w:sz w:val="32"/>
          <w:szCs w:val="32"/>
        </w:rPr>
        <w:t>（类）</w:t>
      </w:r>
      <w:r>
        <w:rPr>
          <w:rFonts w:hint="eastAsia" w:ascii="仿宋" w:hAnsi="仿宋" w:eastAsia="仿宋" w:cs="仿宋"/>
          <w:sz w:val="32"/>
          <w:szCs w:val="32"/>
          <w:lang w:eastAsia="zh-CN"/>
        </w:rPr>
        <w:t>普通教育</w:t>
      </w:r>
      <w:r>
        <w:rPr>
          <w:rFonts w:hint="eastAsia" w:ascii="仿宋" w:hAnsi="仿宋" w:eastAsia="仿宋" w:cs="仿宋"/>
          <w:sz w:val="32"/>
          <w:szCs w:val="32"/>
        </w:rPr>
        <w:t>（款）</w:t>
      </w:r>
      <w:r>
        <w:rPr>
          <w:rFonts w:hint="eastAsia" w:ascii="仿宋" w:hAnsi="仿宋" w:eastAsia="仿宋" w:cs="仿宋"/>
          <w:sz w:val="32"/>
          <w:szCs w:val="32"/>
          <w:lang w:eastAsia="zh-CN"/>
        </w:rPr>
        <w:t>其他普通教育</w:t>
      </w:r>
      <w:r>
        <w:rPr>
          <w:rFonts w:hint="eastAsia" w:ascii="仿宋" w:hAnsi="仿宋" w:eastAsia="仿宋" w:cs="仿宋"/>
          <w:sz w:val="32"/>
          <w:szCs w:val="32"/>
        </w:rPr>
        <w:t>（项）。</w:t>
      </w:r>
    </w:p>
    <w:p>
      <w:pPr>
        <w:pStyle w:val="14"/>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710.51</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val="en-US" w:eastAsia="zh-CN"/>
        </w:rPr>
        <w:t>追</w:t>
      </w:r>
      <w:r>
        <w:rPr>
          <w:rFonts w:hint="eastAsia" w:ascii="仿宋" w:hAnsi="仿宋" w:eastAsia="仿宋" w:cs="仿宋"/>
          <w:sz w:val="32"/>
          <w:szCs w:val="32"/>
          <w:lang w:eastAsia="zh-CN"/>
        </w:rPr>
        <w:t>加了</w:t>
      </w:r>
      <w:r>
        <w:rPr>
          <w:rFonts w:hint="eastAsia" w:ascii="仿宋" w:hAnsi="仿宋" w:eastAsia="仿宋" w:cs="仿宋"/>
          <w:sz w:val="32"/>
          <w:szCs w:val="32"/>
          <w:lang w:val="en-US" w:eastAsia="zh-CN"/>
        </w:rPr>
        <w:t>人员绩效</w:t>
      </w:r>
      <w:r>
        <w:rPr>
          <w:rFonts w:hint="eastAsia" w:ascii="仿宋" w:hAnsi="仿宋" w:eastAsia="仿宋" w:cs="仿宋"/>
          <w:sz w:val="32"/>
          <w:szCs w:val="32"/>
          <w:lang w:eastAsia="zh-CN"/>
        </w:rPr>
        <w:t>支出。</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4、社会保障和就业（类）行政事业单位养老（款）机关事业单位基本养老保险缴费（项）</w:t>
      </w:r>
    </w:p>
    <w:p>
      <w:pPr>
        <w:pStyle w:val="14"/>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353.07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368.30</w:t>
      </w:r>
      <w:r>
        <w:rPr>
          <w:rFonts w:hint="eastAsia" w:ascii="仿宋" w:hAnsi="仿宋" w:eastAsia="仿宋" w:cs="仿宋"/>
          <w:sz w:val="32"/>
          <w:szCs w:val="32"/>
        </w:rPr>
        <w:t>万元，</w:t>
      </w:r>
      <w:r>
        <w:rPr>
          <w:rFonts w:hint="eastAsia" w:ascii="仿宋" w:hAnsi="仿宋" w:eastAsia="仿宋" w:cs="仿宋"/>
          <w:sz w:val="32"/>
          <w:szCs w:val="32"/>
          <w:lang w:val="en-US" w:eastAsia="zh-CN"/>
        </w:rPr>
        <w:t>完成年初预算的104.31%，</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追加了</w:t>
      </w:r>
      <w:r>
        <w:rPr>
          <w:rFonts w:hint="eastAsia" w:ascii="仿宋" w:hAnsi="仿宋" w:eastAsia="仿宋" w:cs="仿宋"/>
          <w:sz w:val="32"/>
          <w:szCs w:val="32"/>
          <w:lang w:eastAsia="zh-CN"/>
        </w:rPr>
        <w:t>单位部分养老保险缴费支出。</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5、社会保障和就业（类）行政事业单位养老（款）其他行政事业单位养老（项）</w:t>
      </w:r>
    </w:p>
    <w:p>
      <w:pPr>
        <w:pStyle w:val="14"/>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264.25</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val="en-US" w:eastAsia="zh-CN"/>
        </w:rPr>
        <w:t>追加了退休人员生活补助</w:t>
      </w:r>
      <w:r>
        <w:rPr>
          <w:rFonts w:hint="eastAsia" w:ascii="仿宋" w:hAnsi="仿宋" w:eastAsia="仿宋" w:cs="仿宋"/>
          <w:sz w:val="32"/>
          <w:szCs w:val="32"/>
          <w:lang w:eastAsia="zh-CN"/>
        </w:rPr>
        <w:t>支出。</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6、卫生健康（类）行政事业单位医疗（款）行政单位医疗（项）</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171.28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187.37</w:t>
      </w:r>
      <w:r>
        <w:rPr>
          <w:rFonts w:hint="eastAsia" w:ascii="仿宋" w:hAnsi="仿宋" w:eastAsia="仿宋" w:cs="仿宋"/>
          <w:sz w:val="32"/>
          <w:szCs w:val="32"/>
        </w:rPr>
        <w:t>万元，</w:t>
      </w:r>
      <w:r>
        <w:rPr>
          <w:rFonts w:hint="eastAsia" w:ascii="仿宋" w:hAnsi="仿宋" w:eastAsia="仿宋" w:cs="仿宋"/>
          <w:sz w:val="32"/>
          <w:szCs w:val="32"/>
          <w:lang w:val="en-US" w:eastAsia="zh-CN"/>
        </w:rPr>
        <w:t>完成年初预算的109.39%，</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追加了</w:t>
      </w:r>
      <w:r>
        <w:rPr>
          <w:rFonts w:hint="eastAsia" w:ascii="仿宋" w:hAnsi="仿宋" w:eastAsia="仿宋" w:cs="仿宋"/>
          <w:sz w:val="32"/>
          <w:szCs w:val="32"/>
          <w:lang w:eastAsia="zh-CN"/>
        </w:rPr>
        <w:t>单位基本医疗缴费支出。</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5029.74</w:t>
      </w:r>
      <w:r>
        <w:rPr>
          <w:rFonts w:hint="eastAsia" w:ascii="Times New Roman" w:hAnsi="Times New Roman" w:eastAsia="仿宋_GB2312"/>
          <w:sz w:val="32"/>
          <w:szCs w:val="32"/>
        </w:rPr>
        <w:t>万元，其中：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4602.61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91.51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w:t>
      </w:r>
      <w:r>
        <w:rPr>
          <w:rFonts w:hint="eastAsia" w:ascii="仿宋" w:hAnsi="仿宋" w:eastAsia="仿宋" w:cs="仿宋"/>
          <w:sz w:val="32"/>
          <w:szCs w:val="32"/>
          <w:shd w:val="clear" w:color="auto" w:fill="FFFFFF"/>
          <w:lang w:eastAsia="zh-CN"/>
        </w:rPr>
        <w:t>绩效工资、基本养老保险缴费、基本医疗保险缴费等。</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shd w:val="clear" w:color="auto" w:fill="FFFFFF"/>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427.13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8.49</w:t>
      </w:r>
      <w:r>
        <w:rPr>
          <w:rFonts w:hint="eastAsia" w:ascii="Times New Roman" w:hAnsi="Times New Roman" w:eastAsia="仿宋_GB2312"/>
          <w:sz w:val="32"/>
          <w:szCs w:val="32"/>
        </w:rPr>
        <w:t>%，主要包括</w:t>
      </w:r>
      <w:r>
        <w:rPr>
          <w:rFonts w:hint="eastAsia" w:ascii="仿宋" w:hAnsi="仿宋" w:eastAsia="仿宋" w:cs="仿宋"/>
          <w:sz w:val="32"/>
          <w:szCs w:val="32"/>
          <w:shd w:val="clear" w:color="auto" w:fill="FFFFFF"/>
        </w:rPr>
        <w:t>主要包括办公费、印刷费、</w:t>
      </w:r>
      <w:r>
        <w:rPr>
          <w:rFonts w:hint="eastAsia" w:ascii="仿宋" w:hAnsi="仿宋" w:eastAsia="仿宋" w:cs="仿宋"/>
          <w:sz w:val="32"/>
          <w:szCs w:val="32"/>
          <w:shd w:val="clear" w:color="auto" w:fill="FFFFFF"/>
          <w:lang w:eastAsia="zh-CN"/>
        </w:rPr>
        <w:t>水电费、物管费、</w:t>
      </w:r>
      <w:r>
        <w:rPr>
          <w:rFonts w:hint="eastAsia" w:ascii="仿宋" w:hAnsi="仿宋" w:eastAsia="仿宋" w:cs="仿宋"/>
          <w:sz w:val="32"/>
          <w:szCs w:val="32"/>
          <w:shd w:val="clear" w:color="auto" w:fill="FFFFFF"/>
          <w:lang w:val="en-US" w:eastAsia="zh-CN"/>
        </w:rPr>
        <w:t>差旅费、</w:t>
      </w:r>
      <w:r>
        <w:rPr>
          <w:rFonts w:hint="eastAsia" w:ascii="仿宋" w:hAnsi="仿宋" w:eastAsia="仿宋" w:cs="仿宋"/>
          <w:sz w:val="32"/>
          <w:szCs w:val="32"/>
          <w:shd w:val="clear" w:color="auto" w:fill="FFFFFF"/>
          <w:lang w:eastAsia="zh-CN"/>
        </w:rPr>
        <w:t>维修费、培训费、</w:t>
      </w:r>
      <w:r>
        <w:rPr>
          <w:rFonts w:hint="eastAsia" w:ascii="仿宋" w:hAnsi="仿宋" w:eastAsia="仿宋" w:cs="仿宋"/>
          <w:sz w:val="32"/>
          <w:szCs w:val="32"/>
          <w:shd w:val="clear" w:color="auto" w:fill="FFFFFF"/>
          <w:lang w:val="en-US" w:eastAsia="zh-CN"/>
        </w:rPr>
        <w:t>福利费及其他商品和服务支出</w:t>
      </w:r>
      <w:r>
        <w:rPr>
          <w:rFonts w:hint="eastAsia" w:ascii="仿宋" w:hAnsi="仿宋" w:eastAsia="仿宋" w:cs="仿宋"/>
          <w:sz w:val="32"/>
          <w:szCs w:val="32"/>
          <w:shd w:val="clear" w:color="auto" w:fill="FFFFFF"/>
          <w:lang w:eastAsia="zh-CN"/>
        </w:rPr>
        <w:t>等</w:t>
      </w:r>
      <w:r>
        <w:rPr>
          <w:rFonts w:hint="eastAsia" w:ascii="仿宋" w:hAnsi="仿宋" w:eastAsia="仿宋" w:cs="仿宋"/>
          <w:sz w:val="32"/>
          <w:szCs w:val="32"/>
          <w:shd w:val="clear" w:color="auto" w:fill="FFFFFF"/>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32.33</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决算数与预算数一致，与上年相比无增减。</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决算数小于预算数的主要原因是落实中央省市有关精神，厉行节约，严格控制公务接待费用。</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决算数与预算数一致，与上年相比无增减。</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48.50</w:t>
      </w:r>
      <w:r>
        <w:rPr>
          <w:rFonts w:hint="eastAsia" w:ascii="Times New Roman" w:hAnsi="Times New Roman" w:eastAsia="仿宋_GB2312"/>
          <w:sz w:val="32"/>
          <w:szCs w:val="32"/>
        </w:rPr>
        <w:t>%，决算数小于预算数的主要原因是</w:t>
      </w:r>
      <w:r>
        <w:rPr>
          <w:rFonts w:hint="eastAsia" w:ascii="仿宋" w:hAnsi="仿宋" w:eastAsia="仿宋" w:cs="仿宋"/>
          <w:sz w:val="30"/>
          <w:szCs w:val="30"/>
          <w:shd w:val="clear" w:color="auto" w:fill="FFFFFF"/>
          <w:lang w:eastAsia="zh-CN"/>
        </w:rPr>
        <w:t>从严控制车辆运行经费，</w:t>
      </w:r>
      <w:r>
        <w:rPr>
          <w:rFonts w:hint="eastAsia" w:ascii="仿宋" w:hAnsi="仿宋" w:eastAsia="仿宋" w:cs="仿宋"/>
          <w:sz w:val="30"/>
          <w:szCs w:val="30"/>
          <w:shd w:val="clear" w:color="auto" w:fill="FFFFFF"/>
          <w:lang w:val="en-US" w:eastAsia="zh-CN"/>
        </w:rPr>
        <w:t>持续压减</w:t>
      </w:r>
      <w:r>
        <w:rPr>
          <w:rFonts w:hint="eastAsia" w:ascii="Times New Roman" w:hAnsi="Times New Roman" w:eastAsia="仿宋_GB2312"/>
          <w:sz w:val="32"/>
          <w:szCs w:val="32"/>
        </w:rPr>
        <w:t>“三公”</w:t>
      </w:r>
      <w:r>
        <w:rPr>
          <w:rFonts w:hint="eastAsia" w:ascii="Times New Roman" w:hAnsi="Times New Roman" w:eastAsia="仿宋_GB2312"/>
          <w:sz w:val="32"/>
          <w:szCs w:val="32"/>
          <w:lang w:val="en-US" w:eastAsia="zh-CN"/>
        </w:rPr>
        <w:t>经费开支</w:t>
      </w:r>
      <w:r>
        <w:rPr>
          <w:rFonts w:hint="eastAsia" w:ascii="仿宋" w:hAnsi="仿宋" w:eastAsia="仿宋" w:cs="仿宋"/>
          <w:sz w:val="30"/>
          <w:szCs w:val="30"/>
          <w:shd w:val="clear" w:color="auto" w:fill="FFFFFF"/>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0.24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14.11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油料费增加</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1.94</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%。其中：</w:t>
      </w:r>
    </w:p>
    <w:p>
      <w:pPr>
        <w:pStyle w:val="14"/>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pPr>
        <w:pStyle w:val="14"/>
        <w:bidi w:val="0"/>
        <w:ind w:firstLine="640" w:firstLineChars="200"/>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0</w:t>
      </w:r>
      <w:r>
        <w:rPr>
          <w:rFonts w:hint="eastAsia" w:ascii="仿宋" w:hAnsi="仿宋" w:eastAsia="仿宋" w:cs="仿宋"/>
          <w:sz w:val="32"/>
          <w:szCs w:val="32"/>
        </w:rPr>
        <w:t>个、来宾</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1.94</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万元，公务用车运行维护费</w:t>
      </w:r>
      <w:r>
        <w:rPr>
          <w:rFonts w:hint="eastAsia" w:ascii="仿宋" w:hAnsi="仿宋" w:eastAsia="仿宋" w:cs="仿宋"/>
          <w:sz w:val="32"/>
          <w:szCs w:val="32"/>
          <w:lang w:val="en-US" w:eastAsia="zh-CN"/>
        </w:rPr>
        <w:t>1.94</w:t>
      </w:r>
      <w:r>
        <w:rPr>
          <w:rFonts w:hint="eastAsia" w:ascii="仿宋" w:hAnsi="仿宋" w:eastAsia="仿宋" w:cs="仿宋"/>
          <w:sz w:val="32"/>
          <w:szCs w:val="32"/>
        </w:rPr>
        <w:t>万元，主要是</w:t>
      </w:r>
      <w:r>
        <w:rPr>
          <w:rFonts w:hint="eastAsia" w:ascii="仿宋" w:hAnsi="仿宋" w:eastAsia="仿宋" w:cs="仿宋"/>
          <w:sz w:val="32"/>
          <w:szCs w:val="32"/>
          <w:lang w:eastAsia="zh-CN"/>
        </w:rPr>
        <w:t>车辆油料费、车辆维修费、车辆保险费及其他</w:t>
      </w:r>
      <w:r>
        <w:rPr>
          <w:rFonts w:hint="eastAsia" w:ascii="仿宋" w:hAnsi="仿宋" w:eastAsia="仿宋" w:cs="仿宋"/>
          <w:sz w:val="32"/>
          <w:szCs w:val="32"/>
        </w:rPr>
        <w:t>支出，截止202</w:t>
      </w:r>
      <w:r>
        <w:rPr>
          <w:rFonts w:hint="eastAsia" w:ascii="仿宋" w:hAnsi="仿宋" w:eastAsia="仿宋" w:cs="仿宋"/>
          <w:sz w:val="32"/>
          <w:szCs w:val="32"/>
          <w:lang w:val="en-US" w:eastAsia="zh-CN"/>
        </w:rPr>
        <w:t>2</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1</w:t>
      </w:r>
      <w:r>
        <w:rPr>
          <w:rFonts w:hint="eastAsia" w:ascii="仿宋" w:hAnsi="仿宋" w:eastAsia="仿宋" w:cs="仿宋"/>
          <w:sz w:val="32"/>
          <w:szCs w:val="32"/>
        </w:rPr>
        <w:t>辆。</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八、政府性基金预算</w:t>
      </w:r>
      <w:r>
        <w:rPr>
          <w:rFonts w:hint="eastAsia" w:hAnsi="黑体" w:cs="黑体"/>
          <w:b w:val="0"/>
          <w:bCs/>
          <w:sz w:val="32"/>
          <w:szCs w:val="32"/>
          <w:lang w:val="en-US" w:eastAsia="zh-CN"/>
        </w:rPr>
        <w:t>财政拨款</w:t>
      </w:r>
      <w:r>
        <w:rPr>
          <w:rFonts w:hint="eastAsia" w:ascii="黑体" w:hAnsi="黑体" w:eastAsia="黑体" w:cs="黑体"/>
          <w:b w:val="0"/>
          <w:bCs/>
          <w:sz w:val="32"/>
          <w:szCs w:val="32"/>
        </w:rPr>
        <w:t>收入支出决算情况</w:t>
      </w:r>
      <w:r>
        <w:rPr>
          <w:rFonts w:hint="eastAsia" w:hAnsi="黑体" w:cs="黑体"/>
          <w:b w:val="0"/>
          <w:bCs/>
          <w:sz w:val="32"/>
          <w:szCs w:val="32"/>
          <w:lang w:val="en-US" w:eastAsia="zh-CN"/>
        </w:rPr>
        <w:t>说明</w:t>
      </w:r>
    </w:p>
    <w:p>
      <w:pPr>
        <w:pStyle w:val="14"/>
        <w:keepNext w:val="0"/>
        <w:keepLines w:val="0"/>
        <w:pageBreakBefore w:val="0"/>
        <w:kinsoku/>
        <w:wordWrap/>
        <w:overflowPunct/>
        <w:topLinePunct w:val="0"/>
        <w:bidi w:val="0"/>
        <w:snapToGrid/>
        <w:spacing w:afterAutospacing="0" w:line="560" w:lineRule="exact"/>
        <w:ind w:firstLine="640" w:firstLineChars="200"/>
        <w:jc w:val="left"/>
        <w:textAlignment w:val="auto"/>
        <w:rPr>
          <w:rFonts w:ascii="Times New Roman" w:hAnsi="Times New Roman" w:eastAsia="仿宋_GB2312"/>
          <w:sz w:val="32"/>
          <w:szCs w:val="32"/>
        </w:rPr>
      </w:pPr>
      <w:r>
        <w:rPr>
          <w:rFonts w:hint="eastAsia" w:ascii="仿宋_GB2312" w:hAnsi="仿宋_GB2312" w:eastAsia="仿宋_GB2312" w:cs="仿宋_GB2312"/>
          <w:color w:val="000000"/>
          <w:kern w:val="0"/>
          <w:sz w:val="32"/>
          <w:szCs w:val="32"/>
          <w:lang w:val="en-US" w:eastAsia="zh-CN"/>
        </w:rPr>
        <w:t>2022年本部门无政府性基金预算财政拨款收入支出。</w:t>
      </w:r>
      <w:r>
        <w:rPr>
          <w:rFonts w:hint="eastAsia" w:ascii="Times New Roman" w:hAnsi="Times New Roman" w:eastAsia="仿宋_GB2312"/>
          <w:sz w:val="32"/>
          <w:szCs w:val="32"/>
        </w:rPr>
        <w:t xml:space="preserve">  </w:t>
      </w:r>
    </w:p>
    <w:p>
      <w:pPr>
        <w:pStyle w:val="14"/>
        <w:bidi w:val="0"/>
        <w:ind w:firstLine="640" w:firstLineChars="200"/>
        <w:rPr>
          <w:rFonts w:hint="eastAsia"/>
          <w:sz w:val="32"/>
          <w:szCs w:val="32"/>
          <w:lang w:val="en-US" w:eastAsia="zh-CN"/>
        </w:rPr>
      </w:pPr>
      <w:r>
        <w:rPr>
          <w:rFonts w:hint="eastAsia"/>
          <w:sz w:val="32"/>
          <w:szCs w:val="32"/>
          <w:lang w:val="en-US" w:eastAsia="zh-CN"/>
        </w:rPr>
        <w:t>九、国有资本经营预算</w:t>
      </w:r>
      <w:r>
        <w:rPr>
          <w:rFonts w:hint="eastAsia" w:hAnsi="黑体" w:cs="黑体"/>
          <w:b w:val="0"/>
          <w:bCs/>
          <w:sz w:val="32"/>
          <w:szCs w:val="32"/>
          <w:lang w:val="en-US" w:eastAsia="zh-CN"/>
        </w:rPr>
        <w:t>财政拨款</w:t>
      </w:r>
      <w:r>
        <w:rPr>
          <w:rFonts w:hint="eastAsia"/>
          <w:sz w:val="32"/>
          <w:szCs w:val="32"/>
          <w:lang w:val="en-US" w:eastAsia="zh-CN"/>
        </w:rPr>
        <w:t>收入支出决算情况说明</w:t>
      </w:r>
    </w:p>
    <w:p>
      <w:pPr>
        <w:numPr>
          <w:ilvl w:val="0"/>
          <w:numId w:val="0"/>
        </w:numPr>
        <w:autoSpaceDE w:val="0"/>
        <w:autoSpaceDN w:val="0"/>
        <w:adjustRightInd w:val="0"/>
        <w:spacing w:line="500" w:lineRule="exact"/>
        <w:ind w:firstLine="640" w:firstLineChars="20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2022年本部门无国有资本经营预算财政拨款收入支出。</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sz w:val="32"/>
          <w:szCs w:val="32"/>
        </w:rPr>
      </w:pPr>
      <w:r>
        <w:rPr>
          <w:rFonts w:hint="eastAsia" w:ascii="黑体" w:hAnsi="黑体" w:eastAsia="黑体" w:cs="黑体"/>
          <w:b/>
          <w:sz w:val="32"/>
          <w:szCs w:val="32"/>
          <w:lang w:val="en-US" w:eastAsia="zh-CN"/>
        </w:rPr>
        <w:t>十、</w:t>
      </w:r>
      <w:r>
        <w:rPr>
          <w:rFonts w:hint="eastAsia" w:ascii="黑体" w:hAnsi="黑体" w:eastAsia="黑体" w:cs="黑体"/>
          <w:b/>
          <w:sz w:val="32"/>
          <w:szCs w:val="32"/>
        </w:rPr>
        <w:t>关于机关运行经费支出说明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为非参公事业单位，不在机关运动经费统计范围之内。</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4"/>
        <w:keepNext w:val="0"/>
        <w:keepLines w:val="0"/>
        <w:pageBreakBefore w:val="0"/>
        <w:kinsoku/>
        <w:wordWrap/>
        <w:overflowPunct/>
        <w:topLinePunct w:val="0"/>
        <w:bidi w:val="0"/>
        <w:snapToGrid/>
        <w:spacing w:afterAutospacing="0" w:line="560" w:lineRule="exact"/>
        <w:ind w:firstLine="640" w:firstLineChars="200"/>
        <w:jc w:val="left"/>
        <w:textAlignment w:val="auto"/>
        <w:rPr>
          <w:rFonts w:hint="eastAsia" w:ascii="仿宋" w:hAnsi="仿宋" w:eastAsia="仿宋" w:cs="仿宋"/>
          <w:sz w:val="30"/>
          <w:szCs w:val="30"/>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14.66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用于开展学校锗共同开发科目专业培训，人数394人次，内容为学校教师参加各专业科目国培、省培、市培及校本培训计划</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2022年本部门无节庆、晚会、论坛、赛事活动，开支0万元。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度</w:t>
      </w:r>
      <w:r>
        <w:rPr>
          <w:rFonts w:hint="eastAsia" w:ascii="Times New Roman" w:hAnsi="Times New Roman" w:eastAsia="仿宋_GB2312"/>
          <w:sz w:val="32"/>
          <w:szCs w:val="32"/>
        </w:rPr>
        <w:t>政府采购支出总额</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三</w:t>
      </w:r>
      <w:r>
        <w:rPr>
          <w:rFonts w:hint="eastAsia" w:ascii="黑体" w:hAnsi="黑体" w:eastAsia="黑体" w:cs="黑体"/>
          <w:b w:val="0"/>
          <w:bCs/>
          <w:sz w:val="32"/>
          <w:szCs w:val="32"/>
        </w:rPr>
        <w:t>、关于国有资产占用情况说明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预算绩效管理要求，我部门全面开展2022年度整体支出绩效自评。2022年部门整体支出总额6667.34万元，其中：基本支出：5029.74万元，项目支出：1637.60万元。整体支出主要是为完成学校教育教学及相关事务管理工作而发生的支出，主要包括人员经费、日常运行公用经费和项目支出。</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围绕部门重点工作计划，抓好厉行节约源头控制，严格执行部门预算，加快支出进度；“三公”经费、一般运行经费实现了有效压减；项目支出严格执行相关项目管理制度，按照程序和审批手续，确保资金使用规范合理，降低了运行成本，提高了资金的使用效率。</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部门整体支出绩效情况详见附件2-《</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w:t>
      </w:r>
      <w:r>
        <w:rPr>
          <w:rFonts w:hint="eastAsia" w:ascii="仿宋" w:hAnsi="仿宋" w:eastAsia="仿宋" w:cs="仿宋"/>
          <w:sz w:val="32"/>
          <w:szCs w:val="32"/>
          <w:lang w:val="en-US" w:eastAsia="zh-CN"/>
        </w:rPr>
        <w:t>整体支出</w:t>
      </w:r>
      <w:r>
        <w:rPr>
          <w:rFonts w:hint="eastAsia" w:ascii="仿宋" w:hAnsi="仿宋" w:eastAsia="仿宋" w:cs="仿宋"/>
          <w:sz w:val="32"/>
          <w:szCs w:val="32"/>
        </w:rPr>
        <w:t>绩效自评报告</w:t>
      </w:r>
      <w:r>
        <w:rPr>
          <w:rFonts w:hint="eastAsia" w:ascii="仿宋" w:hAnsi="仿宋" w:eastAsia="仿宋" w:cs="仿宋"/>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预算绩效评价个性指标有待进一步完善。项目绩效指标设置不够精准、细化，指标无法准确反映项目的真实产出和效益，未能全面、精确反映整体绩效水平。主要原因是缺乏专业的绩效管理人员。</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今后将完善绩效管理制度，细化预算编制工作，</w:t>
      </w:r>
      <w:r>
        <w:rPr>
          <w:rFonts w:hint="eastAsia" w:ascii="仿宋" w:hAnsi="仿宋" w:eastAsia="仿宋" w:cs="仿宋"/>
          <w:sz w:val="32"/>
          <w:szCs w:val="32"/>
        </w:rPr>
        <w:t>建立科学合理的项目预算效果考核机制，依据预设的绩效数量、质量指标全面衡量预算实施效果，既重“绩”，更重“效”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同时加强绩效业务人员培训力度，</w:t>
      </w:r>
      <w:r>
        <w:rPr>
          <w:rFonts w:hint="eastAsia" w:ascii="仿宋" w:hAnsi="仿宋" w:eastAsia="仿宋" w:cs="仿宋"/>
          <w:sz w:val="32"/>
          <w:szCs w:val="32"/>
        </w:rPr>
        <w:t>不断增强绩效考评的客观性和科学性，切实促进</w:t>
      </w:r>
      <w:r>
        <w:rPr>
          <w:rFonts w:hint="eastAsia" w:ascii="仿宋" w:hAnsi="仿宋" w:eastAsia="仿宋" w:cs="仿宋"/>
          <w:sz w:val="32"/>
          <w:szCs w:val="32"/>
          <w:lang w:val="en-US" w:eastAsia="zh-CN"/>
        </w:rPr>
        <w:t>预算</w:t>
      </w:r>
      <w:r>
        <w:rPr>
          <w:rFonts w:hint="eastAsia" w:ascii="仿宋" w:hAnsi="仿宋" w:eastAsia="仿宋" w:cs="仿宋"/>
          <w:sz w:val="32"/>
          <w:szCs w:val="32"/>
        </w:rPr>
        <w:t>资金科学管理和实际绩效水平不断提高。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val="0"/>
          <w:bCs/>
          <w:sz w:val="32"/>
          <w:szCs w:val="32"/>
          <w:lang w:val="en-US" w:eastAsia="zh-CN"/>
        </w:rPr>
      </w:pPr>
    </w:p>
    <w:p>
      <w:pPr>
        <w:pStyle w:val="14"/>
        <w:jc w:val="both"/>
        <w:rPr>
          <w:rFonts w:hint="eastAsia" w:ascii="方正小标宋_GBK" w:hAnsi="方正小标宋_GBK" w:eastAsia="方正小标宋_GBK" w:cs="方正小标宋_GBK"/>
          <w:sz w:val="36"/>
          <w:szCs w:val="36"/>
        </w:rPr>
      </w:pPr>
    </w:p>
    <w:p>
      <w:pPr>
        <w:pStyle w:val="14"/>
        <w:jc w:val="center"/>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sz w:val="44"/>
          <w:szCs w:val="44"/>
        </w:rPr>
        <w:t>第四部分</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color w:val="000000"/>
          <w:kern w:val="0"/>
          <w:sz w:val="44"/>
          <w:szCs w:val="44"/>
        </w:rPr>
        <w:t>名词解释</w:t>
      </w:r>
    </w:p>
    <w:p>
      <w:pPr>
        <w:widowControl/>
        <w:jc w:val="left"/>
        <w:rPr>
          <w:rFonts w:cs="黑体" w:asciiTheme="minorEastAsia" w:hAnsiTheme="minorEastAsia"/>
          <w:color w:val="000000"/>
          <w:kern w:val="0"/>
          <w:sz w:val="32"/>
          <w:szCs w:val="32"/>
        </w:rPr>
      </w:pPr>
    </w:p>
    <w:p>
      <w:pPr>
        <w:keepNext w:val="0"/>
        <w:keepLines w:val="0"/>
        <w:pageBreakBefore w:val="0"/>
        <w:kinsoku/>
        <w:wordWrap/>
        <w:overflowPunct/>
        <w:topLinePunct w:val="0"/>
        <w:bidi w:val="0"/>
        <w:snapToGrid/>
        <w:spacing w:afterAutospacing="0"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4"/>
        <w:ind w:firstLine="6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4"/>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3.政府采购：指各级国家机关、事业单位和团体组织，使用财政性资金采购依法制定的集中目录以内的或者采购限额标准以上的货物、工程和服务的行为，是规范财政支出管理和强化预算约束的有效措施。</w:t>
      </w:r>
    </w:p>
    <w:p>
      <w:pPr>
        <w:pStyle w:val="14"/>
        <w:bidi w:val="0"/>
        <w:ind w:firstLine="640" w:firstLineChars="200"/>
        <w:rPr>
          <w:rFonts w:hint="eastAsia" w:ascii="仿宋" w:hAnsi="仿宋" w:eastAsia="仿宋" w:cs="仿宋"/>
          <w:sz w:val="32"/>
          <w:szCs w:val="32"/>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附件1:2022年部门决算公开表</w:t>
      </w:r>
      <w:bookmarkStart w:id="0" w:name="_GoBack"/>
      <w:bookmarkEnd w:id="0"/>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jc w:val="left"/>
        <w:textAlignment w:val="auto"/>
        <w:rPr>
          <w:rFonts w:hint="eastAsia" w:ascii="仿宋" w:hAnsi="仿宋" w:eastAsia="仿宋" w:cs="仿宋"/>
          <w:color w:val="000000"/>
          <w:kern w:val="0"/>
          <w:sz w:val="32"/>
          <w:szCs w:val="32"/>
        </w:rPr>
      </w:pPr>
      <w:r>
        <w:rPr>
          <w:rFonts w:hint="eastAsia" w:ascii="仿宋" w:hAnsi="仿宋" w:eastAsia="仿宋" w:cs="仿宋"/>
          <w:sz w:val="32"/>
          <w:szCs w:val="32"/>
          <w:lang w:val="en-US" w:eastAsia="zh-CN"/>
        </w:rPr>
        <w:t>附件2:2022年部门整体支出绩效自评报告</w:t>
      </w:r>
    </w:p>
    <w:sectPr>
      <w:pgSz w:w="11906" w:h="16838"/>
      <w:pgMar w:top="1457" w:right="1797" w:bottom="1457"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9DCA5"/>
    <w:multiLevelType w:val="singleLevel"/>
    <w:tmpl w:val="CEA9DCA5"/>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OTJhY2U1ZmQ1YTU1YzBmN2E2YzM1MjRlM2ZhOT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5E53"/>
    <w:rsid w:val="00FE6269"/>
    <w:rsid w:val="00FF5CD6"/>
    <w:rsid w:val="01326F3B"/>
    <w:rsid w:val="01D4745A"/>
    <w:rsid w:val="037E6D6A"/>
    <w:rsid w:val="03A569EC"/>
    <w:rsid w:val="04916414"/>
    <w:rsid w:val="04B80536"/>
    <w:rsid w:val="05AB46D0"/>
    <w:rsid w:val="07C771A5"/>
    <w:rsid w:val="09F87070"/>
    <w:rsid w:val="0B936F46"/>
    <w:rsid w:val="0FA24D59"/>
    <w:rsid w:val="106D0FD2"/>
    <w:rsid w:val="109866AA"/>
    <w:rsid w:val="131F3EBA"/>
    <w:rsid w:val="13935631"/>
    <w:rsid w:val="14B27D54"/>
    <w:rsid w:val="16D34171"/>
    <w:rsid w:val="17592C4E"/>
    <w:rsid w:val="177F2CE5"/>
    <w:rsid w:val="19797F82"/>
    <w:rsid w:val="235F6157"/>
    <w:rsid w:val="24E51367"/>
    <w:rsid w:val="255012A0"/>
    <w:rsid w:val="2628223B"/>
    <w:rsid w:val="29626662"/>
    <w:rsid w:val="297513D8"/>
    <w:rsid w:val="2CCD4AF7"/>
    <w:rsid w:val="2E3010F7"/>
    <w:rsid w:val="2E724577"/>
    <w:rsid w:val="2ED63B97"/>
    <w:rsid w:val="3149173E"/>
    <w:rsid w:val="34CF13A8"/>
    <w:rsid w:val="38C56771"/>
    <w:rsid w:val="3A3356AB"/>
    <w:rsid w:val="3A351FF4"/>
    <w:rsid w:val="3A7C45D8"/>
    <w:rsid w:val="3C25490E"/>
    <w:rsid w:val="3D6178AF"/>
    <w:rsid w:val="3D8A0D33"/>
    <w:rsid w:val="3D9B6D4B"/>
    <w:rsid w:val="442A01C9"/>
    <w:rsid w:val="448C026D"/>
    <w:rsid w:val="46A46778"/>
    <w:rsid w:val="4A062A9F"/>
    <w:rsid w:val="4A5864B5"/>
    <w:rsid w:val="4CDA1CF8"/>
    <w:rsid w:val="4E8063AB"/>
    <w:rsid w:val="5027649D"/>
    <w:rsid w:val="53210F42"/>
    <w:rsid w:val="55005CC6"/>
    <w:rsid w:val="561F5DC3"/>
    <w:rsid w:val="56791375"/>
    <w:rsid w:val="56CA277D"/>
    <w:rsid w:val="5777D4F5"/>
    <w:rsid w:val="57B70DC6"/>
    <w:rsid w:val="582D7B25"/>
    <w:rsid w:val="5BB33896"/>
    <w:rsid w:val="5EF43FD9"/>
    <w:rsid w:val="5FC6BB1E"/>
    <w:rsid w:val="5FD033BF"/>
    <w:rsid w:val="5FF720F1"/>
    <w:rsid w:val="603E7E4C"/>
    <w:rsid w:val="627F1820"/>
    <w:rsid w:val="632552E8"/>
    <w:rsid w:val="63D01E3F"/>
    <w:rsid w:val="6445282D"/>
    <w:rsid w:val="684D360C"/>
    <w:rsid w:val="68577B05"/>
    <w:rsid w:val="688D4B21"/>
    <w:rsid w:val="69951B60"/>
    <w:rsid w:val="6B9F666F"/>
    <w:rsid w:val="6D751FEF"/>
    <w:rsid w:val="6E190916"/>
    <w:rsid w:val="6E6012F5"/>
    <w:rsid w:val="6FC6211C"/>
    <w:rsid w:val="706B361B"/>
    <w:rsid w:val="70CC25CB"/>
    <w:rsid w:val="71841168"/>
    <w:rsid w:val="7336175E"/>
    <w:rsid w:val="737D59BA"/>
    <w:rsid w:val="73D33319"/>
    <w:rsid w:val="76C456A6"/>
    <w:rsid w:val="77C37683"/>
    <w:rsid w:val="78BD2746"/>
    <w:rsid w:val="79454A8A"/>
    <w:rsid w:val="79FF515B"/>
    <w:rsid w:val="7CF22655"/>
    <w:rsid w:val="7D8F2F5C"/>
    <w:rsid w:val="7DBF7B03"/>
    <w:rsid w:val="7E9F11B4"/>
    <w:rsid w:val="7EC41338"/>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3">
    <w:name w:val="Body Text Indent"/>
    <w:basedOn w:val="1"/>
    <w:unhideWhenUsed/>
    <w:qFormat/>
    <w:uiPriority w:val="99"/>
    <w:pPr>
      <w:spacing w:after="120"/>
      <w:ind w:left="420" w:left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3"/>
    <w:unhideWhenUsed/>
    <w:qFormat/>
    <w:uiPriority w:val="99"/>
    <w:pPr>
      <w:ind w:firstLine="420"/>
    </w:pPr>
  </w:style>
  <w:style w:type="character" w:styleId="11">
    <w:name w:val="Hyperlink"/>
    <w:basedOn w:val="10"/>
    <w:qFormat/>
    <w:uiPriority w:val="0"/>
    <w:rPr>
      <w:color w:val="0000FF"/>
      <w:u w:val="single"/>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 w:type="paragraph" w:customStyle="1" w:styleId="20">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5976</Words>
  <Characters>6719</Characters>
  <Lines>63</Lines>
  <Paragraphs>18</Paragraphs>
  <TotalTime>4</TotalTime>
  <ScaleCrop>false</ScaleCrop>
  <LinksUpToDate>false</LinksUpToDate>
  <CharactersWithSpaces>7772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2023-08-15T09:28:00Z</cp:lastPrinted>
  <dcterms:modified xsi:type="dcterms:W3CDTF">2023-09-26T05:58:10Z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2B3988687B494BD1A1169EA9CA9C8B35_13</vt:lpwstr>
  </property>
</Properties>
</file>