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061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bookmarkStart w:id="0" w:name="_GoBack"/>
      <w:bookmarkEnd w:id="0"/>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21F979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0" w:right="0" w:firstLine="0"/>
        <w:jc w:val="center"/>
        <w:textAlignment w:val="auto"/>
        <w:rPr>
          <w:rFonts w:ascii="仿宋_GB2312" w:eastAsia="仿宋_GB2312" w:cs="仿宋_GB2312"/>
          <w:i w:val="0"/>
          <w:iCs w:val="0"/>
          <w:caps w:val="0"/>
          <w:color w:val="000000"/>
          <w:spacing w:val="0"/>
          <w:sz w:val="32"/>
          <w:szCs w:val="32"/>
        </w:rPr>
      </w:pPr>
    </w:p>
    <w:p w14:paraId="233671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0F9BDF88">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i w:val="0"/>
          <w:iCs w:val="0"/>
          <w:caps w:val="0"/>
          <w:color w:val="000000"/>
          <w:spacing w:val="0"/>
          <w:sz w:val="32"/>
          <w:szCs w:val="32"/>
          <w:shd w:val="clear" w:fill="FFFFFF"/>
          <w:lang w:eastAsia="zh-CN"/>
        </w:rPr>
        <w:t>㈠</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机构设置情况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sz w:val="32"/>
          <w:szCs w:val="32"/>
        </w:rPr>
        <w:t>作为独立核算的一级部门预算单位，内设处室：办公室、教务处、德育处、教科室、总务处、现教室</w:t>
      </w:r>
      <w:r>
        <w:rPr>
          <w:rFonts w:hint="eastAsia" w:ascii="仿宋" w:hAnsi="仿宋" w:eastAsia="仿宋" w:cs="仿宋"/>
          <w:sz w:val="32"/>
          <w:szCs w:val="32"/>
          <w:lang w:eastAsia="zh-CN"/>
        </w:rPr>
        <w:t>。</w:t>
      </w:r>
    </w:p>
    <w:p w14:paraId="12270A1D">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i w:val="0"/>
          <w:iCs w:val="0"/>
          <w:caps w:val="0"/>
          <w:color w:val="000000"/>
          <w:spacing w:val="0"/>
          <w:sz w:val="32"/>
          <w:szCs w:val="32"/>
          <w:shd w:val="clear" w:fill="FFFFFF"/>
          <w:lang w:eastAsia="zh-CN"/>
        </w:rPr>
        <w:t>㈡</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人员编制情况</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sz w:val="32"/>
          <w:szCs w:val="32"/>
        </w:rPr>
        <w:t>根据编委核定，</w:t>
      </w:r>
      <w:r>
        <w:rPr>
          <w:rFonts w:hint="eastAsia" w:ascii="仿宋" w:hAnsi="仿宋" w:eastAsia="仿宋" w:cs="仿宋"/>
          <w:sz w:val="32"/>
          <w:szCs w:val="32"/>
          <w:lang w:val="en-US" w:eastAsia="zh-CN"/>
        </w:rPr>
        <w:t>本部门</w:t>
      </w:r>
      <w:r>
        <w:rPr>
          <w:rFonts w:hint="eastAsia" w:ascii="仿宋" w:hAnsi="仿宋" w:eastAsia="仿宋" w:cs="仿宋"/>
          <w:sz w:val="32"/>
          <w:szCs w:val="32"/>
        </w:rPr>
        <w:t>事业编制</w:t>
      </w:r>
      <w:r>
        <w:rPr>
          <w:rFonts w:hint="eastAsia" w:ascii="仿宋" w:hAnsi="仿宋" w:eastAsia="仿宋" w:cs="仿宋"/>
          <w:sz w:val="32"/>
          <w:szCs w:val="32"/>
          <w:lang w:eastAsia="zh-CN"/>
        </w:rPr>
        <w:t>数</w:t>
      </w:r>
      <w:r>
        <w:rPr>
          <w:rFonts w:hint="eastAsia" w:ascii="仿宋" w:hAnsi="仿宋" w:eastAsia="仿宋" w:cs="仿宋"/>
          <w:sz w:val="32"/>
          <w:szCs w:val="32"/>
          <w:lang w:val="en-US" w:eastAsia="zh-CN"/>
        </w:rPr>
        <w:t>为289人，截止2023年末，我校在编</w:t>
      </w:r>
      <w:r>
        <w:rPr>
          <w:rFonts w:hint="eastAsia" w:ascii="仿宋" w:hAnsi="仿宋" w:eastAsia="仿宋" w:cs="仿宋"/>
          <w:sz w:val="32"/>
          <w:szCs w:val="32"/>
          <w:lang w:eastAsia="zh-CN"/>
        </w:rPr>
        <w:t>教职工</w:t>
      </w:r>
      <w:r>
        <w:rPr>
          <w:rFonts w:hint="eastAsia" w:ascii="仿宋" w:hAnsi="仿宋" w:eastAsia="仿宋" w:cs="仿宋"/>
          <w:sz w:val="32"/>
          <w:szCs w:val="32"/>
          <w:lang w:val="en-US" w:eastAsia="zh-CN"/>
        </w:rPr>
        <w:t>272人，退休人员189人，年末其他人员14人，学生3294人。</w:t>
      </w:r>
    </w:p>
    <w:p w14:paraId="69E01FFF">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eastAsia="zh-CN"/>
        </w:rPr>
        <w:t>㈢</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主要职能职责</w:t>
      </w:r>
      <w:r>
        <w:rPr>
          <w:rFonts w:hint="eastAsia" w:ascii="仿宋" w:hAnsi="仿宋" w:eastAsia="仿宋" w:cs="仿宋"/>
          <w:i w:val="0"/>
          <w:iCs w:val="0"/>
          <w:caps w:val="0"/>
          <w:color w:val="000000"/>
          <w:spacing w:val="0"/>
          <w:sz w:val="32"/>
          <w:szCs w:val="32"/>
          <w:shd w:val="clear" w:fill="FFFFFF"/>
          <w:lang w:eastAsia="zh-CN"/>
        </w:rPr>
        <w:t>：</w:t>
      </w:r>
    </w:p>
    <w:p w14:paraId="6AD0009D">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⑴ 宣传贯彻执行党和国家教育方针、政策和法律法规，坚持依法治教、依法治学，贯彻执行市教育局行政规章制度。</w:t>
      </w:r>
      <w:r>
        <w:rPr>
          <w:rFonts w:hint="eastAsia" w:ascii="仿宋" w:hAnsi="仿宋" w:eastAsia="仿宋" w:cs="仿宋"/>
          <w:sz w:val="32"/>
          <w:szCs w:val="32"/>
          <w:lang w:val="en-US" w:eastAsia="zh-CN"/>
        </w:rPr>
        <w:t xml:space="preserve"> </w:t>
      </w:r>
    </w:p>
    <w:p w14:paraId="5690728E">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⑵ </w:t>
      </w:r>
      <w:r>
        <w:rPr>
          <w:rFonts w:hint="eastAsia" w:ascii="仿宋" w:hAnsi="仿宋" w:eastAsia="仿宋" w:cs="仿宋"/>
          <w:sz w:val="32"/>
          <w:szCs w:val="32"/>
          <w:lang w:eastAsia="zh-CN"/>
        </w:rPr>
        <w:t>以学生的发展为本，为学生的终身发展服务。</w:t>
      </w:r>
      <w:r>
        <w:rPr>
          <w:rFonts w:hint="eastAsia" w:ascii="仿宋" w:hAnsi="仿宋" w:eastAsia="仿宋" w:cs="仿宋"/>
          <w:i w:val="0"/>
          <w:iCs w:val="0"/>
          <w:caps w:val="0"/>
          <w:color w:val="000000"/>
          <w:spacing w:val="0"/>
          <w:sz w:val="32"/>
          <w:szCs w:val="32"/>
          <w:shd w:val="clear" w:color="auto" w:fill="FFFFFF"/>
        </w:rPr>
        <w:t>坚持教书育人，服务育人，环境育人方针，</w:t>
      </w:r>
      <w:r>
        <w:rPr>
          <w:rFonts w:hint="eastAsia" w:ascii="仿宋" w:hAnsi="仿宋" w:eastAsia="仿宋" w:cs="仿宋"/>
          <w:i w:val="0"/>
          <w:iCs w:val="0"/>
          <w:caps w:val="0"/>
          <w:color w:val="000000"/>
          <w:spacing w:val="0"/>
          <w:sz w:val="32"/>
          <w:szCs w:val="32"/>
          <w:shd w:val="clear" w:color="auto" w:fill="FFFFFF"/>
          <w:lang w:eastAsia="zh-CN"/>
        </w:rPr>
        <w:t>培养学生厚德、博学、诚信、和谐、创新理念，促进</w:t>
      </w:r>
      <w:r>
        <w:rPr>
          <w:rFonts w:hint="eastAsia" w:ascii="仿宋" w:hAnsi="仿宋" w:eastAsia="仿宋" w:cs="仿宋"/>
          <w:i w:val="0"/>
          <w:iCs w:val="0"/>
          <w:caps w:val="0"/>
          <w:color w:val="000000"/>
          <w:spacing w:val="0"/>
          <w:sz w:val="32"/>
          <w:szCs w:val="32"/>
          <w:shd w:val="clear" w:color="auto" w:fill="FFFFFF"/>
        </w:rPr>
        <w:t>学生的全面发展</w:t>
      </w:r>
      <w:r>
        <w:rPr>
          <w:rFonts w:hint="eastAsia" w:ascii="仿宋" w:hAnsi="仿宋" w:eastAsia="仿宋" w:cs="仿宋"/>
          <w:i w:val="0"/>
          <w:iCs w:val="0"/>
          <w:caps w:val="0"/>
          <w:color w:val="000000"/>
          <w:spacing w:val="0"/>
          <w:sz w:val="32"/>
          <w:szCs w:val="32"/>
          <w:shd w:val="clear" w:color="auto" w:fill="FFFFFF"/>
          <w:lang w:eastAsia="zh-CN"/>
        </w:rPr>
        <w:t>。</w:t>
      </w:r>
    </w:p>
    <w:p w14:paraId="73DA9C1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jc w:val="left"/>
        <w:textAlignment w:val="auto"/>
        <w:rPr>
          <w:rFonts w:hint="eastAsia" w:ascii="仿宋" w:hAnsi="仿宋" w:eastAsia="仿宋" w:cs="仿宋"/>
          <w:i w:val="0"/>
          <w:iCs w:val="0"/>
          <w:caps w:val="0"/>
          <w:color w:val="000000"/>
          <w:spacing w:val="0"/>
          <w:sz w:val="32"/>
          <w:szCs w:val="32"/>
          <w:shd w:val="clear" w:color="auto" w:fill="FFFFFF"/>
          <w:lang w:eastAsia="zh-CN"/>
        </w:rPr>
      </w:pPr>
      <w:r>
        <w:rPr>
          <w:rFonts w:hint="eastAsia" w:ascii="仿宋" w:hAnsi="仿宋" w:eastAsia="仿宋" w:cs="仿宋"/>
          <w:sz w:val="32"/>
          <w:szCs w:val="32"/>
        </w:rPr>
        <w:t>⑶ 组织开展本校的教育教学科研</w:t>
      </w:r>
      <w:r>
        <w:rPr>
          <w:rFonts w:hint="eastAsia" w:ascii="仿宋" w:hAnsi="仿宋" w:eastAsia="仿宋" w:cs="仿宋"/>
          <w:sz w:val="32"/>
          <w:szCs w:val="32"/>
          <w:lang w:eastAsia="zh-CN"/>
        </w:rPr>
        <w:t>，</w:t>
      </w:r>
      <w:r>
        <w:rPr>
          <w:rFonts w:hint="eastAsia" w:ascii="仿宋" w:hAnsi="仿宋" w:eastAsia="仿宋" w:cs="仿宋"/>
          <w:i w:val="0"/>
          <w:iCs w:val="0"/>
          <w:caps w:val="0"/>
          <w:color w:val="000000"/>
          <w:spacing w:val="0"/>
          <w:sz w:val="32"/>
          <w:szCs w:val="32"/>
          <w:shd w:val="clear" w:color="auto" w:fill="FFFFFF"/>
        </w:rPr>
        <w:t>积极稳妥地推进教育</w:t>
      </w:r>
      <w:r>
        <w:rPr>
          <w:rFonts w:hint="eastAsia" w:ascii="仿宋" w:hAnsi="仿宋" w:eastAsia="仿宋" w:cs="仿宋"/>
          <w:i w:val="0"/>
          <w:iCs w:val="0"/>
          <w:caps w:val="0"/>
          <w:color w:val="000000"/>
          <w:spacing w:val="0"/>
          <w:sz w:val="32"/>
          <w:szCs w:val="32"/>
          <w:shd w:val="clear" w:color="auto" w:fill="FFFFFF"/>
          <w:lang w:eastAsia="zh-CN"/>
        </w:rPr>
        <w:t>教学</w:t>
      </w:r>
      <w:r>
        <w:rPr>
          <w:rFonts w:hint="eastAsia" w:ascii="仿宋" w:hAnsi="仿宋" w:eastAsia="仿宋" w:cs="仿宋"/>
          <w:i w:val="0"/>
          <w:iCs w:val="0"/>
          <w:caps w:val="0"/>
          <w:color w:val="000000"/>
          <w:spacing w:val="0"/>
          <w:sz w:val="32"/>
          <w:szCs w:val="32"/>
          <w:shd w:val="clear" w:color="auto" w:fill="FFFFFF"/>
        </w:rPr>
        <w:t>改革，</w:t>
      </w:r>
      <w:r>
        <w:rPr>
          <w:rFonts w:hint="eastAsia" w:ascii="仿宋" w:hAnsi="仿宋" w:eastAsia="仿宋" w:cs="仿宋"/>
          <w:i w:val="0"/>
          <w:iCs w:val="0"/>
          <w:caps w:val="0"/>
          <w:color w:val="000000"/>
          <w:spacing w:val="0"/>
          <w:sz w:val="32"/>
          <w:szCs w:val="32"/>
          <w:shd w:val="clear" w:color="auto" w:fill="FFFFFF"/>
          <w:lang w:eastAsia="zh-CN"/>
        </w:rPr>
        <w:t>负责教育教学管理及教研教改工作，全力推进素质教育，全面</w:t>
      </w:r>
      <w:r>
        <w:rPr>
          <w:rFonts w:hint="eastAsia" w:ascii="仿宋" w:hAnsi="仿宋" w:eastAsia="仿宋" w:cs="仿宋"/>
          <w:i w:val="0"/>
          <w:iCs w:val="0"/>
          <w:caps w:val="0"/>
          <w:color w:val="000000"/>
          <w:spacing w:val="0"/>
          <w:sz w:val="32"/>
          <w:szCs w:val="32"/>
          <w:shd w:val="clear" w:color="auto" w:fill="FFFFFF"/>
        </w:rPr>
        <w:t>提高教育质量</w:t>
      </w:r>
      <w:r>
        <w:rPr>
          <w:rFonts w:hint="eastAsia" w:ascii="仿宋" w:hAnsi="仿宋" w:eastAsia="仿宋" w:cs="仿宋"/>
          <w:i w:val="0"/>
          <w:iCs w:val="0"/>
          <w:caps w:val="0"/>
          <w:color w:val="000000"/>
          <w:spacing w:val="0"/>
          <w:sz w:val="32"/>
          <w:szCs w:val="32"/>
          <w:shd w:val="clear" w:color="auto" w:fill="FFFFFF"/>
          <w:lang w:eastAsia="zh-CN"/>
        </w:rPr>
        <w:t>。</w:t>
      </w:r>
    </w:p>
    <w:p w14:paraId="6089B3D0">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⑷ 按照干部和教师职数、编制和管理权限，负责本校教师人事管理、继续教育和考核考评等工作。</w:t>
      </w:r>
    </w:p>
    <w:p w14:paraId="0546658C">
      <w:pPr>
        <w:keepNext w:val="0"/>
        <w:keepLines w:val="0"/>
        <w:pageBreakBefore w:val="0"/>
        <w:widowControl/>
        <w:kinsoku/>
        <w:wordWrap/>
        <w:overflowPunct/>
        <w:topLinePunct w:val="0"/>
        <w:autoSpaceDE/>
        <w:autoSpaceDN/>
        <w:bidi w:val="0"/>
        <w:adjustRightInd/>
        <w:snapToGrid/>
        <w:spacing w:afterAutospacing="0" w:line="500" w:lineRule="exact"/>
        <w:ind w:firstLine="640" w:firstLineChars="200"/>
        <w:jc w:val="left"/>
        <w:textAlignment w:val="auto"/>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sz w:val="32"/>
          <w:szCs w:val="32"/>
        </w:rPr>
        <w:t>⑸ 负责本校财务和基建管理，组织制定和实施校舍和校园建设规划，正确使用各项经费，不断改善办学条件，强化安全工作管理，创造良好的育人环境。</w:t>
      </w:r>
    </w:p>
    <w:p w14:paraId="1EC3C1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rPr>
        <w:t>㈣</w:t>
      </w: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rPr>
        <w:t>绩效目标设定情况</w:t>
      </w:r>
      <w:r>
        <w:rPr>
          <w:rFonts w:hint="eastAsia" w:ascii="仿宋" w:hAnsi="仿宋" w:eastAsia="仿宋" w:cs="仿宋"/>
          <w:i w:val="0"/>
          <w:iCs w:val="0"/>
          <w:caps w:val="0"/>
          <w:color w:val="000000"/>
          <w:spacing w:val="0"/>
          <w:sz w:val="32"/>
          <w:szCs w:val="32"/>
          <w:shd w:val="clear" w:fill="FFFFFF"/>
          <w:lang w:eastAsia="zh-CN"/>
        </w:rPr>
        <w:t>：</w:t>
      </w:r>
    </w:p>
    <w:p w14:paraId="71BD45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目标1：坚持党建领航，确保党的领导贯穿办学治校，教书育人全过程各方面，推动学校高质量发展。</w:t>
      </w:r>
    </w:p>
    <w:p w14:paraId="74FD44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目标2：完成教育教学、后勤等常规工作，为学校师生办公、学习、生活提供有力保障。</w:t>
      </w:r>
    </w:p>
    <w:p w14:paraId="48C2F1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目标3：加强师资队伍建设，积极推进课程改革和高考综合改革，坚持科研兴校，大力推进教育教研，全面提高教育教学质量。</w:t>
      </w:r>
    </w:p>
    <w:p w14:paraId="569B65E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目标4：抓好学生德育工作，以养成教育为主线，实现全员全方位育人，促进学生全面发展。</w:t>
      </w:r>
    </w:p>
    <w:p w14:paraId="746A8B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目标5：完成三创、支教、综治、安全、普法等工作。</w:t>
      </w:r>
    </w:p>
    <w:p w14:paraId="4081AE50">
      <w:pPr>
        <w:keepNext w:val="0"/>
        <w:keepLines w:val="0"/>
        <w:pageBreakBefore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71ED0D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㈠</w:t>
      </w:r>
      <w:r>
        <w:rPr>
          <w:rFonts w:hint="eastAsia" w:ascii="仿宋" w:hAnsi="仿宋" w:eastAsia="仿宋" w:cs="仿宋"/>
          <w:i w:val="0"/>
          <w:iCs w:val="0"/>
          <w:caps w:val="0"/>
          <w:color w:val="auto"/>
          <w:spacing w:val="0"/>
          <w:sz w:val="32"/>
          <w:szCs w:val="32"/>
          <w:shd w:val="clear" w:fill="FFFFFF"/>
        </w:rPr>
        <w:t>预算执行、使用、管理总体情况。</w:t>
      </w:r>
    </w:p>
    <w:p w14:paraId="202CBF3D">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color w:val="auto"/>
          <w:w w:val="100"/>
          <w:sz w:val="32"/>
          <w:szCs w:val="32"/>
          <w:lang w:val="en-US" w:eastAsia="zh-CN"/>
        </w:rPr>
      </w:pPr>
      <w:r>
        <w:rPr>
          <w:rFonts w:hint="eastAsia" w:ascii="仿宋" w:hAnsi="仿宋" w:eastAsia="仿宋" w:cs="仿宋"/>
          <w:color w:val="auto"/>
          <w:w w:val="100"/>
          <w:sz w:val="32"/>
          <w:szCs w:val="32"/>
          <w:lang w:val="en-US" w:eastAsia="zh-CN"/>
        </w:rPr>
        <w:t>本部门</w:t>
      </w:r>
      <w:r>
        <w:rPr>
          <w:rFonts w:hint="eastAsia" w:ascii="仿宋" w:hAnsi="仿宋" w:eastAsia="仿宋" w:cs="仿宋"/>
          <w:color w:val="auto"/>
          <w:sz w:val="32"/>
          <w:szCs w:val="32"/>
        </w:rPr>
        <w:t>2023年年初预算收入</w:t>
      </w:r>
      <w:r>
        <w:rPr>
          <w:rFonts w:hint="eastAsia" w:ascii="仿宋" w:hAnsi="仿宋" w:eastAsia="仿宋" w:cs="仿宋"/>
          <w:color w:val="auto"/>
          <w:sz w:val="32"/>
          <w:szCs w:val="32"/>
          <w:lang w:val="en-US" w:eastAsia="zh-CN"/>
        </w:rPr>
        <w:t>6612.69</w:t>
      </w:r>
      <w:r>
        <w:rPr>
          <w:rFonts w:hint="eastAsia" w:ascii="仿宋" w:hAnsi="仿宋" w:eastAsia="仿宋" w:cs="仿宋"/>
          <w:color w:val="auto"/>
          <w:sz w:val="32"/>
          <w:szCs w:val="32"/>
        </w:rPr>
        <w:t>万元，决算收入</w:t>
      </w:r>
      <w:r>
        <w:rPr>
          <w:rFonts w:hint="eastAsia" w:ascii="仿宋" w:hAnsi="仿宋" w:eastAsia="仿宋" w:cs="仿宋"/>
          <w:color w:val="auto"/>
          <w:sz w:val="32"/>
          <w:szCs w:val="32"/>
          <w:lang w:val="en-US" w:eastAsia="zh-CN"/>
        </w:rPr>
        <w:t>6773.60</w:t>
      </w:r>
      <w:r>
        <w:rPr>
          <w:rFonts w:hint="eastAsia" w:ascii="仿宋" w:hAnsi="仿宋" w:eastAsia="仿宋" w:cs="仿宋"/>
          <w:color w:val="auto"/>
          <w:sz w:val="32"/>
          <w:szCs w:val="32"/>
        </w:rPr>
        <w:t>万元，</w:t>
      </w:r>
      <w:r>
        <w:rPr>
          <w:rFonts w:hint="eastAsia" w:ascii="仿宋" w:hAnsi="仿宋" w:eastAsia="仿宋" w:cs="仿宋"/>
          <w:color w:val="auto"/>
          <w:w w:val="100"/>
          <w:sz w:val="32"/>
          <w:szCs w:val="32"/>
          <w:lang w:val="en-US" w:eastAsia="zh-CN"/>
        </w:rPr>
        <w:t>其中：一般公共预算财政拨款收入5076.51万元；政府性基金预算财政拨款收入30万元；财政专户管理资金收入1667.09万元。</w:t>
      </w:r>
    </w:p>
    <w:p w14:paraId="52FEE545">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color w:val="auto"/>
          <w:w w:val="100"/>
          <w:sz w:val="32"/>
          <w:szCs w:val="32"/>
          <w:lang w:val="en-US" w:eastAsia="zh-CN"/>
        </w:rPr>
      </w:pPr>
      <w:r>
        <w:rPr>
          <w:rFonts w:hint="eastAsia" w:ascii="仿宋" w:hAnsi="仿宋" w:eastAsia="仿宋" w:cs="仿宋"/>
          <w:color w:val="auto"/>
          <w:w w:val="100"/>
          <w:sz w:val="32"/>
          <w:szCs w:val="32"/>
          <w:lang w:val="en-US" w:eastAsia="zh-CN"/>
        </w:rPr>
        <w:t>本部门</w:t>
      </w:r>
      <w:r>
        <w:rPr>
          <w:rFonts w:hint="eastAsia" w:ascii="仿宋" w:hAnsi="仿宋" w:eastAsia="仿宋" w:cs="仿宋"/>
          <w:color w:val="auto"/>
          <w:sz w:val="32"/>
          <w:szCs w:val="32"/>
        </w:rPr>
        <w:t>2023年年初预算支出</w:t>
      </w:r>
      <w:r>
        <w:rPr>
          <w:rFonts w:hint="eastAsia" w:ascii="仿宋" w:hAnsi="仿宋" w:eastAsia="仿宋" w:cs="仿宋"/>
          <w:color w:val="auto"/>
          <w:sz w:val="32"/>
          <w:szCs w:val="32"/>
          <w:lang w:val="en-US" w:eastAsia="zh-CN"/>
        </w:rPr>
        <w:t>6612.69</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4983.77</w:t>
      </w:r>
      <w:r>
        <w:rPr>
          <w:rFonts w:hint="eastAsia" w:ascii="仿宋" w:hAnsi="仿宋" w:eastAsia="仿宋" w:cs="仿宋"/>
          <w:color w:val="auto"/>
          <w:sz w:val="32"/>
          <w:szCs w:val="32"/>
        </w:rPr>
        <w:t>万元，项目支出</w:t>
      </w:r>
      <w:r>
        <w:rPr>
          <w:rFonts w:hint="eastAsia" w:ascii="仿宋" w:hAnsi="仿宋" w:eastAsia="仿宋" w:cs="仿宋"/>
          <w:color w:val="auto"/>
          <w:sz w:val="32"/>
          <w:szCs w:val="32"/>
          <w:lang w:val="en-US" w:eastAsia="zh-CN"/>
        </w:rPr>
        <w:t>1628.92</w:t>
      </w:r>
      <w:r>
        <w:rPr>
          <w:rFonts w:hint="eastAsia" w:ascii="仿宋" w:hAnsi="仿宋" w:eastAsia="仿宋" w:cs="仿宋"/>
          <w:color w:val="auto"/>
          <w:sz w:val="32"/>
          <w:szCs w:val="32"/>
        </w:rPr>
        <w:t>万元。决算支出</w:t>
      </w:r>
      <w:r>
        <w:rPr>
          <w:rFonts w:hint="eastAsia" w:ascii="仿宋" w:hAnsi="仿宋" w:eastAsia="仿宋" w:cs="仿宋"/>
          <w:color w:val="auto"/>
          <w:w w:val="100"/>
          <w:sz w:val="32"/>
          <w:szCs w:val="32"/>
          <w:lang w:val="en-US" w:eastAsia="zh-CN"/>
        </w:rPr>
        <w:t>6773.60</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eastAsia="zh-CN"/>
        </w:rPr>
        <w:t>6450.17</w:t>
      </w:r>
      <w:r>
        <w:rPr>
          <w:rFonts w:hint="eastAsia" w:ascii="仿宋" w:hAnsi="仿宋" w:eastAsia="仿宋" w:cs="仿宋"/>
          <w:color w:val="auto"/>
          <w:sz w:val="32"/>
          <w:szCs w:val="32"/>
        </w:rPr>
        <w:t>万元，项目支出</w:t>
      </w:r>
      <w:r>
        <w:rPr>
          <w:rFonts w:hint="eastAsia" w:ascii="仿宋" w:hAnsi="仿宋" w:eastAsia="仿宋" w:cs="仿宋"/>
          <w:color w:val="auto"/>
          <w:sz w:val="32"/>
          <w:szCs w:val="32"/>
          <w:lang w:val="en-US" w:eastAsia="zh-CN"/>
        </w:rPr>
        <w:t>323.43</w:t>
      </w:r>
      <w:r>
        <w:rPr>
          <w:rFonts w:hint="eastAsia" w:ascii="仿宋" w:hAnsi="仿宋" w:eastAsia="仿宋" w:cs="仿宋"/>
          <w:color w:val="auto"/>
          <w:sz w:val="32"/>
          <w:szCs w:val="32"/>
        </w:rPr>
        <w:t>万元。</w:t>
      </w:r>
    </w:p>
    <w:p w14:paraId="61FA45D9">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2023年,我校在市委、市政府和市教育局的正确领导下，继续坚持以习近平新时代中国特色社会主义思想为指导，全面贯彻党和国家的教育方针，落实立德树人根本任务。立足本校发展实际，深入贯彻“四家三心三同”理念，紧紧围绕“强管理、保稳定、提质量、谋发展”的学校总体工作思路，围绕“实、细、严、紧、爱”五字方针，不断强化学校管理，规范办学行为，严整师德师风，提高教育质量，圆满实现了学校上学期各项工作目标。</w:t>
      </w:r>
    </w:p>
    <w:p w14:paraId="2BBE6FFB">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color w:val="auto"/>
          <w:w w:val="100"/>
          <w:sz w:val="32"/>
          <w:szCs w:val="32"/>
        </w:rPr>
        <w:t>为加强部门预算管理和绩效管理水平，强化支出责任，严格预算约束，牢固树立节支增收的理念，提升财政资金使用效益，我</w:t>
      </w:r>
      <w:r>
        <w:rPr>
          <w:rFonts w:hint="eastAsia" w:ascii="仿宋" w:hAnsi="仿宋" w:eastAsia="仿宋" w:cs="仿宋"/>
          <w:color w:val="auto"/>
          <w:w w:val="100"/>
          <w:sz w:val="32"/>
          <w:szCs w:val="32"/>
          <w:lang w:val="en-US" w:eastAsia="zh-CN"/>
        </w:rPr>
        <w:t>校</w:t>
      </w:r>
      <w:r>
        <w:rPr>
          <w:rFonts w:hint="eastAsia" w:ascii="仿宋" w:hAnsi="仿宋" w:eastAsia="仿宋" w:cs="仿宋"/>
          <w:color w:val="auto"/>
          <w:w w:val="100"/>
          <w:sz w:val="32"/>
          <w:szCs w:val="32"/>
        </w:rPr>
        <w:t>各项支出严格按照国家财经法规</w:t>
      </w:r>
      <w:r>
        <w:rPr>
          <w:rFonts w:hint="eastAsia" w:ascii="仿宋" w:hAnsi="仿宋" w:eastAsia="仿宋" w:cs="仿宋"/>
          <w:color w:val="auto"/>
          <w:w w:val="100"/>
          <w:sz w:val="32"/>
          <w:szCs w:val="32"/>
          <w:lang w:val="en-US" w:eastAsia="zh-CN"/>
        </w:rPr>
        <w:t>等相关</w:t>
      </w:r>
      <w:r>
        <w:rPr>
          <w:rFonts w:hint="eastAsia" w:ascii="仿宋" w:hAnsi="仿宋" w:eastAsia="仿宋" w:cs="仿宋"/>
          <w:color w:val="auto"/>
          <w:w w:val="100"/>
          <w:sz w:val="32"/>
          <w:szCs w:val="32"/>
        </w:rPr>
        <w:t>规定实行统一管理，在保障机构正常运转的前提下，牢固树立“无项目，不预算”，“无项目，不支出”的理念，坚持“先审批，后开支”</w:t>
      </w:r>
      <w:r>
        <w:rPr>
          <w:rFonts w:hint="eastAsia" w:ascii="仿宋" w:hAnsi="仿宋" w:eastAsia="仿宋" w:cs="仿宋"/>
          <w:color w:val="auto"/>
          <w:w w:val="100"/>
          <w:sz w:val="32"/>
          <w:szCs w:val="32"/>
          <w:lang w:eastAsia="zh-CN"/>
        </w:rPr>
        <w:t>，</w:t>
      </w:r>
      <w:r>
        <w:rPr>
          <w:rFonts w:hint="eastAsia" w:ascii="仿宋" w:hAnsi="仿宋" w:eastAsia="仿宋" w:cs="仿宋"/>
          <w:color w:val="auto"/>
          <w:w w:val="100"/>
          <w:sz w:val="32"/>
          <w:szCs w:val="32"/>
        </w:rPr>
        <w:t>落实好经费管理和财务支出，确保支出合规合法，保障部门整体支出的规范化、制度化，防范风险，保证财政资金安全、高效运行。</w:t>
      </w:r>
    </w:p>
    <w:p w14:paraId="59A12A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fill="FFFFFF"/>
          <w:lang w:eastAsia="zh-CN"/>
        </w:rPr>
        <w:t>㈡</w:t>
      </w:r>
      <w:r>
        <w:rPr>
          <w:rFonts w:hint="eastAsia" w:ascii="仿宋" w:hAnsi="仿宋" w:eastAsia="仿宋" w:cs="仿宋"/>
          <w:i w:val="0"/>
          <w:iCs w:val="0"/>
          <w:caps w:val="0"/>
          <w:color w:val="auto"/>
          <w:spacing w:val="0"/>
          <w:sz w:val="32"/>
          <w:szCs w:val="32"/>
          <w:shd w:val="clear" w:fill="FFFFFF"/>
        </w:rPr>
        <w:t>部门预算执行情况</w:t>
      </w:r>
    </w:p>
    <w:p w14:paraId="750C5CB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⒈基本支出情况</w:t>
      </w:r>
    </w:p>
    <w:p w14:paraId="38889B1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0" w:leftChars="0" w:right="0" w:rightChars="0" w:firstLine="640" w:firstLineChars="200"/>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本部门2023年基本支出共计6450.17万元，</w:t>
      </w:r>
      <w:r>
        <w:rPr>
          <w:rFonts w:hint="eastAsia" w:ascii="仿宋" w:hAnsi="仿宋" w:eastAsia="仿宋" w:cs="仿宋"/>
          <w:color w:val="auto"/>
          <w:w w:val="100"/>
          <w:sz w:val="32"/>
          <w:szCs w:val="32"/>
          <w:lang w:val="en-US" w:eastAsia="zh-CN"/>
        </w:rPr>
        <w:t>其中</w:t>
      </w:r>
      <w:r>
        <w:rPr>
          <w:rFonts w:hint="eastAsia" w:ascii="仿宋" w:hAnsi="仿宋" w:eastAsia="仿宋" w:cs="仿宋"/>
          <w:color w:val="auto"/>
          <w:w w:val="100"/>
          <w:sz w:val="32"/>
          <w:szCs w:val="32"/>
        </w:rPr>
        <w:t>：①人员经费5722.74万元，</w:t>
      </w:r>
      <w:r>
        <w:rPr>
          <w:rFonts w:hint="eastAsia" w:ascii="仿宋" w:hAnsi="仿宋" w:eastAsia="仿宋" w:cs="仿宋"/>
          <w:color w:val="auto"/>
          <w:w w:val="100"/>
          <w:sz w:val="32"/>
          <w:szCs w:val="32"/>
          <w:lang w:val="en-US" w:eastAsia="zh-CN"/>
        </w:rPr>
        <w:t>包括</w:t>
      </w:r>
      <w:r>
        <w:rPr>
          <w:rFonts w:hint="eastAsia" w:ascii="仿宋" w:hAnsi="仿宋" w:eastAsia="仿宋" w:cs="仿宋"/>
          <w:color w:val="auto"/>
          <w:w w:val="100"/>
          <w:sz w:val="32"/>
          <w:szCs w:val="32"/>
        </w:rPr>
        <w:t>基本工资、津贴补贴、奖金823.01万元、绩效工资、机关事业单位基本养老保险缴费、职工基本医疗保险缴费、其他社会保障缴费、其他工资福利支出、对个人和家庭的其他补助。②公用经费727.43万元，</w:t>
      </w:r>
      <w:r>
        <w:rPr>
          <w:rFonts w:hint="eastAsia" w:ascii="仿宋" w:hAnsi="仿宋" w:eastAsia="仿宋" w:cs="仿宋"/>
          <w:color w:val="auto"/>
          <w:w w:val="100"/>
          <w:sz w:val="32"/>
          <w:szCs w:val="32"/>
          <w:lang w:val="en-US" w:eastAsia="zh-CN"/>
        </w:rPr>
        <w:t>包括</w:t>
      </w:r>
      <w:r>
        <w:rPr>
          <w:rFonts w:hint="eastAsia" w:ascii="仿宋" w:hAnsi="仿宋" w:eastAsia="仿宋" w:cs="仿宋"/>
          <w:color w:val="auto"/>
          <w:w w:val="100"/>
          <w:sz w:val="32"/>
          <w:szCs w:val="32"/>
        </w:rPr>
        <w:t>办公费、印刷费、水电费、邮电费、物业管理费、差旅费、维修（护）费、培训费、劳务费、工会经费、福利费、公务用车运行维护费、税金及附加费用、其他商品和服务支出</w:t>
      </w:r>
      <w:r>
        <w:rPr>
          <w:rFonts w:hint="eastAsia" w:ascii="仿宋" w:hAnsi="仿宋" w:eastAsia="仿宋" w:cs="仿宋"/>
          <w:color w:val="auto"/>
          <w:w w:val="100"/>
          <w:sz w:val="32"/>
          <w:szCs w:val="32"/>
          <w:lang w:val="en-US" w:eastAsia="zh-CN"/>
        </w:rPr>
        <w:t>及</w:t>
      </w:r>
      <w:r>
        <w:rPr>
          <w:rFonts w:hint="eastAsia" w:ascii="仿宋" w:hAnsi="仿宋" w:eastAsia="仿宋" w:cs="仿宋"/>
          <w:color w:val="auto"/>
          <w:w w:val="100"/>
          <w:sz w:val="32"/>
          <w:szCs w:val="32"/>
        </w:rPr>
        <w:t>资本性支出。</w:t>
      </w:r>
    </w:p>
    <w:p w14:paraId="484F5F9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rPr>
        <w:t>⒉项目支出情况</w:t>
      </w:r>
    </w:p>
    <w:p w14:paraId="0A5720E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0" w:leftChars="0" w:right="0" w:rightChars="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本部门2023年项目支出共计323.43万元，主要支出范围是体育馆改造、</w:t>
      </w:r>
      <w:r>
        <w:rPr>
          <w:rFonts w:hint="eastAsia" w:ascii="仿宋" w:hAnsi="仿宋" w:eastAsia="仿宋" w:cs="仿宋"/>
          <w:color w:val="auto"/>
          <w:w w:val="100"/>
          <w:sz w:val="32"/>
          <w:szCs w:val="32"/>
        </w:rPr>
        <w:t>图书馆内心理咨询室提质改造及设备添置</w:t>
      </w:r>
      <w:r>
        <w:rPr>
          <w:rFonts w:hint="eastAsia" w:ascii="仿宋" w:hAnsi="仿宋" w:eastAsia="仿宋" w:cs="仿宋"/>
          <w:color w:val="auto"/>
          <w:w w:val="100"/>
          <w:sz w:val="32"/>
          <w:szCs w:val="32"/>
          <w:lang w:val="en-US" w:eastAsia="zh-CN"/>
        </w:rPr>
        <w:t>及</w:t>
      </w:r>
      <w:r>
        <w:rPr>
          <w:rFonts w:hint="eastAsia" w:ascii="仿宋" w:hAnsi="仿宋" w:eastAsia="仿宋" w:cs="仿宋"/>
          <w:color w:val="auto"/>
          <w:w w:val="100"/>
          <w:sz w:val="32"/>
          <w:szCs w:val="32"/>
        </w:rPr>
        <w:t>市直考区智能安检门建设专项</w:t>
      </w:r>
      <w:r>
        <w:rPr>
          <w:rFonts w:hint="eastAsia" w:ascii="仿宋" w:hAnsi="仿宋" w:eastAsia="仿宋" w:cs="仿宋"/>
          <w:color w:val="auto"/>
          <w:w w:val="100"/>
          <w:sz w:val="32"/>
          <w:szCs w:val="32"/>
          <w:lang w:val="en-US" w:eastAsia="zh-CN"/>
        </w:rPr>
        <w:t>等项目支出。</w:t>
      </w:r>
    </w:p>
    <w:p w14:paraId="5FC638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㈢</w:t>
      </w:r>
      <w:r>
        <w:rPr>
          <w:rFonts w:hint="eastAsia" w:ascii="仿宋" w:hAnsi="仿宋" w:eastAsia="仿宋" w:cs="仿宋"/>
          <w:i w:val="0"/>
          <w:iCs w:val="0"/>
          <w:caps w:val="0"/>
          <w:color w:val="auto"/>
          <w:spacing w:val="0"/>
          <w:sz w:val="32"/>
          <w:szCs w:val="32"/>
          <w:shd w:val="clear" w:fill="FFFFFF"/>
        </w:rPr>
        <w:t>"三公"经费使用和管理情况</w:t>
      </w:r>
    </w:p>
    <w:p w14:paraId="63C9FEEA">
      <w:pPr>
        <w:keepNext w:val="0"/>
        <w:keepLines w:val="0"/>
        <w:pageBreakBefore w:val="0"/>
        <w:widowControl/>
        <w:shd w:val="clear" w:color="auto" w:fill="FFFFFF"/>
        <w:kinsoku/>
        <w:wordWrap/>
        <w:overflowPunct/>
        <w:topLinePunct w:val="0"/>
        <w:autoSpaceDE/>
        <w:autoSpaceDN/>
        <w:bidi w:val="0"/>
        <w:spacing w:line="500" w:lineRule="exact"/>
        <w:ind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color w:val="auto"/>
          <w:w w:val="100"/>
          <w:sz w:val="32"/>
          <w:szCs w:val="32"/>
        </w:rPr>
        <w:t>2023年部门预算“三公”经费</w:t>
      </w:r>
      <w:r>
        <w:rPr>
          <w:rFonts w:hint="eastAsia" w:ascii="仿宋" w:hAnsi="仿宋" w:eastAsia="仿宋" w:cs="仿宋"/>
          <w:color w:val="auto"/>
          <w:w w:val="100"/>
          <w:sz w:val="32"/>
          <w:szCs w:val="32"/>
          <w:lang w:val="en-US" w:eastAsia="zh-CN"/>
        </w:rPr>
        <w:t>支出预算总额1.70万元</w:t>
      </w:r>
      <w:r>
        <w:rPr>
          <w:rFonts w:hint="eastAsia" w:ascii="仿宋" w:hAnsi="仿宋" w:eastAsia="仿宋" w:cs="仿宋"/>
          <w:color w:val="auto"/>
          <w:w w:val="100"/>
          <w:sz w:val="32"/>
          <w:szCs w:val="32"/>
        </w:rPr>
        <w:t>，</w:t>
      </w:r>
      <w:r>
        <w:rPr>
          <w:rFonts w:hint="eastAsia" w:ascii="仿宋" w:hAnsi="仿宋" w:eastAsia="仿宋" w:cs="仿宋"/>
          <w:color w:val="auto"/>
          <w:w w:val="100"/>
          <w:sz w:val="32"/>
          <w:szCs w:val="32"/>
          <w:lang w:val="en-US" w:eastAsia="zh-CN"/>
        </w:rPr>
        <w:t>截止2023年末，本部门</w:t>
      </w:r>
      <w:r>
        <w:rPr>
          <w:rFonts w:hint="eastAsia" w:ascii="仿宋" w:hAnsi="仿宋" w:eastAsia="仿宋" w:cs="仿宋"/>
          <w:color w:val="auto"/>
          <w:w w:val="100"/>
          <w:sz w:val="32"/>
          <w:szCs w:val="32"/>
        </w:rPr>
        <w:t>实际支出“三公”经费</w:t>
      </w:r>
      <w:r>
        <w:rPr>
          <w:rFonts w:hint="eastAsia" w:ascii="仿宋" w:hAnsi="仿宋" w:eastAsia="仿宋" w:cs="仿宋"/>
          <w:color w:val="auto"/>
          <w:w w:val="100"/>
          <w:sz w:val="32"/>
          <w:szCs w:val="32"/>
          <w:lang w:val="en-US" w:eastAsia="zh-CN"/>
        </w:rPr>
        <w:t>1.36万元，其中：因公出国（境）费支出0万元；公务接待费支出0万元；公务用车购置费支出0万元；</w:t>
      </w:r>
      <w:r>
        <w:rPr>
          <w:rFonts w:hint="eastAsia" w:ascii="仿宋" w:hAnsi="仿宋" w:eastAsia="仿宋" w:cs="仿宋"/>
          <w:color w:val="auto"/>
          <w:w w:val="100"/>
          <w:sz w:val="32"/>
          <w:szCs w:val="32"/>
        </w:rPr>
        <w:t>公务用车运行</w:t>
      </w:r>
      <w:r>
        <w:rPr>
          <w:rFonts w:hint="eastAsia" w:ascii="仿宋" w:hAnsi="仿宋" w:eastAsia="仿宋" w:cs="仿宋"/>
          <w:color w:val="auto"/>
          <w:w w:val="100"/>
          <w:sz w:val="32"/>
          <w:szCs w:val="32"/>
          <w:lang w:val="en-US" w:eastAsia="zh-CN"/>
        </w:rPr>
        <w:t>维护</w:t>
      </w:r>
      <w:r>
        <w:rPr>
          <w:rFonts w:hint="eastAsia" w:ascii="仿宋" w:hAnsi="仿宋" w:eastAsia="仿宋" w:cs="仿宋"/>
          <w:color w:val="auto"/>
          <w:w w:val="100"/>
          <w:sz w:val="32"/>
          <w:szCs w:val="32"/>
        </w:rPr>
        <w:t>费</w:t>
      </w:r>
      <w:r>
        <w:rPr>
          <w:rFonts w:hint="eastAsia" w:ascii="仿宋" w:hAnsi="仿宋" w:eastAsia="仿宋" w:cs="仿宋"/>
          <w:color w:val="auto"/>
          <w:w w:val="100"/>
          <w:sz w:val="32"/>
          <w:szCs w:val="32"/>
          <w:lang w:val="en-US" w:eastAsia="zh-CN"/>
        </w:rPr>
        <w:t>支出</w:t>
      </w:r>
      <w:r>
        <w:rPr>
          <w:rFonts w:hint="eastAsia" w:ascii="仿宋" w:hAnsi="仿宋" w:eastAsia="仿宋" w:cs="仿宋"/>
          <w:color w:val="auto"/>
          <w:w w:val="100"/>
          <w:sz w:val="32"/>
          <w:szCs w:val="32"/>
        </w:rPr>
        <w:t>1.36万元</w:t>
      </w:r>
      <w:r>
        <w:rPr>
          <w:rFonts w:hint="eastAsia" w:ascii="仿宋" w:hAnsi="仿宋" w:eastAsia="仿宋" w:cs="仿宋"/>
          <w:color w:val="auto"/>
          <w:w w:val="100"/>
          <w:sz w:val="32"/>
          <w:szCs w:val="32"/>
          <w:lang w:eastAsia="zh-CN"/>
        </w:rPr>
        <w:t>，</w:t>
      </w:r>
      <w:r>
        <w:rPr>
          <w:rFonts w:hint="eastAsia" w:ascii="仿宋" w:hAnsi="仿宋" w:eastAsia="仿宋" w:cs="仿宋"/>
          <w:color w:val="auto"/>
          <w:w w:val="100"/>
          <w:sz w:val="32"/>
          <w:szCs w:val="32"/>
          <w:lang w:val="en-US" w:eastAsia="zh-CN"/>
        </w:rPr>
        <w:t>主要用于车辆油料费、维修费、保险费用等</w:t>
      </w:r>
      <w:r>
        <w:rPr>
          <w:rFonts w:hint="eastAsia" w:ascii="仿宋" w:hAnsi="仿宋" w:eastAsia="仿宋" w:cs="仿宋"/>
          <w:color w:val="auto"/>
          <w:w w:val="100"/>
          <w:sz w:val="32"/>
          <w:szCs w:val="32"/>
        </w:rPr>
        <w:t>。</w:t>
      </w:r>
      <w:r>
        <w:rPr>
          <w:rFonts w:hint="eastAsia" w:ascii="仿宋" w:hAnsi="仿宋" w:eastAsia="仿宋" w:cs="仿宋"/>
          <w:color w:val="auto"/>
          <w:w w:val="100"/>
          <w:sz w:val="32"/>
          <w:szCs w:val="32"/>
          <w:lang w:val="en-US" w:eastAsia="zh-CN"/>
        </w:rPr>
        <w:t>本部门严格</w:t>
      </w:r>
      <w:r>
        <w:rPr>
          <w:rFonts w:hint="eastAsia" w:ascii="仿宋" w:hAnsi="仿宋" w:eastAsia="仿宋" w:cs="仿宋"/>
          <w:color w:val="auto"/>
          <w:w w:val="100"/>
          <w:sz w:val="32"/>
          <w:szCs w:val="32"/>
        </w:rPr>
        <w:t>按照“三公”经费“只减不增”原则，从严控制“三公”经费预算。</w:t>
      </w:r>
      <w:r>
        <w:rPr>
          <w:rFonts w:hint="eastAsia" w:ascii="仿宋" w:hAnsi="仿宋" w:eastAsia="仿宋" w:cs="仿宋"/>
          <w:color w:val="auto"/>
          <w:sz w:val="32"/>
          <w:szCs w:val="32"/>
        </w:rPr>
        <w:t>对无公函的公务活动不予接待，严禁将非公务活动纳入接待范围。严格执行公务接待标准，实行接待费支出总额控制制度。</w:t>
      </w:r>
      <w:r>
        <w:rPr>
          <w:rFonts w:hint="eastAsia" w:ascii="仿宋" w:hAnsi="仿宋" w:eastAsia="仿宋" w:cs="仿宋"/>
          <w:color w:val="auto"/>
          <w:sz w:val="32"/>
          <w:szCs w:val="32"/>
          <w:lang w:val="en-US" w:eastAsia="zh-CN"/>
        </w:rPr>
        <w:t>公务用车按照学校《公务用车管理制度》管理制度，</w:t>
      </w:r>
      <w:r>
        <w:rPr>
          <w:rFonts w:hint="eastAsia" w:ascii="仿宋" w:hAnsi="仿宋" w:eastAsia="仿宋" w:cs="仿宋"/>
          <w:i w:val="0"/>
          <w:caps w:val="0"/>
          <w:color w:val="auto"/>
          <w:spacing w:val="0"/>
          <w:sz w:val="32"/>
          <w:szCs w:val="32"/>
          <w:highlight w:val="none"/>
        </w:rPr>
        <w:t>对</w:t>
      </w:r>
      <w:r>
        <w:rPr>
          <w:rFonts w:hint="eastAsia" w:ascii="仿宋" w:hAnsi="仿宋" w:eastAsia="仿宋" w:cs="仿宋"/>
          <w:i w:val="0"/>
          <w:caps w:val="0"/>
          <w:color w:val="auto"/>
          <w:spacing w:val="0"/>
          <w:sz w:val="32"/>
          <w:szCs w:val="32"/>
          <w:highlight w:val="none"/>
          <w:lang w:val="en-US" w:eastAsia="zh-CN"/>
        </w:rPr>
        <w:t>学校</w:t>
      </w:r>
      <w:r>
        <w:rPr>
          <w:rFonts w:hint="eastAsia" w:ascii="仿宋" w:hAnsi="仿宋" w:eastAsia="仿宋" w:cs="仿宋"/>
          <w:i w:val="0"/>
          <w:caps w:val="0"/>
          <w:color w:val="auto"/>
          <w:spacing w:val="0"/>
          <w:sz w:val="32"/>
          <w:szCs w:val="32"/>
          <w:highlight w:val="none"/>
        </w:rPr>
        <w:t>公务用车的使用、管理、维修保养、安全检查及司勤人员的管理都做了明确的规定。每台车辆均建立了出行记录台账，并执行派车单审批制度。</w:t>
      </w:r>
    </w:p>
    <w:p w14:paraId="30B509B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三、</w:t>
      </w:r>
      <w:r>
        <w:rPr>
          <w:rFonts w:hint="eastAsia" w:ascii="黑体" w:hAnsi="黑体" w:eastAsia="黑体" w:cs="黑体"/>
          <w:i w:val="0"/>
          <w:iCs w:val="0"/>
          <w:caps w:val="0"/>
          <w:color w:val="000000"/>
          <w:spacing w:val="0"/>
          <w:sz w:val="32"/>
          <w:szCs w:val="32"/>
          <w:shd w:val="clear" w:fill="FFFFFF"/>
        </w:rPr>
        <w:t>政府性基金预算支出情况</w:t>
      </w:r>
    </w:p>
    <w:p w14:paraId="0EB4A91E">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kern w:val="0"/>
          <w:sz w:val="32"/>
          <w:szCs w:val="32"/>
          <w:u w:val="none"/>
          <w:shd w:val="clear" w:fill="FFFFFF"/>
          <w:lang w:val="en-US" w:eastAsia="zh-CN" w:bidi="ar"/>
        </w:rPr>
        <w:t>本部门2023年政府性基金预算支出30万元，</w:t>
      </w:r>
      <w:r>
        <w:rPr>
          <w:rFonts w:hint="eastAsia" w:ascii="仿宋" w:hAnsi="仿宋" w:eastAsia="仿宋" w:cs="仿宋"/>
          <w:color w:val="000000"/>
          <w:sz w:val="32"/>
          <w:szCs w:val="32"/>
        </w:rPr>
        <w:t>项目</w:t>
      </w:r>
      <w:r>
        <w:rPr>
          <w:rFonts w:hint="eastAsia" w:ascii="仿宋" w:hAnsi="仿宋" w:eastAsia="仿宋" w:cs="仿宋"/>
          <w:color w:val="000000"/>
          <w:sz w:val="32"/>
          <w:szCs w:val="32"/>
          <w:lang w:val="en-US" w:eastAsia="zh-CN"/>
        </w:rPr>
        <w:t>为</w:t>
      </w:r>
      <w:r>
        <w:rPr>
          <w:rFonts w:hint="eastAsia" w:ascii="仿宋" w:hAnsi="仿宋" w:eastAsia="仿宋" w:cs="仿宋"/>
          <w:color w:val="000000"/>
          <w:sz w:val="32"/>
          <w:szCs w:val="32"/>
        </w:rPr>
        <w:t>心理咨询室提质改造专项，涉及范围具体包括：心理咨询室装修改造、心理咨询设备添置、心理测评管理系统软件购置等。财政拨款收入30.00万元，支出30.00万元，执行率为100%</w:t>
      </w:r>
      <w:r>
        <w:rPr>
          <w:rFonts w:hint="eastAsia" w:ascii="仿宋" w:hAnsi="仿宋" w:eastAsia="仿宋" w:cs="仿宋"/>
          <w:sz w:val="32"/>
          <w:szCs w:val="32"/>
        </w:rPr>
        <w:t>，全部为合规性支出。</w:t>
      </w:r>
    </w:p>
    <w:p w14:paraId="38A10D08">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270BAB8D">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p w14:paraId="7AFBD6AF">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2E4A4FE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p w14:paraId="5EFAF9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lang w:val="en-US" w:eastAsia="zh-CN"/>
        </w:rPr>
        <w:t>六、</w:t>
      </w:r>
      <w:r>
        <w:rPr>
          <w:rFonts w:hint="eastAsia" w:ascii="黑体" w:hAnsi="黑体" w:eastAsia="黑体" w:cs="黑体"/>
          <w:i w:val="0"/>
          <w:iCs w:val="0"/>
          <w:caps w:val="0"/>
          <w:color w:val="000000"/>
          <w:spacing w:val="0"/>
          <w:sz w:val="32"/>
          <w:szCs w:val="32"/>
          <w:shd w:val="clear" w:fill="FFFFFF"/>
        </w:rPr>
        <w:t>部门整体支出绩效情况</w:t>
      </w:r>
    </w:p>
    <w:p w14:paraId="340A27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00" w:lineRule="exact"/>
        <w:ind w:left="0" w:right="0" w:firstLine="640" w:firstLineChars="200"/>
        <w:jc w:val="both"/>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lang w:eastAsia="zh-CN"/>
        </w:rPr>
        <w:t>㈠</w:t>
      </w:r>
      <w:r>
        <w:rPr>
          <w:rFonts w:hint="eastAsia" w:ascii="仿宋" w:hAnsi="仿宋" w:eastAsia="仿宋" w:cs="仿宋"/>
          <w:b w:val="0"/>
          <w:bCs w:val="0"/>
          <w:i w:val="0"/>
          <w:iCs w:val="0"/>
          <w:caps w:val="0"/>
          <w:color w:val="000000"/>
          <w:spacing w:val="0"/>
          <w:sz w:val="32"/>
          <w:szCs w:val="32"/>
          <w:shd w:val="clear" w:fill="FFFFFF"/>
        </w:rPr>
        <w:t>综合评价结论。反映自评得分及评价等级。</w:t>
      </w:r>
    </w:p>
    <w:p w14:paraId="2E8E76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00" w:lineRule="exact"/>
        <w:ind w:left="0" w:right="0" w:firstLine="640" w:firstLineChars="200"/>
        <w:jc w:val="both"/>
        <w:textAlignment w:val="auto"/>
        <w:rPr>
          <w:rFonts w:hint="eastAsia" w:ascii="仿宋" w:hAnsi="仿宋" w:eastAsia="仿宋" w:cs="仿宋"/>
          <w:b w:val="0"/>
          <w:bCs w:val="0"/>
          <w:i w:val="0"/>
          <w:iCs w:val="0"/>
          <w:caps w:val="0"/>
          <w:color w:val="333333"/>
          <w:spacing w:val="0"/>
          <w:sz w:val="32"/>
          <w:szCs w:val="32"/>
          <w:lang w:eastAsia="zh-CN"/>
        </w:rPr>
      </w:pPr>
      <w:r>
        <w:rPr>
          <w:rFonts w:hint="eastAsia" w:ascii="仿宋" w:hAnsi="仿宋" w:eastAsia="仿宋" w:cs="仿宋"/>
          <w:b w:val="0"/>
          <w:bCs w:val="0"/>
          <w:i w:val="0"/>
          <w:iCs w:val="0"/>
          <w:caps w:val="0"/>
          <w:color w:val="333333"/>
          <w:spacing w:val="0"/>
          <w:sz w:val="32"/>
          <w:szCs w:val="32"/>
          <w:shd w:val="clear" w:fill="FFFFFF"/>
        </w:rPr>
        <w:t>从履职及履职效益情况来看，总体效果比较好。从经济性来看，各部门能够按照预算来抓好成本控制，强化勤俭办事的意识，注重节约开支，年度开支控制在财政局规定的范围内;从效率性来看，各部门对所承担的工作能够按照计划的时间把握进度，抓好质量，注重了工作的效率;从有效性来看，各专项工作的分工负责部门均能够按照制度和各自的目标来抓好落实，注重了专项资金的使用效果</w:t>
      </w:r>
      <w:r>
        <w:rPr>
          <w:rFonts w:hint="eastAsia" w:ascii="仿宋" w:hAnsi="仿宋" w:eastAsia="仿宋" w:cs="仿宋"/>
          <w:b w:val="0"/>
          <w:bCs w:val="0"/>
          <w:i w:val="0"/>
          <w:iCs w:val="0"/>
          <w:caps w:val="0"/>
          <w:color w:val="333333"/>
          <w:spacing w:val="0"/>
          <w:sz w:val="32"/>
          <w:szCs w:val="32"/>
          <w:shd w:val="clear" w:fill="FFFFFF"/>
          <w:lang w:eastAsia="zh-CN"/>
        </w:rPr>
        <w:t>。</w:t>
      </w:r>
    </w:p>
    <w:p w14:paraId="3E85E328">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i w:val="0"/>
          <w:iCs w:val="0"/>
          <w:caps w:val="0"/>
          <w:color w:val="000000"/>
          <w:spacing w:val="0"/>
          <w:sz w:val="32"/>
          <w:szCs w:val="32"/>
          <w:shd w:val="clear" w:fill="FFFFFF"/>
          <w:lang w:val="en-US" w:eastAsia="zh-CN"/>
        </w:rPr>
        <w:t>⒈坚持党建领航，确保党的领导贯穿办学治校，教书育人全过程各方面，推动学校高质量发展。</w:t>
      </w:r>
      <w:r>
        <w:rPr>
          <w:rFonts w:hint="eastAsia" w:ascii="仿宋" w:hAnsi="仿宋" w:eastAsia="仿宋" w:cs="仿宋"/>
          <w:b w:val="0"/>
          <w:bCs w:val="0"/>
          <w:color w:val="000000"/>
          <w:sz w:val="32"/>
          <w:szCs w:val="32"/>
        </w:rPr>
        <w:t>全面提升学校党建工作水平，落实基层党建工作主体责任；组织开展学习贯彻党的二十大精神系列主题活动；扎实开展主题教育，大兴调查研究；认真落实“一月一课一片一实践”主题党日活动；按计划抓好发展党员工作，抓实党员教育培训工作，稳步推动党员队伍增量提质。落实“两个责任”和“一岗双责”工作机制；按要求积极配合开展巡视巡察工作；全面推进清廉学校建设；持续整治教育领域侵害群众利益问题，扎实开展“教育乱收费”“以学谋私”“百日清查”等专项整治工作；落实中央八项规定及其实施细则要求，严防“四风”陋习反弹，重点整治“两个主义”；领导班子无违纪违规行为</w:t>
      </w:r>
      <w:r>
        <w:rPr>
          <w:rFonts w:hint="eastAsia" w:ascii="仿宋" w:hAnsi="仿宋" w:eastAsia="仿宋" w:cs="仿宋"/>
          <w:b w:val="0"/>
          <w:bCs w:val="0"/>
          <w:color w:val="000000"/>
          <w:sz w:val="32"/>
          <w:szCs w:val="32"/>
          <w:lang w:eastAsia="zh-CN"/>
        </w:rPr>
        <w:t>。</w:t>
      </w:r>
    </w:p>
    <w:p w14:paraId="62BDDCC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default"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⒉完成教育教学、后勤等常规工作，为学校师生办公、学习、生活提供有力保障。</w:t>
      </w:r>
      <w:r>
        <w:rPr>
          <w:rFonts w:hint="eastAsia" w:ascii="仿宋" w:hAnsi="仿宋" w:eastAsia="仿宋"/>
          <w:bCs/>
          <w:color w:val="000000"/>
          <w:sz w:val="32"/>
          <w:szCs w:val="32"/>
        </w:rPr>
        <w:t>学校重视教学常规管理，努力促进教学规范管理。狠抓备课、上课、作业批改、课后辅导、教学反思等环节，提高整体教学水平。学校采取年级管理团队的管理模式，想方设法调动教师与学生两个群体的积极性，全面提升管理效率与教育教学质量。以“教学常规清单式”管理模式，促教育高质量发展；以精细化管理，加大对教学过程的监管力度。制定了有关备课、作业布置、课堂纪律、教学进度、小组建设、学科教研、听课评课等规定，并列出相应落实清单。电子巡课、推门听课、作业检查、教学视导等多种督查常态化开展。常规管理具体措施、日常检查记录和结果通报台账规范有效。</w:t>
      </w:r>
      <w:r>
        <w:rPr>
          <w:rFonts w:hint="eastAsia" w:ascii="仿宋" w:hAnsi="仿宋" w:eastAsia="仿宋"/>
          <w:bCs/>
          <w:color w:val="000000"/>
          <w:sz w:val="32"/>
          <w:szCs w:val="32"/>
          <w:lang w:val="en-US" w:eastAsia="zh-CN"/>
        </w:rPr>
        <w:t>后勤保障方面：及时为教学工作提供设施设备、教学器材、办公用品；做好校园环境卫生保洁工作，杜绝校园传染病的发生和传播；</w:t>
      </w:r>
      <w:r>
        <w:rPr>
          <w:rFonts w:hint="eastAsia" w:ascii="仿宋" w:hAnsi="仿宋" w:eastAsia="仿宋" w:cs="仿宋"/>
          <w:b w:val="0"/>
          <w:bCs w:val="0"/>
          <w:color w:val="000000"/>
          <w:sz w:val="32"/>
          <w:szCs w:val="32"/>
        </w:rPr>
        <w:t>学</w:t>
      </w:r>
      <w:r>
        <w:rPr>
          <w:rFonts w:hint="eastAsia" w:ascii="仿宋" w:hAnsi="仿宋" w:eastAsia="仿宋" w:cs="仿宋"/>
          <w:b w:val="0"/>
          <w:bCs w:val="0"/>
          <w:color w:val="000000"/>
          <w:sz w:val="32"/>
          <w:szCs w:val="32"/>
          <w:lang w:val="en-US" w:eastAsia="zh-CN"/>
        </w:rPr>
        <w:t>校</w:t>
      </w:r>
      <w:r>
        <w:rPr>
          <w:rFonts w:hint="eastAsia" w:ascii="仿宋" w:hAnsi="仿宋" w:eastAsia="仿宋" w:cs="仿宋"/>
          <w:b w:val="0"/>
          <w:bCs w:val="0"/>
          <w:color w:val="000000"/>
          <w:sz w:val="32"/>
          <w:szCs w:val="32"/>
        </w:rPr>
        <w:t>食堂做到明厨亮灶，有专人负责食堂及食品安全管理，严格落实各项管理制度措施，无安全隐患，</w:t>
      </w:r>
      <w:r>
        <w:rPr>
          <w:rFonts w:hint="eastAsia" w:ascii="仿宋" w:hAnsi="仿宋" w:eastAsia="仿宋" w:cs="仿宋"/>
          <w:b w:val="0"/>
          <w:bCs w:val="0"/>
          <w:color w:val="000000"/>
          <w:sz w:val="32"/>
          <w:szCs w:val="32"/>
          <w:lang w:val="en-US" w:eastAsia="zh-CN"/>
        </w:rPr>
        <w:t>未</w:t>
      </w:r>
      <w:r>
        <w:rPr>
          <w:rFonts w:hint="eastAsia" w:ascii="仿宋" w:hAnsi="仿宋" w:eastAsia="仿宋" w:cs="仿宋"/>
          <w:b w:val="0"/>
          <w:bCs w:val="0"/>
          <w:color w:val="000000"/>
          <w:sz w:val="32"/>
          <w:szCs w:val="32"/>
        </w:rPr>
        <w:t>发生食品安全事故</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完成了</w:t>
      </w:r>
      <w:r>
        <w:rPr>
          <w:rFonts w:hint="eastAsia" w:ascii="仿宋" w:hAnsi="仿宋" w:eastAsia="仿宋" w:cs="仿宋"/>
          <w:i w:val="0"/>
          <w:iCs w:val="0"/>
          <w:caps w:val="0"/>
          <w:color w:val="auto"/>
          <w:spacing w:val="0"/>
          <w:sz w:val="32"/>
          <w:szCs w:val="32"/>
          <w:shd w:val="clear" w:fill="FFFFFF"/>
          <w:lang w:val="en-US" w:eastAsia="zh-CN"/>
        </w:rPr>
        <w:t>体育馆改造、</w:t>
      </w:r>
      <w:r>
        <w:rPr>
          <w:rFonts w:hint="eastAsia" w:ascii="仿宋" w:hAnsi="仿宋" w:eastAsia="仿宋" w:cs="仿宋"/>
          <w:color w:val="auto"/>
          <w:w w:val="100"/>
          <w:sz w:val="32"/>
          <w:szCs w:val="32"/>
        </w:rPr>
        <w:t>图书馆内心理咨询室提质改造及设备添置</w:t>
      </w:r>
      <w:r>
        <w:rPr>
          <w:rFonts w:hint="eastAsia" w:ascii="仿宋" w:hAnsi="仿宋" w:eastAsia="仿宋" w:cs="仿宋"/>
          <w:color w:val="auto"/>
          <w:w w:val="100"/>
          <w:sz w:val="32"/>
          <w:szCs w:val="32"/>
          <w:lang w:val="en-US" w:eastAsia="zh-CN"/>
        </w:rPr>
        <w:t>及</w:t>
      </w:r>
      <w:r>
        <w:rPr>
          <w:rFonts w:hint="eastAsia" w:ascii="仿宋" w:hAnsi="仿宋" w:eastAsia="仿宋" w:cs="仿宋"/>
          <w:color w:val="auto"/>
          <w:w w:val="100"/>
          <w:sz w:val="32"/>
          <w:szCs w:val="32"/>
        </w:rPr>
        <w:t>市直考区智能安检门建设专项</w:t>
      </w:r>
      <w:r>
        <w:rPr>
          <w:rFonts w:hint="eastAsia" w:ascii="仿宋" w:hAnsi="仿宋" w:eastAsia="仿宋" w:cs="仿宋"/>
          <w:color w:val="auto"/>
          <w:w w:val="100"/>
          <w:sz w:val="32"/>
          <w:szCs w:val="32"/>
          <w:lang w:val="en-US" w:eastAsia="zh-CN"/>
        </w:rPr>
        <w:t>等项目，最大限度保障学校教育教学的正常运转。</w:t>
      </w:r>
    </w:p>
    <w:p w14:paraId="2070C152">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i w:val="0"/>
          <w:iCs w:val="0"/>
          <w:caps w:val="0"/>
          <w:color w:val="000000"/>
          <w:spacing w:val="0"/>
          <w:sz w:val="32"/>
          <w:szCs w:val="32"/>
          <w:shd w:val="clear" w:fill="FFFFFF"/>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3、加强师资队伍建设，积极推进课程改革和高考综合改革，坚持科研兴校，大力推进教育教研，全面提高教育教学质量。</w:t>
      </w:r>
      <w:r>
        <w:rPr>
          <w:rFonts w:hint="eastAsia" w:ascii="仿宋" w:hAnsi="仿宋" w:eastAsia="仿宋" w:cs="仿宋"/>
          <w:b w:val="0"/>
          <w:bCs w:val="0"/>
          <w:color w:val="000000"/>
          <w:sz w:val="32"/>
          <w:szCs w:val="32"/>
        </w:rPr>
        <w:t>中小学教师培训经费安排不少于年度公用经费预算总额的5%；学校已经建立五年一周期不少于360学时的教师全员培训制度，有严格规范的学分登记机制，制定了2022年怀化三中校本研修活动方案，结合我校实际情况，积极组织教师分批次参加国、省、市远程和现场培训活动，教师参培率100%；学校成立的语文、数学、物理、德育、思政5个名师工作室运行良好，名师工作室在教育教学中正发挥着示范、引领和辐射作用；送培工作组织到位；完成年度语言文字各项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强化师德师风建设，领导机制健全，师德集中学习教育活动组织有力，严查师德失范行为，开展警示教育，树立优秀教师典型，引导广大教师敬业立学、崇德尚美，营造风清气正育人环境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坚持科研兴校。全年学校至少有一个市级及以上规划课题立项或结题；每学期每个备课组进行集体备课不少于8次；常态化课堂教学比武合格率达95%；按要求参加教科院组织的学科教研活动</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加快推进教育数字化转型工作，加快数字校园建设；做好国家智慧教育平台推广应用；开足开好信息技术课；按要求配备信息技术专职教师，按配备标准要求装备网络计算机教室；积极参加师生信息素养实践活动，提升师生信息素养，培养学生创新能力</w:t>
      </w:r>
      <w:r>
        <w:rPr>
          <w:rFonts w:hint="eastAsia" w:ascii="仿宋" w:hAnsi="仿宋" w:eastAsia="仿宋" w:cs="仿宋"/>
          <w:b w:val="0"/>
          <w:bCs w:val="0"/>
          <w:color w:val="000000"/>
          <w:sz w:val="32"/>
          <w:szCs w:val="32"/>
          <w:lang w:eastAsia="zh-CN"/>
        </w:rPr>
        <w:t>。</w:t>
      </w:r>
      <w:r>
        <w:rPr>
          <w:rFonts w:hint="eastAsia" w:ascii="仿宋" w:hAnsi="仿宋" w:eastAsia="仿宋" w:cs="仿宋"/>
          <w:sz w:val="32"/>
          <w:szCs w:val="32"/>
          <w:lang w:val="en-US" w:eastAsia="zh-CN"/>
        </w:rPr>
        <w:t>截止2023年末</w:t>
      </w:r>
      <w:r>
        <w:rPr>
          <w:rFonts w:hint="eastAsia" w:ascii="仿宋" w:hAnsi="仿宋" w:eastAsia="仿宋" w:cs="仿宋"/>
          <w:sz w:val="32"/>
          <w:szCs w:val="32"/>
        </w:rPr>
        <w:t>市级及以上教研课题申请立项</w:t>
      </w:r>
      <w:r>
        <w:rPr>
          <w:rFonts w:hint="eastAsia" w:ascii="仿宋" w:hAnsi="仿宋" w:eastAsia="仿宋" w:cs="仿宋"/>
          <w:sz w:val="32"/>
          <w:szCs w:val="32"/>
          <w:lang w:val="en-US" w:eastAsia="zh-CN"/>
        </w:rPr>
        <w:t>4</w:t>
      </w:r>
      <w:r>
        <w:rPr>
          <w:rFonts w:hint="eastAsia" w:ascii="仿宋" w:hAnsi="仿宋" w:eastAsia="仿宋" w:cs="仿宋"/>
          <w:sz w:val="32"/>
          <w:szCs w:val="32"/>
        </w:rPr>
        <w:t>个，教研项目获得市级及以上奖励</w:t>
      </w:r>
      <w:r>
        <w:rPr>
          <w:rFonts w:hint="eastAsia" w:ascii="仿宋" w:hAnsi="仿宋" w:eastAsia="仿宋" w:cs="仿宋"/>
          <w:sz w:val="32"/>
          <w:szCs w:val="32"/>
          <w:lang w:val="en-US" w:eastAsia="zh-CN"/>
        </w:rPr>
        <w:t>44</w:t>
      </w:r>
      <w:r>
        <w:rPr>
          <w:rFonts w:hint="eastAsia" w:ascii="仿宋" w:hAnsi="仿宋" w:eastAsia="仿宋" w:cs="仿宋"/>
          <w:sz w:val="32"/>
          <w:szCs w:val="32"/>
        </w:rPr>
        <w:t>项，发表教研论文</w:t>
      </w:r>
      <w:r>
        <w:rPr>
          <w:rFonts w:hint="eastAsia" w:ascii="仿宋" w:hAnsi="仿宋" w:eastAsia="仿宋" w:cs="仿宋"/>
          <w:sz w:val="32"/>
          <w:szCs w:val="32"/>
          <w:lang w:val="en-US" w:eastAsia="zh-CN"/>
        </w:rPr>
        <w:t>11</w:t>
      </w:r>
      <w:r>
        <w:rPr>
          <w:rFonts w:hint="eastAsia" w:ascii="仿宋" w:hAnsi="仿宋" w:eastAsia="仿宋" w:cs="仿宋"/>
          <w:sz w:val="32"/>
          <w:szCs w:val="32"/>
        </w:rPr>
        <w:t>篇，</w:t>
      </w:r>
      <w:r>
        <w:rPr>
          <w:rFonts w:hint="eastAsia" w:ascii="仿宋" w:hAnsi="仿宋" w:eastAsia="仿宋" w:cs="仿宋"/>
          <w:sz w:val="32"/>
          <w:szCs w:val="32"/>
          <w:lang w:val="en-US" w:eastAsia="zh-CN"/>
        </w:rPr>
        <w:t>20</w:t>
      </w:r>
      <w:r>
        <w:rPr>
          <w:rFonts w:hint="eastAsia" w:ascii="仿宋" w:hAnsi="仿宋" w:eastAsia="仿宋" w:cs="仿宋"/>
          <w:sz w:val="32"/>
          <w:szCs w:val="32"/>
        </w:rPr>
        <w:t>篇获市级及以上奖励，教学比武获市级以上奖励</w:t>
      </w:r>
      <w:r>
        <w:rPr>
          <w:rFonts w:hint="eastAsia" w:ascii="仿宋" w:hAnsi="仿宋" w:eastAsia="仿宋" w:cs="仿宋"/>
          <w:sz w:val="32"/>
          <w:szCs w:val="32"/>
          <w:lang w:val="en-US" w:eastAsia="zh-CN"/>
        </w:rPr>
        <w:t>29</w:t>
      </w:r>
      <w:r>
        <w:rPr>
          <w:rFonts w:hint="eastAsia" w:ascii="仿宋" w:hAnsi="仿宋" w:eastAsia="仿宋" w:cs="仿宋"/>
          <w:sz w:val="32"/>
          <w:szCs w:val="32"/>
        </w:rPr>
        <w:t>个，组织学生竞赛获市级以上奖励</w:t>
      </w:r>
      <w:r>
        <w:rPr>
          <w:rFonts w:hint="eastAsia" w:ascii="仿宋" w:hAnsi="仿宋" w:eastAsia="仿宋" w:cs="仿宋"/>
          <w:sz w:val="32"/>
          <w:szCs w:val="32"/>
          <w:lang w:val="en-US" w:eastAsia="zh-CN"/>
        </w:rPr>
        <w:t>54</w:t>
      </w:r>
      <w:r>
        <w:rPr>
          <w:rFonts w:hint="eastAsia" w:ascii="仿宋" w:hAnsi="仿宋" w:eastAsia="仿宋" w:cs="仿宋"/>
          <w:sz w:val="32"/>
          <w:szCs w:val="32"/>
        </w:rPr>
        <w:t>个。</w:t>
      </w:r>
    </w:p>
    <w:p w14:paraId="0BD0466C">
      <w:pPr>
        <w:keepNext w:val="0"/>
        <w:keepLines w:val="0"/>
        <w:pageBreakBefore w:val="0"/>
        <w:numPr>
          <w:ilvl w:val="0"/>
          <w:numId w:val="0"/>
        </w:numPr>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i w:val="0"/>
          <w:iCs w:val="0"/>
          <w:caps w:val="0"/>
          <w:color w:val="000000"/>
          <w:spacing w:val="0"/>
          <w:sz w:val="32"/>
          <w:szCs w:val="32"/>
          <w:shd w:val="clear" w:fill="FFFFFF"/>
          <w:lang w:val="en-US" w:eastAsia="zh-CN"/>
        </w:rPr>
        <w:t>4、抓好学生德育工作，以养成教育为主线，实现全员全方位育人，促进学生全面发展。</w:t>
      </w:r>
      <w:r>
        <w:rPr>
          <w:rFonts w:hint="eastAsia" w:ascii="仿宋" w:hAnsi="仿宋" w:eastAsia="仿宋" w:cs="仿宋"/>
          <w:b w:val="0"/>
          <w:bCs w:val="0"/>
          <w:color w:val="000000"/>
          <w:sz w:val="32"/>
          <w:szCs w:val="32"/>
        </w:rPr>
        <w:t>落实立德树人根本任务，全面加强学生理想信念教育、社会主义核心价值观教育、中华优秀传统文化教育、生态文明教育和心理健康教育</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落实《青少年法治教育大纲》，推动法治教育进课堂，并做到有计划、有教师、有教材、有课时</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深入开展青少年法治宣传周、国家宪法日暨宪法宣传周等法治宣传教育活动，推进校园法治文化建设</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开展国防教育，学校有国防教育实施方案、年度工作计划及总结，学校按要求集中开展军事训练和军事知识讲座，特色鲜明、学生国防素质良好</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按要求开齐开足开好体育美育心育课，确保学生每天在校体育锻炼1小时，学生体质健康标准达标优良率≥52%</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按要求开展科普和禁毒教育，做到有计划、有实施方案；劳动课平均每周不少于1课时，每学年开展1次劳动周活动，通过各种方式对学生参与劳动课程学习和劳动实践过程进行评价</w:t>
      </w:r>
      <w:r>
        <w:rPr>
          <w:rFonts w:hint="eastAsia" w:ascii="仿宋" w:hAnsi="仿宋" w:eastAsia="仿宋" w:cs="仿宋"/>
          <w:b w:val="0"/>
          <w:bCs w:val="0"/>
          <w:color w:val="000000"/>
          <w:sz w:val="32"/>
          <w:szCs w:val="32"/>
          <w:lang w:eastAsia="zh-CN"/>
        </w:rPr>
        <w:t>。</w:t>
      </w:r>
    </w:p>
    <w:p w14:paraId="6E3CC3DE">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i w:val="0"/>
          <w:iCs w:val="0"/>
          <w:caps w:val="0"/>
          <w:color w:val="000000"/>
          <w:spacing w:val="0"/>
          <w:sz w:val="32"/>
          <w:szCs w:val="32"/>
          <w:shd w:val="clear" w:fill="FFFFFF"/>
          <w:lang w:val="en-US" w:eastAsia="zh-CN"/>
        </w:rPr>
        <w:t>5、完成三创、支教、综治、安全、普法等工作。</w:t>
      </w:r>
      <w:r>
        <w:rPr>
          <w:rFonts w:hint="eastAsia" w:ascii="仿宋" w:hAnsi="仿宋" w:eastAsia="仿宋" w:cs="仿宋"/>
          <w:b w:val="0"/>
          <w:bCs w:val="0"/>
          <w:color w:val="000000"/>
          <w:sz w:val="32"/>
          <w:szCs w:val="32"/>
        </w:rPr>
        <w:t>按照要求落实全国文明城市创建工作、民族团结进步创建活动任务，持续抓好民族宗教、创园、创卫、创森和垃圾分类等工作，做到各项工作落实到位、台账齐全、资料规范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安全稳定工作。贯彻落实习近平总书记关于安全生产重要论述和上级安全生产工作部署，严格落实安全工作学校党政主要领导负责制，组织机构、工作机制健全，党委（总支、支部）、行政每月专题研究校园安全工作不少于1次</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抓实安全教育。每学期开学上好安全教育第一课，扎实开展好交通、消防、防溺水、防性侵、防欺凌等各类安全专题宣传教育，确保安全知识入脑入心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健全应急机制。结合学校实际制订操作性强的各类校园安全应急预案，学校每月至少开展1次应急演练；寄宿</w:t>
      </w:r>
      <w:r>
        <w:rPr>
          <w:rFonts w:hint="eastAsia" w:ascii="仿宋" w:hAnsi="仿宋" w:eastAsia="仿宋" w:cs="仿宋"/>
          <w:b w:val="0"/>
          <w:bCs w:val="0"/>
          <w:color w:val="000000"/>
          <w:sz w:val="32"/>
          <w:szCs w:val="32"/>
          <w:lang w:val="en-US" w:eastAsia="zh-CN"/>
        </w:rPr>
        <w:t>生</w:t>
      </w:r>
      <w:r>
        <w:rPr>
          <w:rFonts w:hint="eastAsia" w:ascii="仿宋" w:hAnsi="仿宋" w:eastAsia="仿宋" w:cs="仿宋"/>
          <w:b w:val="0"/>
          <w:bCs w:val="0"/>
          <w:color w:val="000000"/>
          <w:sz w:val="32"/>
          <w:szCs w:val="32"/>
        </w:rPr>
        <w:t>学校每学期要开展宿舍安全演练</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抓好专项治理工作。按要求做好教育系统扫黑除恶、校园周边环境整治、防溺水、防性侵、防欺凌、交通顽瘴痼疾、燃气等专项治理工作</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rPr>
        <w:t>落实“八五”普法规划；落实年度学法考法制度，教职员工年度普法考试参考率、合格率均达100%</w:t>
      </w:r>
    </w:p>
    <w:p w14:paraId="28E348D1">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w w:val="100"/>
          <w:sz w:val="32"/>
          <w:szCs w:val="32"/>
        </w:rPr>
        <w:t>2023年度，单位自评得分9</w:t>
      </w:r>
      <w:r>
        <w:rPr>
          <w:rFonts w:hint="eastAsia" w:ascii="仿宋" w:hAnsi="仿宋" w:eastAsia="仿宋" w:cs="仿宋"/>
          <w:b w:val="0"/>
          <w:bCs w:val="0"/>
          <w:w w:val="100"/>
          <w:sz w:val="32"/>
          <w:szCs w:val="32"/>
          <w:lang w:val="en-US" w:eastAsia="zh-CN"/>
        </w:rPr>
        <w:t>7</w:t>
      </w:r>
      <w:r>
        <w:rPr>
          <w:rFonts w:hint="eastAsia" w:ascii="仿宋" w:hAnsi="仿宋" w:eastAsia="仿宋" w:cs="仿宋"/>
          <w:b w:val="0"/>
          <w:bCs w:val="0"/>
          <w:w w:val="100"/>
          <w:sz w:val="32"/>
          <w:szCs w:val="32"/>
        </w:rPr>
        <w:t>分。</w:t>
      </w:r>
    </w:p>
    <w:p w14:paraId="691649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lang w:eastAsia="zh-CN"/>
        </w:rPr>
        <w:t>㈡</w:t>
      </w:r>
      <w:r>
        <w:rPr>
          <w:rFonts w:hint="eastAsia" w:ascii="仿宋" w:hAnsi="仿宋" w:eastAsia="仿宋" w:cs="仿宋"/>
          <w:b w:val="0"/>
          <w:bCs w:val="0"/>
          <w:i w:val="0"/>
          <w:iCs w:val="0"/>
          <w:caps w:val="0"/>
          <w:color w:val="000000"/>
          <w:spacing w:val="0"/>
          <w:sz w:val="32"/>
          <w:szCs w:val="32"/>
          <w:shd w:val="clear" w:fill="FFFFFF"/>
        </w:rPr>
        <w:t>评价指标分析（或综合评价情况）</w:t>
      </w:r>
    </w:p>
    <w:p w14:paraId="3D7F02AE">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w w:val="100"/>
          <w:sz w:val="32"/>
          <w:szCs w:val="32"/>
        </w:rPr>
      </w:pPr>
      <w:r>
        <w:rPr>
          <w:rFonts w:hint="eastAsia" w:ascii="仿宋" w:hAnsi="仿宋" w:eastAsia="仿宋" w:cs="仿宋"/>
          <w:b w:val="0"/>
          <w:bCs w:val="0"/>
          <w:w w:val="100"/>
          <w:sz w:val="32"/>
          <w:szCs w:val="32"/>
        </w:rPr>
        <w:t>过去的2023年，我校始终秉承“厚德博学、追求卓越”的校训，致力于为社会培养全面发展的优秀人才。围绕教育教学管理工作、财务管理及资源分配、师资队伍建设以及校园设施维护等。依据教育局的指导方针，我们制定了学校的发展规划，旨在提高教学质量和学生综合素质，推动教育资源均衡发展。</w:t>
      </w:r>
    </w:p>
    <w:p w14:paraId="6B071466">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w w:val="100"/>
          <w:sz w:val="32"/>
          <w:szCs w:val="32"/>
        </w:rPr>
      </w:pPr>
      <w:r>
        <w:rPr>
          <w:rFonts w:hint="eastAsia" w:ascii="仿宋" w:hAnsi="仿宋" w:eastAsia="仿宋" w:cs="仿宋"/>
          <w:b w:val="0"/>
          <w:bCs w:val="0"/>
          <w:w w:val="100"/>
          <w:sz w:val="32"/>
          <w:szCs w:val="32"/>
        </w:rPr>
        <w:t>为确保经费使用的有效性，我校在年初设定了明确的绩效目标，并对“四本预算”（公共财政预算、政府性基金预算、国有资本经营预算和社会保险基金预算）进行了详细规划。这些目标涵盖了基础设施改善、教学设备更新、教师培训以及学生学业成绩提升等方面。</w:t>
      </w:r>
    </w:p>
    <w:p w14:paraId="16C9DF35">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w w:val="100"/>
          <w:sz w:val="32"/>
          <w:szCs w:val="32"/>
        </w:rPr>
      </w:pPr>
      <w:r>
        <w:rPr>
          <w:rFonts w:hint="eastAsia" w:ascii="仿宋" w:hAnsi="仿宋" w:eastAsia="仿宋" w:cs="仿宋"/>
          <w:b w:val="0"/>
          <w:bCs w:val="0"/>
          <w:w w:val="100"/>
          <w:sz w:val="32"/>
          <w:szCs w:val="32"/>
        </w:rPr>
        <w:t>截至本报告期，学校的预算配置科学合理，各项目资金到位及时。预算执行过程中严格遵循了相关法律法规，有效控制了非必要支出，确保了重点项目的资金需求。财务部门定期进行预算执行分析，适时调整预算安排，提高了资金使用效率。</w:t>
      </w:r>
    </w:p>
    <w:p w14:paraId="674FB504">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w w:val="100"/>
          <w:sz w:val="32"/>
          <w:szCs w:val="32"/>
        </w:rPr>
      </w:pPr>
      <w:r>
        <w:rPr>
          <w:rFonts w:hint="eastAsia" w:ascii="仿宋" w:hAnsi="仿宋" w:eastAsia="仿宋" w:cs="仿宋"/>
          <w:b w:val="0"/>
          <w:bCs w:val="0"/>
          <w:w w:val="100"/>
          <w:sz w:val="32"/>
          <w:szCs w:val="32"/>
        </w:rPr>
        <w:t>学校强化了资产管理，实施了资产清查盘点制度，做到账实相符。同时，我们加强了资产的日常维护和保养，延长了其使用寿命，保证了资产的安全完整和高效利用。</w:t>
      </w:r>
    </w:p>
    <w:p w14:paraId="64D31EFE">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w w:val="100"/>
          <w:sz w:val="32"/>
          <w:szCs w:val="32"/>
        </w:rPr>
      </w:pPr>
      <w:r>
        <w:rPr>
          <w:rFonts w:hint="eastAsia" w:ascii="仿宋" w:hAnsi="仿宋" w:eastAsia="仿宋" w:cs="仿宋"/>
          <w:b w:val="0"/>
          <w:bCs w:val="0"/>
          <w:w w:val="100"/>
          <w:sz w:val="32"/>
          <w:szCs w:val="32"/>
        </w:rPr>
        <w:t>在过去的阶段中，我校依照既定计划圆满完成了各项教育教学任务。学生的学业成绩稳步提升，师资队伍通过持续的专业培训得以增强，校舍及设施得到了必要的修缮和升级。此外，我们还积极响应教育局的各项政策指令，推进素质教育和创新教育的实践。</w:t>
      </w:r>
    </w:p>
    <w:p w14:paraId="4A613413">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w w:val="100"/>
          <w:sz w:val="32"/>
          <w:szCs w:val="32"/>
        </w:rPr>
      </w:pPr>
      <w:r>
        <w:rPr>
          <w:rFonts w:hint="eastAsia" w:ascii="仿宋" w:hAnsi="仿宋" w:eastAsia="仿宋" w:cs="仿宋"/>
          <w:b w:val="0"/>
          <w:bCs w:val="0"/>
          <w:w w:val="100"/>
          <w:sz w:val="32"/>
          <w:szCs w:val="32"/>
        </w:rPr>
        <w:t>总体而言，通过全校师生的共同努力，我校成功实现了预定的教学质量和学生发展指标。此外，学校在师资队伍建设和校园文化建设方面也取得了显著成效。具体体现在以下几个方面：学生人数稳中有升，教学质量得到家长和社会的认可。教师团队素质提高，教研成果丰硕。设施设备现代化。校园环境改善，学习氛围浓厚。</w:t>
      </w:r>
    </w:p>
    <w:p w14:paraId="305A1718">
      <w:pPr>
        <w:keepNext w:val="0"/>
        <w:keepLines w:val="0"/>
        <w:pageBreakBefore w:val="0"/>
        <w:kinsoku/>
        <w:wordWrap/>
        <w:overflowPunct/>
        <w:topLinePunct w:val="0"/>
        <w:autoSpaceDE/>
        <w:autoSpaceDN/>
        <w:bidi w:val="0"/>
        <w:spacing w:line="500" w:lineRule="exact"/>
        <w:ind w:firstLine="640" w:firstLineChars="200"/>
        <w:textAlignment w:val="auto"/>
        <w:rPr>
          <w:rFonts w:hint="eastAsia" w:ascii="仿宋" w:hAnsi="仿宋" w:eastAsia="仿宋" w:cs="仿宋"/>
          <w:b w:val="0"/>
          <w:bCs w:val="0"/>
          <w:i w:val="0"/>
          <w:iCs w:val="0"/>
          <w:caps w:val="0"/>
          <w:color w:val="000000"/>
          <w:spacing w:val="0"/>
          <w:sz w:val="32"/>
          <w:szCs w:val="32"/>
          <w:shd w:val="clear" w:fill="FFFFFF"/>
        </w:rPr>
      </w:pPr>
      <w:r>
        <w:rPr>
          <w:rFonts w:hint="eastAsia" w:ascii="仿宋" w:hAnsi="仿宋" w:eastAsia="仿宋" w:cs="仿宋"/>
          <w:b w:val="0"/>
          <w:bCs w:val="0"/>
          <w:w w:val="100"/>
          <w:sz w:val="32"/>
          <w:szCs w:val="32"/>
        </w:rPr>
        <w:t>未来，我们将继续严格执行市教育局的各项指示，完善预算管理体系，强化内部控制，力争在教育资源整合和教育质量提升上取得新的突破。我校继续秉持严谨认真的态度，不断推进财务管理工作的规范化、精细化，确保每一分钱都发挥出最大的效用。</w:t>
      </w:r>
    </w:p>
    <w:p w14:paraId="1229E5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6A8901A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预算绩效评价个性指标有待进一步完善。项目绩效指标设置不够精准、细化，指标无法准确反映项目的真实产出和效益，未能全面、精确反映整体绩效水平。</w:t>
      </w:r>
    </w:p>
    <w:p w14:paraId="1139B893">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八、</w:t>
      </w:r>
      <w:r>
        <w:rPr>
          <w:rFonts w:hint="eastAsia" w:ascii="黑体" w:hAnsi="黑体" w:eastAsia="黑体" w:cs="黑体"/>
          <w:i w:val="0"/>
          <w:iCs w:val="0"/>
          <w:caps w:val="0"/>
          <w:color w:val="000000"/>
          <w:spacing w:val="0"/>
          <w:sz w:val="32"/>
          <w:szCs w:val="32"/>
          <w:shd w:val="clear" w:fill="FFFFFF"/>
        </w:rPr>
        <w:t>下一步改进措施</w:t>
      </w:r>
    </w:p>
    <w:p w14:paraId="59A5AD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rPr>
        <w:t>1、进一步完善绩效评价体系，做到绩效管理有依据、按程序、有奖惩，实现绩效管理的规范化、常态化。加强对绩效管理工作的跟踪督查，结合工作实际制定实施方案，调整工作部署和时间，进一步强化具体绩效指标的进度掌握，以严要求、高标准、明思路、促成绩的工作方式提升绩效工作水平。</w:t>
      </w:r>
    </w:p>
    <w:p w14:paraId="2297F3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rPr>
        <w:t>2、加强预算管理，按预算安排使用资金，促进预决算一体化。进一步强化日常管理，突出绩效考评作用。完善相关制度，逐步建立以绩效为导向的预算编制模式，为加大日常管理力度提供行之有效的晴雨表和风向标。</w:t>
      </w:r>
    </w:p>
    <w:p w14:paraId="7FD4AD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14:paraId="14545D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default"/>
          <w:lang w:val="en-US" w:eastAsia="zh-CN"/>
        </w:rPr>
      </w:pPr>
      <w:r>
        <w:rPr>
          <w:rFonts w:hint="eastAsia" w:ascii="仿宋" w:hAnsi="仿宋" w:eastAsia="仿宋" w:cs="仿宋"/>
          <w:i w:val="0"/>
          <w:iCs w:val="0"/>
          <w:caps w:val="0"/>
          <w:color w:val="000000"/>
          <w:spacing w:val="0"/>
          <w:sz w:val="32"/>
          <w:szCs w:val="32"/>
          <w:shd w:val="clear" w:fill="FFFFFF"/>
          <w:lang w:val="en-US" w:eastAsia="zh-CN"/>
        </w:rPr>
        <w:t>无。</w:t>
      </w:r>
    </w:p>
    <w:sectPr>
      <w:footerReference r:id="rId3" w:type="default"/>
      <w:pgSz w:w="11906" w:h="16838"/>
      <w:pgMar w:top="2098" w:right="1800"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3BB964-75D2-4753-8797-7573E5DE9A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7F2BFDAA-8555-4BD8-93DA-8FA74A334B54}"/>
  </w:font>
  <w:font w:name="仿宋_GB2312">
    <w:panose1 w:val="02010609030101010101"/>
    <w:charset w:val="86"/>
    <w:family w:val="auto"/>
    <w:pitch w:val="default"/>
    <w:sig w:usb0="00000001" w:usb1="080E0000" w:usb2="00000000" w:usb3="00000000" w:csb0="00040000" w:csb1="00000000"/>
    <w:embedRegular r:id="rId3" w:fontKey="{BED4EA17-8EEE-4C78-B529-A681A1B11201}"/>
  </w:font>
  <w:font w:name="仿宋">
    <w:panose1 w:val="02010609060101010101"/>
    <w:charset w:val="86"/>
    <w:family w:val="auto"/>
    <w:pitch w:val="default"/>
    <w:sig w:usb0="800002BF" w:usb1="38CF7CFA" w:usb2="00000016" w:usb3="00000000" w:csb0="00040001" w:csb1="00000000"/>
    <w:embedRegular r:id="rId4" w:fontKey="{9F8AE0CE-5AB0-462C-8142-55F18BE59E6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A78F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8350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B8350A">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4F226"/>
    <w:multiLevelType w:val="singleLevel"/>
    <w:tmpl w:val="91B4F22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OTJhY2U1ZmQ1YTU1YzBmN2E2YzM1MjRlM2ZhOTkifQ=="/>
    <w:docVar w:name="KSO_WPS_MARK_KEY" w:val="9920a277-c0c3-43b4-93d3-1636fe398e0b"/>
  </w:docVars>
  <w:rsids>
    <w:rsidRoot w:val="753C4E9B"/>
    <w:rsid w:val="046343BC"/>
    <w:rsid w:val="05E95AA6"/>
    <w:rsid w:val="0C180A78"/>
    <w:rsid w:val="0D104FA9"/>
    <w:rsid w:val="0D276746"/>
    <w:rsid w:val="0D464D9C"/>
    <w:rsid w:val="0DD52794"/>
    <w:rsid w:val="0E956870"/>
    <w:rsid w:val="0EDB1768"/>
    <w:rsid w:val="0F451097"/>
    <w:rsid w:val="0F7A0D2D"/>
    <w:rsid w:val="10C666A5"/>
    <w:rsid w:val="1223366A"/>
    <w:rsid w:val="143877FD"/>
    <w:rsid w:val="19E805B2"/>
    <w:rsid w:val="22B70DA5"/>
    <w:rsid w:val="22FE234B"/>
    <w:rsid w:val="277E6F02"/>
    <w:rsid w:val="29990575"/>
    <w:rsid w:val="2AF6742D"/>
    <w:rsid w:val="2D82087D"/>
    <w:rsid w:val="2E833798"/>
    <w:rsid w:val="2FCE3F70"/>
    <w:rsid w:val="30F139DA"/>
    <w:rsid w:val="312A2265"/>
    <w:rsid w:val="32476AFB"/>
    <w:rsid w:val="32FC3965"/>
    <w:rsid w:val="34F0424D"/>
    <w:rsid w:val="36FC0F5D"/>
    <w:rsid w:val="375773F8"/>
    <w:rsid w:val="37A47047"/>
    <w:rsid w:val="393E32BB"/>
    <w:rsid w:val="3F80388E"/>
    <w:rsid w:val="403643C0"/>
    <w:rsid w:val="419B2857"/>
    <w:rsid w:val="41D71DA8"/>
    <w:rsid w:val="4C6611ED"/>
    <w:rsid w:val="53257CD1"/>
    <w:rsid w:val="552A0475"/>
    <w:rsid w:val="578D10CB"/>
    <w:rsid w:val="57911D3D"/>
    <w:rsid w:val="5A5915AC"/>
    <w:rsid w:val="5AE94DD5"/>
    <w:rsid w:val="63A83BC5"/>
    <w:rsid w:val="64E51FA7"/>
    <w:rsid w:val="661C580F"/>
    <w:rsid w:val="6903341E"/>
    <w:rsid w:val="6A12486A"/>
    <w:rsid w:val="6A4919F3"/>
    <w:rsid w:val="6C4322CB"/>
    <w:rsid w:val="6D8906FF"/>
    <w:rsid w:val="753C4E9B"/>
    <w:rsid w:val="781113A7"/>
    <w:rsid w:val="784D045E"/>
    <w:rsid w:val="791E6510"/>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w:basedOn w:val="1"/>
    <w:qFormat/>
    <w:uiPriority w:val="0"/>
    <w:pPr>
      <w:jc w:val="center"/>
    </w:pPr>
    <w:rPr>
      <w:rFonts w:ascii="宋体"/>
      <w:b/>
      <w:bCs/>
      <w:sz w:val="44"/>
    </w:rPr>
  </w:style>
  <w:style w:type="paragraph" w:styleId="4">
    <w:name w:val="Body Text Indent"/>
    <w:basedOn w:val="1"/>
    <w:autoRedefine/>
    <w:unhideWhenUsed/>
    <w:qFormat/>
    <w:uiPriority w:val="0"/>
    <w:pPr>
      <w:spacing w:beforeLines="0" w:afterLines="0"/>
      <w:ind w:firstLine="640" w:firstLineChars="200"/>
    </w:pPr>
    <w:rPr>
      <w:rFonts w:hint="default"/>
      <w:sz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autoRedefine/>
    <w:unhideWhenUsed/>
    <w:qFormat/>
    <w:uiPriority w:val="99"/>
    <w:pPr>
      <w:spacing w:beforeLines="0" w:afterLines="0"/>
      <w:ind w:firstLine="420"/>
    </w:pPr>
    <w:rPr>
      <w:rFonts w:hint="default"/>
      <w:sz w:val="32"/>
    </w:r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5548</Words>
  <Characters>5724</Characters>
  <Lines>0</Lines>
  <Paragraphs>0</Paragraphs>
  <TotalTime>138</TotalTime>
  <ScaleCrop>false</ScaleCrop>
  <LinksUpToDate>false</LinksUpToDate>
  <CharactersWithSpaces>5734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Administrator</cp:lastModifiedBy>
  <cp:lastPrinted>2024-07-11T03:38:00Z</cp:lastPrinted>
  <dcterms:modified xsi:type="dcterms:W3CDTF">2024-09-24T04:50:58Z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03BF8919B2904DCB834DFE5158DA42D7_13</vt:lpwstr>
  </property>
</Properties>
</file>