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602443">
      <w:pPr>
        <w:pStyle w:val="16"/>
        <w:jc w:val="both"/>
        <w:rPr>
          <w:sz w:val="84"/>
          <w:szCs w:val="84"/>
        </w:rPr>
      </w:pPr>
    </w:p>
    <w:p w14:paraId="0715EA17">
      <w:pPr>
        <w:pStyle w:val="16"/>
        <w:jc w:val="center"/>
        <w:rPr>
          <w:rFonts w:hint="eastAsia" w:ascii="方正小标宋_GBK" w:hAnsi="方正小标宋_GBK" w:eastAsia="方正小标宋_GBK" w:cs="方正小标宋_GBK"/>
          <w:sz w:val="48"/>
          <w:szCs w:val="48"/>
        </w:rPr>
      </w:pPr>
      <w:r>
        <w:rPr>
          <w:rFonts w:hint="eastAsia" w:ascii="方正小标宋_GBK" w:hAnsi="方正小标宋_GBK" w:eastAsia="方正小标宋_GBK" w:cs="方正小标宋_GBK"/>
          <w:sz w:val="48"/>
          <w:szCs w:val="48"/>
          <w:lang w:eastAsia="zh-CN"/>
        </w:rPr>
        <w:t>2023年</w:t>
      </w:r>
      <w:r>
        <w:rPr>
          <w:rFonts w:hint="eastAsia" w:ascii="方正小标宋_GBK" w:hAnsi="方正小标宋_GBK" w:eastAsia="方正小标宋_GBK" w:cs="方正小标宋_GBK"/>
          <w:sz w:val="48"/>
          <w:szCs w:val="48"/>
        </w:rPr>
        <w:t>度</w:t>
      </w:r>
    </w:p>
    <w:p w14:paraId="2F9AF5A7">
      <w:pPr>
        <w:pStyle w:val="16"/>
        <w:jc w:val="center"/>
        <w:rPr>
          <w:rFonts w:hint="eastAsia" w:ascii="方正小标宋_GBK" w:hAnsi="方正小标宋_GBK" w:eastAsia="方正小标宋_GBK" w:cs="方正小标宋_GBK"/>
          <w:sz w:val="48"/>
          <w:szCs w:val="48"/>
        </w:rPr>
      </w:pPr>
      <w:r>
        <w:rPr>
          <w:rFonts w:hint="eastAsia" w:ascii="方正小标宋_GBK" w:hAnsi="方正小标宋_GBK" w:eastAsia="方正小标宋_GBK" w:cs="方正小标宋_GBK"/>
          <w:sz w:val="48"/>
          <w:szCs w:val="48"/>
          <w:lang w:val="en-US" w:eastAsia="zh-CN"/>
        </w:rPr>
        <w:t>怀化市第三中学</w:t>
      </w:r>
      <w:r>
        <w:rPr>
          <w:rFonts w:hint="eastAsia" w:ascii="方正小标宋_GBK" w:hAnsi="方正小标宋_GBK" w:eastAsia="方正小标宋_GBK" w:cs="方正小标宋_GBK"/>
          <w:sz w:val="48"/>
          <w:szCs w:val="48"/>
        </w:rPr>
        <w:t>部门决算</w:t>
      </w:r>
    </w:p>
    <w:p w14:paraId="27BB3AAE">
      <w:pPr>
        <w:pStyle w:val="16"/>
        <w:spacing w:line="500" w:lineRule="exact"/>
        <w:jc w:val="both"/>
        <w:rPr>
          <w:b/>
          <w:sz w:val="36"/>
          <w:szCs w:val="28"/>
        </w:rPr>
      </w:pPr>
    </w:p>
    <w:p w14:paraId="0A50217C">
      <w:pPr>
        <w:pStyle w:val="16"/>
        <w:spacing w:line="500" w:lineRule="exact"/>
        <w:jc w:val="both"/>
        <w:rPr>
          <w:b/>
          <w:sz w:val="36"/>
          <w:szCs w:val="28"/>
        </w:rPr>
      </w:pPr>
    </w:p>
    <w:p w14:paraId="18564ABD">
      <w:pPr>
        <w:pStyle w:val="16"/>
        <w:spacing w:line="500" w:lineRule="exact"/>
        <w:jc w:val="center"/>
        <w:rPr>
          <w:rFonts w:hint="eastAsia"/>
          <w:b/>
          <w:sz w:val="44"/>
          <w:szCs w:val="44"/>
        </w:rPr>
      </w:pPr>
      <w:r>
        <w:rPr>
          <w:rFonts w:hint="eastAsia"/>
          <w:b/>
          <w:sz w:val="44"/>
          <w:szCs w:val="44"/>
        </w:rPr>
        <w:t>目录</w:t>
      </w:r>
    </w:p>
    <w:p w14:paraId="576A3166">
      <w:pPr>
        <w:pStyle w:val="16"/>
        <w:spacing w:line="500" w:lineRule="exact"/>
        <w:jc w:val="center"/>
        <w:rPr>
          <w:rFonts w:hint="eastAsia"/>
          <w:b/>
          <w:sz w:val="44"/>
          <w:szCs w:val="44"/>
        </w:rPr>
      </w:pPr>
    </w:p>
    <w:p w14:paraId="33BB6E04">
      <w:pPr>
        <w:pStyle w:val="16"/>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第一部分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lang w:eastAsia="zh-CN"/>
        </w:rPr>
        <w:t>部门（</w:t>
      </w:r>
      <w:r>
        <w:rPr>
          <w:rFonts w:hint="eastAsia" w:ascii="黑体" w:hAnsi="黑体" w:eastAsia="黑体" w:cs="黑体"/>
          <w:b w:val="0"/>
          <w:bCs/>
          <w:sz w:val="28"/>
          <w:szCs w:val="28"/>
        </w:rPr>
        <w:t>单位</w:t>
      </w:r>
      <w:r>
        <w:rPr>
          <w:rFonts w:hint="eastAsia" w:ascii="黑体" w:hAnsi="黑体" w:eastAsia="黑体" w:cs="黑体"/>
          <w:b w:val="0"/>
          <w:bCs/>
          <w:sz w:val="28"/>
          <w:szCs w:val="28"/>
          <w:lang w:eastAsia="zh-CN"/>
        </w:rPr>
        <w:t>）</w:t>
      </w:r>
      <w:r>
        <w:rPr>
          <w:rFonts w:hint="eastAsia" w:ascii="黑体" w:hAnsi="黑体" w:eastAsia="黑体" w:cs="黑体"/>
          <w:b w:val="0"/>
          <w:bCs/>
          <w:sz w:val="28"/>
          <w:szCs w:val="28"/>
        </w:rPr>
        <w:t>概况</w:t>
      </w:r>
    </w:p>
    <w:p w14:paraId="7A88C314">
      <w:pPr>
        <w:pStyle w:val="16"/>
        <w:spacing w:line="5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一、部门职责</w:t>
      </w:r>
    </w:p>
    <w:p w14:paraId="758EA190">
      <w:pPr>
        <w:pStyle w:val="16"/>
        <w:spacing w:line="5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二、机构设置</w:t>
      </w:r>
    </w:p>
    <w:p w14:paraId="35A8D4CC">
      <w:pPr>
        <w:pStyle w:val="16"/>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第二部分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部门决算表</w:t>
      </w:r>
    </w:p>
    <w:p w14:paraId="552F8E06">
      <w:pPr>
        <w:pStyle w:val="16"/>
        <w:spacing w:line="5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一、收入支出决算总表</w:t>
      </w:r>
    </w:p>
    <w:p w14:paraId="67D0AE89">
      <w:pPr>
        <w:pStyle w:val="16"/>
        <w:spacing w:line="5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二、收入决算表</w:t>
      </w:r>
    </w:p>
    <w:p w14:paraId="3207103C">
      <w:pPr>
        <w:pStyle w:val="16"/>
        <w:spacing w:line="5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三、支出决算表</w:t>
      </w:r>
    </w:p>
    <w:p w14:paraId="3C0E1183">
      <w:pPr>
        <w:pStyle w:val="16"/>
        <w:spacing w:line="5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四、财政拨款收入支出决算总表</w:t>
      </w:r>
    </w:p>
    <w:p w14:paraId="7B88E8A3">
      <w:pPr>
        <w:pStyle w:val="16"/>
        <w:spacing w:line="5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五、一般公共预算财政拨款支出决算表</w:t>
      </w:r>
    </w:p>
    <w:p w14:paraId="7EC09A8B">
      <w:pPr>
        <w:pStyle w:val="16"/>
        <w:keepNext w:val="0"/>
        <w:keepLines w:val="0"/>
        <w:pageBreakBefore w:val="0"/>
        <w:widowControl w:val="0"/>
        <w:kinsoku/>
        <w:wordWrap/>
        <w:overflowPunct/>
        <w:topLinePunct w:val="0"/>
        <w:autoSpaceDE w:val="0"/>
        <w:autoSpaceDN w:val="0"/>
        <w:bidi w:val="0"/>
        <w:adjustRightInd w:val="0"/>
        <w:snapToGrid/>
        <w:spacing w:line="50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六、一般公共预算财政拨款基本支出决算明细表</w:t>
      </w:r>
    </w:p>
    <w:p w14:paraId="394C3680">
      <w:pPr>
        <w:pStyle w:val="16"/>
        <w:keepNext w:val="0"/>
        <w:keepLines w:val="0"/>
        <w:pageBreakBefore w:val="0"/>
        <w:widowControl w:val="0"/>
        <w:kinsoku/>
        <w:wordWrap/>
        <w:overflowPunct/>
        <w:topLinePunct w:val="0"/>
        <w:autoSpaceDE w:val="0"/>
        <w:autoSpaceDN w:val="0"/>
        <w:bidi w:val="0"/>
        <w:adjustRightInd w:val="0"/>
        <w:snapToGrid/>
        <w:spacing w:line="50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七、政府性基金预算财政拨款收入支出决算表</w:t>
      </w:r>
    </w:p>
    <w:p w14:paraId="7D817CA8">
      <w:pPr>
        <w:pStyle w:val="16"/>
        <w:keepNext w:val="0"/>
        <w:keepLines w:val="0"/>
        <w:pageBreakBefore w:val="0"/>
        <w:widowControl w:val="0"/>
        <w:kinsoku/>
        <w:wordWrap/>
        <w:overflowPunct/>
        <w:topLinePunct w:val="0"/>
        <w:autoSpaceDE w:val="0"/>
        <w:autoSpaceDN w:val="0"/>
        <w:bidi w:val="0"/>
        <w:adjustRightInd w:val="0"/>
        <w:snapToGrid/>
        <w:spacing w:line="50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八、国有资本经营预算财政拨款支出决算表</w:t>
      </w:r>
    </w:p>
    <w:p w14:paraId="16CD5E89">
      <w:pPr>
        <w:pStyle w:val="16"/>
        <w:keepNext w:val="0"/>
        <w:keepLines w:val="0"/>
        <w:pageBreakBefore w:val="0"/>
        <w:widowControl w:val="0"/>
        <w:kinsoku/>
        <w:wordWrap/>
        <w:overflowPunct/>
        <w:topLinePunct w:val="0"/>
        <w:autoSpaceDE w:val="0"/>
        <w:autoSpaceDN w:val="0"/>
        <w:bidi w:val="0"/>
        <w:adjustRightInd w:val="0"/>
        <w:snapToGrid/>
        <w:spacing w:line="50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九、财政拨款“三公”经费支出决算表</w:t>
      </w:r>
    </w:p>
    <w:p w14:paraId="06AB7FC8">
      <w:pPr>
        <w:pStyle w:val="16"/>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第三部分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部门决算情况说明</w:t>
      </w:r>
    </w:p>
    <w:p w14:paraId="04399611">
      <w:pPr>
        <w:pStyle w:val="16"/>
        <w:keepNext w:val="0"/>
        <w:keepLines w:val="0"/>
        <w:pageBreakBefore w:val="0"/>
        <w:widowControl w:val="0"/>
        <w:kinsoku/>
        <w:wordWrap/>
        <w:overflowPunct/>
        <w:topLinePunct w:val="0"/>
        <w:bidi w:val="0"/>
        <w:snapToGrid/>
        <w:spacing w:line="50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一、收入支出决算总体情况说明</w:t>
      </w:r>
    </w:p>
    <w:p w14:paraId="6FE2AB73">
      <w:pPr>
        <w:keepNext w:val="0"/>
        <w:keepLines w:val="0"/>
        <w:pageBreakBefore w:val="0"/>
        <w:widowControl w:val="0"/>
        <w:kinsoku/>
        <w:wordWrap/>
        <w:overflowPunct/>
        <w:topLinePunct w:val="0"/>
        <w:bidi w:val="0"/>
        <w:snapToGrid/>
        <w:spacing w:line="500" w:lineRule="exact"/>
        <w:ind w:firstLine="560" w:firstLineChars="20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二、收入决算情况说明</w:t>
      </w:r>
    </w:p>
    <w:p w14:paraId="16DB78A6">
      <w:pPr>
        <w:keepNext w:val="0"/>
        <w:keepLines w:val="0"/>
        <w:pageBreakBefore w:val="0"/>
        <w:widowControl w:val="0"/>
        <w:kinsoku/>
        <w:wordWrap/>
        <w:overflowPunct/>
        <w:topLinePunct w:val="0"/>
        <w:autoSpaceDE w:val="0"/>
        <w:autoSpaceDN w:val="0"/>
        <w:bidi w:val="0"/>
        <w:adjustRightInd w:val="0"/>
        <w:snapToGrid/>
        <w:spacing w:line="500" w:lineRule="exact"/>
        <w:ind w:firstLine="560" w:firstLineChars="200"/>
        <w:jc w:val="left"/>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三、支出决算情况说明</w:t>
      </w:r>
    </w:p>
    <w:p w14:paraId="080EDA69">
      <w:pPr>
        <w:keepNext w:val="0"/>
        <w:keepLines w:val="0"/>
        <w:pageBreakBefore w:val="0"/>
        <w:widowControl w:val="0"/>
        <w:kinsoku/>
        <w:wordWrap/>
        <w:overflowPunct/>
        <w:topLinePunct w:val="0"/>
        <w:autoSpaceDE w:val="0"/>
        <w:autoSpaceDN w:val="0"/>
        <w:bidi w:val="0"/>
        <w:adjustRightInd w:val="0"/>
        <w:snapToGrid/>
        <w:spacing w:line="500" w:lineRule="exact"/>
        <w:ind w:firstLine="560" w:firstLineChars="200"/>
        <w:jc w:val="left"/>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四、财政拨款收入支出决算总体情况说明</w:t>
      </w:r>
    </w:p>
    <w:p w14:paraId="22CCF371">
      <w:pPr>
        <w:keepNext w:val="0"/>
        <w:keepLines w:val="0"/>
        <w:pageBreakBefore w:val="0"/>
        <w:widowControl w:val="0"/>
        <w:kinsoku/>
        <w:wordWrap/>
        <w:overflowPunct/>
        <w:topLinePunct w:val="0"/>
        <w:autoSpaceDE w:val="0"/>
        <w:autoSpaceDN w:val="0"/>
        <w:bidi w:val="0"/>
        <w:adjustRightInd w:val="0"/>
        <w:snapToGrid/>
        <w:spacing w:line="500" w:lineRule="exact"/>
        <w:ind w:firstLine="560" w:firstLineChars="200"/>
        <w:jc w:val="left"/>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五、一般公共预算财政拨款支出决算情况说明</w:t>
      </w:r>
    </w:p>
    <w:p w14:paraId="73EF05B5">
      <w:pPr>
        <w:keepNext w:val="0"/>
        <w:keepLines w:val="0"/>
        <w:pageBreakBefore w:val="0"/>
        <w:widowControl w:val="0"/>
        <w:kinsoku/>
        <w:wordWrap/>
        <w:overflowPunct/>
        <w:topLinePunct w:val="0"/>
        <w:autoSpaceDE w:val="0"/>
        <w:autoSpaceDN w:val="0"/>
        <w:bidi w:val="0"/>
        <w:adjustRightInd w:val="0"/>
        <w:snapToGrid/>
        <w:spacing w:line="500" w:lineRule="exact"/>
        <w:ind w:firstLine="560" w:firstLineChars="200"/>
        <w:jc w:val="left"/>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六、一般公共预算财政拨款基本支出决算情况说明</w:t>
      </w:r>
    </w:p>
    <w:p w14:paraId="35B9B583">
      <w:pPr>
        <w:keepNext w:val="0"/>
        <w:keepLines w:val="0"/>
        <w:pageBreakBefore w:val="0"/>
        <w:widowControl w:val="0"/>
        <w:kinsoku/>
        <w:wordWrap/>
        <w:overflowPunct/>
        <w:topLinePunct w:val="0"/>
        <w:autoSpaceDE w:val="0"/>
        <w:autoSpaceDN w:val="0"/>
        <w:bidi w:val="0"/>
        <w:adjustRightInd w:val="0"/>
        <w:snapToGrid/>
        <w:spacing w:line="500" w:lineRule="exact"/>
        <w:ind w:firstLine="560" w:firstLineChars="200"/>
        <w:jc w:val="left"/>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七、财政拨款三公经费支出决算情况说明</w:t>
      </w:r>
    </w:p>
    <w:p w14:paraId="365B5A03">
      <w:pPr>
        <w:keepNext w:val="0"/>
        <w:keepLines w:val="0"/>
        <w:pageBreakBefore w:val="0"/>
        <w:widowControl w:val="0"/>
        <w:kinsoku/>
        <w:wordWrap/>
        <w:overflowPunct/>
        <w:topLinePunct w:val="0"/>
        <w:autoSpaceDE w:val="0"/>
        <w:autoSpaceDN w:val="0"/>
        <w:bidi w:val="0"/>
        <w:adjustRightInd w:val="0"/>
        <w:snapToGrid/>
        <w:spacing w:line="500" w:lineRule="exact"/>
        <w:ind w:firstLine="560" w:firstLineChars="200"/>
        <w:jc w:val="left"/>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八、政府性基金预算收入支出决算情况</w:t>
      </w:r>
    </w:p>
    <w:p w14:paraId="724074B2">
      <w:pPr>
        <w:keepNext w:val="0"/>
        <w:keepLines w:val="0"/>
        <w:pageBreakBefore w:val="0"/>
        <w:widowControl w:val="0"/>
        <w:numPr>
          <w:ilvl w:val="0"/>
          <w:numId w:val="0"/>
        </w:numPr>
        <w:kinsoku/>
        <w:wordWrap/>
        <w:overflowPunct/>
        <w:topLinePunct w:val="0"/>
        <w:autoSpaceDE w:val="0"/>
        <w:autoSpaceDN w:val="0"/>
        <w:bidi w:val="0"/>
        <w:adjustRightInd w:val="0"/>
        <w:snapToGrid/>
        <w:spacing w:line="500" w:lineRule="exact"/>
        <w:ind w:firstLine="560" w:firstLineChars="200"/>
        <w:jc w:val="left"/>
        <w:textAlignment w:val="auto"/>
        <w:rPr>
          <w:rFonts w:hint="default" w:ascii="仿宋_GB2312" w:hAnsi="仿宋_GB2312" w:eastAsia="仿宋_GB2312" w:cs="仿宋_GB2312"/>
          <w:color w:val="000000"/>
          <w:kern w:val="0"/>
          <w:sz w:val="32"/>
          <w:szCs w:val="32"/>
          <w:lang w:val="en-US"/>
        </w:rPr>
      </w:pPr>
      <w:r>
        <w:rPr>
          <w:rFonts w:hint="eastAsia" w:ascii="仿宋_GB2312" w:hAnsi="仿宋_GB2312" w:eastAsia="仿宋_GB2312" w:cs="仿宋_GB2312"/>
          <w:color w:val="000000"/>
          <w:kern w:val="0"/>
          <w:sz w:val="28"/>
          <w:szCs w:val="28"/>
        </w:rPr>
        <w:t>九、</w:t>
      </w:r>
      <w:r>
        <w:rPr>
          <w:rFonts w:hint="eastAsia" w:ascii="仿宋_GB2312" w:hAnsi="仿宋_GB2312" w:eastAsia="仿宋_GB2312" w:cs="仿宋_GB2312"/>
          <w:color w:val="000000"/>
          <w:kern w:val="0"/>
          <w:sz w:val="32"/>
          <w:szCs w:val="32"/>
          <w:lang w:val="en-US" w:eastAsia="zh-CN"/>
        </w:rPr>
        <w:t>国有资本经营预算</w:t>
      </w:r>
      <w:r>
        <w:rPr>
          <w:rFonts w:hint="eastAsia" w:ascii="仿宋_GB2312" w:hAnsi="仿宋_GB2312" w:eastAsia="仿宋_GB2312" w:cs="仿宋_GB2312"/>
          <w:sz w:val="32"/>
          <w:szCs w:val="32"/>
        </w:rPr>
        <w:t>财政拨款</w:t>
      </w:r>
      <w:r>
        <w:rPr>
          <w:rFonts w:hint="eastAsia" w:ascii="仿宋_GB2312" w:hAnsi="仿宋_GB2312" w:eastAsia="仿宋_GB2312" w:cs="仿宋_GB2312"/>
          <w:color w:val="000000"/>
          <w:kern w:val="0"/>
          <w:sz w:val="32"/>
          <w:szCs w:val="32"/>
          <w:lang w:val="en-US" w:eastAsia="zh-CN"/>
        </w:rPr>
        <w:t>收入支出决算情况说明</w:t>
      </w:r>
    </w:p>
    <w:p w14:paraId="0059FEFC">
      <w:pPr>
        <w:keepNext w:val="0"/>
        <w:keepLines w:val="0"/>
        <w:pageBreakBefore w:val="0"/>
        <w:widowControl w:val="0"/>
        <w:kinsoku/>
        <w:wordWrap/>
        <w:overflowPunct/>
        <w:topLinePunct w:val="0"/>
        <w:autoSpaceDE w:val="0"/>
        <w:autoSpaceDN w:val="0"/>
        <w:bidi w:val="0"/>
        <w:adjustRightInd w:val="0"/>
        <w:snapToGrid/>
        <w:spacing w:line="500" w:lineRule="exact"/>
        <w:ind w:firstLine="560" w:firstLineChars="200"/>
        <w:jc w:val="left"/>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lang w:val="en-US" w:eastAsia="zh-CN"/>
        </w:rPr>
        <w:t>十、</w:t>
      </w:r>
      <w:r>
        <w:rPr>
          <w:rFonts w:hint="eastAsia" w:ascii="仿宋_GB2312" w:hAnsi="仿宋_GB2312" w:eastAsia="仿宋_GB2312" w:cs="仿宋_GB2312"/>
          <w:color w:val="000000"/>
          <w:kern w:val="0"/>
          <w:sz w:val="28"/>
          <w:szCs w:val="28"/>
        </w:rPr>
        <w:t>关于机关运行经费支出说明</w:t>
      </w:r>
    </w:p>
    <w:p w14:paraId="0EC3C6F9">
      <w:pPr>
        <w:keepNext w:val="0"/>
        <w:keepLines w:val="0"/>
        <w:pageBreakBefore w:val="0"/>
        <w:widowControl w:val="0"/>
        <w:kinsoku/>
        <w:wordWrap/>
        <w:overflowPunct/>
        <w:topLinePunct w:val="0"/>
        <w:autoSpaceDE w:val="0"/>
        <w:autoSpaceDN w:val="0"/>
        <w:bidi w:val="0"/>
        <w:adjustRightInd w:val="0"/>
        <w:snapToGrid/>
        <w:spacing w:line="500" w:lineRule="exact"/>
        <w:ind w:firstLine="560" w:firstLineChars="200"/>
        <w:jc w:val="left"/>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w:t>
      </w:r>
      <w:r>
        <w:rPr>
          <w:rFonts w:hint="eastAsia" w:ascii="仿宋_GB2312" w:hAnsi="仿宋_GB2312" w:eastAsia="仿宋_GB2312" w:cs="仿宋_GB2312"/>
          <w:color w:val="000000"/>
          <w:kern w:val="0"/>
          <w:sz w:val="28"/>
          <w:szCs w:val="28"/>
          <w:lang w:val="en-US" w:eastAsia="zh-CN"/>
        </w:rPr>
        <w:t>一</w:t>
      </w:r>
      <w:r>
        <w:rPr>
          <w:rFonts w:hint="eastAsia" w:ascii="仿宋_GB2312" w:hAnsi="仿宋_GB2312" w:eastAsia="仿宋_GB2312" w:cs="仿宋_GB2312"/>
          <w:color w:val="000000"/>
          <w:kern w:val="0"/>
          <w:sz w:val="28"/>
          <w:szCs w:val="28"/>
        </w:rPr>
        <w:t>、一般性支出情况说明</w:t>
      </w:r>
    </w:p>
    <w:p w14:paraId="6C2308F3">
      <w:pPr>
        <w:keepNext w:val="0"/>
        <w:keepLines w:val="0"/>
        <w:pageBreakBefore w:val="0"/>
        <w:widowControl w:val="0"/>
        <w:kinsoku/>
        <w:wordWrap/>
        <w:overflowPunct/>
        <w:topLinePunct w:val="0"/>
        <w:autoSpaceDE w:val="0"/>
        <w:autoSpaceDN w:val="0"/>
        <w:bidi w:val="0"/>
        <w:adjustRightInd w:val="0"/>
        <w:snapToGrid/>
        <w:spacing w:line="500" w:lineRule="exact"/>
        <w:ind w:firstLine="560" w:firstLineChars="200"/>
        <w:jc w:val="left"/>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w:t>
      </w:r>
      <w:r>
        <w:rPr>
          <w:rFonts w:hint="eastAsia" w:ascii="仿宋_GB2312" w:hAnsi="仿宋_GB2312" w:eastAsia="仿宋_GB2312" w:cs="仿宋_GB2312"/>
          <w:color w:val="000000"/>
          <w:kern w:val="0"/>
          <w:sz w:val="28"/>
          <w:szCs w:val="28"/>
          <w:lang w:val="en-US" w:eastAsia="zh-CN"/>
        </w:rPr>
        <w:t>二</w:t>
      </w:r>
      <w:r>
        <w:rPr>
          <w:rFonts w:hint="eastAsia" w:ascii="仿宋_GB2312" w:hAnsi="仿宋_GB2312" w:eastAsia="仿宋_GB2312" w:cs="仿宋_GB2312"/>
          <w:color w:val="000000"/>
          <w:kern w:val="0"/>
          <w:sz w:val="28"/>
          <w:szCs w:val="28"/>
        </w:rPr>
        <w:t>、关于政府采购支出说明</w:t>
      </w:r>
    </w:p>
    <w:p w14:paraId="0AF89F1A">
      <w:pPr>
        <w:pStyle w:val="16"/>
        <w:keepNext w:val="0"/>
        <w:keepLines w:val="0"/>
        <w:pageBreakBefore w:val="0"/>
        <w:widowControl w:val="0"/>
        <w:kinsoku/>
        <w:wordWrap/>
        <w:overflowPunct/>
        <w:topLinePunct w:val="0"/>
        <w:bidi w:val="0"/>
        <w:snapToGrid/>
        <w:spacing w:line="50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w:t>
      </w:r>
      <w:r>
        <w:rPr>
          <w:rFonts w:hint="eastAsia" w:ascii="仿宋_GB2312" w:hAnsi="仿宋_GB2312" w:eastAsia="仿宋_GB2312" w:cs="仿宋_GB2312"/>
          <w:sz w:val="28"/>
          <w:szCs w:val="28"/>
          <w:lang w:val="en-US" w:eastAsia="zh-CN"/>
        </w:rPr>
        <w:t>三</w:t>
      </w:r>
      <w:r>
        <w:rPr>
          <w:rFonts w:hint="eastAsia" w:ascii="仿宋_GB2312" w:hAnsi="仿宋_GB2312" w:eastAsia="仿宋_GB2312" w:cs="仿宋_GB2312"/>
          <w:sz w:val="28"/>
          <w:szCs w:val="28"/>
        </w:rPr>
        <w:t>、关于国有资产占用情况说明</w:t>
      </w:r>
    </w:p>
    <w:p w14:paraId="06C51C8A">
      <w:pPr>
        <w:pStyle w:val="16"/>
        <w:keepNext w:val="0"/>
        <w:keepLines w:val="0"/>
        <w:pageBreakBefore w:val="0"/>
        <w:widowControl w:val="0"/>
        <w:kinsoku/>
        <w:wordWrap/>
        <w:overflowPunct/>
        <w:topLinePunct w:val="0"/>
        <w:bidi w:val="0"/>
        <w:snapToGrid/>
        <w:spacing w:line="50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w:t>
      </w:r>
      <w:r>
        <w:rPr>
          <w:rFonts w:hint="eastAsia" w:ascii="仿宋_GB2312" w:hAnsi="仿宋_GB2312" w:eastAsia="仿宋_GB2312" w:cs="仿宋_GB2312"/>
          <w:sz w:val="28"/>
          <w:szCs w:val="28"/>
          <w:lang w:val="en-US" w:eastAsia="zh-CN"/>
        </w:rPr>
        <w:t>四</w:t>
      </w:r>
      <w:r>
        <w:rPr>
          <w:rFonts w:hint="eastAsia" w:ascii="仿宋_GB2312" w:hAnsi="仿宋_GB2312" w:eastAsia="仿宋_GB2312" w:cs="仿宋_GB2312"/>
          <w:sz w:val="28"/>
          <w:szCs w:val="28"/>
        </w:rPr>
        <w:t>、关于</w:t>
      </w:r>
      <w:r>
        <w:rPr>
          <w:rFonts w:hint="default" w:ascii="Times New Roman" w:hAnsi="Times New Roman" w:eastAsia="仿宋_GB2312" w:cs="Times New Roman"/>
          <w:sz w:val="28"/>
          <w:szCs w:val="28"/>
        </w:rPr>
        <w:t>202</w:t>
      </w:r>
      <w:r>
        <w:rPr>
          <w:rFonts w:hint="default" w:ascii="Times New Roman" w:hAnsi="Times New Roman" w:eastAsia="仿宋_GB2312" w:cs="Times New Roman"/>
          <w:sz w:val="28"/>
          <w:szCs w:val="28"/>
          <w:lang w:val="en-US" w:eastAsia="zh-CN"/>
        </w:rPr>
        <w:t>3</w:t>
      </w:r>
      <w:r>
        <w:rPr>
          <w:rFonts w:hint="eastAsia" w:ascii="仿宋_GB2312" w:hAnsi="仿宋_GB2312" w:eastAsia="仿宋_GB2312" w:cs="仿宋_GB2312"/>
          <w:sz w:val="28"/>
          <w:szCs w:val="28"/>
        </w:rPr>
        <w:t>年度</w:t>
      </w:r>
      <w:r>
        <w:rPr>
          <w:rFonts w:hint="eastAsia" w:ascii="仿宋_GB2312" w:hAnsi="仿宋_GB2312" w:eastAsia="仿宋_GB2312" w:cs="仿宋_GB2312"/>
          <w:sz w:val="28"/>
          <w:szCs w:val="28"/>
          <w:lang w:eastAsia="zh-CN"/>
        </w:rPr>
        <w:t>预算</w:t>
      </w:r>
      <w:r>
        <w:rPr>
          <w:rFonts w:hint="eastAsia" w:ascii="仿宋_GB2312" w:hAnsi="仿宋_GB2312" w:eastAsia="仿宋_GB2312" w:cs="仿宋_GB2312"/>
          <w:sz w:val="28"/>
          <w:szCs w:val="28"/>
        </w:rPr>
        <w:t>绩效情况的说明</w:t>
      </w:r>
    </w:p>
    <w:p w14:paraId="734F2835">
      <w:pPr>
        <w:pStyle w:val="16"/>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第四部分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名词解释</w:t>
      </w:r>
    </w:p>
    <w:p w14:paraId="64F00FEF">
      <w:pPr>
        <w:pStyle w:val="16"/>
        <w:spacing w:line="500" w:lineRule="exact"/>
        <w:rPr>
          <w:rFonts w:hint="eastAsia" w:ascii="黑体" w:hAnsi="黑体" w:eastAsia="黑体" w:cs="黑体"/>
          <w:b w:val="0"/>
          <w:bCs/>
          <w:sz w:val="28"/>
          <w:szCs w:val="28"/>
          <w:lang w:eastAsia="zh-CN"/>
        </w:rPr>
      </w:pPr>
      <w:r>
        <w:rPr>
          <w:rFonts w:hint="eastAsia" w:ascii="黑体" w:hAnsi="黑体" w:eastAsia="黑体" w:cs="黑体"/>
          <w:b w:val="0"/>
          <w:bCs/>
          <w:sz w:val="28"/>
          <w:szCs w:val="28"/>
        </w:rPr>
        <w:t>第</w:t>
      </w:r>
      <w:r>
        <w:rPr>
          <w:rFonts w:hint="eastAsia" w:hAnsi="黑体" w:cs="黑体"/>
          <w:b w:val="0"/>
          <w:bCs/>
          <w:sz w:val="28"/>
          <w:szCs w:val="28"/>
          <w:lang w:eastAsia="zh-CN"/>
        </w:rPr>
        <w:t>五</w:t>
      </w:r>
      <w:r>
        <w:rPr>
          <w:rFonts w:hint="eastAsia" w:ascii="黑体" w:hAnsi="黑体" w:eastAsia="黑体" w:cs="黑体"/>
          <w:b w:val="0"/>
          <w:bCs/>
          <w:sz w:val="28"/>
          <w:szCs w:val="28"/>
        </w:rPr>
        <w:t>部分</w:t>
      </w:r>
      <w:r>
        <w:rPr>
          <w:rFonts w:hint="eastAsia" w:ascii="黑体" w:hAnsi="黑体" w:eastAsia="黑体" w:cs="黑体"/>
          <w:b w:val="0"/>
          <w:bCs/>
          <w:sz w:val="28"/>
          <w:szCs w:val="28"/>
          <w:lang w:val="en-US" w:eastAsia="zh-CN"/>
        </w:rPr>
        <w:t xml:space="preserve"> </w:t>
      </w:r>
      <w:r>
        <w:rPr>
          <w:rFonts w:hint="eastAsia" w:hAnsi="黑体" w:cs="黑体"/>
          <w:b w:val="0"/>
          <w:bCs/>
          <w:sz w:val="28"/>
          <w:szCs w:val="28"/>
          <w:lang w:eastAsia="zh-CN"/>
        </w:rPr>
        <w:t>附件</w:t>
      </w:r>
    </w:p>
    <w:p w14:paraId="7036A2D0">
      <w:pPr>
        <w:rPr>
          <w:rFonts w:hint="eastAsia" w:ascii="方正小标宋_GBK" w:hAnsi="方正小标宋_GBK" w:eastAsia="方正小标宋_GBK" w:cs="方正小标宋_GBK"/>
          <w:sz w:val="72"/>
          <w:szCs w:val="72"/>
        </w:rPr>
      </w:pPr>
    </w:p>
    <w:p w14:paraId="5DE39239">
      <w:pPr>
        <w:pStyle w:val="16"/>
        <w:jc w:val="center"/>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 xml:space="preserve">第一部分 </w:t>
      </w:r>
      <w:r>
        <w:rPr>
          <w:rFonts w:hint="eastAsia" w:ascii="方正小标宋_GBK" w:hAnsi="方正小标宋_GBK" w:eastAsia="方正小标宋_GBK" w:cs="方正小标宋_GBK"/>
          <w:sz w:val="44"/>
          <w:szCs w:val="44"/>
          <w:lang w:val="en-US" w:eastAsia="zh-CN"/>
        </w:rPr>
        <w:t>部门</w:t>
      </w:r>
      <w:r>
        <w:rPr>
          <w:rFonts w:hint="eastAsia" w:ascii="方正小标宋_GBK" w:hAnsi="方正小标宋_GBK" w:eastAsia="方正小标宋_GBK" w:cs="方正小标宋_GBK"/>
          <w:sz w:val="44"/>
          <w:szCs w:val="44"/>
        </w:rPr>
        <w:t>概况</w:t>
      </w:r>
    </w:p>
    <w:p w14:paraId="1106C5D6">
      <w:pPr>
        <w:jc w:val="both"/>
        <w:rPr>
          <w:sz w:val="72"/>
          <w:szCs w:val="72"/>
        </w:rPr>
      </w:pPr>
    </w:p>
    <w:p w14:paraId="5A9D4EF2">
      <w:pPr>
        <w:pStyle w:val="17"/>
        <w:numPr>
          <w:ilvl w:val="0"/>
          <w:numId w:val="0"/>
        </w:numPr>
        <w:ind w:leftChars="0" w:firstLine="640" w:firstLineChars="200"/>
        <w:jc w:val="left"/>
        <w:rPr>
          <w:rFonts w:hint="eastAsia" w:ascii="黑体" w:hAnsi="黑体" w:eastAsia="黑体" w:cs="黑体"/>
          <w:b w:val="0"/>
          <w:bCs w:val="0"/>
          <w:sz w:val="32"/>
          <w:szCs w:val="32"/>
        </w:rPr>
      </w:pPr>
      <w:r>
        <w:rPr>
          <w:rFonts w:hint="eastAsia" w:ascii="黑体" w:hAnsi="黑体" w:eastAsia="黑体" w:cs="黑体"/>
          <w:b w:val="0"/>
          <w:bCs w:val="0"/>
          <w:sz w:val="32"/>
          <w:szCs w:val="32"/>
          <w:lang w:val="en-US" w:eastAsia="zh-CN"/>
        </w:rPr>
        <w:t>一、</w:t>
      </w:r>
      <w:r>
        <w:rPr>
          <w:rFonts w:hint="eastAsia" w:ascii="黑体" w:hAnsi="黑体" w:eastAsia="黑体" w:cs="黑体"/>
          <w:b w:val="0"/>
          <w:bCs w:val="0"/>
          <w:sz w:val="32"/>
          <w:szCs w:val="32"/>
        </w:rPr>
        <w:t>部门职责</w:t>
      </w:r>
    </w:p>
    <w:p w14:paraId="657C5CF0">
      <w:pPr>
        <w:pStyle w:val="16"/>
        <w:bidi w:val="0"/>
        <w:ind w:firstLine="640" w:firstLineChars="200"/>
        <w:rPr>
          <w:rFonts w:hint="eastAsia" w:ascii="仿宋" w:hAnsi="仿宋" w:eastAsia="仿宋" w:cs="仿宋"/>
          <w:sz w:val="32"/>
          <w:szCs w:val="32"/>
        </w:rPr>
      </w:pPr>
      <w:r>
        <w:rPr>
          <w:rFonts w:hint="eastAsia" w:ascii="仿宋" w:hAnsi="仿宋" w:eastAsia="仿宋" w:cs="仿宋"/>
          <w:sz w:val="32"/>
          <w:szCs w:val="32"/>
        </w:rPr>
        <w:t>㈠ 宣传贯彻执行党和国家教育方针、政策和法律法规，</w:t>
      </w:r>
      <w:r>
        <w:rPr>
          <w:rFonts w:hint="eastAsia" w:ascii="仿宋" w:hAnsi="仿宋" w:eastAsia="仿宋" w:cs="仿宋"/>
          <w:sz w:val="32"/>
          <w:szCs w:val="32"/>
          <w:lang w:eastAsia="zh-CN"/>
        </w:rPr>
        <w:t>配合</w:t>
      </w:r>
      <w:r>
        <w:rPr>
          <w:rFonts w:hint="eastAsia" w:ascii="仿宋" w:hAnsi="仿宋" w:eastAsia="仿宋" w:cs="仿宋"/>
          <w:sz w:val="32"/>
          <w:szCs w:val="32"/>
        </w:rPr>
        <w:t>省市有关教育工作的部署和</w:t>
      </w:r>
      <w:r>
        <w:rPr>
          <w:rFonts w:hint="eastAsia" w:ascii="仿宋" w:hAnsi="仿宋" w:eastAsia="仿宋" w:cs="仿宋"/>
          <w:sz w:val="32"/>
          <w:szCs w:val="32"/>
          <w:lang w:eastAsia="zh-CN"/>
        </w:rPr>
        <w:t>规划，</w:t>
      </w:r>
      <w:r>
        <w:rPr>
          <w:rFonts w:hint="eastAsia" w:ascii="仿宋" w:hAnsi="仿宋" w:eastAsia="仿宋" w:cs="仿宋"/>
          <w:sz w:val="32"/>
          <w:szCs w:val="32"/>
        </w:rPr>
        <w:t>坚持依法治教、依法治学。</w:t>
      </w:r>
    </w:p>
    <w:p w14:paraId="00311482">
      <w:pPr>
        <w:pStyle w:val="16"/>
        <w:bidi w:val="0"/>
        <w:ind w:firstLine="640" w:firstLineChars="200"/>
        <w:rPr>
          <w:rFonts w:hint="eastAsia" w:ascii="仿宋" w:hAnsi="仿宋" w:eastAsia="仿宋" w:cs="仿宋"/>
          <w:sz w:val="32"/>
          <w:szCs w:val="32"/>
          <w:lang w:eastAsia="zh-CN"/>
        </w:rPr>
      </w:pPr>
      <w:r>
        <w:rPr>
          <w:rFonts w:hint="eastAsia" w:ascii="仿宋" w:hAnsi="仿宋" w:eastAsia="仿宋" w:cs="仿宋"/>
          <w:sz w:val="32"/>
          <w:szCs w:val="32"/>
        </w:rPr>
        <w:t xml:space="preserve">㈡ </w:t>
      </w:r>
      <w:r>
        <w:rPr>
          <w:rFonts w:hint="eastAsia" w:ascii="仿宋" w:hAnsi="仿宋" w:eastAsia="仿宋" w:cs="仿宋"/>
          <w:sz w:val="32"/>
          <w:szCs w:val="32"/>
          <w:lang w:eastAsia="zh-CN"/>
        </w:rPr>
        <w:t>以学生的发展为本，为学生的终身发展服务。</w:t>
      </w:r>
      <w:r>
        <w:rPr>
          <w:rFonts w:hint="eastAsia" w:ascii="仿宋" w:hAnsi="仿宋" w:eastAsia="仿宋" w:cs="仿宋"/>
          <w:sz w:val="32"/>
          <w:szCs w:val="32"/>
        </w:rPr>
        <w:t>坚持教书育人，服务育人，环境育人方针，</w:t>
      </w:r>
      <w:r>
        <w:rPr>
          <w:rFonts w:hint="eastAsia" w:ascii="仿宋" w:hAnsi="仿宋" w:eastAsia="仿宋" w:cs="仿宋"/>
          <w:sz w:val="32"/>
          <w:szCs w:val="32"/>
          <w:lang w:eastAsia="zh-CN"/>
        </w:rPr>
        <w:t>培养学生厚德、博学、诚信、和谐、创新理念，促进</w:t>
      </w:r>
      <w:r>
        <w:rPr>
          <w:rFonts w:hint="eastAsia" w:ascii="仿宋" w:hAnsi="仿宋" w:eastAsia="仿宋" w:cs="仿宋"/>
          <w:sz w:val="32"/>
          <w:szCs w:val="32"/>
        </w:rPr>
        <w:t>学生的全面发展</w:t>
      </w:r>
      <w:r>
        <w:rPr>
          <w:rFonts w:hint="eastAsia" w:ascii="仿宋" w:hAnsi="仿宋" w:eastAsia="仿宋" w:cs="仿宋"/>
          <w:sz w:val="32"/>
          <w:szCs w:val="32"/>
          <w:lang w:eastAsia="zh-CN"/>
        </w:rPr>
        <w:t>。</w:t>
      </w:r>
    </w:p>
    <w:p w14:paraId="13DFE823">
      <w:pPr>
        <w:pStyle w:val="16"/>
        <w:bidi w:val="0"/>
        <w:ind w:firstLine="640" w:firstLineChars="200"/>
        <w:rPr>
          <w:rFonts w:hint="eastAsia" w:ascii="仿宋" w:hAnsi="仿宋" w:eastAsia="仿宋" w:cs="仿宋"/>
          <w:sz w:val="32"/>
          <w:szCs w:val="32"/>
          <w:lang w:eastAsia="zh-CN"/>
        </w:rPr>
      </w:pPr>
      <w:r>
        <w:rPr>
          <w:rFonts w:hint="eastAsia" w:ascii="仿宋" w:hAnsi="仿宋" w:eastAsia="仿宋" w:cs="仿宋"/>
          <w:sz w:val="32"/>
          <w:szCs w:val="32"/>
        </w:rPr>
        <w:t>㈢ 组织开展本校的教育教学科研</w:t>
      </w:r>
      <w:r>
        <w:rPr>
          <w:rFonts w:hint="eastAsia" w:ascii="仿宋" w:hAnsi="仿宋" w:eastAsia="仿宋" w:cs="仿宋"/>
          <w:sz w:val="32"/>
          <w:szCs w:val="32"/>
          <w:lang w:eastAsia="zh-CN"/>
        </w:rPr>
        <w:t>，</w:t>
      </w:r>
      <w:r>
        <w:rPr>
          <w:rFonts w:hint="eastAsia" w:ascii="仿宋" w:hAnsi="仿宋" w:eastAsia="仿宋" w:cs="仿宋"/>
          <w:sz w:val="32"/>
          <w:szCs w:val="32"/>
        </w:rPr>
        <w:t>积极稳妥地推进教育</w:t>
      </w:r>
      <w:r>
        <w:rPr>
          <w:rFonts w:hint="eastAsia" w:ascii="仿宋" w:hAnsi="仿宋" w:eastAsia="仿宋" w:cs="仿宋"/>
          <w:sz w:val="32"/>
          <w:szCs w:val="32"/>
          <w:lang w:eastAsia="zh-CN"/>
        </w:rPr>
        <w:t>教学</w:t>
      </w:r>
      <w:r>
        <w:rPr>
          <w:rFonts w:hint="eastAsia" w:ascii="仿宋" w:hAnsi="仿宋" w:eastAsia="仿宋" w:cs="仿宋"/>
          <w:sz w:val="32"/>
          <w:szCs w:val="32"/>
        </w:rPr>
        <w:t>改革，</w:t>
      </w:r>
      <w:r>
        <w:rPr>
          <w:rFonts w:hint="eastAsia" w:ascii="仿宋" w:hAnsi="仿宋" w:eastAsia="仿宋" w:cs="仿宋"/>
          <w:sz w:val="32"/>
          <w:szCs w:val="32"/>
          <w:lang w:eastAsia="zh-CN"/>
        </w:rPr>
        <w:t>负责教育教学管理及教研教改工作，全力推进素质教育，全面</w:t>
      </w:r>
      <w:r>
        <w:rPr>
          <w:rFonts w:hint="eastAsia" w:ascii="仿宋" w:hAnsi="仿宋" w:eastAsia="仿宋" w:cs="仿宋"/>
          <w:sz w:val="32"/>
          <w:szCs w:val="32"/>
        </w:rPr>
        <w:t>提高教育质量</w:t>
      </w:r>
      <w:r>
        <w:rPr>
          <w:rFonts w:hint="eastAsia" w:ascii="仿宋" w:hAnsi="仿宋" w:eastAsia="仿宋" w:cs="仿宋"/>
          <w:sz w:val="32"/>
          <w:szCs w:val="32"/>
          <w:lang w:eastAsia="zh-CN"/>
        </w:rPr>
        <w:t>。</w:t>
      </w:r>
    </w:p>
    <w:p w14:paraId="46629B65">
      <w:pPr>
        <w:pStyle w:val="16"/>
        <w:bidi w:val="0"/>
        <w:ind w:firstLine="640" w:firstLineChars="200"/>
        <w:rPr>
          <w:rFonts w:hint="eastAsia" w:ascii="仿宋" w:hAnsi="仿宋" w:eastAsia="仿宋" w:cs="仿宋"/>
          <w:sz w:val="32"/>
          <w:szCs w:val="32"/>
        </w:rPr>
      </w:pPr>
      <w:r>
        <w:rPr>
          <w:rFonts w:hint="eastAsia" w:ascii="仿宋" w:hAnsi="仿宋" w:eastAsia="仿宋" w:cs="仿宋"/>
          <w:sz w:val="32"/>
          <w:szCs w:val="32"/>
        </w:rPr>
        <w:t>㈣ 按照干部和教师职数、编制和管理权限，负责本校教师人事管理、继续教育和考核考评等工作。</w:t>
      </w:r>
    </w:p>
    <w:p w14:paraId="3093B424">
      <w:pPr>
        <w:pStyle w:val="16"/>
        <w:bidi w:val="0"/>
        <w:ind w:firstLine="640" w:firstLineChars="200"/>
        <w:rPr>
          <w:rFonts w:hint="eastAsia" w:ascii="仿宋" w:hAnsi="仿宋" w:eastAsia="仿宋" w:cs="仿宋"/>
          <w:sz w:val="32"/>
          <w:szCs w:val="32"/>
        </w:rPr>
      </w:pPr>
      <w:r>
        <w:rPr>
          <w:rFonts w:hint="eastAsia" w:ascii="仿宋" w:hAnsi="仿宋" w:eastAsia="仿宋" w:cs="仿宋"/>
          <w:sz w:val="32"/>
          <w:szCs w:val="32"/>
        </w:rPr>
        <w:t>㈤ 负责本校财务和基建管理，组织制定和实施校舍和校园建设规划，正确使用各项经费，不断改善办学条件，强化安全工作管理，创造良好的育人环境。</w:t>
      </w:r>
    </w:p>
    <w:p w14:paraId="24DBF518">
      <w:pPr>
        <w:pStyle w:val="16"/>
        <w:bidi w:val="0"/>
        <w:ind w:firstLine="640" w:firstLineChars="200"/>
        <w:rPr>
          <w:rFonts w:hint="eastAsia"/>
          <w:sz w:val="32"/>
          <w:szCs w:val="32"/>
        </w:rPr>
      </w:pPr>
      <w:r>
        <w:rPr>
          <w:rFonts w:hint="eastAsia"/>
          <w:sz w:val="32"/>
          <w:szCs w:val="32"/>
        </w:rPr>
        <w:t>二、机构设置及决算单位构成</w:t>
      </w:r>
    </w:p>
    <w:p w14:paraId="72A69251">
      <w:pPr>
        <w:pStyle w:val="16"/>
        <w:bidi w:val="0"/>
        <w:ind w:firstLine="640" w:firstLineChars="200"/>
        <w:rPr>
          <w:rFonts w:hint="eastAsia" w:ascii="仿宋" w:hAnsi="仿宋" w:eastAsia="仿宋" w:cs="仿宋"/>
          <w:sz w:val="32"/>
          <w:szCs w:val="32"/>
        </w:rPr>
      </w:pPr>
      <w:r>
        <w:rPr>
          <w:rFonts w:hint="eastAsia" w:ascii="仿宋" w:hAnsi="仿宋" w:eastAsia="仿宋" w:cs="仿宋"/>
          <w:sz w:val="32"/>
          <w:szCs w:val="32"/>
        </w:rPr>
        <w:t>㈠</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内设机构设置。</w:t>
      </w:r>
      <w:r>
        <w:rPr>
          <w:rFonts w:hint="eastAsia" w:ascii="仿宋" w:hAnsi="仿宋" w:eastAsia="仿宋" w:cs="仿宋"/>
          <w:sz w:val="32"/>
          <w:szCs w:val="32"/>
          <w:lang w:eastAsia="zh-CN"/>
        </w:rPr>
        <w:t>怀化市第三中学</w:t>
      </w:r>
      <w:r>
        <w:rPr>
          <w:rFonts w:hint="eastAsia" w:ascii="仿宋" w:hAnsi="仿宋" w:eastAsia="仿宋" w:cs="仿宋"/>
          <w:sz w:val="32"/>
          <w:szCs w:val="32"/>
        </w:rPr>
        <w:t>内设</w:t>
      </w:r>
      <w:r>
        <w:rPr>
          <w:rFonts w:hint="eastAsia" w:ascii="仿宋" w:hAnsi="仿宋" w:eastAsia="仿宋" w:cs="仿宋"/>
          <w:sz w:val="32"/>
          <w:szCs w:val="32"/>
          <w:lang w:eastAsia="zh-CN"/>
        </w:rPr>
        <w:t>机构包括</w:t>
      </w:r>
      <w:r>
        <w:rPr>
          <w:rFonts w:hint="eastAsia" w:ascii="仿宋" w:hAnsi="仿宋" w:eastAsia="仿宋" w:cs="仿宋"/>
          <w:sz w:val="32"/>
          <w:szCs w:val="32"/>
        </w:rPr>
        <w:t>：办公室、教务处、德育处、教科室、总务处、现教室</w:t>
      </w:r>
      <w:r>
        <w:rPr>
          <w:rFonts w:hint="eastAsia" w:ascii="仿宋" w:hAnsi="仿宋" w:eastAsia="仿宋" w:cs="仿宋"/>
          <w:sz w:val="32"/>
          <w:szCs w:val="32"/>
          <w:lang w:eastAsia="zh-CN"/>
        </w:rPr>
        <w:t>。</w:t>
      </w:r>
    </w:p>
    <w:p w14:paraId="0B0A4760">
      <w:pPr>
        <w:pStyle w:val="9"/>
        <w:keepNext w:val="0"/>
        <w:keepLines w:val="0"/>
        <w:pageBreakBefore w:val="0"/>
        <w:widowControl/>
        <w:suppressLineNumbers w:val="0"/>
        <w:kinsoku/>
        <w:wordWrap/>
        <w:overflowPunct/>
        <w:topLinePunct w:val="0"/>
        <w:bidi w:val="0"/>
        <w:snapToGrid/>
        <w:spacing w:before="0" w:beforeAutospacing="0" w:after="0" w:afterAutospacing="0" w:line="600" w:lineRule="atLeast"/>
        <w:ind w:left="0" w:firstLine="640" w:firstLineChars="200"/>
        <w:jc w:val="left"/>
        <w:textAlignment w:val="auto"/>
        <w:rPr>
          <w:rFonts w:ascii="黑体" w:hAnsi="黑体" w:eastAsia="黑体"/>
          <w:sz w:val="28"/>
          <w:szCs w:val="28"/>
        </w:rPr>
      </w:pPr>
      <w:r>
        <w:rPr>
          <w:rFonts w:hint="eastAsia" w:ascii="仿宋" w:hAnsi="仿宋" w:eastAsia="仿宋" w:cs="仿宋"/>
          <w:sz w:val="32"/>
          <w:szCs w:val="32"/>
        </w:rPr>
        <w:t>㈡</w:t>
      </w:r>
      <w:r>
        <w:rPr>
          <w:rFonts w:hint="eastAsia" w:ascii="仿宋" w:hAnsi="仿宋" w:eastAsia="仿宋" w:cs="仿宋"/>
          <w:sz w:val="32"/>
          <w:szCs w:val="32"/>
          <w:lang w:val="en-US" w:eastAsia="zh-CN"/>
        </w:rPr>
        <w:t xml:space="preserve"> </w:t>
      </w:r>
      <w:r>
        <w:rPr>
          <w:rFonts w:hint="eastAsia" w:ascii="仿宋" w:hAnsi="仿宋" w:eastAsia="仿宋" w:cs="仿宋"/>
          <w:sz w:val="32"/>
          <w:szCs w:val="32"/>
          <w:shd w:val="clear" w:color="auto" w:fill="FFFFFF"/>
        </w:rPr>
        <w:t>决算单位构成。</w:t>
      </w:r>
      <w:r>
        <w:rPr>
          <w:rFonts w:hint="eastAsia" w:ascii="仿宋" w:hAnsi="仿宋" w:eastAsia="仿宋" w:cs="仿宋"/>
          <w:sz w:val="32"/>
          <w:szCs w:val="32"/>
        </w:rPr>
        <w:t>作为独立核算的一级部门预算单位，</w:t>
      </w:r>
      <w:r>
        <w:rPr>
          <w:rFonts w:hint="eastAsia" w:ascii="仿宋" w:hAnsi="仿宋" w:eastAsia="仿宋" w:cs="仿宋"/>
          <w:sz w:val="32"/>
          <w:szCs w:val="32"/>
          <w:shd w:val="clear" w:color="auto" w:fill="FFFFFF"/>
          <w:lang w:eastAsia="zh-CN"/>
        </w:rPr>
        <w:t>怀化市第三中学202</w:t>
      </w:r>
      <w:r>
        <w:rPr>
          <w:rFonts w:hint="eastAsia" w:ascii="仿宋" w:hAnsi="仿宋" w:eastAsia="仿宋" w:cs="仿宋"/>
          <w:sz w:val="32"/>
          <w:szCs w:val="32"/>
          <w:shd w:val="clear" w:color="auto" w:fill="FFFFFF"/>
          <w:lang w:val="en-US" w:eastAsia="zh-CN"/>
        </w:rPr>
        <w:t>3</w:t>
      </w:r>
      <w:r>
        <w:rPr>
          <w:rFonts w:hint="eastAsia" w:ascii="仿宋" w:hAnsi="仿宋" w:eastAsia="仿宋" w:cs="仿宋"/>
          <w:sz w:val="32"/>
          <w:szCs w:val="32"/>
          <w:shd w:val="clear" w:color="auto" w:fill="FFFFFF"/>
        </w:rPr>
        <w:t>年部门决算汇总公开单位构成</w:t>
      </w:r>
      <w:r>
        <w:rPr>
          <w:rFonts w:hint="eastAsia" w:ascii="仿宋" w:hAnsi="仿宋" w:eastAsia="仿宋" w:cs="仿宋"/>
          <w:sz w:val="32"/>
          <w:szCs w:val="32"/>
          <w:shd w:val="clear" w:color="auto" w:fill="FFFFFF"/>
          <w:lang w:eastAsia="zh-CN"/>
        </w:rPr>
        <w:t>只</w:t>
      </w:r>
      <w:r>
        <w:rPr>
          <w:rFonts w:hint="eastAsia" w:ascii="仿宋" w:hAnsi="仿宋" w:eastAsia="仿宋" w:cs="仿宋"/>
          <w:sz w:val="32"/>
          <w:szCs w:val="32"/>
          <w:shd w:val="clear" w:color="auto" w:fill="FFFFFF"/>
        </w:rPr>
        <w:t>包括</w:t>
      </w:r>
      <w:r>
        <w:rPr>
          <w:rFonts w:hint="eastAsia" w:ascii="仿宋" w:hAnsi="仿宋" w:eastAsia="仿宋" w:cs="仿宋"/>
          <w:sz w:val="32"/>
          <w:szCs w:val="32"/>
          <w:shd w:val="clear" w:color="auto" w:fill="FFFFFF"/>
          <w:lang w:eastAsia="zh-CN"/>
        </w:rPr>
        <w:t>怀化市第三中学</w:t>
      </w:r>
      <w:r>
        <w:rPr>
          <w:rFonts w:hint="eastAsia" w:ascii="仿宋" w:hAnsi="仿宋" w:eastAsia="仿宋" w:cs="仿宋"/>
          <w:sz w:val="32"/>
          <w:szCs w:val="32"/>
          <w:shd w:val="clear" w:color="auto" w:fill="FFFFFF"/>
        </w:rPr>
        <w:t>本级 </w:t>
      </w:r>
      <w:r>
        <w:rPr>
          <w:rFonts w:hint="eastAsia" w:ascii="仿宋" w:hAnsi="仿宋" w:eastAsia="仿宋" w:cs="仿宋"/>
          <w:sz w:val="32"/>
          <w:szCs w:val="32"/>
          <w:shd w:val="clear" w:color="auto" w:fill="FFFFFF"/>
          <w:lang w:eastAsia="zh-CN"/>
        </w:rPr>
        <w:t>。</w:t>
      </w:r>
    </w:p>
    <w:p w14:paraId="15A66B40">
      <w:pPr>
        <w:pStyle w:val="16"/>
        <w:jc w:val="both"/>
        <w:rPr>
          <w:rFonts w:hint="eastAsia" w:ascii="方正小标宋_GBK" w:hAnsi="方正小标宋_GBK" w:eastAsia="方正小标宋_GBK" w:cs="方正小标宋_GBK"/>
          <w:sz w:val="84"/>
          <w:szCs w:val="84"/>
        </w:rPr>
      </w:pPr>
    </w:p>
    <w:p w14:paraId="4B453722">
      <w:pPr>
        <w:pStyle w:val="16"/>
        <w:numPr>
          <w:ilvl w:val="0"/>
          <w:numId w:val="1"/>
        </w:numPr>
        <w:jc w:val="center"/>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部门决算表</w:t>
      </w:r>
    </w:p>
    <w:p w14:paraId="69419F6A">
      <w:pPr>
        <w:pStyle w:val="16"/>
        <w:jc w:val="center"/>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（见附件1:2023年部门决算公开表）</w:t>
      </w:r>
    </w:p>
    <w:p w14:paraId="58F6F19F">
      <w:pPr>
        <w:pStyle w:val="16"/>
        <w:jc w:val="both"/>
        <w:rPr>
          <w:rFonts w:hint="eastAsia" w:ascii="Times New Roman" w:hAnsi="Times New Roman" w:eastAsia="仿宋_GB2312"/>
          <w:sz w:val="32"/>
          <w:szCs w:val="32"/>
          <w:lang w:val="en-US" w:eastAsia="zh-CN"/>
        </w:rPr>
      </w:pPr>
    </w:p>
    <w:p w14:paraId="1B97105B">
      <w:pPr>
        <w:pStyle w:val="16"/>
        <w:jc w:val="both"/>
        <w:rPr>
          <w:rFonts w:hint="eastAsia" w:ascii="Times New Roman" w:hAnsi="Times New Roman" w:eastAsia="仿宋_GB2312"/>
          <w:sz w:val="32"/>
          <w:szCs w:val="32"/>
          <w:lang w:val="en-US" w:eastAsia="zh-CN"/>
        </w:rPr>
      </w:pPr>
    </w:p>
    <w:p w14:paraId="3A8E37E9">
      <w:pPr>
        <w:pStyle w:val="16"/>
        <w:jc w:val="center"/>
        <w:rPr>
          <w:rFonts w:hint="eastAsia" w:ascii="方正小标宋_GBK" w:hAnsi="方正小标宋_GBK" w:eastAsia="方正小标宋_GBK" w:cs="方正小标宋_GBK"/>
          <w:sz w:val="28"/>
          <w:szCs w:val="28"/>
        </w:rPr>
      </w:pPr>
    </w:p>
    <w:p w14:paraId="59413F74">
      <w:pPr>
        <w:pStyle w:val="16"/>
        <w:jc w:val="center"/>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第三部分</w:t>
      </w:r>
    </w:p>
    <w:p w14:paraId="17353615">
      <w:pPr>
        <w:pStyle w:val="16"/>
        <w:bidi w:val="0"/>
        <w:jc w:val="center"/>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202</w:t>
      </w:r>
      <w:r>
        <w:rPr>
          <w:rFonts w:hint="eastAsia" w:ascii="方正小标宋_GBK" w:hAnsi="方正小标宋_GBK" w:eastAsia="方正小标宋_GBK" w:cs="方正小标宋_GBK"/>
          <w:sz w:val="44"/>
          <w:szCs w:val="44"/>
          <w:lang w:val="en-US" w:eastAsia="zh-CN"/>
        </w:rPr>
        <w:t>3</w:t>
      </w:r>
      <w:r>
        <w:rPr>
          <w:rFonts w:hint="eastAsia" w:ascii="方正小标宋_GBK" w:hAnsi="方正小标宋_GBK" w:eastAsia="方正小标宋_GBK" w:cs="方正小标宋_GBK"/>
          <w:sz w:val="44"/>
          <w:szCs w:val="44"/>
        </w:rPr>
        <w:t>年度部门决算情况说明</w:t>
      </w:r>
    </w:p>
    <w:p w14:paraId="01352431">
      <w:pPr>
        <w:pStyle w:val="16"/>
        <w:bidi w:val="0"/>
        <w:jc w:val="center"/>
        <w:rPr>
          <w:rFonts w:hint="eastAsia" w:ascii="方正小标宋_GBK" w:hAnsi="方正小标宋_GBK" w:eastAsia="方正小标宋_GBK" w:cs="方正小标宋_GBK"/>
          <w:sz w:val="32"/>
          <w:szCs w:val="32"/>
        </w:rPr>
      </w:pPr>
    </w:p>
    <w:p w14:paraId="448540CB">
      <w:pPr>
        <w:pStyle w:val="16"/>
        <w:bidi w:val="0"/>
        <w:ind w:firstLine="640" w:firstLineChars="200"/>
        <w:jc w:val="left"/>
        <w:rPr>
          <w:rFonts w:hint="eastAsia" w:ascii="黑体" w:hAnsi="黑体" w:eastAsia="黑体" w:cs="黑体"/>
          <w:b w:val="0"/>
          <w:bCs/>
          <w:sz w:val="32"/>
          <w:szCs w:val="32"/>
        </w:rPr>
      </w:pPr>
      <w:r>
        <w:rPr>
          <w:rFonts w:hint="eastAsia" w:ascii="黑体" w:hAnsi="黑体" w:eastAsia="黑体" w:cs="黑体"/>
          <w:b w:val="0"/>
          <w:bCs/>
          <w:sz w:val="32"/>
          <w:szCs w:val="32"/>
        </w:rPr>
        <w:t>一、收入支出决算总体情况说明</w:t>
      </w:r>
    </w:p>
    <w:p w14:paraId="7CCB3150">
      <w:pPr>
        <w:pStyle w:val="16"/>
        <w:bidi w:val="0"/>
        <w:ind w:firstLine="640" w:firstLineChars="200"/>
        <w:jc w:val="left"/>
        <w:rPr>
          <w:rFonts w:ascii="Times New Roman" w:hAnsi="Times New Roman" w:eastAsia="仿宋_GB2312"/>
          <w:sz w:val="32"/>
          <w:szCs w:val="32"/>
        </w:rPr>
      </w:pPr>
      <w:r>
        <w:rPr>
          <w:rFonts w:hint="eastAsia" w:ascii="Times New Roman" w:hAnsi="Times New Roman" w:eastAsia="仿宋_GB2312"/>
          <w:sz w:val="32"/>
          <w:szCs w:val="32"/>
          <w:lang w:eastAsia="zh-CN"/>
        </w:rPr>
        <w:t>2023年</w:t>
      </w:r>
      <w:r>
        <w:rPr>
          <w:rFonts w:hint="eastAsia" w:ascii="Times New Roman" w:hAnsi="Times New Roman" w:eastAsia="仿宋_GB2312"/>
          <w:sz w:val="32"/>
          <w:szCs w:val="32"/>
        </w:rPr>
        <w:t>度收、支总计</w:t>
      </w:r>
      <w:r>
        <w:rPr>
          <w:rFonts w:hint="eastAsia" w:ascii="Times New Roman" w:hAnsi="Times New Roman" w:eastAsia="仿宋_GB2312"/>
          <w:sz w:val="32"/>
          <w:szCs w:val="32"/>
          <w:lang w:val="en-US" w:eastAsia="zh-CN"/>
        </w:rPr>
        <w:t>6773.60</w:t>
      </w:r>
      <w:r>
        <w:rPr>
          <w:rFonts w:hint="eastAsia" w:ascii="Times New Roman" w:hAnsi="Times New Roman" w:eastAsia="仿宋_GB2312"/>
          <w:sz w:val="32"/>
          <w:szCs w:val="32"/>
        </w:rPr>
        <w:t>万元。与上年相比，</w:t>
      </w:r>
      <w:r>
        <w:rPr>
          <w:rFonts w:hint="eastAsia" w:ascii="Times New Roman" w:hAnsi="Times New Roman" w:eastAsia="仿宋_GB2312"/>
          <w:sz w:val="32"/>
          <w:szCs w:val="32"/>
          <w:lang w:val="en-US" w:eastAsia="zh-CN"/>
        </w:rPr>
        <w:t>增加106.26</w:t>
      </w:r>
      <w:r>
        <w:rPr>
          <w:rFonts w:hint="eastAsia" w:ascii="Times New Roman" w:hAnsi="Times New Roman" w:eastAsia="仿宋_GB2312"/>
          <w:sz w:val="32"/>
          <w:szCs w:val="32"/>
        </w:rPr>
        <w:t>万元，</w:t>
      </w:r>
      <w:r>
        <w:rPr>
          <w:rFonts w:hint="eastAsia" w:ascii="Times New Roman" w:hAnsi="Times New Roman" w:eastAsia="仿宋_GB2312"/>
          <w:sz w:val="32"/>
          <w:szCs w:val="32"/>
          <w:lang w:val="en-US" w:eastAsia="zh-CN"/>
        </w:rPr>
        <w:t>增长1.59</w:t>
      </w:r>
      <w:r>
        <w:rPr>
          <w:rFonts w:hint="eastAsia" w:ascii="Times New Roman" w:hAnsi="Times New Roman" w:eastAsia="仿宋_GB2312"/>
          <w:sz w:val="32"/>
          <w:szCs w:val="32"/>
        </w:rPr>
        <w:t>%，主要是因为</w:t>
      </w:r>
      <w:r>
        <w:rPr>
          <w:rFonts w:hint="eastAsia" w:ascii="Times New Roman" w:hAnsi="Times New Roman" w:eastAsia="仿宋_GB2312"/>
          <w:sz w:val="32"/>
          <w:szCs w:val="32"/>
          <w:lang w:val="en-US" w:eastAsia="zh-CN"/>
        </w:rPr>
        <w:t>一般公共预算拨款减少136.39万元，政府性基金预算财政拨款收入增加30万元，事业收入增加212.65万元。</w:t>
      </w:r>
    </w:p>
    <w:p w14:paraId="5EA2AAFE">
      <w:pPr>
        <w:pStyle w:val="16"/>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二、收入决算情况说明</w:t>
      </w:r>
    </w:p>
    <w:p w14:paraId="127826FE">
      <w:pPr>
        <w:pStyle w:val="16"/>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lang w:eastAsia="zh-CN"/>
        </w:rPr>
        <w:t>2023年</w:t>
      </w:r>
      <w:r>
        <w:rPr>
          <w:rFonts w:hint="eastAsia" w:ascii="Times New Roman" w:hAnsi="Times New Roman" w:eastAsia="仿宋_GB2312"/>
          <w:sz w:val="32"/>
          <w:szCs w:val="32"/>
        </w:rPr>
        <w:t>度收入合计</w:t>
      </w:r>
      <w:r>
        <w:rPr>
          <w:rFonts w:hint="eastAsia" w:ascii="Times New Roman" w:hAnsi="Times New Roman" w:eastAsia="仿宋_GB2312"/>
          <w:sz w:val="32"/>
          <w:szCs w:val="32"/>
          <w:lang w:val="en-US" w:eastAsia="zh-CN"/>
        </w:rPr>
        <w:t>6773.60</w:t>
      </w:r>
      <w:r>
        <w:rPr>
          <w:rFonts w:hint="eastAsia" w:ascii="Times New Roman" w:hAnsi="Times New Roman" w:eastAsia="仿宋_GB2312"/>
          <w:sz w:val="32"/>
          <w:szCs w:val="32"/>
        </w:rPr>
        <w:t>万元，其中：财政拨款收入</w:t>
      </w:r>
      <w:r>
        <w:rPr>
          <w:rFonts w:hint="eastAsia" w:ascii="Times New Roman" w:hAnsi="Times New Roman" w:eastAsia="仿宋_GB2312"/>
          <w:sz w:val="32"/>
          <w:szCs w:val="32"/>
          <w:lang w:val="en-US" w:eastAsia="zh-CN"/>
        </w:rPr>
        <w:t>5106.51</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75.39</w:t>
      </w:r>
      <w:r>
        <w:rPr>
          <w:rFonts w:hint="eastAsia" w:ascii="Times New Roman" w:hAnsi="Times New Roman" w:eastAsia="仿宋_GB2312"/>
          <w:sz w:val="32"/>
          <w:szCs w:val="32"/>
        </w:rPr>
        <w:t>%；上级补助收入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%；事业收入</w:t>
      </w:r>
      <w:r>
        <w:rPr>
          <w:rFonts w:hint="eastAsia" w:ascii="Times New Roman" w:hAnsi="Times New Roman" w:eastAsia="仿宋_GB2312"/>
          <w:sz w:val="32"/>
          <w:szCs w:val="32"/>
          <w:lang w:val="en-US" w:eastAsia="zh-CN"/>
        </w:rPr>
        <w:t>1667.09</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24.61</w:t>
      </w:r>
      <w:r>
        <w:rPr>
          <w:rFonts w:hint="eastAsia" w:ascii="Times New Roman" w:hAnsi="Times New Roman" w:eastAsia="仿宋_GB2312"/>
          <w:sz w:val="32"/>
          <w:szCs w:val="32"/>
        </w:rPr>
        <w:t>%；经营收入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%；附属单位上缴收入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%；其他收入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p>
    <w:p w14:paraId="006AF2F0">
      <w:pPr>
        <w:pStyle w:val="16"/>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三、支出决算情况说明</w:t>
      </w:r>
    </w:p>
    <w:p w14:paraId="106A7051">
      <w:pPr>
        <w:pStyle w:val="16"/>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lang w:eastAsia="zh-CN"/>
        </w:rPr>
        <w:t>2023年</w:t>
      </w:r>
      <w:r>
        <w:rPr>
          <w:rFonts w:hint="eastAsia" w:ascii="Times New Roman" w:hAnsi="Times New Roman" w:eastAsia="仿宋_GB2312"/>
          <w:sz w:val="32"/>
          <w:szCs w:val="32"/>
        </w:rPr>
        <w:t>度支出合计</w:t>
      </w:r>
      <w:r>
        <w:rPr>
          <w:rFonts w:hint="eastAsia" w:ascii="Times New Roman" w:hAnsi="Times New Roman" w:eastAsia="仿宋_GB2312"/>
          <w:sz w:val="32"/>
          <w:szCs w:val="32"/>
          <w:lang w:val="en-US" w:eastAsia="zh-CN"/>
        </w:rPr>
        <w:t>6773.60</w:t>
      </w:r>
      <w:r>
        <w:rPr>
          <w:rFonts w:hint="eastAsia" w:ascii="Times New Roman" w:hAnsi="Times New Roman" w:eastAsia="仿宋_GB2312"/>
          <w:sz w:val="32"/>
          <w:szCs w:val="32"/>
        </w:rPr>
        <w:t>万元，其中：基本支出</w:t>
      </w:r>
      <w:r>
        <w:rPr>
          <w:rFonts w:hint="eastAsia" w:ascii="Times New Roman" w:hAnsi="Times New Roman" w:eastAsia="仿宋_GB2312"/>
          <w:sz w:val="32"/>
          <w:szCs w:val="32"/>
          <w:lang w:val="en-US" w:eastAsia="zh-CN"/>
        </w:rPr>
        <w:t>6450.17</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95.23</w:t>
      </w:r>
      <w:r>
        <w:rPr>
          <w:rFonts w:hint="eastAsia" w:ascii="Times New Roman" w:hAnsi="Times New Roman" w:eastAsia="仿宋_GB2312"/>
          <w:sz w:val="32"/>
          <w:szCs w:val="32"/>
        </w:rPr>
        <w:t>%；项目支出</w:t>
      </w:r>
      <w:r>
        <w:rPr>
          <w:rFonts w:hint="eastAsia" w:ascii="Times New Roman" w:hAnsi="Times New Roman" w:eastAsia="仿宋_GB2312"/>
          <w:sz w:val="32"/>
          <w:szCs w:val="32"/>
          <w:lang w:val="en-US" w:eastAsia="zh-CN"/>
        </w:rPr>
        <w:t>323.43</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4.77</w:t>
      </w:r>
      <w:r>
        <w:rPr>
          <w:rFonts w:hint="eastAsia" w:ascii="Times New Roman" w:hAnsi="Times New Roman" w:eastAsia="仿宋_GB2312"/>
          <w:sz w:val="32"/>
          <w:szCs w:val="32"/>
        </w:rPr>
        <w:t>%；上缴上级支出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%；经营支出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%；对附属单位补助支出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p>
    <w:p w14:paraId="13169743">
      <w:pPr>
        <w:pStyle w:val="16"/>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四、财政拨款收入支出决算总体情况说明</w:t>
      </w:r>
    </w:p>
    <w:p w14:paraId="032D6A7D">
      <w:pPr>
        <w:pStyle w:val="16"/>
        <w:keepNext w:val="0"/>
        <w:keepLines w:val="0"/>
        <w:pageBreakBefore w:val="0"/>
        <w:widowControl w:val="0"/>
        <w:kinsoku/>
        <w:wordWrap/>
        <w:overflowPunct/>
        <w:topLinePunct w:val="0"/>
        <w:bidi w:val="0"/>
        <w:snapToGrid/>
        <w:spacing w:line="600" w:lineRule="exact"/>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rPr>
        <w:t xml:space="preserve">    </w:t>
      </w:r>
      <w:r>
        <w:rPr>
          <w:rFonts w:hint="eastAsia" w:ascii="Times New Roman" w:hAnsi="Times New Roman" w:eastAsia="仿宋_GB2312"/>
          <w:sz w:val="32"/>
          <w:szCs w:val="32"/>
          <w:lang w:eastAsia="zh-CN"/>
        </w:rPr>
        <w:t>2023年</w:t>
      </w:r>
      <w:r>
        <w:rPr>
          <w:rFonts w:hint="eastAsia" w:ascii="Times New Roman" w:hAnsi="Times New Roman" w:eastAsia="仿宋_GB2312"/>
          <w:sz w:val="32"/>
          <w:szCs w:val="32"/>
        </w:rPr>
        <w:t>度财政拨款收、支总计</w:t>
      </w:r>
      <w:r>
        <w:rPr>
          <w:rFonts w:hint="eastAsia" w:ascii="Times New Roman" w:hAnsi="Times New Roman" w:eastAsia="仿宋_GB2312"/>
          <w:sz w:val="32"/>
          <w:szCs w:val="32"/>
          <w:lang w:val="en-US" w:eastAsia="zh-CN"/>
        </w:rPr>
        <w:t>5106.51</w:t>
      </w:r>
      <w:r>
        <w:rPr>
          <w:rFonts w:hint="eastAsia" w:ascii="Times New Roman" w:hAnsi="Times New Roman" w:eastAsia="仿宋_GB2312"/>
          <w:sz w:val="32"/>
          <w:szCs w:val="32"/>
        </w:rPr>
        <w:t>万元，与上年相比，</w:t>
      </w:r>
      <w:r>
        <w:rPr>
          <w:rFonts w:hint="eastAsia" w:ascii="Times New Roman" w:hAnsi="Times New Roman" w:eastAsia="仿宋_GB2312"/>
          <w:sz w:val="32"/>
          <w:szCs w:val="32"/>
          <w:lang w:val="en-US" w:eastAsia="zh-CN"/>
        </w:rPr>
        <w:t>减少106.39</w:t>
      </w:r>
      <w:r>
        <w:rPr>
          <w:rFonts w:hint="eastAsia" w:ascii="Times New Roman" w:hAnsi="Times New Roman" w:eastAsia="仿宋_GB2312"/>
          <w:sz w:val="32"/>
          <w:szCs w:val="32"/>
        </w:rPr>
        <w:t>万元,</w:t>
      </w:r>
      <w:r>
        <w:rPr>
          <w:rFonts w:hint="eastAsia" w:ascii="Times New Roman" w:hAnsi="Times New Roman" w:eastAsia="仿宋_GB2312"/>
          <w:sz w:val="32"/>
          <w:szCs w:val="32"/>
          <w:lang w:val="en-US" w:eastAsia="zh-CN"/>
        </w:rPr>
        <w:t>减少2.04</w:t>
      </w:r>
      <w:r>
        <w:rPr>
          <w:rFonts w:hint="eastAsia" w:ascii="Times New Roman" w:hAnsi="Times New Roman" w:eastAsia="仿宋_GB2312"/>
          <w:sz w:val="32"/>
          <w:szCs w:val="32"/>
        </w:rPr>
        <w:t>%，主要是因为</w:t>
      </w:r>
      <w:r>
        <w:rPr>
          <w:rFonts w:hint="eastAsia" w:ascii="Times New Roman" w:hAnsi="Times New Roman" w:eastAsia="仿宋_GB2312"/>
          <w:sz w:val="32"/>
          <w:szCs w:val="32"/>
          <w:lang w:eastAsia="zh-CN"/>
        </w:rPr>
        <w:t>本年</w:t>
      </w:r>
      <w:r>
        <w:rPr>
          <w:rFonts w:hint="eastAsia" w:ascii="Times New Roman" w:hAnsi="Times New Roman" w:eastAsia="仿宋_GB2312"/>
          <w:sz w:val="32"/>
          <w:szCs w:val="32"/>
          <w:lang w:val="en-US" w:eastAsia="zh-CN"/>
        </w:rPr>
        <w:t>一般公共预算拨款减少136.39万元，政府性基金预算财政拨款增加30万元。</w:t>
      </w:r>
    </w:p>
    <w:p w14:paraId="55A26748">
      <w:pPr>
        <w:pStyle w:val="16"/>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五、一般公共预算财政拨款支出决算情况说明</w:t>
      </w:r>
    </w:p>
    <w:p w14:paraId="75DC39CC">
      <w:pPr>
        <w:pStyle w:val="16"/>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（一）</w:t>
      </w:r>
      <w:r>
        <w:rPr>
          <w:rFonts w:hint="eastAsia" w:ascii="楷体" w:hAnsi="楷体" w:eastAsia="楷体" w:cs="楷体"/>
          <w:b w:val="0"/>
          <w:bCs/>
          <w:sz w:val="32"/>
          <w:szCs w:val="32"/>
          <w:lang w:val="en-US" w:eastAsia="zh-CN"/>
        </w:rPr>
        <w:t>一般公共预算财政拨款支出</w:t>
      </w:r>
      <w:r>
        <w:rPr>
          <w:rFonts w:hint="eastAsia" w:ascii="楷体" w:hAnsi="楷体" w:eastAsia="楷体" w:cs="楷体"/>
          <w:b w:val="0"/>
          <w:bCs/>
          <w:sz w:val="32"/>
          <w:szCs w:val="32"/>
        </w:rPr>
        <w:t>决算总体情况</w:t>
      </w:r>
    </w:p>
    <w:p w14:paraId="4149F1EA">
      <w:pPr>
        <w:pStyle w:val="16"/>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eastAsia="zh-CN"/>
        </w:rPr>
        <w:t>2023年</w:t>
      </w:r>
      <w:r>
        <w:rPr>
          <w:rFonts w:hint="eastAsia" w:ascii="Times New Roman" w:hAnsi="Times New Roman" w:eastAsia="仿宋_GB2312"/>
          <w:sz w:val="32"/>
          <w:szCs w:val="32"/>
        </w:rPr>
        <w:t>度财政拨款支出</w:t>
      </w:r>
      <w:r>
        <w:rPr>
          <w:rFonts w:hint="eastAsia" w:ascii="Times New Roman" w:hAnsi="Times New Roman" w:eastAsia="仿宋_GB2312"/>
          <w:sz w:val="32"/>
          <w:szCs w:val="32"/>
          <w:lang w:val="en-US" w:eastAsia="zh-CN"/>
        </w:rPr>
        <w:t>5076.51</w:t>
      </w:r>
      <w:r>
        <w:rPr>
          <w:rFonts w:hint="eastAsia" w:ascii="Times New Roman" w:hAnsi="Times New Roman" w:eastAsia="仿宋_GB2312"/>
          <w:sz w:val="32"/>
          <w:szCs w:val="32"/>
        </w:rPr>
        <w:t>万元，占本年支出合计的</w:t>
      </w:r>
      <w:r>
        <w:rPr>
          <w:rFonts w:hint="eastAsia" w:ascii="Times New Roman" w:hAnsi="Times New Roman" w:eastAsia="仿宋_GB2312"/>
          <w:sz w:val="32"/>
          <w:szCs w:val="32"/>
          <w:lang w:val="en-US" w:eastAsia="zh-CN"/>
        </w:rPr>
        <w:t>74.95</w:t>
      </w:r>
      <w:r>
        <w:rPr>
          <w:rFonts w:hint="eastAsia" w:ascii="Times New Roman" w:hAnsi="Times New Roman" w:eastAsia="仿宋_GB2312"/>
          <w:sz w:val="32"/>
          <w:szCs w:val="32"/>
        </w:rPr>
        <w:t>%，与上年相比，财政拨款支出</w:t>
      </w:r>
      <w:r>
        <w:rPr>
          <w:rFonts w:hint="eastAsia" w:ascii="Times New Roman" w:hAnsi="Times New Roman" w:eastAsia="仿宋_GB2312"/>
          <w:sz w:val="32"/>
          <w:szCs w:val="32"/>
          <w:lang w:val="en-US" w:eastAsia="zh-CN"/>
        </w:rPr>
        <w:t>减少136.39</w:t>
      </w:r>
      <w:r>
        <w:rPr>
          <w:rFonts w:hint="eastAsia" w:ascii="Times New Roman" w:hAnsi="Times New Roman" w:eastAsia="仿宋_GB2312"/>
          <w:sz w:val="32"/>
          <w:szCs w:val="32"/>
        </w:rPr>
        <w:t>万元，</w:t>
      </w:r>
      <w:r>
        <w:rPr>
          <w:rFonts w:hint="eastAsia" w:ascii="Times New Roman" w:hAnsi="Times New Roman" w:eastAsia="仿宋_GB2312"/>
          <w:sz w:val="32"/>
          <w:szCs w:val="32"/>
          <w:lang w:val="en-US" w:eastAsia="zh-CN"/>
        </w:rPr>
        <w:t>减少2.62</w:t>
      </w:r>
      <w:r>
        <w:rPr>
          <w:rFonts w:hint="eastAsia" w:ascii="Times New Roman" w:hAnsi="Times New Roman" w:eastAsia="仿宋_GB2312"/>
          <w:sz w:val="32"/>
          <w:szCs w:val="32"/>
        </w:rPr>
        <w:t>%，主要是因为</w:t>
      </w:r>
      <w:r>
        <w:rPr>
          <w:rFonts w:hint="eastAsia" w:ascii="Times New Roman" w:hAnsi="Times New Roman" w:eastAsia="仿宋_GB2312"/>
          <w:sz w:val="32"/>
          <w:szCs w:val="32"/>
          <w:lang w:val="en-US" w:eastAsia="zh-CN"/>
        </w:rPr>
        <w:t>人员经费较上年减少。</w:t>
      </w:r>
    </w:p>
    <w:p w14:paraId="329CDB03">
      <w:pPr>
        <w:pStyle w:val="16"/>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（二）</w:t>
      </w:r>
      <w:r>
        <w:rPr>
          <w:rFonts w:hint="eastAsia" w:ascii="楷体" w:hAnsi="楷体" w:eastAsia="楷体" w:cs="楷体"/>
          <w:b w:val="0"/>
          <w:bCs/>
          <w:sz w:val="32"/>
          <w:szCs w:val="32"/>
          <w:lang w:val="en-US" w:eastAsia="zh-CN"/>
        </w:rPr>
        <w:t>一般公共预算</w:t>
      </w:r>
      <w:r>
        <w:rPr>
          <w:rFonts w:hint="eastAsia" w:ascii="楷体" w:hAnsi="楷体" w:eastAsia="楷体" w:cs="楷体"/>
          <w:b w:val="0"/>
          <w:bCs/>
          <w:sz w:val="32"/>
          <w:szCs w:val="32"/>
        </w:rPr>
        <w:t>财政拨款支出决算结构情况</w:t>
      </w:r>
    </w:p>
    <w:p w14:paraId="53E3E5C9">
      <w:pPr>
        <w:pStyle w:val="16"/>
        <w:keepNext w:val="0"/>
        <w:keepLines w:val="0"/>
        <w:pageBreakBefore w:val="0"/>
        <w:widowControl w:val="0"/>
        <w:kinsoku/>
        <w:wordWrap/>
        <w:overflowPunct/>
        <w:topLinePunct w:val="0"/>
        <w:bidi w:val="0"/>
        <w:snapToGrid/>
        <w:spacing w:line="600" w:lineRule="exact"/>
        <w:ind w:firstLine="800" w:firstLineChars="250"/>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年度财政拨款支出</w:t>
      </w:r>
      <w:r>
        <w:rPr>
          <w:rFonts w:hint="eastAsia" w:ascii="Times New Roman" w:hAnsi="Times New Roman" w:eastAsia="仿宋_GB2312"/>
          <w:sz w:val="32"/>
          <w:szCs w:val="32"/>
          <w:lang w:val="en-US" w:eastAsia="zh-CN"/>
        </w:rPr>
        <w:t>5076.51</w:t>
      </w:r>
      <w:r>
        <w:rPr>
          <w:rFonts w:hint="eastAsia" w:ascii="Times New Roman" w:hAnsi="Times New Roman" w:eastAsia="仿宋_GB2312"/>
          <w:sz w:val="32"/>
          <w:szCs w:val="32"/>
        </w:rPr>
        <w:t>万元，主要用于以下方面：一般公共服务（类）支出</w:t>
      </w:r>
      <w:r>
        <w:rPr>
          <w:rFonts w:hint="eastAsia" w:ascii="Times New Roman" w:hAnsi="Times New Roman" w:eastAsia="仿宋_GB2312"/>
          <w:sz w:val="32"/>
          <w:szCs w:val="32"/>
          <w:lang w:val="en-US" w:eastAsia="zh-CN"/>
        </w:rPr>
        <w:t>32.25</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占</w:t>
      </w:r>
      <w:r>
        <w:rPr>
          <w:rFonts w:hint="eastAsia" w:ascii="Times New Roman" w:hAnsi="Times New Roman" w:eastAsia="仿宋_GB2312"/>
          <w:sz w:val="32"/>
          <w:szCs w:val="32"/>
          <w:lang w:val="en-US" w:eastAsia="zh-CN"/>
        </w:rPr>
        <w:t>0.63</w:t>
      </w:r>
      <w:r>
        <w:rPr>
          <w:rFonts w:hint="eastAsia" w:ascii="Times New Roman" w:hAnsi="Times New Roman" w:eastAsia="仿宋_GB2312"/>
          <w:sz w:val="32"/>
          <w:szCs w:val="32"/>
        </w:rPr>
        <w:t>%；教育（类）支出</w:t>
      </w:r>
      <w:r>
        <w:rPr>
          <w:rFonts w:hint="eastAsia" w:ascii="Times New Roman" w:hAnsi="Times New Roman" w:eastAsia="仿宋_GB2312"/>
          <w:sz w:val="32"/>
          <w:szCs w:val="32"/>
          <w:lang w:val="en-US" w:eastAsia="zh-CN"/>
        </w:rPr>
        <w:t>4058.09</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79.94</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科学技术</w:t>
      </w:r>
      <w:r>
        <w:rPr>
          <w:rFonts w:hint="eastAsia" w:ascii="Times New Roman" w:hAnsi="Times New Roman" w:eastAsia="仿宋_GB2312"/>
          <w:sz w:val="32"/>
          <w:szCs w:val="32"/>
        </w:rPr>
        <w:t>（类）</w:t>
      </w:r>
      <w:r>
        <w:rPr>
          <w:rFonts w:hint="eastAsia" w:ascii="Times New Roman" w:hAnsi="Times New Roman" w:eastAsia="仿宋_GB2312"/>
          <w:sz w:val="32"/>
          <w:szCs w:val="32"/>
          <w:lang w:val="en-US" w:eastAsia="zh-CN"/>
        </w:rPr>
        <w:t>支出10万元，占0.20%；社会保障和就业</w:t>
      </w:r>
      <w:r>
        <w:rPr>
          <w:rFonts w:hint="eastAsia" w:ascii="Times New Roman" w:hAnsi="Times New Roman" w:eastAsia="仿宋_GB2312"/>
          <w:sz w:val="32"/>
          <w:szCs w:val="32"/>
        </w:rPr>
        <w:t>（类）</w:t>
      </w:r>
      <w:r>
        <w:rPr>
          <w:rFonts w:hint="eastAsia" w:ascii="Times New Roman" w:hAnsi="Times New Roman" w:eastAsia="仿宋_GB2312"/>
          <w:sz w:val="32"/>
          <w:szCs w:val="32"/>
          <w:lang w:val="en-US" w:eastAsia="zh-CN"/>
        </w:rPr>
        <w:t>支出743.03万元，占14.64%；卫生健康</w:t>
      </w:r>
      <w:r>
        <w:rPr>
          <w:rFonts w:hint="eastAsia" w:ascii="Times New Roman" w:hAnsi="Times New Roman" w:eastAsia="仿宋_GB2312"/>
          <w:sz w:val="32"/>
          <w:szCs w:val="32"/>
        </w:rPr>
        <w:t>（类）</w:t>
      </w:r>
      <w:r>
        <w:rPr>
          <w:rFonts w:hint="eastAsia" w:ascii="Times New Roman" w:hAnsi="Times New Roman" w:eastAsia="仿宋_GB2312"/>
          <w:sz w:val="32"/>
          <w:szCs w:val="32"/>
          <w:lang w:val="en-US" w:eastAsia="zh-CN"/>
        </w:rPr>
        <w:t>支出233.14万元，占4.59%。</w:t>
      </w:r>
    </w:p>
    <w:p w14:paraId="32E96B7B">
      <w:pPr>
        <w:pStyle w:val="16"/>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（三）财政拨款支出决算具体情况</w:t>
      </w:r>
    </w:p>
    <w:p w14:paraId="25AEBCD7">
      <w:pPr>
        <w:pStyle w:val="16"/>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lang w:eastAsia="zh-CN"/>
        </w:rPr>
        <w:t>2023年</w:t>
      </w:r>
      <w:r>
        <w:rPr>
          <w:rFonts w:hint="eastAsia" w:ascii="Times New Roman" w:hAnsi="Times New Roman" w:eastAsia="仿宋_GB2312"/>
          <w:sz w:val="32"/>
          <w:szCs w:val="32"/>
        </w:rPr>
        <w:t>度财政拨款支出年初预算数为</w:t>
      </w:r>
      <w:r>
        <w:rPr>
          <w:rFonts w:hint="eastAsia" w:ascii="Times New Roman" w:hAnsi="Times New Roman" w:eastAsia="仿宋_GB2312"/>
          <w:sz w:val="32"/>
          <w:szCs w:val="32"/>
          <w:lang w:val="en-US" w:eastAsia="zh-CN"/>
        </w:rPr>
        <w:t>4717.69</w:t>
      </w:r>
      <w:r>
        <w:rPr>
          <w:rFonts w:hint="eastAsia" w:ascii="Times New Roman" w:hAnsi="Times New Roman" w:eastAsia="仿宋_GB2312"/>
          <w:sz w:val="32"/>
          <w:szCs w:val="32"/>
        </w:rPr>
        <w:t>万元，支出决算数为</w:t>
      </w:r>
      <w:r>
        <w:rPr>
          <w:rFonts w:hint="eastAsia" w:ascii="Times New Roman" w:hAnsi="Times New Roman" w:eastAsia="仿宋_GB2312"/>
          <w:sz w:val="32"/>
          <w:szCs w:val="32"/>
          <w:lang w:val="en-US" w:eastAsia="zh-CN"/>
        </w:rPr>
        <w:t>5076.51</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107.61</w:t>
      </w:r>
      <w:r>
        <w:rPr>
          <w:rFonts w:hint="eastAsia" w:ascii="Times New Roman" w:hAnsi="Times New Roman" w:eastAsia="仿宋_GB2312"/>
          <w:sz w:val="32"/>
          <w:szCs w:val="32"/>
        </w:rPr>
        <w:t>%，其中：</w:t>
      </w:r>
    </w:p>
    <w:p w14:paraId="751DF458">
      <w:pPr>
        <w:pStyle w:val="16"/>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1、一般公共服务（类）</w:t>
      </w:r>
      <w:r>
        <w:rPr>
          <w:rFonts w:hint="eastAsia" w:ascii="Times New Roman" w:hAnsi="Times New Roman" w:eastAsia="仿宋_GB2312"/>
          <w:sz w:val="32"/>
          <w:szCs w:val="32"/>
          <w:lang w:val="en-US" w:eastAsia="zh-CN"/>
        </w:rPr>
        <w:t>财政事务</w:t>
      </w:r>
      <w:r>
        <w:rPr>
          <w:rFonts w:hint="eastAsia" w:ascii="Times New Roman" w:hAnsi="Times New Roman" w:eastAsia="仿宋_GB2312"/>
          <w:sz w:val="32"/>
          <w:szCs w:val="32"/>
        </w:rPr>
        <w:t>（款）</w:t>
      </w:r>
      <w:r>
        <w:rPr>
          <w:rFonts w:hint="eastAsia" w:ascii="Times New Roman" w:hAnsi="Times New Roman" w:eastAsia="仿宋_GB2312"/>
          <w:sz w:val="32"/>
          <w:szCs w:val="32"/>
          <w:lang w:val="en-US" w:eastAsia="zh-CN"/>
        </w:rPr>
        <w:t>其他财政事务支出</w:t>
      </w:r>
      <w:r>
        <w:rPr>
          <w:rFonts w:hint="eastAsia" w:ascii="Times New Roman" w:hAnsi="Times New Roman" w:eastAsia="仿宋_GB2312"/>
          <w:sz w:val="32"/>
          <w:szCs w:val="32"/>
        </w:rPr>
        <w:t>（项）。</w:t>
      </w:r>
    </w:p>
    <w:p w14:paraId="2CB778F1">
      <w:pPr>
        <w:pStyle w:val="16"/>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万元，决算数</w:t>
      </w:r>
      <w:r>
        <w:rPr>
          <w:rFonts w:hint="eastAsia" w:ascii="Times New Roman" w:hAnsi="Times New Roman" w:eastAsia="仿宋_GB2312"/>
          <w:sz w:val="32"/>
          <w:szCs w:val="32"/>
          <w:lang w:val="en-US" w:eastAsia="zh-CN"/>
        </w:rPr>
        <w:t>大</w:t>
      </w:r>
      <w:r>
        <w:rPr>
          <w:rFonts w:hint="eastAsia" w:ascii="Times New Roman" w:hAnsi="Times New Roman" w:eastAsia="仿宋_GB2312"/>
          <w:sz w:val="32"/>
          <w:szCs w:val="32"/>
        </w:rPr>
        <w:t>于年初预算数的主要原因是</w:t>
      </w:r>
      <w:r>
        <w:rPr>
          <w:rFonts w:hint="eastAsia" w:ascii="Times New Roman" w:hAnsi="Times New Roman" w:eastAsia="仿宋_GB2312"/>
          <w:sz w:val="32"/>
          <w:szCs w:val="32"/>
          <w:lang w:val="en-US" w:eastAsia="zh-CN"/>
        </w:rPr>
        <w:t>年中追加资产管理工作经费。</w:t>
      </w:r>
    </w:p>
    <w:p w14:paraId="236C49CC">
      <w:pPr>
        <w:pStyle w:val="16"/>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2、一般公共服务（类）</w:t>
      </w:r>
      <w:r>
        <w:rPr>
          <w:rFonts w:hint="eastAsia" w:ascii="Times New Roman" w:hAnsi="Times New Roman" w:eastAsia="仿宋_GB2312"/>
          <w:sz w:val="32"/>
          <w:szCs w:val="32"/>
          <w:lang w:val="en-US" w:eastAsia="zh-CN"/>
        </w:rPr>
        <w:t>组织事务</w:t>
      </w:r>
      <w:r>
        <w:rPr>
          <w:rFonts w:hint="eastAsia" w:ascii="Times New Roman" w:hAnsi="Times New Roman" w:eastAsia="仿宋_GB2312"/>
          <w:sz w:val="32"/>
          <w:szCs w:val="32"/>
        </w:rPr>
        <w:t>（款）</w:t>
      </w:r>
      <w:r>
        <w:rPr>
          <w:rFonts w:hint="eastAsia" w:ascii="Times New Roman" w:hAnsi="Times New Roman" w:eastAsia="仿宋_GB2312"/>
          <w:sz w:val="32"/>
          <w:szCs w:val="32"/>
          <w:lang w:val="en-US" w:eastAsia="zh-CN"/>
        </w:rPr>
        <w:t>其他组织事务支出</w:t>
      </w:r>
      <w:r>
        <w:rPr>
          <w:rFonts w:hint="eastAsia" w:ascii="Times New Roman" w:hAnsi="Times New Roman" w:eastAsia="仿宋_GB2312"/>
          <w:sz w:val="32"/>
          <w:szCs w:val="32"/>
        </w:rPr>
        <w:t>（项）。</w:t>
      </w:r>
    </w:p>
    <w:p w14:paraId="2C4E4981">
      <w:pPr>
        <w:pStyle w:val="16"/>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29.25</w:t>
      </w:r>
      <w:r>
        <w:rPr>
          <w:rFonts w:hint="eastAsia" w:ascii="Times New Roman" w:hAnsi="Times New Roman" w:eastAsia="仿宋_GB2312"/>
          <w:sz w:val="32"/>
          <w:szCs w:val="32"/>
        </w:rPr>
        <w:t>万元，决算数大于年初预算数的主要原因是：</w:t>
      </w:r>
      <w:r>
        <w:rPr>
          <w:rFonts w:hint="eastAsia" w:ascii="Times New Roman" w:hAnsi="Times New Roman" w:eastAsia="仿宋_GB2312"/>
          <w:sz w:val="32"/>
          <w:szCs w:val="32"/>
          <w:lang w:val="en-US" w:eastAsia="zh-CN"/>
        </w:rPr>
        <w:t>年中追加人才资源开展专项资金。</w:t>
      </w:r>
    </w:p>
    <w:p w14:paraId="294BEB28">
      <w:pPr>
        <w:pStyle w:val="16"/>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lang w:val="en-US" w:eastAsia="zh-CN"/>
        </w:rPr>
        <w:t>3、教育</w:t>
      </w:r>
      <w:r>
        <w:rPr>
          <w:rFonts w:hint="eastAsia" w:ascii="Times New Roman" w:hAnsi="Times New Roman" w:eastAsia="仿宋_GB2312"/>
          <w:sz w:val="32"/>
          <w:szCs w:val="32"/>
        </w:rPr>
        <w:t>（类）</w:t>
      </w:r>
      <w:r>
        <w:rPr>
          <w:rFonts w:hint="eastAsia" w:ascii="Times New Roman" w:hAnsi="Times New Roman" w:eastAsia="仿宋_GB2312"/>
          <w:sz w:val="32"/>
          <w:szCs w:val="32"/>
          <w:lang w:val="en-US" w:eastAsia="zh-CN"/>
        </w:rPr>
        <w:t>普通教育</w:t>
      </w:r>
      <w:r>
        <w:rPr>
          <w:rFonts w:hint="eastAsia" w:ascii="Times New Roman" w:hAnsi="Times New Roman" w:eastAsia="仿宋_GB2312"/>
          <w:sz w:val="32"/>
          <w:szCs w:val="32"/>
        </w:rPr>
        <w:t>（款）</w:t>
      </w:r>
      <w:r>
        <w:rPr>
          <w:rFonts w:hint="eastAsia" w:ascii="Times New Roman" w:hAnsi="Times New Roman" w:eastAsia="仿宋_GB2312"/>
          <w:sz w:val="32"/>
          <w:szCs w:val="32"/>
          <w:lang w:val="en-US" w:eastAsia="zh-CN"/>
        </w:rPr>
        <w:t>高中教育</w:t>
      </w:r>
      <w:r>
        <w:rPr>
          <w:rFonts w:hint="eastAsia" w:ascii="Times New Roman" w:hAnsi="Times New Roman" w:eastAsia="仿宋_GB2312"/>
          <w:sz w:val="32"/>
          <w:szCs w:val="32"/>
        </w:rPr>
        <w:t>（项）。</w:t>
      </w:r>
    </w:p>
    <w:p w14:paraId="273E692F">
      <w:pPr>
        <w:pStyle w:val="16"/>
        <w:bidi w:val="0"/>
        <w:ind w:firstLine="640" w:firstLineChars="200"/>
        <w:rPr>
          <w:rFonts w:hint="eastAsia" w:ascii="仿宋" w:hAnsi="仿宋" w:eastAsia="仿宋" w:cs="仿宋"/>
          <w:sz w:val="32"/>
          <w:szCs w:val="32"/>
          <w:lang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4017.27</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4022.95</w:t>
      </w:r>
      <w:r>
        <w:rPr>
          <w:rFonts w:hint="eastAsia" w:ascii="Times New Roman" w:hAnsi="Times New Roman" w:eastAsia="仿宋_GB2312"/>
          <w:sz w:val="32"/>
          <w:szCs w:val="32"/>
        </w:rPr>
        <w:t>万元，</w:t>
      </w:r>
      <w:r>
        <w:rPr>
          <w:rFonts w:hint="eastAsia" w:ascii="Times New Roman" w:hAnsi="Times New Roman" w:eastAsia="仿宋_GB2312"/>
          <w:sz w:val="32"/>
          <w:szCs w:val="32"/>
          <w:lang w:val="en-US" w:eastAsia="zh-CN"/>
        </w:rPr>
        <w:t>完成年初预算的100.14%，</w:t>
      </w:r>
      <w:r>
        <w:rPr>
          <w:rFonts w:hint="eastAsia" w:ascii="Times New Roman" w:hAnsi="Times New Roman" w:eastAsia="仿宋_GB2312"/>
          <w:sz w:val="32"/>
          <w:szCs w:val="32"/>
        </w:rPr>
        <w:t>决算数大于年初预算数的主要原因是：</w:t>
      </w:r>
      <w:r>
        <w:rPr>
          <w:rFonts w:hint="eastAsia" w:ascii="Times New Roman" w:hAnsi="Times New Roman" w:eastAsia="仿宋_GB2312"/>
          <w:sz w:val="32"/>
          <w:szCs w:val="32"/>
          <w:lang w:val="en-US" w:eastAsia="zh-CN"/>
        </w:rPr>
        <w:t>年中追加了项目支出。</w:t>
      </w:r>
    </w:p>
    <w:p w14:paraId="5B3EDF8E">
      <w:pPr>
        <w:pStyle w:val="16"/>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仿宋" w:hAnsi="仿宋" w:eastAsia="仿宋" w:cs="仿宋"/>
          <w:sz w:val="32"/>
          <w:szCs w:val="32"/>
          <w:lang w:val="en-US" w:eastAsia="zh-CN"/>
        </w:rPr>
        <w:t>3、</w:t>
      </w:r>
      <w:r>
        <w:rPr>
          <w:rFonts w:hint="eastAsia" w:ascii="Times New Roman" w:hAnsi="Times New Roman" w:eastAsia="仿宋_GB2312"/>
          <w:sz w:val="32"/>
          <w:szCs w:val="32"/>
          <w:lang w:val="en-US" w:eastAsia="zh-CN"/>
        </w:rPr>
        <w:t>教育</w:t>
      </w:r>
      <w:r>
        <w:rPr>
          <w:rFonts w:hint="eastAsia" w:ascii="Times New Roman" w:hAnsi="Times New Roman" w:eastAsia="仿宋_GB2312"/>
          <w:sz w:val="32"/>
          <w:szCs w:val="32"/>
        </w:rPr>
        <w:t>（类）</w:t>
      </w:r>
      <w:r>
        <w:rPr>
          <w:rFonts w:hint="eastAsia" w:ascii="Times New Roman" w:hAnsi="Times New Roman" w:eastAsia="仿宋_GB2312"/>
          <w:sz w:val="32"/>
          <w:szCs w:val="32"/>
          <w:lang w:val="en-US" w:eastAsia="zh-CN"/>
        </w:rPr>
        <w:t>普通教育</w:t>
      </w:r>
      <w:r>
        <w:rPr>
          <w:rFonts w:hint="eastAsia" w:ascii="Times New Roman" w:hAnsi="Times New Roman" w:eastAsia="仿宋_GB2312"/>
          <w:sz w:val="32"/>
          <w:szCs w:val="32"/>
        </w:rPr>
        <w:t>（款）</w:t>
      </w:r>
      <w:r>
        <w:rPr>
          <w:rFonts w:hint="eastAsia" w:ascii="Times New Roman" w:hAnsi="Times New Roman" w:eastAsia="仿宋_GB2312"/>
          <w:sz w:val="32"/>
          <w:szCs w:val="32"/>
          <w:lang w:val="en-US" w:eastAsia="zh-CN"/>
        </w:rPr>
        <w:t>其他普通教育支出</w:t>
      </w:r>
      <w:r>
        <w:rPr>
          <w:rFonts w:hint="eastAsia" w:ascii="Times New Roman" w:hAnsi="Times New Roman" w:eastAsia="仿宋_GB2312"/>
          <w:sz w:val="32"/>
          <w:szCs w:val="32"/>
        </w:rPr>
        <w:t>（项）。</w:t>
      </w:r>
    </w:p>
    <w:p w14:paraId="05D70910">
      <w:pPr>
        <w:pStyle w:val="16"/>
        <w:bidi w:val="0"/>
        <w:ind w:firstLine="640" w:firstLineChars="200"/>
        <w:rPr>
          <w:rFonts w:hint="eastAsia" w:ascii="仿宋" w:hAnsi="仿宋" w:eastAsia="仿宋" w:cs="仿宋"/>
          <w:sz w:val="32"/>
          <w:szCs w:val="32"/>
          <w:lang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10</w:t>
      </w:r>
      <w:r>
        <w:rPr>
          <w:rFonts w:hint="eastAsia" w:ascii="Times New Roman" w:hAnsi="Times New Roman" w:eastAsia="仿宋_GB2312"/>
          <w:sz w:val="32"/>
          <w:szCs w:val="32"/>
        </w:rPr>
        <w:t>万元，决算数大于年初预算数的主要原因是：</w:t>
      </w:r>
      <w:r>
        <w:rPr>
          <w:rFonts w:hint="eastAsia" w:ascii="Times New Roman" w:hAnsi="Times New Roman" w:eastAsia="仿宋_GB2312"/>
          <w:sz w:val="32"/>
          <w:szCs w:val="32"/>
          <w:lang w:val="en-US" w:eastAsia="zh-CN"/>
        </w:rPr>
        <w:t>年中追加了“三区”人才计划教师专项工作补助经费。</w:t>
      </w:r>
    </w:p>
    <w:p w14:paraId="38F228DF">
      <w:pPr>
        <w:pStyle w:val="16"/>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仿宋" w:hAnsi="仿宋" w:eastAsia="仿宋" w:cs="仿宋"/>
          <w:sz w:val="32"/>
          <w:szCs w:val="32"/>
          <w:lang w:val="en-US" w:eastAsia="zh-CN"/>
        </w:rPr>
        <w:t>4、</w:t>
      </w:r>
      <w:r>
        <w:rPr>
          <w:rFonts w:hint="eastAsia" w:ascii="Times New Roman" w:hAnsi="Times New Roman" w:eastAsia="仿宋_GB2312"/>
          <w:sz w:val="32"/>
          <w:szCs w:val="32"/>
          <w:lang w:val="en-US" w:eastAsia="zh-CN"/>
        </w:rPr>
        <w:t>教育</w:t>
      </w:r>
      <w:r>
        <w:rPr>
          <w:rFonts w:hint="eastAsia" w:ascii="Times New Roman" w:hAnsi="Times New Roman" w:eastAsia="仿宋_GB2312"/>
          <w:sz w:val="32"/>
          <w:szCs w:val="32"/>
        </w:rPr>
        <w:t>（类）</w:t>
      </w:r>
      <w:r>
        <w:rPr>
          <w:rFonts w:hint="eastAsia" w:ascii="Times New Roman" w:hAnsi="Times New Roman" w:eastAsia="仿宋_GB2312"/>
          <w:sz w:val="32"/>
          <w:szCs w:val="32"/>
          <w:lang w:val="en-US" w:eastAsia="zh-CN"/>
        </w:rPr>
        <w:t>其他教育支出</w:t>
      </w:r>
      <w:r>
        <w:rPr>
          <w:rFonts w:hint="eastAsia" w:ascii="Times New Roman" w:hAnsi="Times New Roman" w:eastAsia="仿宋_GB2312"/>
          <w:sz w:val="32"/>
          <w:szCs w:val="32"/>
        </w:rPr>
        <w:t>（款）</w:t>
      </w:r>
      <w:r>
        <w:rPr>
          <w:rFonts w:hint="eastAsia" w:ascii="Times New Roman" w:hAnsi="Times New Roman" w:eastAsia="仿宋_GB2312"/>
          <w:sz w:val="32"/>
          <w:szCs w:val="32"/>
          <w:lang w:val="en-US" w:eastAsia="zh-CN"/>
        </w:rPr>
        <w:t>其他教育支出</w:t>
      </w:r>
      <w:r>
        <w:rPr>
          <w:rFonts w:hint="eastAsia" w:ascii="Times New Roman" w:hAnsi="Times New Roman" w:eastAsia="仿宋_GB2312"/>
          <w:sz w:val="32"/>
          <w:szCs w:val="32"/>
        </w:rPr>
        <w:t>（项）。</w:t>
      </w:r>
    </w:p>
    <w:p w14:paraId="2F56ABF5">
      <w:pPr>
        <w:pStyle w:val="16"/>
        <w:bidi w:val="0"/>
        <w:ind w:firstLine="640" w:firstLineChars="200"/>
        <w:rPr>
          <w:rFonts w:hint="eastAsia" w:ascii="仿宋" w:hAnsi="仿宋" w:eastAsia="仿宋" w:cs="仿宋"/>
          <w:sz w:val="32"/>
          <w:szCs w:val="32"/>
          <w:lang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25.14</w:t>
      </w:r>
      <w:r>
        <w:rPr>
          <w:rFonts w:hint="eastAsia" w:ascii="Times New Roman" w:hAnsi="Times New Roman" w:eastAsia="仿宋_GB2312"/>
          <w:sz w:val="32"/>
          <w:szCs w:val="32"/>
        </w:rPr>
        <w:t>万元，决算数大于年初预算数的主要原因是：</w:t>
      </w:r>
      <w:r>
        <w:rPr>
          <w:rFonts w:hint="eastAsia" w:ascii="Times New Roman" w:hAnsi="Times New Roman" w:eastAsia="仿宋_GB2312"/>
          <w:sz w:val="32"/>
          <w:szCs w:val="32"/>
          <w:lang w:val="en-US" w:eastAsia="zh-CN"/>
        </w:rPr>
        <w:t>年中追加了高考考点建设补助资金。</w:t>
      </w:r>
    </w:p>
    <w:p w14:paraId="3E289004">
      <w:pPr>
        <w:pStyle w:val="16"/>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仿宋" w:hAnsi="仿宋" w:eastAsia="仿宋" w:cs="仿宋"/>
          <w:sz w:val="32"/>
          <w:szCs w:val="32"/>
          <w:lang w:val="en-US" w:eastAsia="zh-CN"/>
        </w:rPr>
        <w:t>5、</w:t>
      </w:r>
      <w:r>
        <w:rPr>
          <w:rFonts w:hint="eastAsia" w:ascii="Times New Roman" w:hAnsi="Times New Roman" w:eastAsia="仿宋_GB2312"/>
          <w:sz w:val="32"/>
          <w:szCs w:val="32"/>
          <w:lang w:val="en-US" w:eastAsia="zh-CN"/>
        </w:rPr>
        <w:t>科学技术</w:t>
      </w:r>
      <w:r>
        <w:rPr>
          <w:rFonts w:hint="eastAsia" w:ascii="Times New Roman" w:hAnsi="Times New Roman" w:eastAsia="仿宋_GB2312"/>
          <w:sz w:val="32"/>
          <w:szCs w:val="32"/>
        </w:rPr>
        <w:t>（类）</w:t>
      </w:r>
      <w:r>
        <w:rPr>
          <w:rFonts w:hint="eastAsia" w:ascii="Times New Roman" w:hAnsi="Times New Roman" w:eastAsia="仿宋_GB2312"/>
          <w:sz w:val="32"/>
          <w:szCs w:val="32"/>
          <w:lang w:val="en-US" w:eastAsia="zh-CN"/>
        </w:rPr>
        <w:t>科学技术普及</w:t>
      </w:r>
      <w:r>
        <w:rPr>
          <w:rFonts w:hint="eastAsia" w:ascii="Times New Roman" w:hAnsi="Times New Roman" w:eastAsia="仿宋_GB2312"/>
          <w:sz w:val="32"/>
          <w:szCs w:val="32"/>
        </w:rPr>
        <w:t>（款）</w:t>
      </w:r>
      <w:r>
        <w:rPr>
          <w:rFonts w:hint="eastAsia" w:ascii="Times New Roman" w:hAnsi="Times New Roman" w:eastAsia="仿宋_GB2312"/>
          <w:sz w:val="32"/>
          <w:szCs w:val="32"/>
          <w:lang w:val="en-US" w:eastAsia="zh-CN"/>
        </w:rPr>
        <w:t>科普活动</w:t>
      </w:r>
      <w:r>
        <w:rPr>
          <w:rFonts w:hint="eastAsia" w:ascii="Times New Roman" w:hAnsi="Times New Roman" w:eastAsia="仿宋_GB2312"/>
          <w:sz w:val="32"/>
          <w:szCs w:val="32"/>
        </w:rPr>
        <w:t>（项）。</w:t>
      </w:r>
    </w:p>
    <w:p w14:paraId="44D3CD6C">
      <w:pPr>
        <w:pStyle w:val="16"/>
        <w:bidi w:val="0"/>
        <w:ind w:firstLine="640" w:firstLineChars="200"/>
        <w:rPr>
          <w:rFonts w:hint="eastAsia" w:ascii="仿宋" w:hAnsi="仿宋" w:eastAsia="仿宋" w:cs="仿宋"/>
          <w:sz w:val="32"/>
          <w:szCs w:val="32"/>
          <w:lang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10</w:t>
      </w:r>
      <w:r>
        <w:rPr>
          <w:rFonts w:hint="eastAsia" w:ascii="Times New Roman" w:hAnsi="Times New Roman" w:eastAsia="仿宋_GB2312"/>
          <w:sz w:val="32"/>
          <w:szCs w:val="32"/>
        </w:rPr>
        <w:t>万元，决算数大于年初预算数的主要原因是：</w:t>
      </w:r>
      <w:r>
        <w:rPr>
          <w:rFonts w:hint="eastAsia" w:ascii="Times New Roman" w:hAnsi="Times New Roman" w:eastAsia="仿宋_GB2312"/>
          <w:sz w:val="32"/>
          <w:szCs w:val="32"/>
          <w:lang w:val="en-US" w:eastAsia="zh-CN"/>
        </w:rPr>
        <w:t>年中追加了基层科普行动计划专项资金。</w:t>
      </w:r>
    </w:p>
    <w:p w14:paraId="2D39D86C">
      <w:pPr>
        <w:pStyle w:val="16"/>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lang w:val="en-US" w:eastAsia="zh-CN"/>
        </w:rPr>
        <w:t>6、社会保障和就业</w:t>
      </w:r>
      <w:r>
        <w:rPr>
          <w:rFonts w:hint="eastAsia" w:ascii="Times New Roman" w:hAnsi="Times New Roman" w:eastAsia="仿宋_GB2312"/>
          <w:sz w:val="32"/>
          <w:szCs w:val="32"/>
        </w:rPr>
        <w:t>（类）</w:t>
      </w:r>
      <w:r>
        <w:rPr>
          <w:rFonts w:hint="eastAsia" w:ascii="Times New Roman" w:hAnsi="Times New Roman" w:eastAsia="仿宋_GB2312"/>
          <w:sz w:val="32"/>
          <w:szCs w:val="32"/>
          <w:lang w:val="en-US" w:eastAsia="zh-CN"/>
        </w:rPr>
        <w:t>行政事业单位养老支出</w:t>
      </w:r>
      <w:r>
        <w:rPr>
          <w:rFonts w:hint="eastAsia" w:ascii="Times New Roman" w:hAnsi="Times New Roman" w:eastAsia="仿宋_GB2312"/>
          <w:sz w:val="32"/>
          <w:szCs w:val="32"/>
        </w:rPr>
        <w:t>（款）</w:t>
      </w:r>
      <w:r>
        <w:rPr>
          <w:rFonts w:hint="eastAsia" w:ascii="Times New Roman" w:hAnsi="Times New Roman" w:eastAsia="仿宋_GB2312"/>
          <w:sz w:val="32"/>
          <w:szCs w:val="32"/>
          <w:lang w:val="en-US" w:eastAsia="zh-CN"/>
        </w:rPr>
        <w:t>机关事业单位基本养老保险缴费支出</w:t>
      </w:r>
      <w:r>
        <w:rPr>
          <w:rFonts w:hint="eastAsia" w:ascii="Times New Roman" w:hAnsi="Times New Roman" w:eastAsia="仿宋_GB2312"/>
          <w:sz w:val="32"/>
          <w:szCs w:val="32"/>
        </w:rPr>
        <w:t>（项）。</w:t>
      </w:r>
    </w:p>
    <w:p w14:paraId="3ACF86A4">
      <w:pPr>
        <w:pStyle w:val="16"/>
        <w:bidi w:val="0"/>
        <w:ind w:firstLine="640" w:firstLineChars="200"/>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452.27</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743.03</w:t>
      </w:r>
      <w:r>
        <w:rPr>
          <w:rFonts w:hint="eastAsia" w:ascii="Times New Roman" w:hAnsi="Times New Roman" w:eastAsia="仿宋_GB2312"/>
          <w:sz w:val="32"/>
          <w:szCs w:val="32"/>
        </w:rPr>
        <w:t>万元，决算数大于年初预算数的主要原因是：</w:t>
      </w:r>
      <w:r>
        <w:rPr>
          <w:rFonts w:hint="eastAsia" w:ascii="Times New Roman" w:hAnsi="Times New Roman" w:eastAsia="仿宋_GB2312"/>
          <w:sz w:val="32"/>
          <w:szCs w:val="32"/>
          <w:lang w:val="en-US" w:eastAsia="zh-CN"/>
        </w:rPr>
        <w:t>年中追加了养老保险缴费支出。</w:t>
      </w:r>
    </w:p>
    <w:p w14:paraId="7CB68747">
      <w:pPr>
        <w:pStyle w:val="16"/>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lang w:val="en-US" w:eastAsia="zh-CN"/>
        </w:rPr>
        <w:t>7、卫生健康支出</w:t>
      </w:r>
      <w:r>
        <w:rPr>
          <w:rFonts w:hint="eastAsia" w:ascii="Times New Roman" w:hAnsi="Times New Roman" w:eastAsia="仿宋_GB2312"/>
          <w:sz w:val="32"/>
          <w:szCs w:val="32"/>
        </w:rPr>
        <w:t>（类）</w:t>
      </w:r>
      <w:r>
        <w:rPr>
          <w:rFonts w:hint="eastAsia" w:ascii="Times New Roman" w:hAnsi="Times New Roman" w:eastAsia="仿宋_GB2312"/>
          <w:sz w:val="32"/>
          <w:szCs w:val="32"/>
          <w:lang w:val="en-US" w:eastAsia="zh-CN"/>
        </w:rPr>
        <w:t>行政事业单位医疗</w:t>
      </w:r>
      <w:r>
        <w:rPr>
          <w:rFonts w:hint="eastAsia" w:ascii="Times New Roman" w:hAnsi="Times New Roman" w:eastAsia="仿宋_GB2312"/>
          <w:sz w:val="32"/>
          <w:szCs w:val="32"/>
        </w:rPr>
        <w:t>（款）</w:t>
      </w:r>
      <w:r>
        <w:rPr>
          <w:rFonts w:hint="eastAsia" w:ascii="Times New Roman" w:hAnsi="Times New Roman" w:eastAsia="仿宋_GB2312"/>
          <w:sz w:val="32"/>
          <w:szCs w:val="32"/>
          <w:lang w:val="en-US" w:eastAsia="zh-CN"/>
        </w:rPr>
        <w:t>行政单位医疗</w:t>
      </w:r>
      <w:r>
        <w:rPr>
          <w:rFonts w:hint="eastAsia" w:ascii="Times New Roman" w:hAnsi="Times New Roman" w:eastAsia="仿宋_GB2312"/>
          <w:sz w:val="32"/>
          <w:szCs w:val="32"/>
        </w:rPr>
        <w:t>（项）。</w:t>
      </w:r>
    </w:p>
    <w:p w14:paraId="21346A38">
      <w:pPr>
        <w:pStyle w:val="16"/>
        <w:bidi w:val="0"/>
        <w:ind w:firstLine="640" w:firstLineChars="200"/>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194.15</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233.14</w:t>
      </w:r>
      <w:r>
        <w:rPr>
          <w:rFonts w:hint="eastAsia" w:ascii="Times New Roman" w:hAnsi="Times New Roman" w:eastAsia="仿宋_GB2312"/>
          <w:sz w:val="32"/>
          <w:szCs w:val="32"/>
        </w:rPr>
        <w:t>万元，决算数大于年初预算数的主要原因是：</w:t>
      </w:r>
      <w:r>
        <w:rPr>
          <w:rFonts w:hint="eastAsia" w:ascii="Times New Roman" w:hAnsi="Times New Roman" w:eastAsia="仿宋_GB2312"/>
          <w:sz w:val="32"/>
          <w:szCs w:val="32"/>
          <w:lang w:val="en-US" w:eastAsia="zh-CN"/>
        </w:rPr>
        <w:t>年中追加了医疗保险缴费支出。</w:t>
      </w:r>
    </w:p>
    <w:p w14:paraId="326D6927">
      <w:pPr>
        <w:pStyle w:val="16"/>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六、一般公共预算财政拨款基本支出决算情况说明</w:t>
      </w:r>
    </w:p>
    <w:p w14:paraId="2455CEB1">
      <w:pPr>
        <w:pStyle w:val="16"/>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lang w:eastAsia="zh-CN"/>
        </w:rPr>
        <w:t>2023年</w:t>
      </w:r>
      <w:r>
        <w:rPr>
          <w:rFonts w:hint="eastAsia" w:ascii="Times New Roman" w:hAnsi="Times New Roman" w:eastAsia="仿宋_GB2312"/>
          <w:sz w:val="32"/>
          <w:szCs w:val="32"/>
        </w:rPr>
        <w:t>度财政拨款基本支出</w:t>
      </w:r>
      <w:r>
        <w:rPr>
          <w:rFonts w:hint="eastAsia" w:ascii="Times New Roman" w:hAnsi="Times New Roman" w:eastAsia="仿宋_GB2312"/>
          <w:sz w:val="32"/>
          <w:szCs w:val="32"/>
          <w:lang w:val="en-US" w:eastAsia="zh-CN"/>
        </w:rPr>
        <w:t>4783.08</w:t>
      </w:r>
      <w:r>
        <w:rPr>
          <w:rFonts w:hint="eastAsia" w:ascii="Times New Roman" w:hAnsi="Times New Roman" w:eastAsia="仿宋_GB2312"/>
          <w:sz w:val="32"/>
          <w:szCs w:val="32"/>
        </w:rPr>
        <w:t>万元，其中：</w:t>
      </w:r>
    </w:p>
    <w:p w14:paraId="4242673D">
      <w:pPr>
        <w:pStyle w:val="16"/>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sz w:val="32"/>
          <w:szCs w:val="32"/>
          <w:shd w:val="clear" w:color="auto" w:fill="FFFFFF"/>
          <w:lang w:eastAsia="zh-CN"/>
        </w:rPr>
      </w:pPr>
      <w:r>
        <w:rPr>
          <w:rFonts w:hint="eastAsia" w:ascii="Times New Roman" w:hAnsi="Times New Roman" w:eastAsia="仿宋_GB2312"/>
          <w:b/>
          <w:bCs/>
          <w:sz w:val="32"/>
          <w:szCs w:val="32"/>
        </w:rPr>
        <w:t>人员经费</w:t>
      </w:r>
      <w:r>
        <w:rPr>
          <w:rFonts w:hint="eastAsia" w:ascii="Times New Roman" w:hAnsi="Times New Roman" w:eastAsia="仿宋_GB2312"/>
          <w:sz w:val="32"/>
          <w:szCs w:val="32"/>
          <w:lang w:val="en-US" w:eastAsia="zh-CN"/>
        </w:rPr>
        <w:t>4284.34</w:t>
      </w:r>
      <w:r>
        <w:rPr>
          <w:rFonts w:hint="eastAsia" w:ascii="Times New Roman" w:hAnsi="Times New Roman" w:eastAsia="仿宋_GB2312"/>
          <w:sz w:val="32"/>
          <w:szCs w:val="32"/>
        </w:rPr>
        <w:t>万元，占基本支出的</w:t>
      </w:r>
      <w:r>
        <w:rPr>
          <w:rFonts w:hint="eastAsia" w:ascii="Times New Roman" w:hAnsi="Times New Roman" w:eastAsia="仿宋_GB2312"/>
          <w:sz w:val="32"/>
          <w:szCs w:val="32"/>
          <w:lang w:val="en-US" w:eastAsia="zh-CN"/>
        </w:rPr>
        <w:t>89.57</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主要包括基本工资、津贴补贴、奖金、</w:t>
      </w:r>
      <w:r>
        <w:rPr>
          <w:rFonts w:hint="eastAsia" w:ascii="仿宋" w:hAnsi="仿宋" w:eastAsia="仿宋" w:cs="仿宋"/>
          <w:sz w:val="32"/>
          <w:szCs w:val="32"/>
          <w:shd w:val="clear" w:color="auto" w:fill="FFFFFF"/>
          <w:lang w:eastAsia="zh-CN"/>
        </w:rPr>
        <w:t>绩效工资、基本养老保险缴费、基本医疗保险缴费等。</w:t>
      </w:r>
    </w:p>
    <w:p w14:paraId="70BA6BC6">
      <w:pPr>
        <w:pStyle w:val="16"/>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sz w:val="32"/>
          <w:szCs w:val="32"/>
          <w:shd w:val="clear" w:color="auto" w:fill="FFFFFF"/>
        </w:rPr>
      </w:pPr>
      <w:r>
        <w:rPr>
          <w:rFonts w:hint="eastAsia" w:ascii="Times New Roman" w:hAnsi="Times New Roman" w:eastAsia="仿宋_GB2312"/>
          <w:b/>
          <w:bCs/>
          <w:sz w:val="32"/>
          <w:szCs w:val="32"/>
        </w:rPr>
        <w:t>公用经费</w:t>
      </w:r>
      <w:r>
        <w:rPr>
          <w:rFonts w:hint="eastAsia" w:ascii="Times New Roman" w:hAnsi="Times New Roman" w:eastAsia="仿宋_GB2312"/>
          <w:sz w:val="32"/>
          <w:szCs w:val="32"/>
          <w:lang w:val="en-US" w:eastAsia="zh-CN"/>
        </w:rPr>
        <w:t>498.74</w:t>
      </w:r>
      <w:r>
        <w:rPr>
          <w:rFonts w:hint="eastAsia" w:ascii="Times New Roman" w:hAnsi="Times New Roman" w:eastAsia="仿宋_GB2312"/>
          <w:sz w:val="32"/>
          <w:szCs w:val="32"/>
        </w:rPr>
        <w:t>万元，占基本支出的</w:t>
      </w:r>
      <w:r>
        <w:rPr>
          <w:rFonts w:hint="eastAsia" w:ascii="Times New Roman" w:hAnsi="Times New Roman" w:eastAsia="仿宋_GB2312"/>
          <w:sz w:val="32"/>
          <w:szCs w:val="32"/>
          <w:lang w:val="en-US" w:eastAsia="zh-CN"/>
        </w:rPr>
        <w:t>10.43</w:t>
      </w:r>
      <w:r>
        <w:rPr>
          <w:rFonts w:hint="eastAsia" w:ascii="Times New Roman" w:hAnsi="Times New Roman" w:eastAsia="仿宋_GB2312"/>
          <w:sz w:val="32"/>
          <w:szCs w:val="32"/>
        </w:rPr>
        <w:t>%，主要包括</w:t>
      </w:r>
      <w:r>
        <w:rPr>
          <w:rFonts w:hint="eastAsia" w:ascii="仿宋" w:hAnsi="仿宋" w:eastAsia="仿宋" w:cs="仿宋"/>
          <w:sz w:val="32"/>
          <w:szCs w:val="32"/>
          <w:shd w:val="clear" w:color="auto" w:fill="FFFFFF"/>
        </w:rPr>
        <w:t>主要包括办公费、印刷费、</w:t>
      </w:r>
      <w:r>
        <w:rPr>
          <w:rFonts w:hint="eastAsia" w:ascii="仿宋" w:hAnsi="仿宋" w:eastAsia="仿宋" w:cs="仿宋"/>
          <w:sz w:val="32"/>
          <w:szCs w:val="32"/>
          <w:shd w:val="clear" w:color="auto" w:fill="FFFFFF"/>
          <w:lang w:eastAsia="zh-CN"/>
        </w:rPr>
        <w:t>水电费、物管费、</w:t>
      </w:r>
      <w:r>
        <w:rPr>
          <w:rFonts w:hint="eastAsia" w:ascii="仿宋" w:hAnsi="仿宋" w:eastAsia="仿宋" w:cs="仿宋"/>
          <w:sz w:val="32"/>
          <w:szCs w:val="32"/>
          <w:shd w:val="clear" w:color="auto" w:fill="FFFFFF"/>
          <w:lang w:val="en-US" w:eastAsia="zh-CN"/>
        </w:rPr>
        <w:t>差旅费、</w:t>
      </w:r>
      <w:r>
        <w:rPr>
          <w:rFonts w:hint="eastAsia" w:ascii="仿宋" w:hAnsi="仿宋" w:eastAsia="仿宋" w:cs="仿宋"/>
          <w:sz w:val="32"/>
          <w:szCs w:val="32"/>
          <w:shd w:val="clear" w:color="auto" w:fill="FFFFFF"/>
          <w:lang w:eastAsia="zh-CN"/>
        </w:rPr>
        <w:t>维修费、培训费、</w:t>
      </w:r>
      <w:r>
        <w:rPr>
          <w:rFonts w:hint="eastAsia" w:ascii="仿宋" w:hAnsi="仿宋" w:eastAsia="仿宋" w:cs="仿宋"/>
          <w:sz w:val="32"/>
          <w:szCs w:val="32"/>
          <w:shd w:val="clear" w:color="auto" w:fill="FFFFFF"/>
          <w:lang w:val="en-US" w:eastAsia="zh-CN"/>
        </w:rPr>
        <w:t>福利费及其他商品和服务支出</w:t>
      </w:r>
      <w:r>
        <w:rPr>
          <w:rFonts w:hint="eastAsia" w:ascii="仿宋" w:hAnsi="仿宋" w:eastAsia="仿宋" w:cs="仿宋"/>
          <w:sz w:val="32"/>
          <w:szCs w:val="32"/>
          <w:shd w:val="clear" w:color="auto" w:fill="FFFFFF"/>
          <w:lang w:eastAsia="zh-CN"/>
        </w:rPr>
        <w:t>等</w:t>
      </w:r>
      <w:r>
        <w:rPr>
          <w:rFonts w:hint="eastAsia" w:ascii="仿宋" w:hAnsi="仿宋" w:eastAsia="仿宋" w:cs="仿宋"/>
          <w:sz w:val="32"/>
          <w:szCs w:val="32"/>
          <w:shd w:val="clear" w:color="auto" w:fill="FFFFFF"/>
        </w:rPr>
        <w:t>。</w:t>
      </w:r>
    </w:p>
    <w:p w14:paraId="3549FC4E">
      <w:pPr>
        <w:pStyle w:val="16"/>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b/>
          <w:sz w:val="32"/>
          <w:szCs w:val="32"/>
        </w:rPr>
      </w:pPr>
      <w:r>
        <w:rPr>
          <w:rFonts w:hint="eastAsia" w:ascii="黑体" w:hAnsi="黑体" w:eastAsia="黑体" w:cs="黑体"/>
          <w:b w:val="0"/>
          <w:bCs/>
          <w:sz w:val="32"/>
          <w:szCs w:val="32"/>
        </w:rPr>
        <w:t>七、财政拨款三公经费支出决算情况说明</w:t>
      </w:r>
    </w:p>
    <w:p w14:paraId="6676CBA0">
      <w:pPr>
        <w:pStyle w:val="16"/>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val="0"/>
          <w:sz w:val="32"/>
          <w:szCs w:val="32"/>
        </w:rPr>
      </w:pPr>
      <w:r>
        <w:rPr>
          <w:rFonts w:hint="eastAsia" w:ascii="楷体" w:hAnsi="楷体" w:eastAsia="楷体" w:cs="楷体"/>
          <w:b/>
          <w:bCs w:val="0"/>
          <w:sz w:val="32"/>
          <w:szCs w:val="32"/>
        </w:rPr>
        <w:t>（一）“三公”经费财政拨款支出决算总体情况说明</w:t>
      </w:r>
    </w:p>
    <w:p w14:paraId="7F21E60F">
      <w:pPr>
        <w:pStyle w:val="16"/>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“三公”经费财政拨款支出预算为</w:t>
      </w:r>
      <w:r>
        <w:rPr>
          <w:rFonts w:hint="eastAsia" w:ascii="Times New Roman" w:hAnsi="Times New Roman" w:eastAsia="仿宋_GB2312"/>
          <w:sz w:val="32"/>
          <w:szCs w:val="32"/>
          <w:lang w:val="en-US" w:eastAsia="zh-CN"/>
        </w:rPr>
        <w:t>1.7</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1.36</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80</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决算数小于预算数的主要原因是落实中央省市有关精神，厉行节约，严格控制</w:t>
      </w:r>
      <w:r>
        <w:rPr>
          <w:rFonts w:hint="eastAsia" w:ascii="Times New Roman" w:hAnsi="Times New Roman" w:eastAsia="仿宋_GB2312"/>
          <w:sz w:val="32"/>
          <w:szCs w:val="32"/>
        </w:rPr>
        <w:t>“三公”经费</w:t>
      </w:r>
      <w:r>
        <w:rPr>
          <w:rFonts w:hint="eastAsia" w:ascii="Times New Roman" w:hAnsi="Times New Roman" w:eastAsia="仿宋_GB2312"/>
          <w:sz w:val="32"/>
          <w:szCs w:val="32"/>
          <w:lang w:val="en-US" w:eastAsia="zh-CN"/>
        </w:rPr>
        <w:t>。</w:t>
      </w:r>
      <w:r>
        <w:rPr>
          <w:rFonts w:hint="eastAsia" w:ascii="Times New Roman" w:hAnsi="Times New Roman" w:eastAsia="仿宋_GB2312"/>
          <w:sz w:val="32"/>
          <w:szCs w:val="32"/>
        </w:rPr>
        <w:t>其中：</w:t>
      </w:r>
    </w:p>
    <w:p w14:paraId="034F1CA1">
      <w:pPr>
        <w:pStyle w:val="16"/>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rPr>
        <w:t>因公出国（境）费支出预算为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决算数与预算数一致，与上年相比无增减。</w:t>
      </w:r>
    </w:p>
    <w:p w14:paraId="176F49F3">
      <w:pPr>
        <w:pStyle w:val="16"/>
        <w:keepNext w:val="0"/>
        <w:keepLines w:val="0"/>
        <w:pageBreakBefore w:val="0"/>
        <w:widowControl w:val="0"/>
        <w:kinsoku/>
        <w:wordWrap/>
        <w:overflowPunct/>
        <w:topLinePunct w:val="0"/>
        <w:bidi w:val="0"/>
        <w:snapToGrid/>
        <w:spacing w:line="600" w:lineRule="exact"/>
        <w:ind w:firstLine="800" w:firstLineChars="250"/>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rPr>
        <w:t>公务接待费支出预算为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决算数与预算数一致，与上年相比无增减。</w:t>
      </w:r>
    </w:p>
    <w:p w14:paraId="581B49E9">
      <w:pPr>
        <w:pStyle w:val="16"/>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rPr>
        <w:t>公务用车购置费支出预算为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r>
        <w:rPr>
          <w:rFonts w:hint="eastAsia" w:ascii="Times New Roman" w:hAnsi="Times New Roman" w:eastAsia="仿宋_GB2312"/>
          <w:sz w:val="32"/>
          <w:szCs w:val="32"/>
          <w:lang w:val="en-US" w:eastAsia="zh-CN"/>
        </w:rPr>
        <w:t>决算数与预算数一致，与上年相比无增减。</w:t>
      </w:r>
    </w:p>
    <w:p w14:paraId="625DA416">
      <w:pPr>
        <w:pStyle w:val="16"/>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公务用车运行维护费支出预算为</w:t>
      </w:r>
      <w:r>
        <w:rPr>
          <w:rFonts w:hint="eastAsia" w:ascii="Times New Roman" w:hAnsi="Times New Roman" w:eastAsia="仿宋_GB2312"/>
          <w:sz w:val="32"/>
          <w:szCs w:val="32"/>
          <w:lang w:val="en-US" w:eastAsia="zh-CN"/>
        </w:rPr>
        <w:t>1.7</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1.36</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80</w:t>
      </w:r>
      <w:r>
        <w:rPr>
          <w:rFonts w:hint="eastAsia" w:ascii="Times New Roman" w:hAnsi="Times New Roman" w:eastAsia="仿宋_GB2312"/>
          <w:sz w:val="32"/>
          <w:szCs w:val="32"/>
        </w:rPr>
        <w:t>%，决算数小于预算数的主要原因是</w:t>
      </w:r>
      <w:r>
        <w:rPr>
          <w:rFonts w:hint="eastAsia" w:ascii="仿宋" w:hAnsi="仿宋" w:eastAsia="仿宋" w:cs="仿宋"/>
          <w:sz w:val="30"/>
          <w:szCs w:val="30"/>
          <w:shd w:val="clear" w:color="auto" w:fill="FFFFFF"/>
          <w:lang w:eastAsia="zh-CN"/>
        </w:rPr>
        <w:t>从严控制车辆运行经费。</w:t>
      </w:r>
      <w:r>
        <w:rPr>
          <w:rFonts w:hint="eastAsia" w:ascii="Times New Roman" w:hAnsi="Times New Roman" w:eastAsia="仿宋_GB2312"/>
          <w:sz w:val="32"/>
          <w:szCs w:val="32"/>
        </w:rPr>
        <w:t>与上年相比</w:t>
      </w:r>
      <w:r>
        <w:rPr>
          <w:rFonts w:hint="eastAsia" w:ascii="Times New Roman" w:hAnsi="Times New Roman" w:eastAsia="仿宋_GB2312"/>
          <w:sz w:val="32"/>
          <w:szCs w:val="32"/>
          <w:lang w:val="en-US" w:eastAsia="zh-CN"/>
        </w:rPr>
        <w:t>减少0.58</w:t>
      </w:r>
      <w:r>
        <w:rPr>
          <w:rFonts w:hint="eastAsia" w:ascii="Times New Roman" w:hAnsi="Times New Roman" w:eastAsia="仿宋_GB2312"/>
          <w:sz w:val="32"/>
          <w:szCs w:val="32"/>
        </w:rPr>
        <w:t>万元，</w:t>
      </w:r>
      <w:r>
        <w:rPr>
          <w:rFonts w:hint="eastAsia" w:ascii="Times New Roman" w:hAnsi="Times New Roman" w:eastAsia="仿宋_GB2312"/>
          <w:sz w:val="32"/>
          <w:szCs w:val="32"/>
          <w:lang w:val="en-US" w:eastAsia="zh-CN"/>
        </w:rPr>
        <w:t>减少29.90</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减少</w:t>
      </w:r>
      <w:r>
        <w:rPr>
          <w:rFonts w:hint="eastAsia" w:ascii="Times New Roman" w:hAnsi="Times New Roman" w:eastAsia="仿宋_GB2312"/>
          <w:sz w:val="32"/>
          <w:szCs w:val="32"/>
        </w:rPr>
        <w:t>的主要原因是</w:t>
      </w:r>
      <w:r>
        <w:rPr>
          <w:rFonts w:hint="eastAsia" w:ascii="仿宋" w:hAnsi="仿宋" w:eastAsia="仿宋" w:cs="仿宋"/>
          <w:sz w:val="30"/>
          <w:szCs w:val="30"/>
          <w:shd w:val="clear" w:color="auto" w:fill="FFFFFF"/>
          <w:lang w:val="en-US" w:eastAsia="zh-CN"/>
        </w:rPr>
        <w:t>持续压减</w:t>
      </w:r>
      <w:r>
        <w:rPr>
          <w:rFonts w:hint="eastAsia" w:ascii="Times New Roman" w:hAnsi="Times New Roman" w:eastAsia="仿宋_GB2312"/>
          <w:sz w:val="32"/>
          <w:szCs w:val="32"/>
        </w:rPr>
        <w:t>“三公”</w:t>
      </w:r>
      <w:r>
        <w:rPr>
          <w:rFonts w:hint="eastAsia" w:ascii="Times New Roman" w:hAnsi="Times New Roman" w:eastAsia="仿宋_GB2312"/>
          <w:sz w:val="32"/>
          <w:szCs w:val="32"/>
          <w:lang w:val="en-US" w:eastAsia="zh-CN"/>
        </w:rPr>
        <w:t>经费开支</w:t>
      </w:r>
      <w:r>
        <w:rPr>
          <w:rFonts w:hint="eastAsia" w:ascii="Times New Roman" w:hAnsi="Times New Roman" w:eastAsia="仿宋_GB2312"/>
          <w:sz w:val="32"/>
          <w:szCs w:val="32"/>
        </w:rPr>
        <w:t>。</w:t>
      </w:r>
    </w:p>
    <w:p w14:paraId="25A4AABF">
      <w:pPr>
        <w:pStyle w:val="16"/>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val="0"/>
          <w:sz w:val="32"/>
          <w:szCs w:val="32"/>
        </w:rPr>
      </w:pPr>
      <w:r>
        <w:rPr>
          <w:rFonts w:hint="eastAsia" w:ascii="楷体" w:hAnsi="楷体" w:eastAsia="楷体" w:cs="楷体"/>
          <w:b/>
          <w:bCs w:val="0"/>
          <w:sz w:val="32"/>
          <w:szCs w:val="32"/>
        </w:rPr>
        <w:t>（二）“三公”经费财政拨款支出决算具体情况说明</w:t>
      </w:r>
    </w:p>
    <w:p w14:paraId="4560BC2C">
      <w:pPr>
        <w:pStyle w:val="16"/>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年度“三公”经费财政拨款支出决算中，公务接待费支出决算</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%,因公出国（境）费支出决算</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%,公务用车购置费及运行维护费支出决算</w:t>
      </w:r>
      <w:r>
        <w:rPr>
          <w:rFonts w:hint="eastAsia" w:ascii="Times New Roman" w:hAnsi="Times New Roman" w:eastAsia="仿宋_GB2312"/>
          <w:sz w:val="32"/>
          <w:szCs w:val="32"/>
          <w:lang w:val="en-US" w:eastAsia="zh-CN"/>
        </w:rPr>
        <w:t>1.36</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%。其中：</w:t>
      </w:r>
    </w:p>
    <w:p w14:paraId="21C2B4AD">
      <w:pPr>
        <w:pStyle w:val="16"/>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仿宋_GB2312" w:cs="楷体"/>
          <w:b/>
          <w:bCs/>
          <w:i/>
          <w:color w:val="auto"/>
          <w:sz w:val="32"/>
          <w:szCs w:val="32"/>
          <w:lang w:val="en-US" w:eastAsia="zh-CN"/>
        </w:rPr>
      </w:pPr>
      <w:r>
        <w:rPr>
          <w:rFonts w:hint="eastAsia" w:ascii="Times New Roman" w:hAnsi="Times New Roman" w:eastAsia="仿宋_GB2312"/>
          <w:sz w:val="32"/>
          <w:szCs w:val="32"/>
          <w:lang w:val="en-US" w:eastAsia="zh-CN"/>
        </w:rPr>
        <w:t>1、</w:t>
      </w:r>
      <w:r>
        <w:rPr>
          <w:rFonts w:hint="eastAsia" w:ascii="Times New Roman" w:hAnsi="Times New Roman" w:eastAsia="仿宋_GB2312"/>
          <w:sz w:val="32"/>
          <w:szCs w:val="32"/>
        </w:rPr>
        <w:t>因公出国（境）费支出决算为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万元，全年安排因公出国（境）团组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个，累计</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人次</w:t>
      </w:r>
      <w:r>
        <w:rPr>
          <w:rFonts w:hint="eastAsia" w:ascii="Times New Roman" w:hAnsi="Times New Roman" w:eastAsia="仿宋_GB2312"/>
          <w:sz w:val="32"/>
          <w:szCs w:val="32"/>
          <w:lang w:eastAsia="zh-CN"/>
        </w:rPr>
        <w:t>。</w:t>
      </w:r>
    </w:p>
    <w:p w14:paraId="087AEB42">
      <w:pPr>
        <w:pStyle w:val="16"/>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2、公务接待费支出决算为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万元，全年共接待来访团组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个、来宾</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人次。</w:t>
      </w:r>
    </w:p>
    <w:p w14:paraId="3FDEC39B">
      <w:pPr>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i/>
          <w:color w:val="auto"/>
          <w:kern w:val="0"/>
          <w:sz w:val="32"/>
          <w:szCs w:val="32"/>
          <w:lang w:val="en-US" w:eastAsia="zh-CN" w:bidi="ar-SA"/>
        </w:rPr>
      </w:pPr>
      <w:r>
        <w:rPr>
          <w:rFonts w:hint="eastAsia" w:ascii="Times New Roman" w:hAnsi="Times New Roman" w:eastAsia="仿宋_GB2312"/>
          <w:sz w:val="32"/>
          <w:szCs w:val="32"/>
        </w:rPr>
        <w:t>3、公务用车购置费及运行维护费支出决算为</w:t>
      </w:r>
      <w:r>
        <w:rPr>
          <w:rFonts w:hint="eastAsia" w:ascii="Times New Roman" w:hAnsi="Times New Roman" w:eastAsia="仿宋_GB2312"/>
          <w:sz w:val="32"/>
          <w:szCs w:val="32"/>
          <w:lang w:val="en-US" w:eastAsia="zh-CN"/>
        </w:rPr>
        <w:t>1.36</w:t>
      </w:r>
      <w:r>
        <w:rPr>
          <w:rFonts w:hint="eastAsia" w:ascii="Times New Roman" w:hAnsi="Times New Roman" w:eastAsia="仿宋_GB2312"/>
          <w:sz w:val="32"/>
          <w:szCs w:val="32"/>
        </w:rPr>
        <w:t>万元，其中：公务用车购置费</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万元，更新公务用车</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w:t>
      </w:r>
      <w:r>
        <w:rPr>
          <w:rFonts w:hint="eastAsia" w:ascii="Times New Roman" w:hAnsi="Times New Roman" w:eastAsia="仿宋_GB2312"/>
          <w:color w:val="000000" w:themeColor="text1"/>
          <w:sz w:val="32"/>
          <w:szCs w:val="32"/>
          <w14:textFill>
            <w14:solidFill>
              <w14:schemeClr w14:val="tx1"/>
            </w14:solidFill>
          </w14:textFill>
        </w:rPr>
        <w:t>。</w:t>
      </w:r>
      <w:r>
        <w:rPr>
          <w:rFonts w:hint="eastAsia" w:ascii="Times New Roman" w:hAnsi="Times New Roman" w:eastAsia="仿宋_GB2312"/>
          <w:sz w:val="32"/>
          <w:szCs w:val="32"/>
        </w:rPr>
        <w:t>公务用车运行维护费</w:t>
      </w:r>
      <w:r>
        <w:rPr>
          <w:rFonts w:hint="eastAsia" w:ascii="Times New Roman" w:hAnsi="Times New Roman" w:eastAsia="仿宋_GB2312"/>
          <w:sz w:val="32"/>
          <w:szCs w:val="32"/>
          <w:lang w:val="en-US" w:eastAsia="zh-CN"/>
        </w:rPr>
        <w:t>1.36</w:t>
      </w:r>
      <w:r>
        <w:rPr>
          <w:rFonts w:hint="eastAsia" w:ascii="Times New Roman" w:hAnsi="Times New Roman" w:eastAsia="仿宋_GB2312"/>
          <w:sz w:val="32"/>
          <w:szCs w:val="32"/>
        </w:rPr>
        <w:t>万元，主要是</w:t>
      </w:r>
      <w:r>
        <w:rPr>
          <w:rFonts w:hint="eastAsia" w:ascii="Times New Roman" w:hAnsi="Times New Roman" w:eastAsia="仿宋_GB2312"/>
          <w:sz w:val="32"/>
          <w:szCs w:val="32"/>
          <w:lang w:val="en-US" w:eastAsia="zh-CN"/>
        </w:rPr>
        <w:t>车辆油料费、维修费、保险费等</w:t>
      </w:r>
      <w:r>
        <w:rPr>
          <w:rFonts w:hint="eastAsia" w:ascii="Times New Roman" w:hAnsi="Times New Roman" w:eastAsia="仿宋_GB2312"/>
          <w:sz w:val="32"/>
          <w:szCs w:val="32"/>
        </w:rPr>
        <w:t>支出，截止202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年12月31日，我单位开支财政拨款的公务用车保有量为</w:t>
      </w:r>
      <w:r>
        <w:rPr>
          <w:rFonts w:hint="eastAsia" w:ascii="Times New Roman" w:hAnsi="Times New Roman" w:eastAsia="仿宋_GB2312"/>
          <w:sz w:val="32"/>
          <w:szCs w:val="32"/>
          <w:lang w:val="en-US" w:eastAsia="zh-CN"/>
        </w:rPr>
        <w:t>1</w:t>
      </w:r>
      <w:r>
        <w:rPr>
          <w:rFonts w:hint="eastAsia" w:ascii="Times New Roman" w:hAnsi="Times New Roman" w:eastAsia="仿宋_GB2312"/>
          <w:sz w:val="32"/>
          <w:szCs w:val="32"/>
        </w:rPr>
        <w:t>辆。</w:t>
      </w:r>
    </w:p>
    <w:p w14:paraId="5CDBCC8D">
      <w:pPr>
        <w:pStyle w:val="16"/>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八、政府性基金预算收入支出决算情况</w:t>
      </w:r>
    </w:p>
    <w:p w14:paraId="664637DC">
      <w:pPr>
        <w:pStyle w:val="16"/>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i/>
          <w:color w:val="auto"/>
          <w:kern w:val="0"/>
          <w:sz w:val="32"/>
          <w:szCs w:val="32"/>
          <w:lang w:val="en-US" w:eastAsia="zh-CN" w:bidi="ar-SA"/>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年度政府性基金预算财政拨款收入</w:t>
      </w:r>
      <w:r>
        <w:rPr>
          <w:rFonts w:hint="eastAsia" w:ascii="Times New Roman" w:hAnsi="Times New Roman" w:eastAsia="仿宋_GB2312"/>
          <w:sz w:val="32"/>
          <w:szCs w:val="32"/>
          <w:lang w:val="en-US" w:eastAsia="zh-CN"/>
        </w:rPr>
        <w:t>30</w:t>
      </w:r>
      <w:r>
        <w:rPr>
          <w:rFonts w:hint="eastAsia" w:ascii="Times New Roman" w:hAnsi="Times New Roman" w:eastAsia="仿宋_GB2312"/>
          <w:sz w:val="32"/>
          <w:szCs w:val="32"/>
        </w:rPr>
        <w:t>万元；年初结转和结余</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w:t>
      </w:r>
      <w:r>
        <w:rPr>
          <w:rFonts w:hint="eastAsia" w:ascii="Times New Roman" w:hAnsi="Times New Roman" w:eastAsia="仿宋_GB2312"/>
          <w:sz w:val="32"/>
          <w:szCs w:val="32"/>
          <w:lang w:val="en-US" w:eastAsia="zh-CN"/>
        </w:rPr>
        <w:t>30</w:t>
      </w:r>
      <w:r>
        <w:rPr>
          <w:rFonts w:hint="eastAsia" w:ascii="Times New Roman" w:hAnsi="Times New Roman" w:eastAsia="仿宋_GB2312"/>
          <w:sz w:val="32"/>
          <w:szCs w:val="32"/>
        </w:rPr>
        <w:t>万元，其中基本支出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万元，项目支出</w:t>
      </w:r>
      <w:r>
        <w:rPr>
          <w:rFonts w:hint="eastAsia" w:ascii="Times New Roman" w:hAnsi="Times New Roman" w:eastAsia="仿宋_GB2312"/>
          <w:sz w:val="32"/>
          <w:szCs w:val="32"/>
          <w:lang w:val="en-US" w:eastAsia="zh-CN"/>
        </w:rPr>
        <w:t>30</w:t>
      </w:r>
      <w:r>
        <w:rPr>
          <w:rFonts w:hint="eastAsia" w:ascii="Times New Roman" w:hAnsi="Times New Roman" w:eastAsia="仿宋_GB2312"/>
          <w:sz w:val="32"/>
          <w:szCs w:val="32"/>
        </w:rPr>
        <w:t>万元；年末结转和结余</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万元。具体情况如下：</w:t>
      </w:r>
    </w:p>
    <w:p w14:paraId="0D2D8108">
      <w:pPr>
        <w:pStyle w:val="16"/>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lang w:val="en-US" w:eastAsia="zh-CN"/>
        </w:rPr>
        <w:t>其他支出</w:t>
      </w:r>
      <w:r>
        <w:rPr>
          <w:rFonts w:hint="eastAsia" w:ascii="Times New Roman" w:hAnsi="Times New Roman" w:eastAsia="仿宋_GB2312"/>
          <w:sz w:val="32"/>
          <w:szCs w:val="32"/>
        </w:rPr>
        <w:t>（类）</w:t>
      </w:r>
      <w:r>
        <w:rPr>
          <w:rFonts w:hint="eastAsia" w:ascii="Times New Roman" w:hAnsi="Times New Roman" w:eastAsia="仿宋_GB2312"/>
          <w:sz w:val="32"/>
          <w:szCs w:val="32"/>
          <w:lang w:val="en-US" w:eastAsia="zh-CN"/>
        </w:rPr>
        <w:t>彩票公益金安排的支出</w:t>
      </w:r>
      <w:r>
        <w:rPr>
          <w:rFonts w:hint="eastAsia" w:ascii="Times New Roman" w:hAnsi="Times New Roman" w:eastAsia="仿宋_GB2312"/>
          <w:sz w:val="32"/>
          <w:szCs w:val="32"/>
        </w:rPr>
        <w:t>（款）</w:t>
      </w:r>
      <w:r>
        <w:rPr>
          <w:rFonts w:hint="eastAsia" w:ascii="Times New Roman" w:hAnsi="Times New Roman" w:eastAsia="仿宋_GB2312"/>
          <w:sz w:val="32"/>
          <w:szCs w:val="32"/>
          <w:lang w:val="en-US" w:eastAsia="zh-CN"/>
        </w:rPr>
        <w:t>用于社会福利的彩票公益金支出</w:t>
      </w:r>
      <w:r>
        <w:rPr>
          <w:rFonts w:hint="eastAsia" w:ascii="Times New Roman" w:hAnsi="Times New Roman" w:eastAsia="仿宋_GB2312"/>
          <w:sz w:val="32"/>
          <w:szCs w:val="32"/>
        </w:rPr>
        <w:t>（项）。</w:t>
      </w:r>
    </w:p>
    <w:p w14:paraId="2FA1FC4A">
      <w:pPr>
        <w:pStyle w:val="16"/>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30</w:t>
      </w:r>
      <w:r>
        <w:rPr>
          <w:rFonts w:hint="eastAsia" w:ascii="Times New Roman" w:hAnsi="Times New Roman" w:eastAsia="仿宋_GB2312"/>
          <w:sz w:val="32"/>
          <w:szCs w:val="32"/>
        </w:rPr>
        <w:t>万元，决算数大于年初预算数的主要原因是：</w:t>
      </w:r>
      <w:r>
        <w:rPr>
          <w:rFonts w:hint="eastAsia" w:ascii="Times New Roman" w:hAnsi="Times New Roman" w:eastAsia="仿宋_GB2312"/>
          <w:sz w:val="32"/>
          <w:szCs w:val="32"/>
          <w:lang w:val="en-US" w:eastAsia="zh-CN"/>
        </w:rPr>
        <w:t>年中追加图书馆心理咨询室提质改造及设备添置项目。</w:t>
      </w:r>
    </w:p>
    <w:p w14:paraId="4B6F69CB">
      <w:pPr>
        <w:pStyle w:val="16"/>
        <w:bidi w:val="0"/>
        <w:ind w:firstLine="640" w:firstLineChars="200"/>
        <w:rPr>
          <w:rFonts w:hint="eastAsia"/>
          <w:sz w:val="32"/>
          <w:szCs w:val="32"/>
          <w:lang w:val="en-US" w:eastAsia="zh-CN"/>
        </w:rPr>
      </w:pPr>
      <w:r>
        <w:rPr>
          <w:rFonts w:hint="eastAsia"/>
          <w:sz w:val="32"/>
          <w:szCs w:val="32"/>
          <w:lang w:val="en-US" w:eastAsia="zh-CN"/>
        </w:rPr>
        <w:t>九、国有资本经营预算</w:t>
      </w:r>
      <w:r>
        <w:rPr>
          <w:rFonts w:hint="eastAsia" w:hAnsi="黑体" w:cs="黑体"/>
          <w:b w:val="0"/>
          <w:bCs/>
          <w:sz w:val="32"/>
          <w:szCs w:val="32"/>
          <w:lang w:val="en-US" w:eastAsia="zh-CN"/>
        </w:rPr>
        <w:t>财政拨款</w:t>
      </w:r>
      <w:r>
        <w:rPr>
          <w:rFonts w:hint="eastAsia"/>
          <w:sz w:val="32"/>
          <w:szCs w:val="32"/>
          <w:lang w:val="en-US" w:eastAsia="zh-CN"/>
        </w:rPr>
        <w:t>收入支出决算情况说明</w:t>
      </w:r>
    </w:p>
    <w:p w14:paraId="6097709D">
      <w:pPr>
        <w:numPr>
          <w:ilvl w:val="0"/>
          <w:numId w:val="0"/>
        </w:numPr>
        <w:autoSpaceDE w:val="0"/>
        <w:autoSpaceDN w:val="0"/>
        <w:adjustRightInd w:val="0"/>
        <w:spacing w:line="500" w:lineRule="exact"/>
        <w:ind w:firstLine="640" w:firstLineChars="200"/>
        <w:jc w:val="left"/>
        <w:rPr>
          <w:rFonts w:hint="eastAsia" w:ascii="Times New Roman" w:hAnsi="Times New Roman" w:eastAsia="仿宋_GB2312"/>
          <w:sz w:val="32"/>
          <w:szCs w:val="32"/>
          <w:lang w:val="en-US" w:eastAsia="zh-CN"/>
        </w:rPr>
      </w:pPr>
      <w:r>
        <w:rPr>
          <w:rFonts w:hint="eastAsia" w:ascii="仿宋_GB2312" w:hAnsi="仿宋_GB2312" w:eastAsia="仿宋_GB2312" w:cs="仿宋_GB2312"/>
          <w:color w:val="000000"/>
          <w:kern w:val="0"/>
          <w:sz w:val="32"/>
          <w:szCs w:val="32"/>
          <w:lang w:val="en-US" w:eastAsia="zh-CN"/>
        </w:rPr>
        <w:t>2023年本部门无国有资本经营预算财政拨款收入支出。</w:t>
      </w:r>
    </w:p>
    <w:p w14:paraId="6AA3E5A7">
      <w:pPr>
        <w:pStyle w:val="16"/>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color w:val="auto"/>
          <w:sz w:val="32"/>
          <w:szCs w:val="32"/>
        </w:rPr>
      </w:pPr>
      <w:r>
        <w:rPr>
          <w:rFonts w:hint="eastAsia" w:hAnsi="黑体" w:cs="黑体"/>
          <w:b/>
          <w:color w:val="auto"/>
          <w:sz w:val="32"/>
          <w:szCs w:val="32"/>
          <w:lang w:val="en-US" w:eastAsia="zh-CN"/>
        </w:rPr>
        <w:t>十</w:t>
      </w:r>
      <w:r>
        <w:rPr>
          <w:rFonts w:hint="eastAsia" w:ascii="黑体" w:hAnsi="黑体" w:eastAsia="黑体" w:cs="黑体"/>
          <w:b/>
          <w:color w:val="auto"/>
          <w:sz w:val="32"/>
          <w:szCs w:val="32"/>
        </w:rPr>
        <w:t>、关于机关运行经费支出说明</w:t>
      </w:r>
    </w:p>
    <w:p w14:paraId="4BE4D813">
      <w:pPr>
        <w:pStyle w:val="16"/>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本部门</w:t>
      </w:r>
      <w:r>
        <w:rPr>
          <w:rFonts w:hint="eastAsia" w:ascii="Times New Roman" w:hAnsi="Times New Roman" w:eastAsia="仿宋_GB2312"/>
          <w:sz w:val="32"/>
          <w:szCs w:val="32"/>
          <w:lang w:val="en-US" w:eastAsia="zh-CN"/>
        </w:rPr>
        <w:t>为非参公事业单位，不属机关运行经费统计范围之内。</w:t>
      </w:r>
    </w:p>
    <w:p w14:paraId="3804F518">
      <w:pPr>
        <w:pStyle w:val="16"/>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w:t>
      </w:r>
      <w:r>
        <w:rPr>
          <w:rFonts w:hint="eastAsia" w:hAnsi="黑体" w:cs="黑体"/>
          <w:b w:val="0"/>
          <w:bCs/>
          <w:sz w:val="32"/>
          <w:szCs w:val="32"/>
          <w:lang w:val="en-US" w:eastAsia="zh-CN"/>
        </w:rPr>
        <w:t>一</w:t>
      </w:r>
      <w:r>
        <w:rPr>
          <w:rFonts w:hint="eastAsia" w:ascii="黑体" w:hAnsi="黑体" w:eastAsia="黑体" w:cs="黑体"/>
          <w:b w:val="0"/>
          <w:bCs/>
          <w:sz w:val="32"/>
          <w:szCs w:val="32"/>
        </w:rPr>
        <w:t>、一般性支出情况说明</w:t>
      </w:r>
    </w:p>
    <w:p w14:paraId="3574CA96">
      <w:pPr>
        <w:pStyle w:val="16"/>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i/>
          <w:color w:val="auto"/>
          <w:kern w:val="0"/>
          <w:sz w:val="32"/>
          <w:szCs w:val="32"/>
          <w:lang w:val="en-US" w:eastAsia="zh-CN" w:bidi="ar-SA"/>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年本部门开支会议费</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万元；开支培训费</w:t>
      </w:r>
      <w:r>
        <w:rPr>
          <w:rFonts w:hint="eastAsia" w:ascii="Times New Roman" w:hAnsi="Times New Roman" w:eastAsia="仿宋_GB2312"/>
          <w:sz w:val="32"/>
          <w:szCs w:val="32"/>
          <w:lang w:val="en-US" w:eastAsia="zh-CN"/>
        </w:rPr>
        <w:t>43.70</w:t>
      </w:r>
      <w:r>
        <w:rPr>
          <w:rFonts w:hint="eastAsia" w:ascii="Times New Roman" w:hAnsi="Times New Roman" w:eastAsia="仿宋_GB2312"/>
          <w:sz w:val="32"/>
          <w:szCs w:val="32"/>
        </w:rPr>
        <w:t>万元，用于开展</w:t>
      </w:r>
      <w:r>
        <w:rPr>
          <w:rFonts w:hint="eastAsia" w:ascii="Times New Roman" w:hAnsi="Times New Roman" w:eastAsia="仿宋_GB2312"/>
          <w:sz w:val="32"/>
          <w:szCs w:val="32"/>
          <w:lang w:val="en-US" w:eastAsia="zh-CN"/>
        </w:rPr>
        <w:t>各学科专业</w:t>
      </w:r>
      <w:r>
        <w:rPr>
          <w:rFonts w:hint="eastAsia" w:ascii="Times New Roman" w:hAnsi="Times New Roman" w:eastAsia="仿宋_GB2312"/>
          <w:sz w:val="32"/>
          <w:szCs w:val="32"/>
        </w:rPr>
        <w:t>培训，</w:t>
      </w:r>
      <w:r>
        <w:rPr>
          <w:rFonts w:hint="eastAsia" w:ascii="Times New Roman" w:hAnsi="Times New Roman" w:eastAsia="仿宋_GB2312"/>
          <w:sz w:val="32"/>
          <w:szCs w:val="32"/>
          <w:lang w:val="en-US" w:eastAsia="zh-CN"/>
        </w:rPr>
        <w:t>人数306</w:t>
      </w:r>
      <w:r>
        <w:rPr>
          <w:rFonts w:hint="eastAsia" w:ascii="Times New Roman" w:hAnsi="Times New Roman" w:eastAsia="仿宋_GB2312"/>
          <w:sz w:val="32"/>
          <w:szCs w:val="32"/>
        </w:rPr>
        <w:t>人，内容为</w:t>
      </w:r>
      <w:r>
        <w:rPr>
          <w:rFonts w:hint="eastAsia" w:ascii="Times New Roman" w:hAnsi="Times New Roman" w:eastAsia="仿宋_GB2312"/>
          <w:sz w:val="32"/>
          <w:szCs w:val="32"/>
          <w:lang w:val="en-US" w:eastAsia="zh-CN"/>
        </w:rPr>
        <w:t>各学科教师参加国培、省培、市培计划的专业培训</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2023年本部门无节庆、晚会、论坛、赛事活动，开支0万元。</w:t>
      </w:r>
    </w:p>
    <w:p w14:paraId="23C86BA9">
      <w:pPr>
        <w:pStyle w:val="16"/>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w:t>
      </w:r>
      <w:r>
        <w:rPr>
          <w:rFonts w:hint="eastAsia" w:hAnsi="黑体" w:cs="黑体"/>
          <w:b w:val="0"/>
          <w:bCs/>
          <w:sz w:val="32"/>
          <w:szCs w:val="32"/>
          <w:lang w:val="en-US" w:eastAsia="zh-CN"/>
        </w:rPr>
        <w:t>二</w:t>
      </w:r>
      <w:r>
        <w:rPr>
          <w:rFonts w:hint="eastAsia" w:ascii="黑体" w:hAnsi="黑体" w:eastAsia="黑体" w:cs="黑体"/>
          <w:b w:val="0"/>
          <w:bCs/>
          <w:sz w:val="32"/>
          <w:szCs w:val="32"/>
        </w:rPr>
        <w:t>、关于政府采购支出说明</w:t>
      </w:r>
    </w:p>
    <w:p w14:paraId="557A4525">
      <w:pPr>
        <w:pStyle w:val="16"/>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Times New Roman" w:hAnsi="Times New Roman" w:eastAsia="仿宋_GB2312"/>
          <w:color w:val="auto"/>
          <w:sz w:val="32"/>
          <w:szCs w:val="32"/>
        </w:rPr>
      </w:pPr>
      <w:r>
        <w:rPr>
          <w:rFonts w:hint="eastAsia" w:ascii="Times New Roman" w:hAnsi="Times New Roman" w:eastAsia="仿宋_GB2312"/>
          <w:sz w:val="32"/>
          <w:szCs w:val="32"/>
        </w:rPr>
        <w:t>本部门202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年度政府采购支出总额</w:t>
      </w:r>
      <w:r>
        <w:rPr>
          <w:rFonts w:hint="eastAsia" w:ascii="Times New Roman" w:hAnsi="Times New Roman" w:eastAsia="仿宋_GB2312"/>
          <w:sz w:val="32"/>
          <w:szCs w:val="32"/>
          <w:lang w:val="en-US" w:eastAsia="zh-CN"/>
        </w:rPr>
        <w:t>180.21</w:t>
      </w:r>
      <w:r>
        <w:rPr>
          <w:rFonts w:hint="eastAsia" w:ascii="Times New Roman" w:hAnsi="Times New Roman" w:eastAsia="仿宋_GB2312"/>
          <w:sz w:val="32"/>
          <w:szCs w:val="32"/>
        </w:rPr>
        <w:t>万元，其中：政府采购货物支出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万元、政府采购工程支出</w:t>
      </w:r>
      <w:r>
        <w:rPr>
          <w:rFonts w:hint="eastAsia" w:ascii="Times New Roman" w:hAnsi="Times New Roman" w:eastAsia="仿宋_GB2312"/>
          <w:sz w:val="32"/>
          <w:szCs w:val="32"/>
          <w:lang w:val="en-US" w:eastAsia="zh-CN"/>
        </w:rPr>
        <w:t>180.21</w:t>
      </w:r>
      <w:r>
        <w:rPr>
          <w:rFonts w:hint="eastAsia" w:ascii="Times New Roman" w:hAnsi="Times New Roman" w:eastAsia="仿宋_GB2312"/>
          <w:sz w:val="32"/>
          <w:szCs w:val="32"/>
        </w:rPr>
        <w:t>万元、政府采购服务支出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万元。授予中小企业合同金额</w:t>
      </w:r>
      <w:r>
        <w:rPr>
          <w:rFonts w:hint="eastAsia" w:ascii="Times New Roman" w:hAnsi="Times New Roman" w:eastAsia="仿宋_GB2312"/>
          <w:sz w:val="32"/>
          <w:szCs w:val="32"/>
          <w:lang w:val="en-US" w:eastAsia="zh-CN"/>
        </w:rPr>
        <w:t>180.21</w:t>
      </w:r>
      <w:r>
        <w:rPr>
          <w:rFonts w:hint="eastAsia" w:ascii="Times New Roman" w:hAnsi="Times New Roman" w:eastAsia="仿宋_GB2312"/>
          <w:sz w:val="32"/>
          <w:szCs w:val="32"/>
        </w:rPr>
        <w:t>万元，占政府采购支出总额的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%，其中：授予小微企业合同金额</w:t>
      </w:r>
      <w:r>
        <w:rPr>
          <w:rFonts w:hint="eastAsia" w:ascii="Times New Roman" w:hAnsi="Times New Roman" w:eastAsia="仿宋_GB2312"/>
          <w:sz w:val="32"/>
          <w:szCs w:val="32"/>
          <w:lang w:val="en-US" w:eastAsia="zh-CN"/>
        </w:rPr>
        <w:t>180.21</w:t>
      </w:r>
      <w:r>
        <w:rPr>
          <w:rFonts w:hint="eastAsia" w:ascii="Times New Roman" w:hAnsi="Times New Roman" w:eastAsia="仿宋_GB2312"/>
          <w:sz w:val="32"/>
          <w:szCs w:val="32"/>
        </w:rPr>
        <w:t>万元，</w:t>
      </w:r>
      <w:r>
        <w:rPr>
          <w:rFonts w:hint="eastAsia" w:ascii="Times New Roman" w:hAnsi="Times New Roman" w:eastAsia="仿宋_GB2312"/>
          <w:color w:val="auto"/>
          <w:sz w:val="32"/>
          <w:szCs w:val="32"/>
        </w:rPr>
        <w:t>占</w:t>
      </w:r>
      <w:r>
        <w:rPr>
          <w:rFonts w:hint="eastAsia" w:ascii="Times New Roman" w:hAnsi="Times New Roman" w:eastAsia="仿宋_GB2312"/>
          <w:color w:val="auto"/>
          <w:sz w:val="32"/>
          <w:szCs w:val="32"/>
          <w:lang w:eastAsia="zh-CN"/>
        </w:rPr>
        <w:t>授予中小企业合同金额</w:t>
      </w:r>
      <w:r>
        <w:rPr>
          <w:rFonts w:hint="eastAsia" w:ascii="Times New Roman" w:hAnsi="Times New Roman" w:eastAsia="仿宋_GB2312"/>
          <w:color w:val="auto"/>
          <w:sz w:val="32"/>
          <w:szCs w:val="32"/>
        </w:rPr>
        <w:t>的</w:t>
      </w:r>
      <w:r>
        <w:rPr>
          <w:rFonts w:hint="eastAsia" w:ascii="Times New Roman" w:hAnsi="Times New Roman" w:eastAsia="仿宋_GB2312"/>
          <w:color w:val="auto"/>
          <w:sz w:val="32"/>
          <w:szCs w:val="32"/>
          <w:lang w:val="en-US" w:eastAsia="zh-CN"/>
        </w:rPr>
        <w:t>100</w:t>
      </w:r>
      <w:r>
        <w:rPr>
          <w:rFonts w:hint="eastAsia" w:ascii="Times New Roman" w:hAnsi="Times New Roman" w:eastAsia="仿宋_GB2312"/>
          <w:color w:val="auto"/>
          <w:sz w:val="32"/>
          <w:szCs w:val="32"/>
        </w:rPr>
        <w:t>%。货物采购授予中小企业合同金额占货物支出金额的</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%，工程采购授予中小企业合同金额占工程支出金额的</w:t>
      </w:r>
      <w:r>
        <w:rPr>
          <w:rFonts w:hint="eastAsia" w:ascii="Times New Roman" w:hAnsi="Times New Roman" w:eastAsia="仿宋_GB2312"/>
          <w:color w:val="auto"/>
          <w:sz w:val="32"/>
          <w:szCs w:val="32"/>
          <w:lang w:val="en-US" w:eastAsia="zh-CN"/>
        </w:rPr>
        <w:t>100</w:t>
      </w:r>
      <w:r>
        <w:rPr>
          <w:rFonts w:hint="eastAsia" w:ascii="Times New Roman" w:hAnsi="Times New Roman" w:eastAsia="仿宋_GB2312"/>
          <w:color w:val="auto"/>
          <w:sz w:val="32"/>
          <w:szCs w:val="32"/>
        </w:rPr>
        <w:t>%，服务采购授予中小企业合同金额占服务支出金额的</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w:t>
      </w:r>
    </w:p>
    <w:p w14:paraId="6E4823B7">
      <w:pPr>
        <w:pStyle w:val="16"/>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十</w:t>
      </w:r>
      <w:r>
        <w:rPr>
          <w:rFonts w:hint="eastAsia" w:hAnsi="黑体" w:cs="黑体"/>
          <w:b w:val="0"/>
          <w:bCs/>
          <w:color w:val="auto"/>
          <w:sz w:val="32"/>
          <w:szCs w:val="32"/>
          <w:lang w:val="en-US" w:eastAsia="zh-CN"/>
        </w:rPr>
        <w:t>三</w:t>
      </w:r>
      <w:r>
        <w:rPr>
          <w:rFonts w:hint="eastAsia" w:ascii="黑体" w:hAnsi="黑体" w:eastAsia="黑体" w:cs="黑体"/>
          <w:b w:val="0"/>
          <w:bCs/>
          <w:color w:val="auto"/>
          <w:sz w:val="32"/>
          <w:szCs w:val="32"/>
        </w:rPr>
        <w:t>、关于国有资产占用情况说明</w:t>
      </w:r>
    </w:p>
    <w:p w14:paraId="410260AC">
      <w:pPr>
        <w:pStyle w:val="16"/>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ascii="Times New Roman" w:hAnsi="Times New Roman" w:eastAsia="仿宋_GB2312"/>
          <w:color w:val="auto"/>
          <w:sz w:val="32"/>
          <w:szCs w:val="32"/>
        </w:rPr>
      </w:pPr>
      <w:r>
        <w:rPr>
          <w:rFonts w:hint="eastAsia" w:ascii="Times New Roman" w:hAnsi="Times New Roman" w:eastAsia="仿宋_GB2312"/>
          <w:color w:val="auto"/>
          <w:sz w:val="32"/>
          <w:szCs w:val="32"/>
        </w:rPr>
        <w:t>截至202</w:t>
      </w:r>
      <w:r>
        <w:rPr>
          <w:rFonts w:hint="eastAsia" w:ascii="Times New Roman" w:hAnsi="Times New Roman" w:eastAsia="仿宋_GB2312"/>
          <w:color w:val="auto"/>
          <w:sz w:val="32"/>
          <w:szCs w:val="32"/>
          <w:lang w:val="en-US" w:eastAsia="zh-CN"/>
        </w:rPr>
        <w:t>3</w:t>
      </w:r>
      <w:r>
        <w:rPr>
          <w:rFonts w:hint="eastAsia" w:ascii="Times New Roman" w:hAnsi="Times New Roman" w:eastAsia="仿宋_GB2312"/>
          <w:color w:val="auto"/>
          <w:sz w:val="32"/>
          <w:szCs w:val="32"/>
        </w:rPr>
        <w:t>年12月31日，</w:t>
      </w:r>
      <w:r>
        <w:rPr>
          <w:rFonts w:hint="eastAsia" w:ascii="Times New Roman" w:hAnsi="Times New Roman" w:eastAsia="仿宋_GB2312"/>
          <w:color w:val="auto"/>
          <w:sz w:val="32"/>
          <w:szCs w:val="32"/>
          <w:lang w:eastAsia="zh-CN"/>
        </w:rPr>
        <w:t>部门（单位）</w:t>
      </w:r>
      <w:r>
        <w:rPr>
          <w:rFonts w:hint="eastAsia" w:ascii="Times New Roman" w:hAnsi="Times New Roman" w:eastAsia="仿宋_GB2312"/>
          <w:color w:val="auto"/>
          <w:sz w:val="32"/>
          <w:szCs w:val="32"/>
        </w:rPr>
        <w:t>共有车辆</w:t>
      </w:r>
      <w:r>
        <w:rPr>
          <w:rFonts w:hint="eastAsia" w:ascii="Times New Roman" w:hAnsi="Times New Roman" w:eastAsia="仿宋_GB2312"/>
          <w:color w:val="auto"/>
          <w:sz w:val="32"/>
          <w:szCs w:val="32"/>
          <w:lang w:val="en-US" w:eastAsia="zh-CN"/>
        </w:rPr>
        <w:t>1</w:t>
      </w:r>
      <w:r>
        <w:rPr>
          <w:rFonts w:hint="eastAsia" w:ascii="Times New Roman" w:hAnsi="Times New Roman" w:eastAsia="仿宋_GB2312"/>
          <w:color w:val="auto"/>
          <w:sz w:val="32"/>
          <w:szCs w:val="32"/>
        </w:rPr>
        <w:t>辆，其中</w:t>
      </w:r>
      <w:r>
        <w:rPr>
          <w:rFonts w:hint="eastAsia" w:ascii="Times New Roman" w:hAnsi="Times New Roman" w:eastAsia="仿宋_GB2312"/>
          <w:color w:val="auto"/>
          <w:sz w:val="32"/>
          <w:szCs w:val="32"/>
          <w:lang w:eastAsia="zh-CN"/>
        </w:rPr>
        <w:t>，副部（省）级及以上领导用车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w:t>
      </w:r>
      <w:r>
        <w:rPr>
          <w:rFonts w:hint="eastAsia" w:ascii="Times New Roman" w:hAnsi="Times New Roman" w:eastAsia="仿宋_GB2312"/>
          <w:color w:val="auto"/>
          <w:sz w:val="32"/>
          <w:szCs w:val="32"/>
          <w:lang w:eastAsia="zh-CN"/>
        </w:rPr>
        <w:t>、</w:t>
      </w:r>
      <w:r>
        <w:rPr>
          <w:rFonts w:hint="eastAsia" w:ascii="Times New Roman" w:hAnsi="Times New Roman" w:eastAsia="仿宋_GB2312"/>
          <w:color w:val="auto"/>
          <w:sz w:val="32"/>
          <w:szCs w:val="32"/>
        </w:rPr>
        <w:t>主要</w:t>
      </w:r>
      <w:r>
        <w:rPr>
          <w:rFonts w:hint="eastAsia" w:ascii="Times New Roman" w:hAnsi="Times New Roman" w:eastAsia="仿宋_GB2312"/>
          <w:color w:val="auto"/>
          <w:sz w:val="32"/>
          <w:szCs w:val="32"/>
          <w:lang w:eastAsia="zh-CN"/>
        </w:rPr>
        <w:t>负责人</w:t>
      </w:r>
      <w:r>
        <w:rPr>
          <w:rFonts w:hint="eastAsia" w:ascii="Times New Roman" w:hAnsi="Times New Roman" w:eastAsia="仿宋_GB2312"/>
          <w:color w:val="auto"/>
          <w:sz w:val="32"/>
          <w:szCs w:val="32"/>
        </w:rPr>
        <w:t>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w:t>
      </w:r>
      <w:r>
        <w:rPr>
          <w:rFonts w:hint="eastAsia" w:ascii="Times New Roman" w:hAnsi="Times New Roman" w:eastAsia="仿宋_GB2312"/>
          <w:color w:val="auto"/>
          <w:sz w:val="32"/>
          <w:szCs w:val="32"/>
          <w:lang w:eastAsia="zh-CN"/>
        </w:rPr>
        <w:t>、</w:t>
      </w:r>
      <w:r>
        <w:rPr>
          <w:rFonts w:hint="eastAsia" w:ascii="Times New Roman" w:hAnsi="Times New Roman" w:eastAsia="仿宋_GB2312"/>
          <w:color w:val="auto"/>
          <w:sz w:val="32"/>
          <w:szCs w:val="32"/>
        </w:rPr>
        <w:t>机要通信用车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辆、应急保障用车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辆、执法执勤用车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辆、特种专业技术用车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w:t>
      </w:r>
      <w:r>
        <w:rPr>
          <w:rFonts w:hint="eastAsia" w:ascii="Times New Roman" w:hAnsi="Times New Roman" w:eastAsia="仿宋_GB2312"/>
          <w:color w:val="auto"/>
          <w:sz w:val="32"/>
          <w:szCs w:val="32"/>
          <w:lang w:eastAsia="zh-CN"/>
        </w:rPr>
        <w:t>离退休干部服务用车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辆、其他用车</w:t>
      </w:r>
      <w:r>
        <w:rPr>
          <w:rFonts w:hint="eastAsia" w:ascii="Times New Roman" w:hAnsi="Times New Roman" w:eastAsia="仿宋_GB2312"/>
          <w:color w:val="auto"/>
          <w:sz w:val="32"/>
          <w:szCs w:val="32"/>
          <w:lang w:val="en-US" w:eastAsia="zh-CN"/>
        </w:rPr>
        <w:t>1</w:t>
      </w:r>
      <w:r>
        <w:rPr>
          <w:rFonts w:hint="eastAsia" w:ascii="Times New Roman" w:hAnsi="Times New Roman" w:eastAsia="仿宋_GB2312"/>
          <w:color w:val="auto"/>
          <w:sz w:val="32"/>
          <w:szCs w:val="32"/>
        </w:rPr>
        <w:t>辆，其他用车主要是</w:t>
      </w:r>
      <w:r>
        <w:rPr>
          <w:rFonts w:hint="eastAsia" w:ascii="Times New Roman" w:hAnsi="Times New Roman" w:eastAsia="仿宋_GB2312"/>
          <w:color w:val="auto"/>
          <w:sz w:val="32"/>
          <w:szCs w:val="32"/>
          <w:lang w:val="en-US" w:eastAsia="zh-CN"/>
        </w:rPr>
        <w:t>学校业务用车</w:t>
      </w:r>
      <w:r>
        <w:rPr>
          <w:rFonts w:hint="eastAsia" w:ascii="Times New Roman" w:hAnsi="Times New Roman" w:eastAsia="仿宋_GB2312"/>
          <w:color w:val="auto"/>
          <w:sz w:val="32"/>
          <w:szCs w:val="32"/>
        </w:rPr>
        <w:t>；单位价值100万元以上设备</w:t>
      </w:r>
      <w:r>
        <w:rPr>
          <w:rFonts w:hint="eastAsia" w:ascii="Times New Roman" w:hAnsi="Times New Roman" w:eastAsia="仿宋_GB2312"/>
          <w:color w:val="auto"/>
          <w:sz w:val="32"/>
          <w:szCs w:val="32"/>
          <w:lang w:eastAsia="zh-CN"/>
        </w:rPr>
        <w:t>（不含车辆）</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台（套）。</w:t>
      </w:r>
    </w:p>
    <w:p w14:paraId="4DD948B7">
      <w:pPr>
        <w:pStyle w:val="16"/>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十</w:t>
      </w:r>
      <w:r>
        <w:rPr>
          <w:rFonts w:hint="eastAsia" w:hAnsi="黑体" w:cs="黑体"/>
          <w:b w:val="0"/>
          <w:bCs/>
          <w:color w:val="auto"/>
          <w:sz w:val="32"/>
          <w:szCs w:val="32"/>
          <w:lang w:val="en-US" w:eastAsia="zh-CN"/>
        </w:rPr>
        <w:t>四</w:t>
      </w:r>
      <w:r>
        <w:rPr>
          <w:rFonts w:hint="eastAsia" w:ascii="黑体" w:hAnsi="黑体" w:eastAsia="黑体" w:cs="黑体"/>
          <w:b w:val="0"/>
          <w:bCs/>
          <w:color w:val="auto"/>
          <w:sz w:val="32"/>
          <w:szCs w:val="32"/>
        </w:rPr>
        <w:t>、关于</w:t>
      </w:r>
      <w:r>
        <w:rPr>
          <w:rFonts w:hint="eastAsia" w:ascii="Times New Roman" w:hAnsi="Times New Roman" w:eastAsia="仿宋_GB2312"/>
          <w:color w:val="auto"/>
          <w:sz w:val="32"/>
          <w:szCs w:val="32"/>
        </w:rPr>
        <w:t>202</w:t>
      </w:r>
      <w:r>
        <w:rPr>
          <w:rFonts w:hint="eastAsia" w:ascii="Times New Roman" w:hAnsi="Times New Roman" w:eastAsia="仿宋_GB2312"/>
          <w:color w:val="auto"/>
          <w:sz w:val="32"/>
          <w:szCs w:val="32"/>
          <w:lang w:val="en-US" w:eastAsia="zh-CN"/>
        </w:rPr>
        <w:t>3</w:t>
      </w:r>
      <w:r>
        <w:rPr>
          <w:rFonts w:hint="eastAsia" w:ascii="黑体" w:hAnsi="黑体" w:eastAsia="黑体" w:cs="黑体"/>
          <w:b w:val="0"/>
          <w:bCs/>
          <w:color w:val="auto"/>
          <w:sz w:val="32"/>
          <w:szCs w:val="32"/>
        </w:rPr>
        <w:t>年度</w:t>
      </w:r>
      <w:r>
        <w:rPr>
          <w:rFonts w:hint="eastAsia" w:hAnsi="黑体" w:cs="黑体"/>
          <w:b w:val="0"/>
          <w:bCs/>
          <w:color w:val="auto"/>
          <w:sz w:val="32"/>
          <w:szCs w:val="32"/>
          <w:lang w:eastAsia="zh-CN"/>
        </w:rPr>
        <w:t>预算</w:t>
      </w:r>
      <w:r>
        <w:rPr>
          <w:rFonts w:hint="eastAsia" w:ascii="黑体" w:hAnsi="黑体" w:eastAsia="黑体" w:cs="黑体"/>
          <w:b w:val="0"/>
          <w:bCs/>
          <w:color w:val="auto"/>
          <w:sz w:val="32"/>
          <w:szCs w:val="32"/>
        </w:rPr>
        <w:t>绩效情况的说明</w:t>
      </w:r>
    </w:p>
    <w:p w14:paraId="49E86913">
      <w:pPr>
        <w:pStyle w:val="16"/>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楷体" w:hAnsi="楷体" w:eastAsia="楷体" w:cs="楷体"/>
          <w:b/>
          <w:bCs/>
          <w:sz w:val="32"/>
          <w:szCs w:val="32"/>
          <w:lang w:eastAsia="zh-CN"/>
        </w:rPr>
      </w:pPr>
      <w:r>
        <w:rPr>
          <w:rFonts w:hint="eastAsia" w:ascii="楷体" w:hAnsi="楷体" w:eastAsia="楷体" w:cs="楷体"/>
          <w:b/>
          <w:bCs/>
          <w:sz w:val="32"/>
          <w:szCs w:val="32"/>
          <w:lang w:eastAsia="zh-CN"/>
        </w:rPr>
        <w:t>（一）绩效管理工作开展情况</w:t>
      </w:r>
    </w:p>
    <w:p w14:paraId="3B21B187">
      <w:pPr>
        <w:pStyle w:val="16"/>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根据财政预算绩效管理要求，本部门充分认识到加强预算绩效管理工作的重要性和紧迫性，积极落实上级文件精神，不断强化绩效理念，组织相关部门逐步将预算编制、执行、监督、决算等环节与绩效目标管理、跟踪监控评价、结果应用等环节有机统一。项目采取“事前申报绩效目标和指标、事中开展绩效日常监督、事后进行绩效评价”的方式，基本建立了贯穿项目支出“事前、事中、事后”全过程的绩效管理模式。切实把加强预算绩效管理作为一项重要工作来抓。</w:t>
      </w:r>
    </w:p>
    <w:p w14:paraId="00EFCF45">
      <w:pPr>
        <w:pStyle w:val="16"/>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楷体" w:hAnsi="楷体" w:eastAsia="楷体" w:cs="楷体"/>
          <w:b/>
          <w:bCs/>
          <w:sz w:val="32"/>
          <w:szCs w:val="32"/>
        </w:rPr>
      </w:pPr>
      <w:r>
        <w:rPr>
          <w:rFonts w:hint="eastAsia" w:ascii="楷体" w:hAnsi="楷体" w:eastAsia="楷体" w:cs="楷体"/>
          <w:b/>
          <w:bCs/>
          <w:sz w:val="32"/>
          <w:szCs w:val="32"/>
          <w:lang w:eastAsia="zh-CN"/>
        </w:rPr>
        <w:t>（二）</w:t>
      </w:r>
      <w:r>
        <w:rPr>
          <w:rFonts w:hint="eastAsia" w:ascii="楷体" w:hAnsi="楷体" w:eastAsia="楷体" w:cs="楷体"/>
          <w:b/>
          <w:bCs/>
          <w:sz w:val="32"/>
          <w:szCs w:val="32"/>
        </w:rPr>
        <w:t>部门</w:t>
      </w:r>
      <w:r>
        <w:rPr>
          <w:rFonts w:hint="eastAsia" w:ascii="楷体" w:hAnsi="楷体" w:eastAsia="楷体" w:cs="楷体"/>
          <w:b/>
          <w:bCs/>
          <w:sz w:val="32"/>
          <w:szCs w:val="32"/>
          <w:lang w:eastAsia="zh-CN"/>
        </w:rPr>
        <w:t>（单位）</w:t>
      </w:r>
      <w:r>
        <w:rPr>
          <w:rFonts w:hint="eastAsia" w:ascii="楷体" w:hAnsi="楷体" w:eastAsia="楷体" w:cs="楷体"/>
          <w:b/>
          <w:bCs/>
          <w:sz w:val="32"/>
          <w:szCs w:val="32"/>
        </w:rPr>
        <w:t>整体支出绩效情况</w:t>
      </w:r>
    </w:p>
    <w:p w14:paraId="19941337">
      <w:pPr>
        <w:pStyle w:val="16"/>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本部门2023年度整体支出绩效自评工作，涉及资金6773.60万元，自评覆盖率达100%。整体支出主要是为完成学校教育教学及相关事务管理工作而发生的支出，主要包括人员经费、日常运动公用经费和项目支出。</w:t>
      </w:r>
    </w:p>
    <w:p w14:paraId="04D77813">
      <w:pPr>
        <w:pStyle w:val="16"/>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2023年围绕部门重点工作计划，抓好厉行节约源头控制，严格执行部门预算，加快支出进度；“三公”经费、一般运行经费实现了有效压减；项目支出严</w:t>
      </w:r>
      <w:bookmarkStart w:id="0" w:name="_GoBack"/>
      <w:bookmarkEnd w:id="0"/>
      <w:r>
        <w:rPr>
          <w:rFonts w:hint="eastAsia" w:ascii="Times New Roman" w:hAnsi="Times New Roman" w:eastAsia="仿宋_GB2312"/>
          <w:sz w:val="32"/>
          <w:szCs w:val="32"/>
          <w:lang w:val="en-US" w:eastAsia="zh-CN"/>
        </w:rPr>
        <w:t>格执行相关项目管理制度，按照程序和审批手续，确保资金使用规范合理，降低了运行成本，提高了资金的使用效率。</w:t>
      </w:r>
    </w:p>
    <w:p w14:paraId="46E4C42B">
      <w:pPr>
        <w:pStyle w:val="16"/>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部门整体支出绩效情况详见附件2：2023年度部门整体支出绩效自评报告</w:t>
      </w:r>
    </w:p>
    <w:p w14:paraId="77D8B39B">
      <w:pPr>
        <w:pStyle w:val="16"/>
        <w:keepNext w:val="0"/>
        <w:keepLines w:val="0"/>
        <w:pageBreakBefore w:val="0"/>
        <w:widowControl w:val="0"/>
        <w:numPr>
          <w:ilvl w:val="0"/>
          <w:numId w:val="2"/>
        </w:numPr>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楷体" w:hAnsi="楷体" w:eastAsia="楷体" w:cs="楷体"/>
          <w:b/>
          <w:bCs/>
          <w:sz w:val="32"/>
          <w:szCs w:val="32"/>
        </w:rPr>
      </w:pPr>
      <w:r>
        <w:rPr>
          <w:rFonts w:hint="eastAsia" w:ascii="楷体" w:hAnsi="楷体" w:eastAsia="楷体" w:cs="楷体"/>
          <w:b/>
          <w:bCs/>
          <w:sz w:val="32"/>
          <w:szCs w:val="32"/>
        </w:rPr>
        <w:t>存在的问题及原因分析</w:t>
      </w:r>
    </w:p>
    <w:p w14:paraId="52103F84">
      <w:pPr>
        <w:pStyle w:val="16"/>
        <w:keepNext w:val="0"/>
        <w:keepLines w:val="0"/>
        <w:pageBreakBefore w:val="0"/>
        <w:widowControl w:val="0"/>
        <w:numPr>
          <w:ilvl w:val="0"/>
          <w:numId w:val="0"/>
        </w:numPr>
        <w:kinsoku/>
        <w:wordWrap/>
        <w:overflowPunct/>
        <w:topLinePunct w:val="0"/>
        <w:autoSpaceDE w:val="0"/>
        <w:autoSpaceDN w:val="0"/>
        <w:bidi w:val="0"/>
        <w:adjustRightInd w:val="0"/>
        <w:snapToGrid/>
        <w:spacing w:line="580" w:lineRule="exact"/>
        <w:jc w:val="left"/>
        <w:textAlignment w:val="auto"/>
        <w:rPr>
          <w:rFonts w:hint="default" w:ascii="楷体" w:hAnsi="楷体" w:eastAsia="楷体" w:cs="楷体"/>
          <w:b/>
          <w:bCs/>
          <w:sz w:val="32"/>
          <w:szCs w:val="32"/>
          <w:lang w:val="en-US" w:eastAsia="zh-CN"/>
        </w:rPr>
      </w:pPr>
      <w:r>
        <w:rPr>
          <w:rFonts w:hint="eastAsia" w:ascii="楷体" w:hAnsi="楷体" w:eastAsia="楷体" w:cs="楷体"/>
          <w:b/>
          <w:bCs/>
          <w:sz w:val="32"/>
          <w:szCs w:val="32"/>
          <w:lang w:val="en-US" w:eastAsia="zh-CN"/>
        </w:rPr>
        <w:t xml:space="preserve">    </w:t>
      </w:r>
      <w:r>
        <w:rPr>
          <w:rFonts w:hint="eastAsia" w:ascii="Times New Roman" w:hAnsi="Times New Roman" w:eastAsia="仿宋_GB2312"/>
          <w:sz w:val="32"/>
          <w:szCs w:val="32"/>
          <w:lang w:val="en-US" w:eastAsia="zh-CN"/>
        </w:rPr>
        <w:t>预算绩效评价个性指标有待进一步完善。项目绩效指标设置不够精准、细化，指标无法准确反映项目的真实产出和效益，未能全面、精确反映整体绩效水平。主要原因是缺乏专业的绩效管理人员。</w:t>
      </w:r>
    </w:p>
    <w:p w14:paraId="291CCCB3">
      <w:pPr>
        <w:pStyle w:val="16"/>
        <w:jc w:val="center"/>
        <w:rPr>
          <w:rFonts w:hint="eastAsia" w:ascii="方正小标宋_GBK" w:hAnsi="方正小标宋_GBK" w:eastAsia="方正小标宋_GBK" w:cs="方正小标宋_GBK"/>
          <w:sz w:val="44"/>
          <w:szCs w:val="44"/>
        </w:rPr>
      </w:pPr>
    </w:p>
    <w:p w14:paraId="071A5235">
      <w:pPr>
        <w:pStyle w:val="16"/>
        <w:jc w:val="center"/>
        <w:rPr>
          <w:rFonts w:hint="eastAsia" w:ascii="方正小标宋_GBK" w:hAnsi="方正小标宋_GBK" w:eastAsia="方正小标宋_GBK" w:cs="方正小标宋_GBK"/>
          <w:color w:val="000000"/>
          <w:kern w:val="0"/>
          <w:sz w:val="44"/>
          <w:szCs w:val="44"/>
        </w:rPr>
      </w:pPr>
      <w:r>
        <w:rPr>
          <w:rFonts w:hint="eastAsia" w:ascii="方正小标宋_GBK" w:hAnsi="方正小标宋_GBK" w:eastAsia="方正小标宋_GBK" w:cs="方正小标宋_GBK"/>
          <w:sz w:val="44"/>
          <w:szCs w:val="44"/>
        </w:rPr>
        <w:t>第四部分</w:t>
      </w:r>
      <w:r>
        <w:rPr>
          <w:rFonts w:hint="eastAsia" w:ascii="方正小标宋_GBK" w:hAnsi="方正小标宋_GBK" w:eastAsia="方正小标宋_GBK" w:cs="方正小标宋_GBK"/>
          <w:sz w:val="44"/>
          <w:szCs w:val="44"/>
          <w:lang w:val="en-US" w:eastAsia="zh-CN"/>
        </w:rPr>
        <w:t xml:space="preserve">  </w:t>
      </w:r>
      <w:r>
        <w:rPr>
          <w:rFonts w:hint="eastAsia" w:ascii="方正小标宋_GBK" w:hAnsi="方正小标宋_GBK" w:eastAsia="方正小标宋_GBK" w:cs="方正小标宋_GBK"/>
          <w:color w:val="000000"/>
          <w:kern w:val="0"/>
          <w:sz w:val="44"/>
          <w:szCs w:val="44"/>
        </w:rPr>
        <w:t>名词解释</w:t>
      </w:r>
    </w:p>
    <w:p w14:paraId="4F6401DB">
      <w:pPr>
        <w:widowControl/>
        <w:jc w:val="left"/>
        <w:rPr>
          <w:rFonts w:cs="黑体" w:asciiTheme="minorEastAsia" w:hAnsiTheme="minorEastAsia"/>
          <w:color w:val="000000"/>
          <w:kern w:val="0"/>
          <w:sz w:val="32"/>
          <w:szCs w:val="32"/>
        </w:rPr>
      </w:pPr>
    </w:p>
    <w:p w14:paraId="66CD1D0F">
      <w:pPr>
        <w:keepNext w:val="0"/>
        <w:keepLines w:val="0"/>
        <w:pageBreakBefore w:val="0"/>
        <w:kinsoku/>
        <w:wordWrap/>
        <w:overflowPunct/>
        <w:topLinePunct w:val="0"/>
        <w:bidi w:val="0"/>
        <w:snapToGrid/>
        <w:spacing w:afterAutospacing="0" w:line="560" w:lineRule="exact"/>
        <w:ind w:firstLine="600" w:firstLineChars="200"/>
        <w:jc w:val="left"/>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1.机关运行经费：为保障行政单位（包括参照公务员法管理的事业单位）运行，用一般公共预算拨款安排用于购买货物和服务的各项资金，包括办公及印刷费、邮电费、差旅费、会议费、福利费、日常维修费、办公用房水电费、办公用房取暖费、办公用房物业管理费、公务用车运行维护费以及其他费用。</w:t>
      </w:r>
    </w:p>
    <w:p w14:paraId="41B5ABE3">
      <w:pPr>
        <w:pStyle w:val="16"/>
        <w:ind w:firstLine="600"/>
        <w:jc w:val="left"/>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2.“三公”经费：纳入财政预算管理的“三公“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w:t>
      </w:r>
    </w:p>
    <w:p w14:paraId="4825CE2D">
      <w:pPr>
        <w:pStyle w:val="16"/>
        <w:bidi w:val="0"/>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3.政府采购：指各级国家机关、事业单位和团体组织，使用财政性资金采购依法制定的集中目录以内的或者采购限额标准以上的货物、工程和服务的行为，是规范财政支出管理和强化预算约束的有效措施。</w:t>
      </w:r>
    </w:p>
    <w:p w14:paraId="0CBDBCD3">
      <w:pPr>
        <w:pStyle w:val="16"/>
        <w:bidi w:val="0"/>
        <w:ind w:firstLine="640" w:firstLineChars="200"/>
        <w:rPr>
          <w:rFonts w:hint="eastAsia" w:ascii="仿宋" w:hAnsi="仿宋" w:eastAsia="仿宋" w:cs="仿宋"/>
          <w:sz w:val="32"/>
          <w:szCs w:val="32"/>
          <w:lang w:val="en-US" w:eastAsia="zh-CN"/>
        </w:rPr>
      </w:pPr>
    </w:p>
    <w:p w14:paraId="143F38C9">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jc w:val="lef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附件1:2023年部门决算公开表</w:t>
      </w:r>
    </w:p>
    <w:p w14:paraId="4985C572">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jc w:val="left"/>
        <w:textAlignment w:val="auto"/>
        <w:rPr>
          <w:rFonts w:hint="eastAsia" w:ascii="仿宋" w:hAnsi="仿宋" w:eastAsia="仿宋" w:cs="仿宋"/>
          <w:color w:val="000000"/>
          <w:kern w:val="0"/>
          <w:sz w:val="32"/>
          <w:szCs w:val="32"/>
        </w:rPr>
      </w:pPr>
      <w:r>
        <w:rPr>
          <w:rFonts w:hint="eastAsia" w:ascii="仿宋" w:hAnsi="仿宋" w:eastAsia="仿宋" w:cs="仿宋"/>
          <w:sz w:val="32"/>
          <w:szCs w:val="32"/>
          <w:lang w:val="en-US" w:eastAsia="zh-CN"/>
        </w:rPr>
        <w:t>附件2:2023年部门整体支出绩效自评报告</w:t>
      </w:r>
    </w:p>
    <w:sectPr>
      <w:footerReference r:id="rId3" w:type="default"/>
      <w:pgSz w:w="11906" w:h="16838"/>
      <w:pgMar w:top="1457" w:right="1797" w:bottom="1457" w:left="1797" w:header="851" w:footer="992" w:gutter="0"/>
      <w:pgNumType w:fmt="decimal"/>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altName w:val="微软雅黑"/>
    <w:panose1 w:val="03000509000000000000"/>
    <w:charset w:val="86"/>
    <w:family w:val="script"/>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A0D714">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3BABBBA">
                          <w:pPr>
                            <w:pStyle w:val="6"/>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12</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33BABBBA">
                    <w:pPr>
                      <w:pStyle w:val="6"/>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12</w:t>
                    </w:r>
                    <w:r>
                      <w:fldChar w:fldCharType="end"/>
                    </w:r>
                    <w: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EA9DCA5"/>
    <w:multiLevelType w:val="singleLevel"/>
    <w:tmpl w:val="CEA9DCA5"/>
    <w:lvl w:ilvl="0" w:tentative="0">
      <w:start w:val="2"/>
      <w:numFmt w:val="chineseCounting"/>
      <w:suff w:val="space"/>
      <w:lvlText w:val="第%1部分"/>
      <w:lvlJc w:val="left"/>
      <w:rPr>
        <w:rFonts w:hint="eastAsia"/>
      </w:rPr>
    </w:lvl>
  </w:abstractNum>
  <w:abstractNum w:abstractNumId="1">
    <w:nsid w:val="6E484D29"/>
    <w:multiLevelType w:val="singleLevel"/>
    <w:tmpl w:val="6E484D29"/>
    <w:lvl w:ilvl="0" w:tentative="0">
      <w:start w:val="3"/>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czOTJhY2U1ZmQ1YTU1YzBmN2E2YzM1MjRlM2ZhOTkifQ=="/>
  </w:docVars>
  <w:rsids>
    <w:rsidRoot w:val="004506F9"/>
    <w:rsid w:val="0002229B"/>
    <w:rsid w:val="000273BD"/>
    <w:rsid w:val="00040CBC"/>
    <w:rsid w:val="000415B7"/>
    <w:rsid w:val="00041E3F"/>
    <w:rsid w:val="00055DAA"/>
    <w:rsid w:val="00061F7B"/>
    <w:rsid w:val="000658A3"/>
    <w:rsid w:val="00074155"/>
    <w:rsid w:val="000A3F69"/>
    <w:rsid w:val="00103957"/>
    <w:rsid w:val="00152C6D"/>
    <w:rsid w:val="00162D39"/>
    <w:rsid w:val="001678BD"/>
    <w:rsid w:val="00182373"/>
    <w:rsid w:val="001A67DB"/>
    <w:rsid w:val="001C3C29"/>
    <w:rsid w:val="001D51E5"/>
    <w:rsid w:val="001E080D"/>
    <w:rsid w:val="001E53D0"/>
    <w:rsid w:val="001F0C3B"/>
    <w:rsid w:val="00202C82"/>
    <w:rsid w:val="00214427"/>
    <w:rsid w:val="00226CB7"/>
    <w:rsid w:val="00264552"/>
    <w:rsid w:val="00264EF9"/>
    <w:rsid w:val="00265724"/>
    <w:rsid w:val="0027426B"/>
    <w:rsid w:val="002E0A30"/>
    <w:rsid w:val="003130C4"/>
    <w:rsid w:val="00316C4B"/>
    <w:rsid w:val="0032192B"/>
    <w:rsid w:val="003479BD"/>
    <w:rsid w:val="0037197D"/>
    <w:rsid w:val="003768D5"/>
    <w:rsid w:val="003926B9"/>
    <w:rsid w:val="003C47E6"/>
    <w:rsid w:val="003C4FC2"/>
    <w:rsid w:val="00416E61"/>
    <w:rsid w:val="0042790C"/>
    <w:rsid w:val="004506F9"/>
    <w:rsid w:val="004717A2"/>
    <w:rsid w:val="00473DF3"/>
    <w:rsid w:val="00487911"/>
    <w:rsid w:val="00491741"/>
    <w:rsid w:val="004B0CEE"/>
    <w:rsid w:val="00500E5F"/>
    <w:rsid w:val="005122EF"/>
    <w:rsid w:val="0051441A"/>
    <w:rsid w:val="00517C33"/>
    <w:rsid w:val="00517D5F"/>
    <w:rsid w:val="00523644"/>
    <w:rsid w:val="0054069E"/>
    <w:rsid w:val="00544866"/>
    <w:rsid w:val="005767CC"/>
    <w:rsid w:val="00590D9F"/>
    <w:rsid w:val="00595D26"/>
    <w:rsid w:val="005A74E6"/>
    <w:rsid w:val="005B404E"/>
    <w:rsid w:val="005D4D55"/>
    <w:rsid w:val="005E2CFB"/>
    <w:rsid w:val="005F2103"/>
    <w:rsid w:val="005F3D1C"/>
    <w:rsid w:val="0062378F"/>
    <w:rsid w:val="00641842"/>
    <w:rsid w:val="00651EEC"/>
    <w:rsid w:val="00686673"/>
    <w:rsid w:val="00691E8C"/>
    <w:rsid w:val="006A22C4"/>
    <w:rsid w:val="006A351B"/>
    <w:rsid w:val="006B0422"/>
    <w:rsid w:val="006C1B53"/>
    <w:rsid w:val="006D7730"/>
    <w:rsid w:val="006E5284"/>
    <w:rsid w:val="006F3EB5"/>
    <w:rsid w:val="00702E34"/>
    <w:rsid w:val="00704395"/>
    <w:rsid w:val="00710FE7"/>
    <w:rsid w:val="00717621"/>
    <w:rsid w:val="00720FF1"/>
    <w:rsid w:val="00727A53"/>
    <w:rsid w:val="00787B42"/>
    <w:rsid w:val="007C4539"/>
    <w:rsid w:val="007F3657"/>
    <w:rsid w:val="00812ED5"/>
    <w:rsid w:val="008277D9"/>
    <w:rsid w:val="0084478C"/>
    <w:rsid w:val="0086638C"/>
    <w:rsid w:val="008A3E8D"/>
    <w:rsid w:val="009237C4"/>
    <w:rsid w:val="00944C48"/>
    <w:rsid w:val="00950252"/>
    <w:rsid w:val="00967F5D"/>
    <w:rsid w:val="009A0F95"/>
    <w:rsid w:val="009B3ADF"/>
    <w:rsid w:val="009C3B52"/>
    <w:rsid w:val="009E6817"/>
    <w:rsid w:val="009E6E9A"/>
    <w:rsid w:val="00A01D2B"/>
    <w:rsid w:val="00A42218"/>
    <w:rsid w:val="00A70249"/>
    <w:rsid w:val="00A70B02"/>
    <w:rsid w:val="00A71D9F"/>
    <w:rsid w:val="00A92E9F"/>
    <w:rsid w:val="00AB18FF"/>
    <w:rsid w:val="00B33BEA"/>
    <w:rsid w:val="00B57C9F"/>
    <w:rsid w:val="00B63572"/>
    <w:rsid w:val="00B845B3"/>
    <w:rsid w:val="00B85D8B"/>
    <w:rsid w:val="00BB4A40"/>
    <w:rsid w:val="00BD6C3E"/>
    <w:rsid w:val="00BE3674"/>
    <w:rsid w:val="00C10681"/>
    <w:rsid w:val="00C3049A"/>
    <w:rsid w:val="00C31B1E"/>
    <w:rsid w:val="00C77645"/>
    <w:rsid w:val="00CE04C3"/>
    <w:rsid w:val="00CE76A0"/>
    <w:rsid w:val="00D148C6"/>
    <w:rsid w:val="00D17A8A"/>
    <w:rsid w:val="00D415BA"/>
    <w:rsid w:val="00D63780"/>
    <w:rsid w:val="00D644EE"/>
    <w:rsid w:val="00DD06FF"/>
    <w:rsid w:val="00DD5FE9"/>
    <w:rsid w:val="00E00C7A"/>
    <w:rsid w:val="00E37D6C"/>
    <w:rsid w:val="00E55B68"/>
    <w:rsid w:val="00E561AE"/>
    <w:rsid w:val="00E67BE6"/>
    <w:rsid w:val="00E8683C"/>
    <w:rsid w:val="00EA2B72"/>
    <w:rsid w:val="00F74360"/>
    <w:rsid w:val="00FB462F"/>
    <w:rsid w:val="00FE16FA"/>
    <w:rsid w:val="00FE328A"/>
    <w:rsid w:val="00FE5E53"/>
    <w:rsid w:val="00FE6269"/>
    <w:rsid w:val="00FF5CD6"/>
    <w:rsid w:val="01326F3B"/>
    <w:rsid w:val="01D4745A"/>
    <w:rsid w:val="037E6D6A"/>
    <w:rsid w:val="03A569EC"/>
    <w:rsid w:val="04916414"/>
    <w:rsid w:val="04B80536"/>
    <w:rsid w:val="04F955FF"/>
    <w:rsid w:val="05AB46D0"/>
    <w:rsid w:val="07C771A5"/>
    <w:rsid w:val="09F87070"/>
    <w:rsid w:val="0B936F46"/>
    <w:rsid w:val="0C264442"/>
    <w:rsid w:val="0C7813B4"/>
    <w:rsid w:val="0FA24D59"/>
    <w:rsid w:val="106D0FD2"/>
    <w:rsid w:val="109866AA"/>
    <w:rsid w:val="131F3EBA"/>
    <w:rsid w:val="13935631"/>
    <w:rsid w:val="14B27D54"/>
    <w:rsid w:val="16D34171"/>
    <w:rsid w:val="17592C4E"/>
    <w:rsid w:val="177F2CE5"/>
    <w:rsid w:val="19797F82"/>
    <w:rsid w:val="1D1657FA"/>
    <w:rsid w:val="21187033"/>
    <w:rsid w:val="235F6157"/>
    <w:rsid w:val="24E51367"/>
    <w:rsid w:val="255012A0"/>
    <w:rsid w:val="2628223B"/>
    <w:rsid w:val="272D269D"/>
    <w:rsid w:val="29626662"/>
    <w:rsid w:val="297513D8"/>
    <w:rsid w:val="2CCD4AF7"/>
    <w:rsid w:val="2E3010F7"/>
    <w:rsid w:val="2E724577"/>
    <w:rsid w:val="2ED63B97"/>
    <w:rsid w:val="31484D50"/>
    <w:rsid w:val="3149173E"/>
    <w:rsid w:val="34CF13A8"/>
    <w:rsid w:val="3643781B"/>
    <w:rsid w:val="371C7A87"/>
    <w:rsid w:val="388D1222"/>
    <w:rsid w:val="38C56771"/>
    <w:rsid w:val="394246A0"/>
    <w:rsid w:val="3A3356AB"/>
    <w:rsid w:val="3A351FF4"/>
    <w:rsid w:val="3A7C45D8"/>
    <w:rsid w:val="3C25490E"/>
    <w:rsid w:val="3D6178AF"/>
    <w:rsid w:val="3D8A0D33"/>
    <w:rsid w:val="3D9B6D4B"/>
    <w:rsid w:val="3F2F69B3"/>
    <w:rsid w:val="442A01C9"/>
    <w:rsid w:val="448C026D"/>
    <w:rsid w:val="46A46778"/>
    <w:rsid w:val="491815A4"/>
    <w:rsid w:val="4A062A9F"/>
    <w:rsid w:val="4A5864B5"/>
    <w:rsid w:val="4B281006"/>
    <w:rsid w:val="4CDA1CF8"/>
    <w:rsid w:val="4E8063AB"/>
    <w:rsid w:val="5027649D"/>
    <w:rsid w:val="53210F42"/>
    <w:rsid w:val="5404663E"/>
    <w:rsid w:val="54C16CF5"/>
    <w:rsid w:val="55005CC6"/>
    <w:rsid w:val="561F5DC3"/>
    <w:rsid w:val="56791375"/>
    <w:rsid w:val="56CA277D"/>
    <w:rsid w:val="5777D4F5"/>
    <w:rsid w:val="57B70DC6"/>
    <w:rsid w:val="582D7B25"/>
    <w:rsid w:val="591F781C"/>
    <w:rsid w:val="5B661732"/>
    <w:rsid w:val="5BB33896"/>
    <w:rsid w:val="5EF43FD9"/>
    <w:rsid w:val="5FC6BB1E"/>
    <w:rsid w:val="5FD033BF"/>
    <w:rsid w:val="5FF720F1"/>
    <w:rsid w:val="603E7E4C"/>
    <w:rsid w:val="627F1820"/>
    <w:rsid w:val="632552E8"/>
    <w:rsid w:val="63D01E3F"/>
    <w:rsid w:val="6445282D"/>
    <w:rsid w:val="684D360C"/>
    <w:rsid w:val="68577B05"/>
    <w:rsid w:val="688D4B21"/>
    <w:rsid w:val="69951B60"/>
    <w:rsid w:val="6B9F666F"/>
    <w:rsid w:val="6D751FEF"/>
    <w:rsid w:val="6E190916"/>
    <w:rsid w:val="6E6012F5"/>
    <w:rsid w:val="6FC6211C"/>
    <w:rsid w:val="706B361B"/>
    <w:rsid w:val="70CC25CB"/>
    <w:rsid w:val="71841168"/>
    <w:rsid w:val="7336175E"/>
    <w:rsid w:val="737D59BA"/>
    <w:rsid w:val="73D33319"/>
    <w:rsid w:val="75A1188D"/>
    <w:rsid w:val="76C456A6"/>
    <w:rsid w:val="77C37683"/>
    <w:rsid w:val="78BD2746"/>
    <w:rsid w:val="79454A8A"/>
    <w:rsid w:val="79FF515B"/>
    <w:rsid w:val="7BDC361F"/>
    <w:rsid w:val="7C765821"/>
    <w:rsid w:val="7CF22655"/>
    <w:rsid w:val="7D8F2F5C"/>
    <w:rsid w:val="7DBF7B03"/>
    <w:rsid w:val="7E851D4C"/>
    <w:rsid w:val="7E9F11B4"/>
    <w:rsid w:val="7EC41338"/>
    <w:rsid w:val="7FC69637"/>
    <w:rsid w:val="7FFDB408"/>
    <w:rsid w:val="CBFF70E0"/>
    <w:rsid w:val="EEABED75"/>
    <w:rsid w:val="FB36E1A6"/>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1">
    <w:name w:val="Default Paragraph Font"/>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0"/>
    <w:pPr>
      <w:jc w:val="center"/>
    </w:pPr>
    <w:rPr>
      <w:rFonts w:ascii="宋体"/>
      <w:b/>
      <w:bCs/>
      <w:sz w:val="44"/>
    </w:rPr>
  </w:style>
  <w:style w:type="paragraph" w:styleId="3">
    <w:name w:val="Body Text Indent"/>
    <w:basedOn w:val="1"/>
    <w:next w:val="4"/>
    <w:unhideWhenUsed/>
    <w:qFormat/>
    <w:uiPriority w:val="99"/>
    <w:pPr>
      <w:spacing w:after="120"/>
      <w:ind w:left="420" w:leftChars="200"/>
    </w:pPr>
  </w:style>
  <w:style w:type="paragraph" w:styleId="4">
    <w:name w:val="Body Text First Indent 2"/>
    <w:basedOn w:val="3"/>
    <w:next w:val="1"/>
    <w:unhideWhenUsed/>
    <w:qFormat/>
    <w:uiPriority w:val="99"/>
    <w:pPr>
      <w:ind w:firstLine="420"/>
    </w:pPr>
  </w:style>
  <w:style w:type="paragraph" w:styleId="5">
    <w:name w:val="Balloon Text"/>
    <w:basedOn w:val="1"/>
    <w:link w:val="18"/>
    <w:semiHidden/>
    <w:unhideWhenUsed/>
    <w:qFormat/>
    <w:uiPriority w:val="99"/>
    <w:rPr>
      <w:sz w:val="18"/>
      <w:szCs w:val="18"/>
    </w:rPr>
  </w:style>
  <w:style w:type="paragraph" w:styleId="6">
    <w:name w:val="footer"/>
    <w:basedOn w:val="1"/>
    <w:link w:val="15"/>
    <w:unhideWhenUsed/>
    <w:qFormat/>
    <w:uiPriority w:val="99"/>
    <w:pPr>
      <w:tabs>
        <w:tab w:val="center" w:pos="4153"/>
        <w:tab w:val="right" w:pos="8306"/>
      </w:tabs>
      <w:snapToGrid w:val="0"/>
      <w:jc w:val="left"/>
    </w:pPr>
    <w:rPr>
      <w:sz w:val="18"/>
      <w:szCs w:val="18"/>
    </w:rPr>
  </w:style>
  <w:style w:type="paragraph" w:styleId="7">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footnote text"/>
    <w:basedOn w:val="1"/>
    <w:next w:val="4"/>
    <w:semiHidden/>
    <w:qFormat/>
    <w:uiPriority w:val="0"/>
    <w:pPr>
      <w:snapToGrid w:val="0"/>
      <w:jc w:val="left"/>
    </w:pPr>
    <w:rPr>
      <w:sz w:val="18"/>
      <w:szCs w:val="18"/>
    </w:rPr>
  </w:style>
  <w:style w:type="paragraph" w:styleId="9">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12">
    <w:name w:val="Emphasis"/>
    <w:basedOn w:val="11"/>
    <w:qFormat/>
    <w:uiPriority w:val="20"/>
    <w:rPr>
      <w:i/>
    </w:rPr>
  </w:style>
  <w:style w:type="character" w:styleId="13">
    <w:name w:val="Hyperlink"/>
    <w:basedOn w:val="11"/>
    <w:qFormat/>
    <w:uiPriority w:val="0"/>
    <w:rPr>
      <w:color w:val="0000FF"/>
      <w:u w:val="single"/>
    </w:rPr>
  </w:style>
  <w:style w:type="character" w:customStyle="1" w:styleId="14">
    <w:name w:val="页眉 Char"/>
    <w:basedOn w:val="11"/>
    <w:link w:val="7"/>
    <w:qFormat/>
    <w:uiPriority w:val="99"/>
    <w:rPr>
      <w:sz w:val="18"/>
      <w:szCs w:val="18"/>
    </w:rPr>
  </w:style>
  <w:style w:type="character" w:customStyle="1" w:styleId="15">
    <w:name w:val="页脚 Char"/>
    <w:basedOn w:val="11"/>
    <w:link w:val="6"/>
    <w:qFormat/>
    <w:uiPriority w:val="99"/>
    <w:rPr>
      <w:sz w:val="18"/>
      <w:szCs w:val="18"/>
    </w:rPr>
  </w:style>
  <w:style w:type="paragraph" w:customStyle="1" w:styleId="16">
    <w:name w:val="Default"/>
    <w:qForma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 w:type="paragraph" w:styleId="17">
    <w:name w:val="List Paragraph"/>
    <w:basedOn w:val="1"/>
    <w:qFormat/>
    <w:uiPriority w:val="34"/>
    <w:pPr>
      <w:ind w:firstLine="420" w:firstLineChars="200"/>
    </w:pPr>
  </w:style>
  <w:style w:type="character" w:customStyle="1" w:styleId="18">
    <w:name w:val="批注框文本 Char"/>
    <w:basedOn w:val="11"/>
    <w:link w:val="5"/>
    <w:semiHidden/>
    <w:qFormat/>
    <w:uiPriority w:val="99"/>
    <w:rPr>
      <w:sz w:val="18"/>
      <w:szCs w:val="18"/>
    </w:rPr>
  </w:style>
  <w:style w:type="character" w:customStyle="1" w:styleId="19">
    <w:name w:val="font01"/>
    <w:basedOn w:val="11"/>
    <w:qFormat/>
    <w:uiPriority w:val="0"/>
    <w:rPr>
      <w:rFonts w:hint="eastAsia" w:ascii="宋体" w:hAnsi="宋体" w:eastAsia="宋体" w:cs="宋体"/>
      <w:color w:val="000000"/>
      <w:sz w:val="22"/>
      <w:szCs w:val="22"/>
      <w:u w:val="none"/>
    </w:rPr>
  </w:style>
  <w:style w:type="character" w:customStyle="1" w:styleId="20">
    <w:name w:val="font21"/>
    <w:basedOn w:val="11"/>
    <w:qFormat/>
    <w:uiPriority w:val="0"/>
    <w:rPr>
      <w:rFonts w:hint="eastAsia" w:ascii="宋体" w:hAnsi="宋体" w:eastAsia="宋体" w:cs="宋体"/>
      <w:color w:val="000000"/>
      <w:sz w:val="24"/>
      <w:szCs w:val="24"/>
      <w:u w:val="none"/>
    </w:rPr>
  </w:style>
  <w:style w:type="character" w:customStyle="1" w:styleId="21">
    <w:name w:val="font11"/>
    <w:basedOn w:val="11"/>
    <w:qFormat/>
    <w:uiPriority w:val="0"/>
    <w:rPr>
      <w:rFonts w:hint="eastAsia" w:ascii="宋体" w:hAnsi="宋体" w:eastAsia="宋体" w:cs="宋体"/>
      <w:color w:val="000000"/>
      <w:sz w:val="24"/>
      <w:szCs w:val="24"/>
      <w:u w:val="none"/>
    </w:rPr>
  </w:style>
  <w:style w:type="paragraph" w:customStyle="1" w:styleId="22">
    <w:name w:val="无间隔"/>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12</Pages>
  <Words>4752</Words>
  <Characters>5206</Characters>
  <Lines>63</Lines>
  <Paragraphs>18</Paragraphs>
  <TotalTime>35</TotalTime>
  <ScaleCrop>false</ScaleCrop>
  <LinksUpToDate>false</LinksUpToDate>
  <CharactersWithSpaces>5235</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2020-07-04T18:32:00Z</dcterms:created>
  <dc:creator>李航 null</dc:creator>
  <cp:lastModifiedBy>Administrator</cp:lastModifiedBy>
  <cp:lastPrinted>2023-08-15T09:28:00Z</cp:lastPrinted>
  <dcterms:modified xsi:type="dcterms:W3CDTF">2024-09-24T07:36:00Z</dcterms:modified>
  <cp:revision>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834C4EEF9C0540D0B7E4A22AFEB45DDC_13</vt:lpwstr>
  </property>
</Properties>
</file>