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color w:val="auto"/>
          <w:kern w:val="0"/>
          <w:sz w:val="48"/>
          <w:szCs w:val="48"/>
        </w:rPr>
      </w:pPr>
      <w:r>
        <w:rPr>
          <w:rFonts w:hint="eastAsia" w:ascii="仿宋" w:hAnsi="仿宋" w:eastAsia="仿宋" w:cs="仿宋"/>
          <w:b/>
          <w:bCs/>
          <w:color w:val="auto"/>
          <w:kern w:val="0"/>
          <w:sz w:val="48"/>
          <w:szCs w:val="48"/>
        </w:rPr>
        <w:t>怀化市铁路第一小学2022年度部门预算公开说明</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val="0"/>
          <w:color w:val="auto"/>
          <w:kern w:val="0"/>
          <w:sz w:val="32"/>
          <w:szCs w:val="32"/>
        </w:rPr>
      </w:pPr>
      <w:r>
        <w:rPr>
          <w:rFonts w:hint="eastAsia" w:ascii="黑体" w:hAnsi="黑体" w:eastAsia="黑体" w:cs="黑体"/>
          <w:b/>
          <w:bCs w:val="0"/>
          <w:color w:val="auto"/>
          <w:kern w:val="0"/>
          <w:sz w:val="32"/>
          <w:szCs w:val="32"/>
        </w:rPr>
        <w:t>目</w:t>
      </w:r>
      <w:r>
        <w:rPr>
          <w:rFonts w:hint="eastAsia" w:ascii="黑体" w:hAnsi="黑体" w:eastAsia="黑体" w:cs="黑体"/>
          <w:b/>
          <w:bCs w:val="0"/>
          <w:color w:val="auto"/>
          <w:kern w:val="0"/>
          <w:sz w:val="32"/>
          <w:szCs w:val="32"/>
          <w:lang w:val="en-US" w:eastAsia="zh-CN"/>
        </w:rPr>
        <w:tab/>
      </w:r>
      <w:r>
        <w:rPr>
          <w:rFonts w:hint="eastAsia" w:ascii="黑体" w:hAnsi="黑体" w:eastAsia="黑体" w:cs="黑体"/>
          <w:b/>
          <w:bCs w:val="0"/>
          <w:color w:val="auto"/>
          <w:kern w:val="0"/>
          <w:sz w:val="32"/>
          <w:szCs w:val="32"/>
        </w:rPr>
        <w:t>录</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3" w:firstLineChars="200"/>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第一部分2022年部门预算说明</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一、部门基本概况</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（二）机构设置情况</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二、部门预算单位构成</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三、部门收支总体情况</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四、一般公共预算拨款支出</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五、政府性基金支出情况</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六、其他重要事项的情况说明</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七、名词解释</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3" w:firstLineChars="200"/>
        <w:jc w:val="both"/>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第二部分2022年部门预算表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1、部门收支总表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2、部门收入总表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3、部门支出总表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4、财政拨款收支总表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5、一般公共预算支出表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6、一般公共预算基本支出表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7.一般公共预算“三公”经费支出表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8、政府性基金预算支出表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9、国有资本经营预算支出表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10、项目支出绩效目标表表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11、部门整体支出绩效目标表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b/>
          <w:color w:val="auto"/>
          <w:kern w:val="0"/>
          <w:sz w:val="32"/>
          <w:szCs w:val="32"/>
        </w:rPr>
      </w:pPr>
      <w:r>
        <w:rPr>
          <w:rFonts w:hint="eastAsia" w:ascii="仿宋" w:hAnsi="仿宋" w:eastAsia="仿宋" w:cs="仿宋"/>
          <w:bCs/>
          <w:color w:val="auto"/>
          <w:kern w:val="0"/>
          <w:sz w:val="32"/>
          <w:szCs w:val="32"/>
        </w:rPr>
        <w:t>注：以上部门预算报表中，空表表示本部门无相关收支情况。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3" w:firstLineChars="200"/>
        <w:jc w:val="both"/>
        <w:textAlignment w:val="auto"/>
        <w:rPr>
          <w:rFonts w:hint="eastAsia" w:ascii="仿宋" w:hAnsi="仿宋" w:eastAsia="仿宋" w:cs="仿宋"/>
          <w:b/>
          <w:bCs/>
          <w:i w:val="0"/>
          <w:iCs w:val="0"/>
          <w:caps w:val="0"/>
          <w:color w:val="auto"/>
          <w:spacing w:val="0"/>
          <w:sz w:val="32"/>
          <w:szCs w:val="32"/>
          <w:shd w:val="clear" w:color="auto"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jc w:val="center"/>
        <w:textAlignment w:val="auto"/>
        <w:rPr>
          <w:rFonts w:hint="eastAsia" w:ascii="黑体" w:hAnsi="黑体" w:eastAsia="黑体" w:cs="黑体"/>
          <w:b/>
          <w:bCs/>
          <w:i w:val="0"/>
          <w:iCs w:val="0"/>
          <w:caps w:val="0"/>
          <w:color w:val="auto"/>
          <w:spacing w:val="0"/>
          <w:sz w:val="44"/>
          <w:szCs w:val="44"/>
          <w:shd w:val="clear" w:color="auto" w:fill="FFFFFF"/>
        </w:rPr>
      </w:pPr>
      <w:r>
        <w:rPr>
          <w:rFonts w:hint="eastAsia" w:ascii="黑体" w:hAnsi="黑体" w:eastAsia="黑体" w:cs="黑体"/>
          <w:b/>
          <w:bCs/>
          <w:i w:val="0"/>
          <w:iCs w:val="0"/>
          <w:caps w:val="0"/>
          <w:color w:val="auto"/>
          <w:spacing w:val="0"/>
          <w:sz w:val="44"/>
          <w:szCs w:val="44"/>
          <w:shd w:val="clear" w:color="auto" w:fill="FFFFFF"/>
        </w:rPr>
        <w:t>第一部分 2022年部门预算说明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both"/>
        <w:textAlignment w:val="auto"/>
        <w:rPr>
          <w:rFonts w:hint="eastAsia" w:ascii="仿宋" w:hAnsi="仿宋" w:eastAsia="仿宋" w:cs="仿宋"/>
          <w:i w:val="0"/>
          <w:iCs w:val="0"/>
          <w:caps w:val="0"/>
          <w:color w:val="auto"/>
          <w:spacing w:val="0"/>
          <w:sz w:val="32"/>
          <w:szCs w:val="32"/>
        </w:rPr>
      </w:pPr>
      <w:r>
        <w:rPr>
          <w:rFonts w:hint="eastAsia" w:ascii="黑体" w:hAnsi="黑体" w:eastAsia="黑体" w:cs="黑体"/>
          <w:i w:val="0"/>
          <w:iCs w:val="0"/>
          <w:caps w:val="0"/>
          <w:color w:val="auto"/>
          <w:spacing w:val="0"/>
          <w:sz w:val="32"/>
          <w:szCs w:val="32"/>
          <w:shd w:val="clear" w:color="auto" w:fill="FFFFFF"/>
        </w:rPr>
        <w:t>一、部门基本概况</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3" w:firstLineChars="200"/>
        <w:textAlignment w:val="auto"/>
        <w:rPr>
          <w:rFonts w:hint="eastAsia" w:ascii="仿宋" w:hAnsi="仿宋" w:eastAsia="仿宋" w:cs="仿宋"/>
          <w:b/>
          <w:bCs w:val="0"/>
          <w:color w:val="auto"/>
          <w:sz w:val="32"/>
          <w:szCs w:val="32"/>
        </w:rPr>
      </w:pPr>
      <w:r>
        <w:rPr>
          <w:rFonts w:hint="eastAsia" w:ascii="仿宋" w:hAnsi="仿宋" w:eastAsia="仿宋" w:cs="仿宋"/>
          <w:b/>
          <w:bCs w:val="0"/>
          <w:color w:val="auto"/>
          <w:sz w:val="32"/>
          <w:szCs w:val="32"/>
        </w:rPr>
        <w:t>（一）部门职责</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shd w:val="clear" w:color="auto" w:fill="FFFFFF"/>
        </w:rPr>
        <w:t>怀化市铁路第一小学隶属怀化市教育局直管，是一所公办的全日制完全小学，学制六年。学校使用汉语言文字教学，推广使用普通话和规范字。学校坚持以人为本，科研兴校，特色办学，全面贯彻执行国家教育方针，即“坚持教育为社会主义现代化建设服务、为人民服务”，把立德树人作为教育的根本任务，全面实施素质教育，培养德智体美等方面全面发展的社会主义事业的建设者和接班人，努力办好人民满意的教育。”</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（二）机构设置情况</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color="auto" w:fill="FFFFFF"/>
        </w:rPr>
        <w:t>怀化市铁路第一小学作为一级部门预算单位，内设科室为：办公室、督导室、教务室、教科室、德育室、总务室、现代教育技术室、党委办公室、少先队大队部。</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rPr>
        <w:t>二、部门预算单位构成</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shd w:val="clear" w:color="auto" w:fill="FFFFFF"/>
        </w:rPr>
        <w:t>纳入2022年部门预算编制范围的只有怀化市铁路第一小学部门本级。</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rPr>
        <w:t>三、部门收支总体情况</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2022年部门预算包括本单位预算内的收支情况。</w:t>
      </w:r>
    </w:p>
    <w:p>
      <w:pPr>
        <w:keepNext w:val="0"/>
        <w:keepLines w:val="0"/>
        <w:pageBreakBefore w:val="0"/>
        <w:kinsoku/>
        <w:wordWrap/>
        <w:overflowPunct/>
        <w:topLinePunct w:val="0"/>
        <w:autoSpaceDE/>
        <w:autoSpaceDN/>
        <w:bidi w:val="0"/>
        <w:adjustRightInd/>
        <w:snapToGrid/>
        <w:spacing w:line="600" w:lineRule="exact"/>
        <w:ind w:lef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（一）收入预算</w:t>
      </w:r>
      <w:r>
        <w:rPr>
          <w:rFonts w:hint="eastAsia" w:ascii="仿宋" w:hAnsi="仿宋" w:eastAsia="仿宋" w:cs="仿宋"/>
          <w:b/>
          <w:bCs/>
          <w:color w:val="auto"/>
          <w:sz w:val="32"/>
          <w:szCs w:val="32"/>
          <w:lang w:eastAsia="zh-CN"/>
        </w:rPr>
        <w:t>：</w:t>
      </w:r>
      <w:r>
        <w:rPr>
          <w:rFonts w:hint="eastAsia" w:ascii="仿宋" w:hAnsi="仿宋" w:eastAsia="仿宋" w:cs="仿宋"/>
          <w:color w:val="auto"/>
          <w:sz w:val="32"/>
          <w:szCs w:val="32"/>
        </w:rPr>
        <w:t>2022年年初预算数2896.34万元，其中，一般公共预算拨款2226.34万元，政府性基金预算拨款0万元，纳入财政专户管理的非税收入拨款670万元，国有资本经营预算拨款0万元。压减公用经费和专项支出后，同口径对比，收入较上年增加984.77万元，增长51.52%，主要原因是入财政专户管理的非税收入拨款增多，工资福利增多。</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（二）支出预算</w:t>
      </w:r>
      <w:r>
        <w:rPr>
          <w:rFonts w:hint="eastAsia" w:ascii="仿宋" w:hAnsi="仿宋" w:eastAsia="仿宋" w:cs="仿宋"/>
          <w:b/>
          <w:bCs/>
          <w:color w:val="auto"/>
          <w:sz w:val="32"/>
          <w:szCs w:val="32"/>
          <w:lang w:eastAsia="zh-CN"/>
        </w:rPr>
        <w:t>：</w:t>
      </w:r>
      <w:r>
        <w:rPr>
          <w:rFonts w:hint="eastAsia" w:ascii="仿宋" w:hAnsi="仿宋" w:eastAsia="仿宋" w:cs="仿宋"/>
          <w:color w:val="auto"/>
          <w:sz w:val="32"/>
          <w:szCs w:val="32"/>
        </w:rPr>
        <w:t>2022年年初预算数2896.34万元，其中，主要是工资福利支出2091.62万元。压减公用经费和专项支出后，同口径对比，支出较上年增加984.77万元，增长51.52%，主要原因是</w:t>
      </w:r>
      <w:r>
        <w:rPr>
          <w:rFonts w:hint="eastAsia" w:ascii="仿宋" w:hAnsi="仿宋" w:eastAsia="仿宋" w:cs="仿宋"/>
          <w:color w:val="auto"/>
          <w:sz w:val="32"/>
          <w:szCs w:val="32"/>
          <w:shd w:val="clear" w:color="auto" w:fill="FFFFFF"/>
        </w:rPr>
        <w:t>工资福利支出增加。</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黑体" w:hAnsi="黑体" w:eastAsia="黑体" w:cs="黑体"/>
          <w:bCs/>
          <w:color w:val="auto"/>
          <w:kern w:val="0"/>
          <w:sz w:val="32"/>
          <w:szCs w:val="32"/>
        </w:rPr>
      </w:pPr>
      <w:bookmarkStart w:id="0" w:name="_GoBack"/>
      <w:bookmarkEnd w:id="0"/>
      <w:r>
        <w:rPr>
          <w:rFonts w:hint="eastAsia" w:ascii="黑体" w:hAnsi="黑体" w:eastAsia="黑体" w:cs="黑体"/>
          <w:bCs/>
          <w:color w:val="auto"/>
          <w:kern w:val="0"/>
          <w:sz w:val="32"/>
          <w:szCs w:val="32"/>
        </w:rPr>
        <w:t>四、一般公共预算拨款支出</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bCs/>
          <w:color w:val="auto"/>
          <w:kern w:val="0"/>
          <w:sz w:val="32"/>
          <w:szCs w:val="32"/>
        </w:rPr>
      </w:pPr>
      <w:r>
        <w:rPr>
          <w:rFonts w:hint="eastAsia" w:ascii="仿宋" w:hAnsi="仿宋" w:eastAsia="仿宋" w:cs="仿宋"/>
          <w:color w:val="auto"/>
          <w:sz w:val="32"/>
          <w:szCs w:val="32"/>
        </w:rPr>
        <w:t>2022年一般公共预算拨款收入为2226.34万元，其中，一般公共服务支出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%；社会保障和就业</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%；卫生健康支出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%；节能环保支出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%；住房保障支出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%；其他支出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%；教育支出2226.34万元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占100%</w:t>
      </w:r>
      <w:r>
        <w:rPr>
          <w:rFonts w:hint="eastAsia" w:ascii="仿宋" w:hAnsi="仿宋" w:eastAsia="仿宋" w:cs="仿宋"/>
          <w:color w:val="auto"/>
          <w:sz w:val="32"/>
          <w:szCs w:val="32"/>
        </w:rPr>
        <w:t>。具体安排情况如下：</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jc w:val="left"/>
        <w:textAlignment w:val="auto"/>
        <w:rPr>
          <w:rFonts w:hint="default" w:ascii="仿宋" w:hAnsi="仿宋" w:eastAsia="仿宋" w:cs="仿宋"/>
          <w:color w:val="auto"/>
          <w:sz w:val="32"/>
          <w:szCs w:val="32"/>
          <w:lang w:val="en-US"/>
        </w:rPr>
      </w:pPr>
      <w:r>
        <w:rPr>
          <w:rFonts w:hint="eastAsia" w:ascii="仿宋" w:hAnsi="仿宋" w:eastAsia="仿宋" w:cs="仿宋"/>
          <w:b/>
          <w:bCs/>
          <w:color w:val="auto"/>
          <w:sz w:val="32"/>
          <w:szCs w:val="32"/>
        </w:rPr>
        <w:t>（一）基本支出：</w:t>
      </w:r>
      <w:r>
        <w:rPr>
          <w:rFonts w:hint="eastAsia" w:ascii="仿宋" w:hAnsi="仿宋" w:eastAsia="仿宋" w:cs="仿宋"/>
          <w:color w:val="auto"/>
          <w:sz w:val="32"/>
          <w:szCs w:val="32"/>
        </w:rPr>
        <w:t>2022年年初预算数为2190.41万元，是指为保障单位机构正常运转、完成日常工作任务而发生的各项支出，包括用于基本工资885.41万元、其他工资福利支出</w:t>
      </w:r>
      <w:r>
        <w:rPr>
          <w:rFonts w:hint="eastAsia" w:ascii="仿宋" w:hAnsi="仿宋" w:eastAsia="仿宋" w:cs="仿宋"/>
          <w:color w:val="auto"/>
          <w:sz w:val="32"/>
          <w:szCs w:val="32"/>
          <w:lang w:val="en-US" w:eastAsia="zh-CN"/>
        </w:rPr>
        <w:t>44.27万元、</w:t>
      </w:r>
      <w:r>
        <w:rPr>
          <w:rFonts w:hint="eastAsia" w:ascii="仿宋" w:hAnsi="仿宋" w:eastAsia="仿宋" w:cs="仿宋"/>
          <w:color w:val="auto"/>
          <w:sz w:val="32"/>
          <w:szCs w:val="32"/>
        </w:rPr>
        <w:t>绩效工资584.42</w:t>
      </w:r>
      <w:r>
        <w:rPr>
          <w:rFonts w:hint="eastAsia" w:ascii="仿宋" w:hAnsi="仿宋" w:eastAsia="仿宋" w:cs="仿宋"/>
          <w:color w:val="auto"/>
          <w:sz w:val="32"/>
          <w:szCs w:val="32"/>
          <w:shd w:val="clear" w:color="auto" w:fill="FFFFFF"/>
        </w:rPr>
        <w:t>万元、养老保险缴费236.31万元、医疗保险缴费125.54万元、住房公积金177.23万元、物业管理费29万元、工会经费52.95万元、福利费22.2万元、其他社会保障缴费31万元、</w:t>
      </w:r>
      <w:r>
        <w:rPr>
          <w:rFonts w:hint="eastAsia" w:ascii="仿宋" w:hAnsi="仿宋" w:eastAsia="仿宋" w:cs="仿宋"/>
          <w:color w:val="auto"/>
          <w:sz w:val="32"/>
          <w:szCs w:val="32"/>
        </w:rPr>
        <w:t>津贴补贴7.45万元、</w:t>
      </w:r>
      <w:r>
        <w:rPr>
          <w:rFonts w:hint="eastAsia" w:ascii="仿宋" w:hAnsi="仿宋" w:eastAsia="仿宋" w:cs="仿宋"/>
          <w:color w:val="auto"/>
          <w:sz w:val="32"/>
          <w:szCs w:val="32"/>
          <w:lang w:val="en-US" w:eastAsia="zh-CN"/>
        </w:rPr>
        <w:t>生活补助2.48万元、</w:t>
      </w:r>
      <w:r>
        <w:rPr>
          <w:rFonts w:hint="eastAsia" w:ascii="仿宋" w:hAnsi="仿宋" w:eastAsia="仿宋" w:cs="仿宋"/>
          <w:color w:val="auto"/>
          <w:sz w:val="32"/>
          <w:szCs w:val="32"/>
        </w:rPr>
        <w:t>工会经费</w:t>
      </w:r>
      <w:r>
        <w:rPr>
          <w:rFonts w:hint="eastAsia" w:ascii="仿宋" w:hAnsi="仿宋" w:eastAsia="仿宋" w:cs="仿宋"/>
          <w:color w:val="auto"/>
          <w:sz w:val="32"/>
          <w:szCs w:val="32"/>
          <w:lang w:val="en-US" w:eastAsia="zh-CN"/>
        </w:rPr>
        <w:t>52.95万元、其他商品和服务支出17.56万元、福利费22.20万元、公务接待费3.60万元。</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（二）项目支出：</w:t>
      </w:r>
      <w:r>
        <w:rPr>
          <w:rFonts w:hint="eastAsia" w:ascii="仿宋" w:hAnsi="仿宋" w:eastAsia="仿宋" w:cs="仿宋"/>
          <w:color w:val="auto"/>
          <w:sz w:val="32"/>
          <w:szCs w:val="32"/>
        </w:rPr>
        <w:t>2022年年初预算数为</w:t>
      </w:r>
      <w:r>
        <w:rPr>
          <w:rFonts w:hint="eastAsia" w:ascii="仿宋" w:hAnsi="仿宋" w:eastAsia="仿宋" w:cs="仿宋"/>
          <w:color w:val="auto"/>
          <w:sz w:val="32"/>
          <w:szCs w:val="32"/>
          <w:lang w:val="en-US" w:eastAsia="zh-CN"/>
        </w:rPr>
        <w:t>35.93</w:t>
      </w:r>
      <w:r>
        <w:rPr>
          <w:rFonts w:hint="eastAsia" w:ascii="仿宋" w:hAnsi="仿宋" w:eastAsia="仿宋" w:cs="仿宋"/>
          <w:color w:val="auto"/>
          <w:sz w:val="32"/>
          <w:szCs w:val="32"/>
        </w:rPr>
        <w:t>万元，是指单位为完成特定行政工作任务或事业发展目标而发生的支出，包括有关事业发展专项、专项业务费、基本建设支出等。其中：校园保安工资支出29万元，主要用于校园保安工资支付方面；校方责任险支出6.93万元，主要用于学生校方责任险支付方面。</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五、政府性基金支出情况</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2022年无政府性基金预算支出。</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黑体" w:hAnsi="黑体" w:eastAsia="黑体" w:cs="黑体"/>
          <w:bCs/>
          <w:color w:val="auto"/>
          <w:kern w:val="0"/>
          <w:sz w:val="32"/>
          <w:szCs w:val="32"/>
        </w:rPr>
      </w:pPr>
      <w:r>
        <w:rPr>
          <w:rFonts w:hint="eastAsia" w:ascii="黑体" w:hAnsi="黑体" w:eastAsia="黑体" w:cs="黑体"/>
          <w:bCs/>
          <w:color w:val="auto"/>
          <w:kern w:val="0"/>
          <w:sz w:val="32"/>
          <w:szCs w:val="32"/>
        </w:rPr>
        <w:t>六、其他重要事项的情况说明</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（一）“三公”经费预算</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2022年怀化市铁路第一小学安排“三公”经费预算数为4.03万元，其中，公务接待费3.32万元，公务用车购置费0万元，公务用车运行费0.71万元，因公出国（境）费0万元。2022年“三公”经费预算与上年持平。主要因为严格执行党的八项规定，压减经费开支。</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（二）机关运行经费</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2022年怀化市铁路第一小学部门机关运行经费</w:t>
      </w:r>
      <w:r>
        <w:rPr>
          <w:rFonts w:hint="eastAsia" w:ascii="仿宋" w:hAnsi="仿宋" w:eastAsia="仿宋" w:cs="仿宋"/>
          <w:b w:val="0"/>
          <w:bCs w:val="0"/>
          <w:color w:val="auto"/>
          <w:sz w:val="32"/>
          <w:szCs w:val="32"/>
          <w:lang w:val="en-US" w:eastAsia="zh-CN"/>
        </w:rPr>
        <w:t>50.20</w:t>
      </w:r>
      <w:r>
        <w:rPr>
          <w:rFonts w:hint="eastAsia" w:ascii="仿宋" w:hAnsi="仿宋" w:eastAsia="仿宋" w:cs="仿宋"/>
          <w:b w:val="0"/>
          <w:bCs w:val="0"/>
          <w:color w:val="auto"/>
          <w:sz w:val="32"/>
          <w:szCs w:val="32"/>
        </w:rPr>
        <w:t>万元（公开表6公用经费安排的商品和服务支出），压减公用经费后安排</w:t>
      </w:r>
      <w:r>
        <w:rPr>
          <w:rFonts w:hint="eastAsia" w:ascii="仿宋" w:hAnsi="仿宋" w:eastAsia="仿宋" w:cs="仿宋"/>
          <w:b w:val="0"/>
          <w:bCs w:val="0"/>
          <w:color w:val="auto"/>
          <w:sz w:val="32"/>
          <w:szCs w:val="32"/>
          <w:lang w:val="en-US" w:eastAsia="zh-CN"/>
        </w:rPr>
        <w:t>40.16</w:t>
      </w:r>
      <w:r>
        <w:rPr>
          <w:rFonts w:hint="eastAsia" w:ascii="仿宋" w:hAnsi="仿宋" w:eastAsia="仿宋" w:cs="仿宋"/>
          <w:b w:val="0"/>
          <w:bCs w:val="0"/>
          <w:color w:val="auto"/>
          <w:sz w:val="32"/>
          <w:szCs w:val="32"/>
        </w:rPr>
        <w:t>万元（公开表6公用经费安排的商品和服务支出的80%），同口径对比，比上年预算数减少85.19万元，下降62.92%，主要因为</w:t>
      </w:r>
      <w:r>
        <w:rPr>
          <w:rFonts w:hint="eastAsia" w:ascii="仿宋" w:hAnsi="仿宋" w:eastAsia="仿宋" w:cs="仿宋"/>
          <w:b w:val="0"/>
          <w:bCs w:val="0"/>
          <w:color w:val="auto"/>
          <w:sz w:val="32"/>
          <w:szCs w:val="32"/>
          <w:shd w:val="clear" w:color="auto" w:fill="FFFFFF"/>
        </w:rPr>
        <w:t>严格执行党的八项规定，压减经费开支。主要用于：工会经费支出23.4</w:t>
      </w:r>
      <w:r>
        <w:rPr>
          <w:rFonts w:hint="eastAsia" w:ascii="仿宋" w:hAnsi="仿宋" w:eastAsia="仿宋" w:cs="仿宋"/>
          <w:b w:val="0"/>
          <w:bCs w:val="0"/>
          <w:color w:val="auto"/>
          <w:sz w:val="32"/>
          <w:szCs w:val="32"/>
          <w:shd w:val="clear" w:color="auto" w:fill="FFFFFF"/>
          <w:lang w:val="en-US" w:eastAsia="zh-CN"/>
        </w:rPr>
        <w:t>0</w:t>
      </w:r>
      <w:r>
        <w:rPr>
          <w:rFonts w:hint="eastAsia" w:ascii="仿宋" w:hAnsi="仿宋" w:eastAsia="仿宋" w:cs="仿宋"/>
          <w:b w:val="0"/>
          <w:bCs w:val="0"/>
          <w:color w:val="auto"/>
          <w:sz w:val="32"/>
          <w:szCs w:val="32"/>
          <w:shd w:val="clear" w:color="auto" w:fill="FFFFFF"/>
        </w:rPr>
        <w:t>万元；福利费支出22.2</w:t>
      </w:r>
      <w:r>
        <w:rPr>
          <w:rFonts w:hint="eastAsia" w:ascii="仿宋" w:hAnsi="仿宋" w:eastAsia="仿宋" w:cs="仿宋"/>
          <w:b w:val="0"/>
          <w:bCs w:val="0"/>
          <w:color w:val="auto"/>
          <w:sz w:val="32"/>
          <w:szCs w:val="32"/>
          <w:shd w:val="clear" w:color="auto" w:fill="FFFFFF"/>
          <w:lang w:val="en-US" w:eastAsia="zh-CN"/>
        </w:rPr>
        <w:t>0</w:t>
      </w:r>
      <w:r>
        <w:rPr>
          <w:rFonts w:hint="eastAsia" w:ascii="仿宋" w:hAnsi="仿宋" w:eastAsia="仿宋" w:cs="仿宋"/>
          <w:b w:val="0"/>
          <w:bCs w:val="0"/>
          <w:color w:val="auto"/>
          <w:sz w:val="32"/>
          <w:szCs w:val="32"/>
          <w:shd w:val="clear" w:color="auto" w:fill="FFFFFF"/>
        </w:rPr>
        <w:t>万元；其他商品和服务支出支出1万元；公务接待费3.6</w:t>
      </w:r>
      <w:r>
        <w:rPr>
          <w:rFonts w:hint="eastAsia" w:ascii="仿宋" w:hAnsi="仿宋" w:eastAsia="仿宋" w:cs="仿宋"/>
          <w:b w:val="0"/>
          <w:bCs w:val="0"/>
          <w:color w:val="auto"/>
          <w:sz w:val="32"/>
          <w:szCs w:val="32"/>
          <w:shd w:val="clear" w:color="auto" w:fill="FFFFFF"/>
          <w:lang w:val="en-US" w:eastAsia="zh-CN"/>
        </w:rPr>
        <w:t>0</w:t>
      </w:r>
      <w:r>
        <w:rPr>
          <w:rFonts w:hint="eastAsia" w:ascii="仿宋" w:hAnsi="仿宋" w:eastAsia="仿宋" w:cs="仿宋"/>
          <w:b w:val="0"/>
          <w:bCs w:val="0"/>
          <w:color w:val="auto"/>
          <w:sz w:val="32"/>
          <w:szCs w:val="32"/>
          <w:shd w:val="clear" w:color="auto" w:fill="FFFFFF"/>
        </w:rPr>
        <w:t>万元</w:t>
      </w:r>
      <w:r>
        <w:rPr>
          <w:rFonts w:hint="eastAsia" w:ascii="仿宋" w:hAnsi="仿宋" w:eastAsia="仿宋" w:cs="仿宋"/>
          <w:b w:val="0"/>
          <w:bCs w:val="0"/>
          <w:color w:val="auto"/>
          <w:sz w:val="32"/>
          <w:szCs w:val="32"/>
        </w:rPr>
        <w:t>等。</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（三）政府采购情况</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2022年怀化市铁路第一小学政府采购预算总额0万元，其中，货物类采购预算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万元；工程类采购预算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万元；服务类采购预算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（四）预算绩效管理情况</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bCs/>
          <w:color w:val="auto"/>
          <w:kern w:val="0"/>
          <w:sz w:val="32"/>
          <w:szCs w:val="32"/>
        </w:rPr>
        <w:t>本部门所有支出实行绩效目标管理。纳入2022年部门整体支出绩效目标的金额为</w:t>
      </w:r>
      <w:r>
        <w:rPr>
          <w:rFonts w:hint="eastAsia" w:ascii="仿宋" w:hAnsi="仿宋" w:eastAsia="仿宋" w:cs="仿宋"/>
          <w:color w:val="auto"/>
          <w:sz w:val="32"/>
          <w:szCs w:val="32"/>
        </w:rPr>
        <w:t>2896.34</w:t>
      </w:r>
      <w:r>
        <w:rPr>
          <w:rFonts w:hint="eastAsia" w:ascii="仿宋" w:hAnsi="仿宋" w:eastAsia="仿宋" w:cs="仿宋"/>
          <w:bCs/>
          <w:color w:val="auto"/>
          <w:kern w:val="0"/>
          <w:sz w:val="32"/>
          <w:szCs w:val="32"/>
        </w:rPr>
        <w:t>万元，其中，基本支出</w:t>
      </w:r>
      <w:r>
        <w:rPr>
          <w:rFonts w:hint="eastAsia" w:ascii="仿宋" w:hAnsi="仿宋" w:eastAsia="仿宋" w:cs="仿宋"/>
          <w:bCs/>
          <w:color w:val="auto"/>
          <w:kern w:val="0"/>
          <w:sz w:val="32"/>
          <w:szCs w:val="32"/>
          <w:lang w:val="en-US" w:eastAsia="zh-CN"/>
        </w:rPr>
        <w:t>2190.41</w:t>
      </w:r>
      <w:r>
        <w:rPr>
          <w:rFonts w:hint="eastAsia" w:ascii="仿宋" w:hAnsi="仿宋" w:eastAsia="仿宋" w:cs="仿宋"/>
          <w:bCs/>
          <w:color w:val="auto"/>
          <w:kern w:val="0"/>
          <w:sz w:val="32"/>
          <w:szCs w:val="32"/>
        </w:rPr>
        <w:t>万元，项目支出</w:t>
      </w:r>
      <w:r>
        <w:rPr>
          <w:rFonts w:hint="eastAsia" w:ascii="仿宋" w:hAnsi="仿宋" w:eastAsia="仿宋" w:cs="仿宋"/>
          <w:bCs/>
          <w:color w:val="auto"/>
          <w:kern w:val="0"/>
          <w:sz w:val="32"/>
          <w:szCs w:val="32"/>
          <w:lang w:val="en-US" w:eastAsia="zh-CN"/>
        </w:rPr>
        <w:t>705.93</w:t>
      </w:r>
      <w:r>
        <w:rPr>
          <w:rFonts w:hint="eastAsia" w:ascii="仿宋" w:hAnsi="仿宋" w:eastAsia="仿宋" w:cs="仿宋"/>
          <w:bCs/>
          <w:color w:val="auto"/>
          <w:kern w:val="0"/>
          <w:sz w:val="32"/>
          <w:szCs w:val="32"/>
        </w:rPr>
        <w:t>万元，具体绩效目标详见报表。</w:t>
      </w:r>
      <w:r>
        <w:rPr>
          <w:rFonts w:hint="eastAsia" w:ascii="仿宋" w:hAnsi="仿宋" w:eastAsia="仿宋" w:cs="仿宋"/>
          <w:color w:val="auto"/>
          <w:sz w:val="32"/>
          <w:szCs w:val="32"/>
        </w:rPr>
        <w:t>详见附件2022年项目支出绩效目标表。</w:t>
      </w:r>
    </w:p>
    <w:p>
      <w:pPr>
        <w:keepNext w:val="0"/>
        <w:keepLines w:val="0"/>
        <w:pageBreakBefore w:val="0"/>
        <w:widowControl/>
        <w:kinsoku/>
        <w:wordWrap/>
        <w:overflowPunct/>
        <w:topLinePunct w:val="0"/>
        <w:autoSpaceDE/>
        <w:autoSpaceDN/>
        <w:bidi w:val="0"/>
        <w:adjustRightInd/>
        <w:snapToGrid/>
        <w:spacing w:line="600" w:lineRule="exact"/>
        <w:ind w:left="0"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（五）国有资产占用情况</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1.截至2021年12月31日，本部门共有车辆</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辆，其中，一般公务用车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辆、一般执法执勤用车0辆、特种专业技术用车0辆、其他用车0辆。单位价值50 万元以上通用设备0台（套），单价100 万元以上专用设备0台（套）。</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2.</w:t>
      </w:r>
      <w:r>
        <w:rPr>
          <w:rFonts w:hint="eastAsia" w:ascii="仿宋" w:hAnsi="仿宋" w:eastAsia="仿宋" w:cs="仿宋"/>
          <w:b w:val="0"/>
          <w:bCs w:val="0"/>
          <w:color w:val="auto"/>
          <w:sz w:val="32"/>
          <w:szCs w:val="32"/>
        </w:rPr>
        <w:t>2022年，本部门无新增车辆，无新增50万元以上的通用设备和专用设备。</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left="0" w:firstLine="643" w:firstLineChars="200"/>
        <w:jc w:val="left"/>
        <w:textAlignment w:val="auto"/>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一般性支出情况</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kern w:val="0"/>
          <w:sz w:val="32"/>
          <w:szCs w:val="32"/>
        </w:rPr>
        <w:t>1.</w:t>
      </w:r>
      <w:r>
        <w:rPr>
          <w:rFonts w:hint="eastAsia" w:ascii="仿宋" w:hAnsi="仿宋" w:eastAsia="仿宋" w:cs="仿宋"/>
          <w:b w:val="0"/>
          <w:bCs w:val="0"/>
          <w:color w:val="auto"/>
          <w:sz w:val="32"/>
          <w:szCs w:val="32"/>
        </w:rPr>
        <w:t>2022年本部门无会议费预算。</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2</w:t>
      </w:r>
      <w:r>
        <w:rPr>
          <w:rFonts w:hint="eastAsia" w:ascii="仿宋" w:hAnsi="仿宋" w:eastAsia="仿宋" w:cs="仿宋"/>
          <w:b w:val="0"/>
          <w:bCs w:val="0"/>
          <w:color w:val="auto"/>
          <w:kern w:val="0"/>
          <w:sz w:val="32"/>
          <w:szCs w:val="32"/>
        </w:rPr>
        <w:t>.</w:t>
      </w:r>
      <w:r>
        <w:rPr>
          <w:rFonts w:hint="eastAsia" w:ascii="仿宋" w:hAnsi="仿宋" w:eastAsia="仿宋" w:cs="仿宋"/>
          <w:b w:val="0"/>
          <w:bCs w:val="0"/>
          <w:color w:val="auto"/>
          <w:sz w:val="32"/>
          <w:szCs w:val="32"/>
        </w:rPr>
        <w:t>2022年本部门无培训费预算。</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3</w:t>
      </w:r>
      <w:r>
        <w:rPr>
          <w:rFonts w:hint="eastAsia" w:ascii="仿宋" w:hAnsi="仿宋" w:eastAsia="仿宋" w:cs="仿宋"/>
          <w:b w:val="0"/>
          <w:bCs w:val="0"/>
          <w:color w:val="auto"/>
          <w:kern w:val="0"/>
          <w:sz w:val="32"/>
          <w:szCs w:val="32"/>
        </w:rPr>
        <w:t>.</w:t>
      </w:r>
      <w:r>
        <w:rPr>
          <w:rFonts w:hint="eastAsia" w:ascii="仿宋" w:hAnsi="仿宋" w:eastAsia="仿宋" w:cs="仿宋"/>
          <w:b w:val="0"/>
          <w:bCs w:val="0"/>
          <w:color w:val="auto"/>
          <w:sz w:val="32"/>
          <w:szCs w:val="32"/>
        </w:rPr>
        <w:t>2022年本部门无举办节庆、晚会、论坛、赛事等预算。</w:t>
      </w:r>
    </w:p>
    <w:p>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七、专业名词解释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1</w:t>
      </w:r>
      <w:r>
        <w:rPr>
          <w:rFonts w:hint="eastAsia" w:ascii="仿宋" w:hAnsi="仿宋" w:eastAsia="仿宋" w:cs="仿宋"/>
          <w:i w:val="0"/>
          <w:iCs w:val="0"/>
          <w:caps w:val="0"/>
          <w:color w:val="auto"/>
          <w:spacing w:val="0"/>
          <w:sz w:val="32"/>
          <w:szCs w:val="32"/>
        </w:rPr>
        <w:t>、一般公共预算拨款收入：指区财政当年拨付的资金。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2</w:t>
      </w:r>
      <w:r>
        <w:rPr>
          <w:rFonts w:hint="eastAsia" w:ascii="仿宋" w:hAnsi="仿宋" w:eastAsia="仿宋" w:cs="仿宋"/>
          <w:i w:val="0"/>
          <w:iCs w:val="0"/>
          <w:caps w:val="0"/>
          <w:color w:val="auto"/>
          <w:spacing w:val="0"/>
          <w:sz w:val="32"/>
          <w:szCs w:val="32"/>
        </w:rPr>
        <w:t>、基本支出：指为保障机构正常运转、完成日常工作任务而发生的人员支出和公用支出。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24" w:afterAutospacing="0" w:line="432" w:lineRule="atLeast"/>
        <w:ind w:right="0" w:firstLine="640" w:firstLineChars="200"/>
        <w:jc w:val="left"/>
        <w:rPr>
          <w:rFonts w:hint="eastAsia" w:ascii="仿宋" w:hAnsi="仿宋" w:eastAsia="仿宋" w:cs="仿宋"/>
          <w:color w:val="auto"/>
          <w:sz w:val="32"/>
          <w:szCs w:val="32"/>
        </w:rPr>
      </w:pPr>
      <w:r>
        <w:rPr>
          <w:rFonts w:hint="eastAsia" w:ascii="仿宋" w:hAnsi="仿宋" w:eastAsia="仿宋" w:cs="仿宋"/>
          <w:i w:val="0"/>
          <w:iCs w:val="0"/>
          <w:caps w:val="0"/>
          <w:color w:val="auto"/>
          <w:spacing w:val="0"/>
          <w:sz w:val="32"/>
          <w:szCs w:val="32"/>
          <w:lang w:val="en-US" w:eastAsia="zh-CN"/>
        </w:rPr>
        <w:t>3</w:t>
      </w:r>
      <w:r>
        <w:rPr>
          <w:rFonts w:hint="eastAsia" w:ascii="仿宋" w:hAnsi="仿宋" w:eastAsia="仿宋" w:cs="仿宋"/>
          <w:i w:val="0"/>
          <w:iCs w:val="0"/>
          <w:caps w:val="0"/>
          <w:color w:val="auto"/>
          <w:spacing w:val="0"/>
          <w:sz w:val="32"/>
          <w:szCs w:val="32"/>
        </w:rPr>
        <w:t>、项目支出：指在基本支出之外为完成特定行政任务和事业发展目标所发生的支出。</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60"/>
        <w:textAlignment w:val="auto"/>
        <w:rPr>
          <w:rFonts w:hint="eastAsia" w:ascii="仿宋" w:hAnsi="仿宋" w:eastAsia="仿宋" w:cs="仿宋"/>
          <w:color w:val="auto"/>
          <w:sz w:val="32"/>
          <w:szCs w:val="32"/>
        </w:rPr>
      </w:pPr>
    </w:p>
    <w:p>
      <w:pPr>
        <w:keepNext w:val="0"/>
        <w:keepLines w:val="0"/>
        <w:pageBreakBefore w:val="0"/>
        <w:widowControl/>
        <w:numPr>
          <w:ilvl w:val="0"/>
          <w:numId w:val="2"/>
        </w:numPr>
        <w:kinsoku/>
        <w:wordWrap/>
        <w:overflowPunct/>
        <w:topLinePunct w:val="0"/>
        <w:autoSpaceDE/>
        <w:autoSpaceDN/>
        <w:bidi w:val="0"/>
        <w:adjustRightInd/>
        <w:snapToGrid/>
        <w:spacing w:line="600" w:lineRule="exact"/>
        <w:jc w:val="center"/>
        <w:textAlignment w:val="auto"/>
        <w:rPr>
          <w:rFonts w:hint="eastAsia" w:ascii="黑体" w:hAnsi="黑体" w:eastAsia="黑体" w:cs="黑体"/>
          <w:b/>
          <w:bCs w:val="0"/>
          <w:color w:val="auto"/>
          <w:kern w:val="0"/>
          <w:sz w:val="44"/>
          <w:szCs w:val="44"/>
        </w:rPr>
      </w:pPr>
      <w:r>
        <w:rPr>
          <w:rFonts w:hint="eastAsia" w:ascii="黑体" w:hAnsi="黑体" w:eastAsia="黑体" w:cs="黑体"/>
          <w:b/>
          <w:bCs w:val="0"/>
          <w:color w:val="auto"/>
          <w:kern w:val="0"/>
          <w:sz w:val="44"/>
          <w:szCs w:val="44"/>
        </w:rPr>
        <w:t>202</w:t>
      </w:r>
      <w:r>
        <w:rPr>
          <w:rFonts w:hint="eastAsia" w:ascii="黑体" w:hAnsi="黑体" w:eastAsia="黑体" w:cs="黑体"/>
          <w:b/>
          <w:bCs w:val="0"/>
          <w:color w:val="auto"/>
          <w:kern w:val="0"/>
          <w:sz w:val="44"/>
          <w:szCs w:val="44"/>
          <w:lang w:val="en-US" w:eastAsia="zh-CN"/>
        </w:rPr>
        <w:t>2</w:t>
      </w:r>
      <w:r>
        <w:rPr>
          <w:rFonts w:hint="eastAsia" w:ascii="黑体" w:hAnsi="黑体" w:eastAsia="黑体" w:cs="黑体"/>
          <w:b/>
          <w:bCs w:val="0"/>
          <w:color w:val="auto"/>
          <w:kern w:val="0"/>
          <w:sz w:val="44"/>
          <w:szCs w:val="44"/>
        </w:rPr>
        <w:t>年部门预算表</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jc w:val="center"/>
        <w:textAlignment w:val="auto"/>
        <w:rPr>
          <w:rFonts w:eastAsia="仿宋_GB2312"/>
          <w:color w:val="auto"/>
          <w:sz w:val="30"/>
          <w:szCs w:val="30"/>
        </w:rPr>
      </w:pPr>
      <w:r>
        <w:rPr>
          <w:rFonts w:ascii="宋体" w:hAnsi="宋体" w:eastAsia="宋体" w:cs="宋体"/>
          <w:color w:val="auto"/>
          <w:sz w:val="30"/>
          <w:szCs w:val="30"/>
        </w:rPr>
        <w:t>(具体见附件)</w:t>
      </w:r>
    </w:p>
    <w:p>
      <w:pPr>
        <w:widowControl w:val="0"/>
        <w:numPr>
          <w:ilvl w:val="0"/>
          <w:numId w:val="0"/>
        </w:numPr>
        <w:jc w:val="both"/>
        <w:rPr>
          <w:rFonts w:hint="eastAsia" w:ascii="仿宋" w:hAnsi="仿宋" w:eastAsia="仿宋" w:cs="仿宋"/>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left"/>
        <w:textAlignment w:val="auto"/>
        <w:rPr>
          <w:rFonts w:hint="eastAsia" w:ascii="仿宋" w:hAnsi="仿宋" w:eastAsia="仿宋" w:cs="仿宋"/>
          <w:color w:val="auto"/>
          <w:sz w:val="32"/>
          <w:szCs w:val="32"/>
        </w:rPr>
      </w:pPr>
    </w:p>
    <w:sectPr>
      <w:head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1905" b="1905"/>
              <wp:wrapSquare wrapText="bothSides"/>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26670" cy="131445"/>
                      </a:xfrm>
                      <a:prstGeom prst="rect">
                        <a:avLst/>
                      </a:prstGeom>
                      <a:noFill/>
                      <a:ln>
                        <a:noFill/>
                      </a:ln>
                    </wps:spPr>
                    <wps:txbx>
                      <w:txbxContent>
                        <w:p>
                          <w:pPr>
                            <w:pStyle w:val="3"/>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UeE/dAAAAACAQAADwAAAAAAAAABACAAAAAiAAAAZHJzL2Rvd25yZXYueG1sUEsBAhQAFAAA&#10;AAgAh07iQALEonv3AQAAAAQAAA4AAAAAAAAAAQAgAAAAHwEAAGRycy9lMm9Eb2MueG1sUEsFBgAA&#10;AAAGAAYAWQEAAIgFAAAAAA==&#10;">
              <v:fill on="f" focussize="0,0"/>
              <v:stroke on="f"/>
              <v:imagedata o:title=""/>
              <o:lock v:ext="edit" aspectratio="f"/>
              <v:textbox inset="0mm,0mm,0mm,0mm" style="mso-fit-shape-to-text:t;">
                <w:txbxContent>
                  <w:p>
                    <w:pPr>
                      <w:pStyle w:val="3"/>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1EE9E"/>
    <w:multiLevelType w:val="singleLevel"/>
    <w:tmpl w:val="E421EE9E"/>
    <w:lvl w:ilvl="0" w:tentative="0">
      <w:start w:val="6"/>
      <w:numFmt w:val="chineseCounting"/>
      <w:suff w:val="nothing"/>
      <w:lvlText w:val="（%1）"/>
      <w:lvlJc w:val="left"/>
      <w:rPr>
        <w:rFonts w:hint="eastAsia" w:cs="Times New Roman"/>
      </w:rPr>
    </w:lvl>
  </w:abstractNum>
  <w:abstractNum w:abstractNumId="1">
    <w:nsid w:val="FD71DB45"/>
    <w:multiLevelType w:val="singleLevel"/>
    <w:tmpl w:val="FD71DB45"/>
    <w:lvl w:ilvl="0" w:tentative="0">
      <w:start w:val="2"/>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4MjM4OGRjMjA1YmIwNDg3YWY0MmMwNWU4YTAwYjIifQ=="/>
  </w:docVars>
  <w:rsids>
    <w:rsidRoot w:val="004E6E3D"/>
    <w:rsid w:val="00010141"/>
    <w:rsid w:val="00050E01"/>
    <w:rsid w:val="000A4627"/>
    <w:rsid w:val="00136E1C"/>
    <w:rsid w:val="001611CF"/>
    <w:rsid w:val="002135AE"/>
    <w:rsid w:val="002A1D73"/>
    <w:rsid w:val="002C0923"/>
    <w:rsid w:val="002F0DA5"/>
    <w:rsid w:val="00312961"/>
    <w:rsid w:val="00323969"/>
    <w:rsid w:val="00486866"/>
    <w:rsid w:val="004E6E3D"/>
    <w:rsid w:val="004F0CCB"/>
    <w:rsid w:val="00691CAF"/>
    <w:rsid w:val="006E45C4"/>
    <w:rsid w:val="00811333"/>
    <w:rsid w:val="008150DE"/>
    <w:rsid w:val="00877A51"/>
    <w:rsid w:val="0096297C"/>
    <w:rsid w:val="00962A81"/>
    <w:rsid w:val="009E55E7"/>
    <w:rsid w:val="00AB41B9"/>
    <w:rsid w:val="00AC2291"/>
    <w:rsid w:val="00AD044D"/>
    <w:rsid w:val="00AD22F0"/>
    <w:rsid w:val="00AD6493"/>
    <w:rsid w:val="00B51E67"/>
    <w:rsid w:val="00BE2352"/>
    <w:rsid w:val="00C137CF"/>
    <w:rsid w:val="00D047E9"/>
    <w:rsid w:val="00D75F9E"/>
    <w:rsid w:val="00DF5A2E"/>
    <w:rsid w:val="00E01736"/>
    <w:rsid w:val="00F22FC8"/>
    <w:rsid w:val="00FA00E9"/>
    <w:rsid w:val="03023DA5"/>
    <w:rsid w:val="042228D2"/>
    <w:rsid w:val="04433323"/>
    <w:rsid w:val="05881A2C"/>
    <w:rsid w:val="07D74632"/>
    <w:rsid w:val="08466C90"/>
    <w:rsid w:val="09E5774A"/>
    <w:rsid w:val="0DB66903"/>
    <w:rsid w:val="14671B45"/>
    <w:rsid w:val="1496682F"/>
    <w:rsid w:val="157C6B16"/>
    <w:rsid w:val="17417E35"/>
    <w:rsid w:val="1A5051A5"/>
    <w:rsid w:val="1ED6141B"/>
    <w:rsid w:val="250E7A8A"/>
    <w:rsid w:val="276F0967"/>
    <w:rsid w:val="28932515"/>
    <w:rsid w:val="2A0C345E"/>
    <w:rsid w:val="2E2477F7"/>
    <w:rsid w:val="2F830D35"/>
    <w:rsid w:val="31636116"/>
    <w:rsid w:val="3DAD604A"/>
    <w:rsid w:val="416B09D2"/>
    <w:rsid w:val="43A43CCA"/>
    <w:rsid w:val="45D61E36"/>
    <w:rsid w:val="4A67245D"/>
    <w:rsid w:val="506435A4"/>
    <w:rsid w:val="50D46CDD"/>
    <w:rsid w:val="51077170"/>
    <w:rsid w:val="556F46EC"/>
    <w:rsid w:val="56CE5063"/>
    <w:rsid w:val="56FF5133"/>
    <w:rsid w:val="5AA4755C"/>
    <w:rsid w:val="5C04693A"/>
    <w:rsid w:val="5C5B50CB"/>
    <w:rsid w:val="60E22426"/>
    <w:rsid w:val="620509C2"/>
    <w:rsid w:val="6361064F"/>
    <w:rsid w:val="642858BB"/>
    <w:rsid w:val="6AB10152"/>
    <w:rsid w:val="6B260820"/>
    <w:rsid w:val="6BE62B36"/>
    <w:rsid w:val="722865FE"/>
    <w:rsid w:val="79156D7B"/>
    <w:rsid w:val="791579FD"/>
    <w:rsid w:val="79D6799A"/>
    <w:rsid w:val="7AB323B9"/>
    <w:rsid w:val="7AFB76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uiPriority="99" w:name="HTML Keyboard" w:locked="1"/>
    <w:lsdException w:uiPriority="99" w:name="HTML Preformatted" w:locked="1"/>
    <w:lsdException w:uiPriority="99" w:name="HTML Sample" w:locked="1"/>
    <w:lsdException w:uiPriority="99" w:name="HTML Typewriter" w:locked="1"/>
    <w:lsdException w:qFormat="1" w:unhideWhenUsed="0" w:uiPriority="99" w:semiHidden="0" w:name="HTML Variable"/>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qFormat/>
    <w:uiPriority w:val="99"/>
    <w:rPr>
      <w:sz w:val="18"/>
      <w:szCs w:val="18"/>
    </w:rPr>
  </w:style>
  <w:style w:type="paragraph" w:styleId="3">
    <w:name w:val="footer"/>
    <w:basedOn w:val="1"/>
    <w:link w:val="19"/>
    <w:qFormat/>
    <w:uiPriority w:val="99"/>
    <w:pPr>
      <w:tabs>
        <w:tab w:val="center" w:pos="4153"/>
        <w:tab w:val="right" w:pos="8306"/>
      </w:tabs>
      <w:snapToGrid w:val="0"/>
      <w:jc w:val="left"/>
    </w:pPr>
    <w:rPr>
      <w:sz w:val="18"/>
      <w:szCs w:val="18"/>
    </w:rPr>
  </w:style>
  <w:style w:type="paragraph" w:styleId="4">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cs="宋体"/>
      <w:kern w:val="0"/>
      <w:sz w:val="24"/>
    </w:rPr>
  </w:style>
  <w:style w:type="character" w:styleId="8">
    <w:name w:val="Strong"/>
    <w:basedOn w:val="7"/>
    <w:qFormat/>
    <w:uiPriority w:val="99"/>
    <w:rPr>
      <w:rFonts w:cs="Times New Roman"/>
      <w:b/>
    </w:rPr>
  </w:style>
  <w:style w:type="character" w:styleId="9">
    <w:name w:val="page number"/>
    <w:basedOn w:val="7"/>
    <w:qFormat/>
    <w:uiPriority w:val="99"/>
    <w:rPr>
      <w:rFonts w:cs="Times New Roman"/>
    </w:rPr>
  </w:style>
  <w:style w:type="character" w:styleId="10">
    <w:name w:val="FollowedHyperlink"/>
    <w:basedOn w:val="7"/>
    <w:qFormat/>
    <w:uiPriority w:val="99"/>
    <w:rPr>
      <w:rFonts w:cs="Times New Roman"/>
      <w:color w:val="333333"/>
      <w:u w:val="none"/>
    </w:rPr>
  </w:style>
  <w:style w:type="character" w:styleId="11">
    <w:name w:val="Emphasis"/>
    <w:basedOn w:val="7"/>
    <w:qFormat/>
    <w:uiPriority w:val="99"/>
    <w:rPr>
      <w:rFonts w:cs="Times New Roman"/>
    </w:rPr>
  </w:style>
  <w:style w:type="character" w:styleId="12">
    <w:name w:val="HTML Definition"/>
    <w:basedOn w:val="7"/>
    <w:qFormat/>
    <w:uiPriority w:val="99"/>
    <w:rPr>
      <w:rFonts w:cs="Times New Roman"/>
    </w:rPr>
  </w:style>
  <w:style w:type="character" w:styleId="13">
    <w:name w:val="HTML Acronym"/>
    <w:basedOn w:val="7"/>
    <w:qFormat/>
    <w:uiPriority w:val="99"/>
    <w:rPr>
      <w:rFonts w:cs="Times New Roman"/>
    </w:rPr>
  </w:style>
  <w:style w:type="character" w:styleId="14">
    <w:name w:val="HTML Variable"/>
    <w:basedOn w:val="7"/>
    <w:qFormat/>
    <w:uiPriority w:val="99"/>
    <w:rPr>
      <w:rFonts w:cs="Times New Roman"/>
    </w:rPr>
  </w:style>
  <w:style w:type="character" w:styleId="15">
    <w:name w:val="Hyperlink"/>
    <w:basedOn w:val="7"/>
    <w:qFormat/>
    <w:uiPriority w:val="99"/>
    <w:rPr>
      <w:rFonts w:cs="Times New Roman"/>
      <w:color w:val="333333"/>
      <w:u w:val="none"/>
    </w:rPr>
  </w:style>
  <w:style w:type="character" w:styleId="16">
    <w:name w:val="HTML Code"/>
    <w:basedOn w:val="7"/>
    <w:qFormat/>
    <w:uiPriority w:val="99"/>
    <w:rPr>
      <w:rFonts w:ascii="Courier New" w:hAnsi="Courier New" w:cs="Times New Roman"/>
      <w:sz w:val="20"/>
    </w:rPr>
  </w:style>
  <w:style w:type="character" w:styleId="17">
    <w:name w:val="HTML Cite"/>
    <w:basedOn w:val="7"/>
    <w:qFormat/>
    <w:uiPriority w:val="99"/>
    <w:rPr>
      <w:rFonts w:cs="Times New Roman"/>
    </w:rPr>
  </w:style>
  <w:style w:type="character" w:customStyle="1" w:styleId="18">
    <w:name w:val="批注框文本 字符"/>
    <w:basedOn w:val="7"/>
    <w:link w:val="2"/>
    <w:semiHidden/>
    <w:qFormat/>
    <w:locked/>
    <w:uiPriority w:val="99"/>
    <w:rPr>
      <w:rFonts w:cs="Times New Roman"/>
      <w:sz w:val="2"/>
    </w:rPr>
  </w:style>
  <w:style w:type="character" w:customStyle="1" w:styleId="19">
    <w:name w:val="页脚 字符"/>
    <w:basedOn w:val="7"/>
    <w:link w:val="3"/>
    <w:semiHidden/>
    <w:qFormat/>
    <w:locked/>
    <w:uiPriority w:val="99"/>
    <w:rPr>
      <w:rFonts w:cs="Times New Roman"/>
      <w:sz w:val="18"/>
      <w:szCs w:val="18"/>
    </w:rPr>
  </w:style>
  <w:style w:type="character" w:customStyle="1" w:styleId="20">
    <w:name w:val="页眉 字符"/>
    <w:basedOn w:val="7"/>
    <w:link w:val="4"/>
    <w:semiHidden/>
    <w:qFormat/>
    <w:locked/>
    <w:uiPriority w:val="99"/>
    <w:rPr>
      <w:rFonts w:cs="Times New Roman"/>
      <w:sz w:val="18"/>
      <w:szCs w:val="18"/>
    </w:rPr>
  </w:style>
  <w:style w:type="character" w:customStyle="1" w:styleId="21">
    <w:name w:val="hj-easyread-speakerprocesser-position-action-icon"/>
    <w:basedOn w:val="7"/>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2702</Words>
  <Characters>2993</Characters>
  <Lines>20</Lines>
  <Paragraphs>5</Paragraphs>
  <TotalTime>9</TotalTime>
  <ScaleCrop>false</ScaleCrop>
  <LinksUpToDate>false</LinksUpToDate>
  <CharactersWithSpaces>2996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2023-09-01T07:04:00Z</dcterms:created>
  <dc:creator>微软用户</dc:creator>
  <cp:lastModifiedBy>非鱼</cp:lastModifiedBy>
  <cp:lastPrinted>2022-01-21T06:49:00Z</cp:lastPrinted>
  <dcterms:modified xsi:type="dcterms:W3CDTF">2023-10-12T01:35:22Z</dcterms:modified>
  <dc:title>科学技术部2012年部门预算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SaveFontToCloudKey">
    <vt:lpwstr>362188443_cloud</vt:lpwstr>
  </property>
  <property fmtid="{D5CDD505-2E9C-101B-9397-08002B2CF9AE}" pid="4" name="ICV">
    <vt:lpwstr>F93C94A2B3604CE0AD487F53A7798D66</vt:lpwstr>
  </property>
</Properties>
</file>