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kinsoku/>
        <w:wordWrap/>
        <w:overflowPunct/>
        <w:topLinePunct w:val="0"/>
        <w:bidi w:val="0"/>
        <w:spacing w:beforeAutospacing="0" w:afterAutospacing="0" w:line="600" w:lineRule="exact"/>
        <w:jc w:val="center"/>
        <w:textAlignment w:val="auto"/>
        <w:rPr>
          <w:rFonts w:hint="eastAsia" w:ascii="仿宋" w:hAnsi="仿宋" w:eastAsia="仿宋" w:cs="仿宋"/>
          <w:b/>
          <w:bCs/>
          <w:color w:val="auto"/>
          <w:sz w:val="48"/>
          <w:szCs w:val="48"/>
        </w:rPr>
      </w:pPr>
      <w:r>
        <w:rPr>
          <w:rFonts w:hint="eastAsia" w:ascii="仿宋" w:hAnsi="仿宋" w:eastAsia="仿宋" w:cs="仿宋"/>
          <w:b/>
          <w:bCs/>
          <w:color w:val="auto"/>
          <w:sz w:val="48"/>
          <w:szCs w:val="48"/>
        </w:rPr>
        <w:t>2021年度怀化市铁路第一小学部门决算</w:t>
      </w:r>
    </w:p>
    <w:p>
      <w:pPr>
        <w:pStyle w:val="12"/>
        <w:keepNext w:val="0"/>
        <w:keepLines w:val="0"/>
        <w:pageBreakBefore w:val="0"/>
        <w:kinsoku/>
        <w:wordWrap/>
        <w:overflowPunct/>
        <w:topLinePunct w:val="0"/>
        <w:bidi w:val="0"/>
        <w:spacing w:beforeAutospacing="0" w:afterAutospacing="0" w:line="600" w:lineRule="exact"/>
        <w:jc w:val="center"/>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目录</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第一部分怀化市铁路第一小学单位概况</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第二部分2021年度部门决算表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六、一般公共预算财政拨款基本支出决算明细表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第三部分2021年度部门决算情况说明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keepNext w:val="0"/>
        <w:keepLines w:val="0"/>
        <w:pageBreakBefore w:val="0"/>
        <w:kinsoku/>
        <w:wordWrap/>
        <w:overflowPunct/>
        <w:topLinePunct w:val="0"/>
        <w:bidi w:val="0"/>
        <w:spacing w:beforeAutospacing="0" w:afterAutospacing="0" w:line="600" w:lineRule="exact"/>
        <w:ind w:lef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八、政府性基金预算收入支出决算情况</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rPr>
        <w:t>九、国有资本经营预算财政拨款支出决算情况说明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十、机关运行经费支出说明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十一、一般性支出情况说明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十二、</w:t>
      </w:r>
      <w:r>
        <w:rPr>
          <w:rFonts w:hint="eastAsia" w:ascii="仿宋" w:hAnsi="仿宋" w:eastAsia="仿宋" w:cs="仿宋"/>
          <w:color w:val="auto"/>
          <w:kern w:val="0"/>
          <w:sz w:val="32"/>
          <w:szCs w:val="32"/>
        </w:rPr>
        <w:t>政府采购支出说明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十三、国有资产占用情况说明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十四、2021年度预算绩效情况说明</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第四部分名词解释</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第五部分附件</w:t>
      </w: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黑体" w:hAnsi="黑体" w:eastAsia="黑体" w:cs="黑体"/>
          <w:b/>
          <w:color w:val="auto"/>
          <w:kern w:val="0"/>
          <w:sz w:val="32"/>
          <w:szCs w:val="32"/>
        </w:rPr>
      </w:pPr>
    </w:p>
    <w:p>
      <w:pPr>
        <w:keepNext w:val="0"/>
        <w:keepLines w:val="0"/>
        <w:pageBreakBefore w:val="0"/>
        <w:kinsoku/>
        <w:wordWrap/>
        <w:overflowPunct/>
        <w:topLinePunct w:val="0"/>
        <w:autoSpaceDE w:val="0"/>
        <w:autoSpaceDN w:val="0"/>
        <w:bidi w:val="0"/>
        <w:adjustRightInd w:val="0"/>
        <w:spacing w:beforeAutospacing="0" w:afterAutospacing="0" w:line="600" w:lineRule="exact"/>
        <w:ind w:left="0" w:firstLine="640" w:firstLineChars="200"/>
        <w:jc w:val="left"/>
        <w:textAlignment w:val="auto"/>
        <w:rPr>
          <w:rFonts w:hint="eastAsia" w:ascii="黑体" w:hAnsi="黑体" w:eastAsia="黑体" w:cs="黑体"/>
          <w:b/>
          <w:color w:val="auto"/>
          <w:kern w:val="0"/>
          <w:sz w:val="32"/>
          <w:szCs w:val="32"/>
        </w:rPr>
      </w:pPr>
    </w:p>
    <w:p>
      <w:pPr>
        <w:pStyle w:val="12"/>
        <w:keepNext w:val="0"/>
        <w:keepLines w:val="0"/>
        <w:pageBreakBefore w:val="0"/>
        <w:kinsoku/>
        <w:wordWrap/>
        <w:overflowPunct/>
        <w:topLinePunct w:val="0"/>
        <w:bidi w:val="0"/>
        <w:spacing w:beforeAutospacing="0" w:afterAutospacing="0" w:line="600" w:lineRule="exact"/>
        <w:ind w:left="0" w:firstLine="880" w:firstLineChars="200"/>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第一部分</w:t>
      </w:r>
      <w:r>
        <w:rPr>
          <w:rFonts w:hint="eastAsia" w:hAnsi="黑体" w:cs="黑体"/>
          <w:b/>
          <w:bCs/>
          <w:color w:val="auto"/>
          <w:sz w:val="44"/>
          <w:szCs w:val="44"/>
          <w:lang w:val="en-US" w:eastAsia="zh-CN"/>
        </w:rPr>
        <w:tab/>
      </w:r>
      <w:r>
        <w:rPr>
          <w:rFonts w:hint="eastAsia" w:ascii="黑体" w:hAnsi="黑体" w:eastAsia="黑体" w:cs="黑体"/>
          <w:b/>
          <w:bCs/>
          <w:color w:val="auto"/>
          <w:sz w:val="44"/>
          <w:szCs w:val="44"/>
        </w:rPr>
        <w:t>怀化市铁路第一小学单位概况</w:t>
      </w:r>
    </w:p>
    <w:p>
      <w:pPr>
        <w:pStyle w:val="13"/>
        <w:keepNext w:val="0"/>
        <w:keepLines w:val="0"/>
        <w:pageBreakBefore w:val="0"/>
        <w:kinsoku/>
        <w:wordWrap/>
        <w:overflowPunct/>
        <w:topLinePunct w:val="0"/>
        <w:bidi w:val="0"/>
        <w:spacing w:beforeAutospacing="0" w:afterAutospacing="0" w:line="600" w:lineRule="exact"/>
        <w:ind w:left="0" w:leftChars="0" w:firstLine="0" w:firstLineChars="0"/>
        <w:jc w:val="left"/>
        <w:textAlignment w:val="auto"/>
        <w:rPr>
          <w:rFonts w:hint="eastAsia" w:ascii="仿宋" w:hAnsi="仿宋" w:eastAsia="仿宋" w:cs="仿宋"/>
          <w:color w:val="auto"/>
          <w:sz w:val="32"/>
          <w:szCs w:val="32"/>
        </w:rPr>
      </w:pPr>
    </w:p>
    <w:p>
      <w:pPr>
        <w:pStyle w:val="13"/>
        <w:keepNext w:val="0"/>
        <w:keepLines w:val="0"/>
        <w:pageBreakBefore w:val="0"/>
        <w:numPr>
          <w:ilvl w:val="0"/>
          <w:numId w:val="0"/>
        </w:numPr>
        <w:kinsoku/>
        <w:wordWrap/>
        <w:overflowPunct/>
        <w:topLinePunct w:val="0"/>
        <w:bidi w:val="0"/>
        <w:spacing w:beforeAutospacing="0" w:afterAutospacing="0" w:line="60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部门职责</w:t>
      </w:r>
    </w:p>
    <w:p>
      <w:pPr>
        <w:pStyle w:val="6"/>
        <w:keepNext w:val="0"/>
        <w:keepLines w:val="0"/>
        <w:pageBreakBefore w:val="0"/>
        <w:kinsoku/>
        <w:wordWrap/>
        <w:overflowPunct/>
        <w:topLinePunct w:val="0"/>
        <w:bidi w:val="0"/>
        <w:spacing w:before="0" w:beforeAutospacing="0" w:after="0" w:afterAutospacing="0" w:line="600" w:lineRule="exact"/>
        <w:ind w:left="0"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怀化市铁路第一小学隶属怀化市教育局直管，是一所公办的全日制完全小学，学制六年。学校使用汉语言文字教学，推广使用普通话和规范字。学校坚持以人为本，科研兴校，特色办学，全面贯彻执行国家教育方针，即“坚持教育为社会主义现代化建设服务、为人民服务”，把立德树人作为教育的根本任务，全面实施素质教育，培养德智体美等方面全面发展的社会主义事业的建设者和接班人，努力办好人民满意的教育。”</w:t>
      </w:r>
    </w:p>
    <w:p>
      <w:pPr>
        <w:keepNext w:val="0"/>
        <w:keepLines w:val="0"/>
        <w:pageBreakBefore w:val="0"/>
        <w:widowControl/>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rPr>
        <w:t>二、机构设置及决算单位构成</w:t>
      </w:r>
    </w:p>
    <w:p>
      <w:pPr>
        <w:keepNext w:val="0"/>
        <w:keepLines w:val="0"/>
        <w:pageBreakBefore w:val="0"/>
        <w:widowControl/>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Cs/>
          <w:color w:val="auto"/>
          <w:kern w:val="0"/>
          <w:sz w:val="32"/>
          <w:szCs w:val="32"/>
        </w:rPr>
        <w:t>怀化市铁路第一小学作为一级部门预算单位内设机构包括：校长室、书记室、副校长室、工会主席室、办公室、督导室、党办、教导室、教研室、政教处、总务室、财务室、电教室、综治办、大队部、工会。</w:t>
      </w:r>
    </w:p>
    <w:p>
      <w:pPr>
        <w:keepNext w:val="0"/>
        <w:keepLines w:val="0"/>
        <w:pageBreakBefore w:val="0"/>
        <w:widowControl/>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b/>
          <w:bCs w:val="0"/>
          <w:color w:val="auto"/>
          <w:kern w:val="0"/>
          <w:sz w:val="32"/>
          <w:szCs w:val="32"/>
        </w:rPr>
        <w:t>（二）决算单位构成。</w:t>
      </w:r>
      <w:r>
        <w:rPr>
          <w:rFonts w:hint="eastAsia" w:ascii="仿宋" w:hAnsi="仿宋" w:eastAsia="仿宋" w:cs="仿宋"/>
          <w:bCs/>
          <w:color w:val="auto"/>
          <w:kern w:val="0"/>
          <w:sz w:val="32"/>
          <w:szCs w:val="32"/>
        </w:rPr>
        <w:t>怀化市铁路第一小学2021年部门决算汇总公开单位构成包括：怀化市铁路第一小学本级。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9"/>
          <w:rFonts w:hint="eastAsia" w:ascii="黑体" w:hAnsi="黑体" w:eastAsia="黑体" w:cs="黑体"/>
          <w:i w:val="0"/>
          <w:iCs w:val="0"/>
          <w:caps w:val="0"/>
          <w:color w:val="auto"/>
          <w:spacing w:val="0"/>
          <w:sz w:val="44"/>
          <w:szCs w:val="44"/>
          <w:highlight w:val="none"/>
          <w:shd w:val="clear" w:color="auto" w:fill="FFFFFF"/>
        </w:rPr>
      </w:pPr>
      <w:r>
        <w:rPr>
          <w:rFonts w:hint="eastAsia" w:ascii="仿宋" w:hAnsi="仿宋" w:eastAsia="仿宋" w:cs="仿宋"/>
          <w:color w:val="auto"/>
          <w:sz w:val="32"/>
          <w:szCs w:val="32"/>
          <w:shd w:val="clear" w:fill="FFFFFF"/>
        </w:rPr>
        <w:t> </w:t>
      </w:r>
      <w:r>
        <w:rPr>
          <w:rStyle w:val="9"/>
          <w:rFonts w:hint="eastAsia" w:ascii="黑体" w:hAnsi="黑体" w:eastAsia="黑体" w:cs="黑体"/>
          <w:i w:val="0"/>
          <w:iCs w:val="0"/>
          <w:caps w:val="0"/>
          <w:color w:val="auto"/>
          <w:spacing w:val="0"/>
          <w:sz w:val="44"/>
          <w:szCs w:val="44"/>
          <w:highlight w:val="none"/>
          <w:shd w:val="clear" w:color="auto" w:fill="FFFFFF"/>
        </w:rPr>
        <w:t>第二部分 2021年度部门决算表</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9"/>
          <w:rFonts w:hint="eastAsia" w:ascii="仿宋" w:hAnsi="仿宋" w:eastAsia="仿宋" w:cs="仿宋"/>
          <w:i w:val="0"/>
          <w:iCs w:val="0"/>
          <w:caps w:val="0"/>
          <w:color w:val="auto"/>
          <w:spacing w:val="0"/>
          <w:sz w:val="32"/>
          <w:szCs w:val="32"/>
          <w:highlight w:val="yellow"/>
          <w:shd w:val="clear" w:color="auto" w:fill="FFFFFF"/>
          <w:lang w:val="en-US" w:eastAsia="zh-CN"/>
        </w:rPr>
      </w:pPr>
      <w:r>
        <w:rPr>
          <w:rStyle w:val="9"/>
          <w:rFonts w:hint="eastAsia" w:ascii="仿宋" w:hAnsi="仿宋" w:eastAsia="仿宋" w:cs="仿宋"/>
          <w:i w:val="0"/>
          <w:iCs w:val="0"/>
          <w:caps w:val="0"/>
          <w:color w:val="auto"/>
          <w:spacing w:val="0"/>
          <w:sz w:val="32"/>
          <w:szCs w:val="32"/>
          <w:highlight w:val="none"/>
          <w:shd w:val="clear" w:color="auto" w:fill="FFFFFF"/>
          <w:lang w:val="en-US" w:eastAsia="zh-CN"/>
        </w:rPr>
        <w:t>见附表</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Fonts w:hint="eastAsia" w:ascii="仿宋" w:hAnsi="仿宋" w:eastAsia="仿宋" w:cs="仿宋"/>
          <w:b/>
          <w:bCs/>
          <w:color w:val="auto"/>
          <w:sz w:val="32"/>
          <w:szCs w:val="32"/>
        </w:rPr>
        <w:t> </w:t>
      </w:r>
      <w:r>
        <w:rPr>
          <w:rStyle w:val="9"/>
          <w:rFonts w:hint="eastAsia" w:ascii="黑体" w:hAnsi="黑体" w:eastAsia="黑体" w:cs="黑体"/>
          <w:i w:val="0"/>
          <w:iCs w:val="0"/>
          <w:caps w:val="0"/>
          <w:color w:val="auto"/>
          <w:spacing w:val="0"/>
          <w:sz w:val="44"/>
          <w:szCs w:val="44"/>
          <w:shd w:val="clear" w:color="auto" w:fill="FFFFFF"/>
        </w:rPr>
        <w:t>第三部分 2021年度部门决算情况说明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9"/>
          <w:rFonts w:hint="eastAsia" w:ascii="黑体" w:hAnsi="黑体" w:eastAsia="黑体" w:cs="黑体"/>
          <w:b w:val="0"/>
          <w:bCs w:val="0"/>
          <w:i w:val="0"/>
          <w:iCs w:val="0"/>
          <w:caps w:val="0"/>
          <w:color w:val="auto"/>
          <w:spacing w:val="0"/>
          <w:sz w:val="32"/>
          <w:szCs w:val="32"/>
          <w:shd w:val="clear" w:color="auto" w:fill="FFFFFF"/>
        </w:rPr>
      </w:pPr>
      <w:r>
        <w:rPr>
          <w:rStyle w:val="9"/>
          <w:rFonts w:hint="eastAsia" w:ascii="黑体" w:hAnsi="黑体" w:eastAsia="黑体" w:cs="黑体"/>
          <w:b w:val="0"/>
          <w:bCs w:val="0"/>
          <w:i w:val="0"/>
          <w:iCs w:val="0"/>
          <w:caps w:val="0"/>
          <w:color w:val="auto"/>
          <w:spacing w:val="0"/>
          <w:sz w:val="32"/>
          <w:szCs w:val="32"/>
          <w:shd w:val="clear" w:color="auto" w:fill="FFFFFF"/>
        </w:rPr>
        <w:t>收入支出决算总体情况说明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支</w:t>
      </w:r>
      <w:r>
        <w:rPr>
          <w:rFonts w:hint="eastAsia" w:ascii="仿宋" w:hAnsi="仿宋" w:eastAsia="仿宋" w:cs="仿宋"/>
          <w:color w:val="auto"/>
          <w:sz w:val="32"/>
          <w:szCs w:val="32"/>
        </w:rPr>
        <w:t>总计</w:t>
      </w:r>
      <w:r>
        <w:rPr>
          <w:rFonts w:hint="eastAsia" w:ascii="仿宋" w:hAnsi="仿宋" w:eastAsia="仿宋" w:cs="仿宋"/>
          <w:color w:val="auto"/>
          <w:sz w:val="32"/>
          <w:szCs w:val="32"/>
          <w:lang w:val="en-US" w:eastAsia="zh-CN"/>
        </w:rPr>
        <w:t>各3991.22</w:t>
      </w:r>
      <w:r>
        <w:rPr>
          <w:rFonts w:hint="eastAsia" w:ascii="仿宋" w:hAnsi="仿宋" w:eastAsia="仿宋" w:cs="仿宋"/>
          <w:color w:val="auto"/>
          <w:sz w:val="32"/>
          <w:szCs w:val="32"/>
        </w:rPr>
        <w:t>万元。与上年相比，增加323.7</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万元，增长8.</w:t>
      </w:r>
      <w:r>
        <w:rPr>
          <w:rFonts w:hint="eastAsia" w:ascii="仿宋" w:hAnsi="仿宋" w:eastAsia="仿宋" w:cs="仿宋"/>
          <w:color w:val="auto"/>
          <w:sz w:val="32"/>
          <w:szCs w:val="32"/>
          <w:lang w:val="en-US" w:eastAsia="zh-CN"/>
        </w:rPr>
        <w:t>83</w:t>
      </w:r>
      <w:r>
        <w:rPr>
          <w:rFonts w:hint="eastAsia" w:ascii="仿宋" w:hAnsi="仿宋" w:eastAsia="仿宋" w:cs="仿宋"/>
          <w:color w:val="auto"/>
          <w:sz w:val="32"/>
          <w:szCs w:val="32"/>
        </w:rPr>
        <w:t>%，主要是因为课后服务费增加。</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2021年度收入合计3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892.42万元，其中：财政拨款收入3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391.00万元，占87.12%；上级补助收入0万元，占0%；事业收入501.42万元，占12.88%；经营收入0万元，占0%；附属单位上缴收入0万元，占0%；其他收入0万元，占0%。</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2021年度支出合计3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991.22万元，其中：基本支出3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821.4</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万元，占95.75%；项目支出169.8</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万元，占4.25%；上缴上级支出0万元，占0%；经营支出0万元，占0%；对附属单位补助支出0万元，占0%。</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w:t>
      </w:r>
      <w:r>
        <w:rPr>
          <w:rFonts w:hint="eastAsia" w:ascii="仿宋" w:hAnsi="仿宋" w:eastAsia="仿宋" w:cs="仿宋"/>
          <w:color w:val="auto"/>
          <w:sz w:val="32"/>
          <w:szCs w:val="32"/>
          <w:lang w:val="en-US" w:eastAsia="zh-CN"/>
        </w:rPr>
        <w:t>收、</w:t>
      </w:r>
      <w:r>
        <w:rPr>
          <w:rFonts w:hint="eastAsia" w:ascii="仿宋" w:hAnsi="仿宋" w:eastAsia="仿宋" w:cs="仿宋"/>
          <w:color w:val="auto"/>
          <w:sz w:val="32"/>
          <w:szCs w:val="32"/>
        </w:rPr>
        <w:t>支总计</w:t>
      </w:r>
      <w:r>
        <w:rPr>
          <w:rFonts w:hint="eastAsia" w:ascii="仿宋" w:hAnsi="仿宋" w:eastAsia="仿宋" w:cs="仿宋"/>
          <w:color w:val="auto"/>
          <w:sz w:val="32"/>
          <w:szCs w:val="32"/>
          <w:lang w:val="en-US" w:eastAsia="zh-CN"/>
        </w:rPr>
        <w:t>各</w:t>
      </w: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471.08万元，与上年相比，增加74.75万元,增长2.2</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%，主要是因为支付了数字校园项目和运动场看台项目尾款等。</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（一）财政拨款支出决算总体情况</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471.08万元，占本年支出合计的86.97%，与上年相比，财政拨款支出增加74.75万元,增长2.2</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%，主要是因为支付了数字校园项目和运动场看台项目尾款等。</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（二）财政拨款支出决算结构情况</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471.08万元，主要用于以下方面：一般公共服务（类）支出5</w:t>
      </w:r>
      <w:r>
        <w:rPr>
          <w:rFonts w:hint="eastAsia" w:ascii="仿宋" w:hAnsi="仿宋" w:eastAsia="仿宋" w:cs="仿宋"/>
          <w:color w:val="auto"/>
          <w:sz w:val="32"/>
          <w:szCs w:val="32"/>
          <w:lang w:val="en-US" w:eastAsia="zh-CN"/>
        </w:rPr>
        <w:t>.00</w:t>
      </w:r>
      <w:r>
        <w:rPr>
          <w:rFonts w:hint="eastAsia" w:ascii="仿宋" w:hAnsi="仿宋" w:eastAsia="仿宋" w:cs="仿宋"/>
          <w:color w:val="auto"/>
          <w:sz w:val="32"/>
          <w:szCs w:val="32"/>
        </w:rPr>
        <w:t>万元，占0.14%；教育（类）支出2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872.59万元，占82.76%;社会保障和就业支出477.3</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万元，占13.75%；卫生健康支出116.19万元，占3.35%。</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（三）财政拨款支出决算具体情况</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2021年度财政拨款支出年初预算数为1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911.57万元，支出决算数为3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471.08万元，完成年初预算的181.5</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%，其中：</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1、一般公共服务支出（类）知识产权事务（款）其他知识产权事务支出（项）。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年初预算为0万元，支出决算为5万元，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决算数大于年初预算数的主要原因是：2021年知识产权战略推进专项资金未列入部门年初预算。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2、教育（类）普通教育（款）小学教育（项）。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911.57万元，支出决算为2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361.58万元，完成年初预算的123.54%，决算数大于年初预算数的主要原因是：绩效奖等未列入部门年初预算。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3、教育（类）普通教育（款）其他普通教育支出（项）。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年初预算为0万元，支出决算为488.61万元，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决算数大于年初预算数的主要原因是：2021年义务教育薄弱环节改善与能力提升资金、教育信息化资金等未列入部门年初预算。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4、教育（类）进修及培训（款）教师进修（项）。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年初预算为0万元，支出决算为22.40万元，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决算数大于年初预算数的主要原因是：教师培训市级资金未列入部门年初预算。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5、社会保障和就业支出（类）行政事业单位养老支出（款）事业单位离退休（项）。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年初预算为0万元，支出决算为1.5</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决算数大于年初预算数的主要原因是：离退休人员春节一次性生活费补助资金未列入部门年初预算。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6、社会保障和就业支出（类）行政事业单位养老支出（款）机关事业单位基本养老保险缴费支出（项）。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年初预算为0万元，支出决算为238.84万元，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决算数大于年初预算数的主要原因是：机关事业单位基本养老保险缴费未列入部门年初预算。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7、社会保障和就业支出（类）行政事业单位养老支出（款）其他行政事业单位养老支出（项）。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年初预算为0万元，支出决算为236.96万元，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决算数大于年初预算数的主要原因是：离退休人员春节一次性生活费补助资金未列入部门年初预算。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8、卫生健康支出（类）行政事业单位医疗（款）行政单位医疗（项）。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年初预算为0万元，支出决算为112.98万元，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决算数大于年初预算数的主要原因是：行政单位医疗缴费单位部分未列入部门年初预算。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9、卫生健康支出（类）行政事业单位医疗（款）其他行政事业单位医疗支出（项）。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年初预算为0万元，支出决算为3.2</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rPr>
        <w:t>决算数大于年初预算数的主要原因是：行政事业单位医疗缴费未列入部门年初预算。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i/>
          <w:color w:val="auto"/>
          <w:sz w:val="32"/>
          <w:szCs w:val="32"/>
        </w:rPr>
      </w:pPr>
      <w:r>
        <w:rPr>
          <w:rFonts w:hint="eastAsia" w:ascii="仿宋" w:hAnsi="仿宋" w:eastAsia="仿宋" w:cs="仿宋"/>
          <w:color w:val="auto"/>
          <w:sz w:val="32"/>
          <w:szCs w:val="32"/>
        </w:rPr>
        <w:t>2021年度财政拨款基本支出3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301.27万元，其中：人员经费2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893.48万元，占基本支出的87.65%,主要包括基本工资、津贴补贴、奖金、伙食补助费、绩效工资、机关事业单位基本养老保险缴费、职工基本医疗保险缴费、其他社会保险缴费、其他工资福利支出、生活补助、奖励金、其他对个人和家庭的补助；公用经费407.79万元，占基本支出的12.35%，主要包括办公费、印刷费、水费、电费、邮电费、物业管理费、维修费、培训费、专用材料费、劳务费、委托业务费、工会经费、福利费、其他商品服务支出等。</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七、一般公共预算财政拨款“三公”经费支出决算情况说明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（一）“三公”经费财政拨款支出决算总体情况说明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2021年度“三公”经费财政拨款支出预算为4.03万元，支出决算为0万元，完成预算的0%，其中：</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因公出国（境）费支出预算为0万元，支出决算为0万元，决算数与预算数相等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与上年相比持平。主要原因</w:t>
      </w:r>
      <w:r>
        <w:rPr>
          <w:rFonts w:hint="eastAsia" w:ascii="仿宋" w:hAnsi="仿宋" w:eastAsia="仿宋" w:cs="仿宋"/>
          <w:color w:val="auto"/>
          <w:sz w:val="32"/>
          <w:szCs w:val="32"/>
          <w:lang w:val="en-US" w:eastAsia="zh-CN"/>
        </w:rPr>
        <w:t>本年度未安排因公出国(境)</w:t>
      </w:r>
      <w:r>
        <w:rPr>
          <w:rFonts w:hint="eastAsia" w:ascii="仿宋" w:hAnsi="仿宋" w:eastAsia="仿宋" w:cs="仿宋"/>
          <w:color w:val="auto"/>
          <w:sz w:val="32"/>
          <w:szCs w:val="32"/>
          <w:lang w:eastAsia="zh-CN"/>
        </w:rPr>
        <w:t>。</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公务接待费支出预算为3.32万元，支出决算为0万元，完成预算的0%，</w:t>
      </w:r>
      <w:r>
        <w:rPr>
          <w:rFonts w:hint="eastAsia" w:ascii="仿宋" w:hAnsi="仿宋" w:eastAsia="仿宋" w:cs="仿宋"/>
          <w:color w:val="auto"/>
          <w:sz w:val="32"/>
          <w:szCs w:val="32"/>
          <w:lang w:val="en-US" w:eastAsia="zh-CN"/>
        </w:rPr>
        <w:t>决算数小于预算数的主要原因厉行节约，</w:t>
      </w:r>
      <w:r>
        <w:rPr>
          <w:rFonts w:hint="eastAsia" w:ascii="仿宋" w:hAnsi="仿宋" w:eastAsia="仿宋" w:cs="仿宋"/>
          <w:color w:val="auto"/>
          <w:sz w:val="32"/>
          <w:szCs w:val="32"/>
        </w:rPr>
        <w:t>与上年相比减少1.11万元，减少100%,减少的主要原因是贯彻落实中央“八项规定”和省、市“九项规定”精神。严格执行党政机关公务接待管理规定大力压缩“三公”经费等行政支出。从严控制公务接待费是执行八项规定的成果，从严治党的结果。</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公务用车购置费及运行维护费支出预算为</w:t>
      </w:r>
      <w:r>
        <w:rPr>
          <w:rFonts w:hint="eastAsia" w:ascii="仿宋" w:hAnsi="仿宋" w:eastAsia="仿宋" w:cs="仿宋"/>
          <w:color w:val="auto"/>
          <w:sz w:val="32"/>
          <w:szCs w:val="32"/>
          <w:lang w:val="en-US" w:eastAsia="zh-CN"/>
        </w:rPr>
        <w:t>0.71</w:t>
      </w:r>
      <w:r>
        <w:rPr>
          <w:rFonts w:hint="eastAsia" w:ascii="仿宋" w:hAnsi="仿宋" w:eastAsia="仿宋" w:cs="仿宋"/>
          <w:color w:val="auto"/>
          <w:sz w:val="32"/>
          <w:szCs w:val="32"/>
        </w:rPr>
        <w:t>万元，支出决算为0万元，</w:t>
      </w:r>
      <w:r>
        <w:rPr>
          <w:rFonts w:hint="eastAsia" w:ascii="仿宋" w:hAnsi="仿宋" w:eastAsia="仿宋" w:cs="仿宋"/>
          <w:color w:val="auto"/>
          <w:sz w:val="32"/>
          <w:szCs w:val="32"/>
          <w:lang w:val="en-US" w:eastAsia="zh-CN"/>
        </w:rPr>
        <w:t>完成预算的0%</w:t>
      </w:r>
      <w:r>
        <w:rPr>
          <w:rFonts w:hint="eastAsia" w:ascii="仿宋" w:hAnsi="仿宋" w:eastAsia="仿宋" w:cs="仿宋"/>
          <w:color w:val="auto"/>
          <w:sz w:val="32"/>
          <w:szCs w:val="32"/>
        </w:rPr>
        <w:t>，与上年数持平，主要原因是厉行节约，减少开支。</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（二）“三公”经费财政拨款支出决算具体情况说明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三公”经费财政拨款支出决算中，公务接待费支出决算0.00万元，因公出国（境）费支出决算0.00万元，公务用车购置费及运行维护费支出决算0.00万元。（由于“三公”经费财政拨款支出决算为0，无法计算百分比）具体情况如下：</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1、因公出国（境）费支出决算为0万元，全年安排因公出国（境）团组0个，累计0人次。</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2、公务接待费支出决算为0万元，全年共接待来访团组0个、来宾0人次。</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3、公务用车购置费及运行维护费支出决算为0万元，其中：公务用车购置费0万元，更新公务用车0辆。公务用车运行维护费0万元，截止2021年12月31日，我单位开支财政拨款的公务用车保有量为0辆。</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i/>
          <w:color w:val="auto"/>
          <w:sz w:val="32"/>
          <w:szCs w:val="32"/>
        </w:rPr>
      </w:pPr>
      <w:r>
        <w:rPr>
          <w:rFonts w:hint="eastAsia" w:ascii="仿宋" w:hAnsi="仿宋" w:eastAsia="仿宋" w:cs="仿宋"/>
          <w:color w:val="auto"/>
          <w:sz w:val="32"/>
          <w:szCs w:val="32"/>
        </w:rPr>
        <w:t>2021年度本单位无政府性基金收支。</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九、国有资本经营预算财政拨款支出决算情况说明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2021年度本单位无国有资本经营预算财政拨款支出</w:t>
      </w:r>
      <w:r>
        <w:rPr>
          <w:rFonts w:hint="eastAsia" w:ascii="仿宋" w:hAnsi="仿宋" w:eastAsia="仿宋" w:cs="仿宋"/>
          <w:color w:val="auto"/>
          <w:sz w:val="32"/>
          <w:szCs w:val="32"/>
          <w:lang w:eastAsia="zh-CN"/>
        </w:rPr>
        <w:t>。</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十、机关运行经费支出说明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本部门2021年度机关运行经费支出0万元，主要是因为我单位非参公单位，非行政单位，无机关运行经费。</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十一、一般性支出情况说明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2021年本部门开支会议费0万元；开支培训费27</w:t>
      </w:r>
      <w:r>
        <w:rPr>
          <w:rFonts w:hint="eastAsia" w:ascii="仿宋" w:hAnsi="仿宋" w:eastAsia="仿宋" w:cs="仿宋"/>
          <w:color w:val="auto"/>
          <w:sz w:val="32"/>
          <w:szCs w:val="32"/>
          <w:lang w:val="en-US" w:eastAsia="zh-CN"/>
        </w:rPr>
        <w:t>.00</w:t>
      </w:r>
      <w:r>
        <w:rPr>
          <w:rFonts w:hint="eastAsia" w:ascii="仿宋" w:hAnsi="仿宋" w:eastAsia="仿宋" w:cs="仿宋"/>
          <w:color w:val="auto"/>
          <w:sz w:val="32"/>
          <w:szCs w:val="32"/>
        </w:rPr>
        <w:t>万元，用于开展教师各类培训等，人数1140余人次，内容主要为：1、怀化市中小学信息技术提升工程2.0整校推进试点校线上、线下培训；2、教师基本功培训等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举办节庆、晚会、论坛、赛事等活动。 </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十二、政府采购支出说明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十三、国有资产占用情况说明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rPr>
        <w:t>截至2021年12月31日，单位共有车辆1辆，其中，主要领导干部用车0辆，机要通信用车0辆、应急保障用车0辆、执法执勤用车0辆、特种专业技术用车1辆、其他用车0辆，单位价值50万元以上通用设备0台（套）；单位价值100万元以上专用设备0台（套）。</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十四、2021年度预算绩效情况说明</w:t>
      </w:r>
    </w:p>
    <w:p>
      <w:pPr>
        <w:pStyle w:val="12"/>
        <w:keepNext w:val="0"/>
        <w:keepLines w:val="0"/>
        <w:pageBreakBefore w:val="0"/>
        <w:kinsoku/>
        <w:wordWrap/>
        <w:overflowPunct/>
        <w:topLinePunct w:val="0"/>
        <w:bidi w:val="0"/>
        <w:spacing w:beforeAutospacing="0" w:afterAutospacing="0" w:line="600" w:lineRule="exact"/>
        <w:ind w:left="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本部门预算绩效管理开展情况、绩效目标和绩效评价</w:t>
      </w:r>
      <w:bookmarkStart w:id="0" w:name="_GoBack"/>
      <w:bookmarkEnd w:id="0"/>
      <w:r>
        <w:rPr>
          <w:rFonts w:hint="eastAsia" w:ascii="仿宋" w:hAnsi="仿宋" w:eastAsia="仿宋" w:cs="仿宋"/>
          <w:color w:val="auto"/>
          <w:sz w:val="32"/>
          <w:szCs w:val="32"/>
          <w:lang w:eastAsia="zh-CN"/>
        </w:rPr>
        <w:t>报告</w:t>
      </w:r>
      <w:r>
        <w:rPr>
          <w:rFonts w:hint="eastAsia" w:ascii="仿宋" w:hAnsi="仿宋" w:eastAsia="仿宋" w:cs="仿宋"/>
          <w:color w:val="auto"/>
          <w:sz w:val="32"/>
          <w:szCs w:val="32"/>
        </w:rPr>
        <w:t>附后</w:t>
      </w:r>
      <w:r>
        <w:rPr>
          <w:rFonts w:hint="eastAsia" w:ascii="仿宋" w:hAnsi="仿宋" w:eastAsia="仿宋" w:cs="仿宋"/>
          <w:color w:val="auto"/>
          <w:sz w:val="32"/>
          <w:szCs w:val="32"/>
          <w:lang w:eastAsia="zh-CN"/>
        </w:rPr>
        <w:t>。</w:t>
      </w:r>
    </w:p>
    <w:p>
      <w:pPr>
        <w:pStyle w:val="12"/>
        <w:keepNext w:val="0"/>
        <w:keepLines w:val="0"/>
        <w:pageBreakBefore w:val="0"/>
        <w:kinsoku/>
        <w:wordWrap/>
        <w:overflowPunct/>
        <w:topLinePunct w:val="0"/>
        <w:bidi w:val="0"/>
        <w:spacing w:beforeAutospacing="0" w:afterAutospacing="0" w:line="600" w:lineRule="exact"/>
        <w:ind w:left="0" w:firstLine="640" w:firstLineChars="200"/>
        <w:jc w:val="center"/>
        <w:textAlignment w:val="auto"/>
        <w:rPr>
          <w:rFonts w:hint="eastAsia" w:ascii="仿宋" w:hAnsi="仿宋" w:eastAsia="仿宋" w:cs="仿宋"/>
          <w:color w:val="auto"/>
          <w:sz w:val="32"/>
          <w:szCs w:val="32"/>
        </w:rPr>
      </w:pPr>
    </w:p>
    <w:p>
      <w:pPr>
        <w:pStyle w:val="12"/>
        <w:keepNext w:val="0"/>
        <w:keepLines w:val="0"/>
        <w:pageBreakBefore w:val="0"/>
        <w:kinsoku/>
        <w:wordWrap/>
        <w:overflowPunct/>
        <w:topLinePunct w:val="0"/>
        <w:bidi w:val="0"/>
        <w:spacing w:beforeAutospacing="0" w:afterAutospacing="0" w:line="600" w:lineRule="exact"/>
        <w:ind w:left="0" w:firstLine="640" w:firstLineChars="200"/>
        <w:jc w:val="center"/>
        <w:textAlignment w:val="auto"/>
        <w:rPr>
          <w:rFonts w:hint="eastAsia" w:ascii="仿宋" w:hAnsi="仿宋" w:eastAsia="仿宋" w:cs="仿宋"/>
          <w:color w:val="auto"/>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仿宋" w:hAnsi="仿宋" w:eastAsia="仿宋" w:cs="仿宋"/>
          <w:color w:val="auto"/>
          <w:kern w:val="0"/>
          <w:sz w:val="32"/>
          <w:szCs w:val="32"/>
        </w:rPr>
      </w:pPr>
      <w:r>
        <w:rPr>
          <w:rStyle w:val="9"/>
          <w:rFonts w:hint="eastAsia" w:ascii="黑体" w:hAnsi="黑体" w:eastAsia="黑体" w:cs="黑体"/>
          <w:i w:val="0"/>
          <w:iCs w:val="0"/>
          <w:caps w:val="0"/>
          <w:color w:val="auto"/>
          <w:spacing w:val="0"/>
          <w:sz w:val="44"/>
          <w:szCs w:val="44"/>
          <w:shd w:val="clear" w:color="auto" w:fill="FFFFFF"/>
        </w:rPr>
        <w:t>第四部分名词解释</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center"/>
        <w:textAlignment w:val="auto"/>
        <w:rPr>
          <w:rFonts w:hint="eastAsia" w:ascii="黑体" w:hAnsi="黑体" w:eastAsia="黑体" w:cs="黑体"/>
          <w:color w:val="auto"/>
          <w:sz w:val="44"/>
          <w:szCs w:val="44"/>
        </w:rPr>
      </w:pPr>
      <w:r>
        <w:rPr>
          <w:rFonts w:hint="eastAsia" w:ascii="黑体" w:hAnsi="黑体" w:eastAsia="黑体" w:cs="黑体"/>
          <w:b/>
          <w:bCs/>
          <w:color w:val="auto"/>
          <w:sz w:val="44"/>
          <w:szCs w:val="44"/>
        </w:rPr>
        <w:t>第五部分  附件</w:t>
      </w:r>
    </w:p>
    <w:p>
      <w:pPr>
        <w:keepNext w:val="0"/>
        <w:keepLines w:val="0"/>
        <w:pageBreakBefore w:val="0"/>
        <w:kinsoku/>
        <w:wordWrap/>
        <w:overflowPunct/>
        <w:topLinePunct w:val="0"/>
        <w:bidi w:val="0"/>
        <w:spacing w:beforeAutospacing="0" w:afterAutospacing="0" w:line="600" w:lineRule="exact"/>
        <w:ind w:left="0" w:firstLine="640" w:firstLineChars="200"/>
        <w:jc w:val="center"/>
        <w:textAlignment w:val="auto"/>
        <w:rPr>
          <w:rFonts w:hint="eastAsia" w:ascii="仿宋" w:hAnsi="仿宋" w:eastAsia="仿宋" w:cs="仿宋"/>
          <w:color w:val="auto"/>
          <w:kern w:val="0"/>
          <w:sz w:val="32"/>
          <w:szCs w:val="32"/>
        </w:rPr>
      </w:pPr>
    </w:p>
    <w:p>
      <w:pPr>
        <w:keepNext w:val="0"/>
        <w:keepLines w:val="0"/>
        <w:pageBreakBefore w:val="0"/>
        <w:kinsoku/>
        <w:wordWrap/>
        <w:overflowPunct/>
        <w:topLinePunct w:val="0"/>
        <w:bidi w:val="0"/>
        <w:spacing w:beforeAutospacing="0" w:afterAutospacing="0" w:line="600" w:lineRule="exact"/>
        <w:ind w:left="0" w:firstLine="640" w:firstLineChars="200"/>
        <w:jc w:val="center"/>
        <w:textAlignment w:val="auto"/>
        <w:rPr>
          <w:rFonts w:hint="eastAsia" w:ascii="仿宋" w:hAnsi="仿宋" w:eastAsia="仿宋" w:cs="仿宋"/>
          <w:color w:val="auto"/>
          <w:sz w:val="32"/>
          <w:szCs w:val="32"/>
        </w:rPr>
      </w:pPr>
    </w:p>
    <w:p>
      <w:pPr>
        <w:keepNext w:val="0"/>
        <w:keepLines w:val="0"/>
        <w:pageBreakBefore w:val="0"/>
        <w:kinsoku/>
        <w:wordWrap/>
        <w:overflowPunct/>
        <w:topLinePunct w:val="0"/>
        <w:bidi w:val="0"/>
        <w:spacing w:beforeAutospacing="0" w:afterAutospacing="0" w:line="600" w:lineRule="exact"/>
        <w:jc w:val="left"/>
        <w:textAlignment w:val="auto"/>
        <w:rPr>
          <w:rFonts w:hint="eastAsia" w:ascii="仿宋" w:hAnsi="仿宋" w:eastAsia="仿宋" w:cs="仿宋"/>
          <w:color w:val="auto"/>
          <w:kern w:val="0"/>
          <w:sz w:val="32"/>
          <w:szCs w:val="32"/>
        </w:rPr>
      </w:pPr>
    </w:p>
    <w:sectPr>
      <w:headerReference r:id="rId3" w:type="default"/>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7E0D5"/>
    <w:multiLevelType w:val="singleLevel"/>
    <w:tmpl w:val="9997E0D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4MjM4OGRjMjA1YmIwNDg3YWY0MmMwNWU4YTAwYjIifQ=="/>
  </w:docVars>
  <w:rsids>
    <w:rsidRoot w:val="004506F9"/>
    <w:rsid w:val="000040F4"/>
    <w:rsid w:val="0002229B"/>
    <w:rsid w:val="000273BD"/>
    <w:rsid w:val="000415B7"/>
    <w:rsid w:val="00041E3F"/>
    <w:rsid w:val="00055DAA"/>
    <w:rsid w:val="00061F7B"/>
    <w:rsid w:val="000658A3"/>
    <w:rsid w:val="00074155"/>
    <w:rsid w:val="000873EF"/>
    <w:rsid w:val="000A3D35"/>
    <w:rsid w:val="000A3F69"/>
    <w:rsid w:val="000C1C24"/>
    <w:rsid w:val="000D7328"/>
    <w:rsid w:val="00103957"/>
    <w:rsid w:val="00124A1F"/>
    <w:rsid w:val="00152C6D"/>
    <w:rsid w:val="00162D39"/>
    <w:rsid w:val="001678BD"/>
    <w:rsid w:val="00175D53"/>
    <w:rsid w:val="00182373"/>
    <w:rsid w:val="00193CCD"/>
    <w:rsid w:val="001A67DB"/>
    <w:rsid w:val="001C3C29"/>
    <w:rsid w:val="001D51E5"/>
    <w:rsid w:val="001E080D"/>
    <w:rsid w:val="001E0B87"/>
    <w:rsid w:val="001E2DD0"/>
    <w:rsid w:val="001E53D0"/>
    <w:rsid w:val="001F0C3B"/>
    <w:rsid w:val="0020159A"/>
    <w:rsid w:val="00202C14"/>
    <w:rsid w:val="00202C82"/>
    <w:rsid w:val="00214427"/>
    <w:rsid w:val="00215FB2"/>
    <w:rsid w:val="00226CB7"/>
    <w:rsid w:val="0026242D"/>
    <w:rsid w:val="00264552"/>
    <w:rsid w:val="00264EF9"/>
    <w:rsid w:val="00265724"/>
    <w:rsid w:val="0027426B"/>
    <w:rsid w:val="00284071"/>
    <w:rsid w:val="00293C56"/>
    <w:rsid w:val="002A3DC4"/>
    <w:rsid w:val="002E0A30"/>
    <w:rsid w:val="002E7140"/>
    <w:rsid w:val="003130C4"/>
    <w:rsid w:val="00316C4B"/>
    <w:rsid w:val="0032192B"/>
    <w:rsid w:val="003479BD"/>
    <w:rsid w:val="00347EBB"/>
    <w:rsid w:val="0037197D"/>
    <w:rsid w:val="003768D5"/>
    <w:rsid w:val="00377306"/>
    <w:rsid w:val="0038111D"/>
    <w:rsid w:val="003C4197"/>
    <w:rsid w:val="003C47E6"/>
    <w:rsid w:val="003C4FC2"/>
    <w:rsid w:val="003D1EEA"/>
    <w:rsid w:val="003E2331"/>
    <w:rsid w:val="00416E61"/>
    <w:rsid w:val="0042790C"/>
    <w:rsid w:val="004506F9"/>
    <w:rsid w:val="004717A2"/>
    <w:rsid w:val="004728A7"/>
    <w:rsid w:val="00473DF3"/>
    <w:rsid w:val="00487911"/>
    <w:rsid w:val="00491741"/>
    <w:rsid w:val="00493201"/>
    <w:rsid w:val="004B0CEE"/>
    <w:rsid w:val="004E1E09"/>
    <w:rsid w:val="00500E5F"/>
    <w:rsid w:val="005122EF"/>
    <w:rsid w:val="0051441A"/>
    <w:rsid w:val="00517C33"/>
    <w:rsid w:val="00517D5F"/>
    <w:rsid w:val="00521AF2"/>
    <w:rsid w:val="00523644"/>
    <w:rsid w:val="0054069E"/>
    <w:rsid w:val="00544866"/>
    <w:rsid w:val="005740CB"/>
    <w:rsid w:val="005767CC"/>
    <w:rsid w:val="00590D9F"/>
    <w:rsid w:val="00591AA8"/>
    <w:rsid w:val="00595D26"/>
    <w:rsid w:val="005A378B"/>
    <w:rsid w:val="005A4B21"/>
    <w:rsid w:val="005A74E6"/>
    <w:rsid w:val="005B404E"/>
    <w:rsid w:val="005D4D55"/>
    <w:rsid w:val="005E2CFB"/>
    <w:rsid w:val="005F2103"/>
    <w:rsid w:val="005F3D1C"/>
    <w:rsid w:val="0062378F"/>
    <w:rsid w:val="00641842"/>
    <w:rsid w:val="00651EEC"/>
    <w:rsid w:val="00653CE4"/>
    <w:rsid w:val="00657392"/>
    <w:rsid w:val="00686673"/>
    <w:rsid w:val="00691E8C"/>
    <w:rsid w:val="006A22C4"/>
    <w:rsid w:val="006A348B"/>
    <w:rsid w:val="006A351B"/>
    <w:rsid w:val="006B0422"/>
    <w:rsid w:val="006C1B53"/>
    <w:rsid w:val="006D7730"/>
    <w:rsid w:val="006E5284"/>
    <w:rsid w:val="006F3EB5"/>
    <w:rsid w:val="00702E34"/>
    <w:rsid w:val="00704395"/>
    <w:rsid w:val="00710E54"/>
    <w:rsid w:val="00710FE7"/>
    <w:rsid w:val="00717621"/>
    <w:rsid w:val="00720FF1"/>
    <w:rsid w:val="00727A53"/>
    <w:rsid w:val="00757D37"/>
    <w:rsid w:val="007661A7"/>
    <w:rsid w:val="007706FA"/>
    <w:rsid w:val="0077162E"/>
    <w:rsid w:val="00787B42"/>
    <w:rsid w:val="007C18C7"/>
    <w:rsid w:val="007C4539"/>
    <w:rsid w:val="007F3657"/>
    <w:rsid w:val="00812ED5"/>
    <w:rsid w:val="00812F1D"/>
    <w:rsid w:val="00820AD1"/>
    <w:rsid w:val="008277D9"/>
    <w:rsid w:val="0084478C"/>
    <w:rsid w:val="0085762E"/>
    <w:rsid w:val="0086638C"/>
    <w:rsid w:val="008936F3"/>
    <w:rsid w:val="008A3E8D"/>
    <w:rsid w:val="008B5E7B"/>
    <w:rsid w:val="008F2902"/>
    <w:rsid w:val="008F5C26"/>
    <w:rsid w:val="00905AAC"/>
    <w:rsid w:val="009160E7"/>
    <w:rsid w:val="00916FF2"/>
    <w:rsid w:val="009237C4"/>
    <w:rsid w:val="00944C48"/>
    <w:rsid w:val="00950252"/>
    <w:rsid w:val="00967F5D"/>
    <w:rsid w:val="00977918"/>
    <w:rsid w:val="009869D8"/>
    <w:rsid w:val="009A0F95"/>
    <w:rsid w:val="009B3ADF"/>
    <w:rsid w:val="009C2844"/>
    <w:rsid w:val="009C3B52"/>
    <w:rsid w:val="009D69DE"/>
    <w:rsid w:val="009E6817"/>
    <w:rsid w:val="009E6E9A"/>
    <w:rsid w:val="00A01D2B"/>
    <w:rsid w:val="00A42218"/>
    <w:rsid w:val="00A52FFD"/>
    <w:rsid w:val="00A70249"/>
    <w:rsid w:val="00A70B02"/>
    <w:rsid w:val="00A71D9F"/>
    <w:rsid w:val="00A83839"/>
    <w:rsid w:val="00A84475"/>
    <w:rsid w:val="00A92E9F"/>
    <w:rsid w:val="00A96AA3"/>
    <w:rsid w:val="00AC6617"/>
    <w:rsid w:val="00AD07B7"/>
    <w:rsid w:val="00B33BEA"/>
    <w:rsid w:val="00B57C9F"/>
    <w:rsid w:val="00B62E31"/>
    <w:rsid w:val="00B63572"/>
    <w:rsid w:val="00B733B3"/>
    <w:rsid w:val="00B802B3"/>
    <w:rsid w:val="00B845B3"/>
    <w:rsid w:val="00B85D8B"/>
    <w:rsid w:val="00BB4A40"/>
    <w:rsid w:val="00BD6C3E"/>
    <w:rsid w:val="00BE3674"/>
    <w:rsid w:val="00BE7545"/>
    <w:rsid w:val="00C10681"/>
    <w:rsid w:val="00C3049A"/>
    <w:rsid w:val="00C31B1E"/>
    <w:rsid w:val="00C5782E"/>
    <w:rsid w:val="00C744DE"/>
    <w:rsid w:val="00C77645"/>
    <w:rsid w:val="00CA1127"/>
    <w:rsid w:val="00CB1222"/>
    <w:rsid w:val="00CC173D"/>
    <w:rsid w:val="00CE04C3"/>
    <w:rsid w:val="00CE6D34"/>
    <w:rsid w:val="00CE76A0"/>
    <w:rsid w:val="00D148C6"/>
    <w:rsid w:val="00D17A8A"/>
    <w:rsid w:val="00D27397"/>
    <w:rsid w:val="00D415BA"/>
    <w:rsid w:val="00D57D1A"/>
    <w:rsid w:val="00D63780"/>
    <w:rsid w:val="00D644EE"/>
    <w:rsid w:val="00D75489"/>
    <w:rsid w:val="00D86E85"/>
    <w:rsid w:val="00D90964"/>
    <w:rsid w:val="00D93A5D"/>
    <w:rsid w:val="00DA2952"/>
    <w:rsid w:val="00DD06FF"/>
    <w:rsid w:val="00DD5FE9"/>
    <w:rsid w:val="00DE42F4"/>
    <w:rsid w:val="00DF7ABB"/>
    <w:rsid w:val="00E00C7A"/>
    <w:rsid w:val="00E209CF"/>
    <w:rsid w:val="00E34CCF"/>
    <w:rsid w:val="00E3530C"/>
    <w:rsid w:val="00E37D6C"/>
    <w:rsid w:val="00E55B68"/>
    <w:rsid w:val="00E60645"/>
    <w:rsid w:val="00E67BE6"/>
    <w:rsid w:val="00E85B33"/>
    <w:rsid w:val="00E85FCD"/>
    <w:rsid w:val="00E8683C"/>
    <w:rsid w:val="00EA2B72"/>
    <w:rsid w:val="00EA38AE"/>
    <w:rsid w:val="00ED4238"/>
    <w:rsid w:val="00ED7FFA"/>
    <w:rsid w:val="00F03EF8"/>
    <w:rsid w:val="00F37E14"/>
    <w:rsid w:val="00F65078"/>
    <w:rsid w:val="00F706ED"/>
    <w:rsid w:val="00F74360"/>
    <w:rsid w:val="00FB462F"/>
    <w:rsid w:val="00FC0298"/>
    <w:rsid w:val="00FD2801"/>
    <w:rsid w:val="00FD3B11"/>
    <w:rsid w:val="00FE16FA"/>
    <w:rsid w:val="00FE328A"/>
    <w:rsid w:val="00FE6269"/>
    <w:rsid w:val="00FF2798"/>
    <w:rsid w:val="00FF5405"/>
    <w:rsid w:val="00FF5CD6"/>
    <w:rsid w:val="219914E7"/>
    <w:rsid w:val="28565213"/>
    <w:rsid w:val="3860016D"/>
    <w:rsid w:val="3A261A07"/>
    <w:rsid w:val="590F5B30"/>
    <w:rsid w:val="68116BB8"/>
    <w:rsid w:val="6E3F3D8C"/>
    <w:rsid w:val="726253E1"/>
    <w:rsid w:val="75C46DEA"/>
    <w:rsid w:val="7A737A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8"/>
    <w:semiHidden/>
    <w:qFormat/>
    <w:uiPriority w:val="99"/>
    <w:pPr>
      <w:widowControl/>
      <w:spacing w:after="200" w:line="276" w:lineRule="auto"/>
      <w:ind w:firstLine="560" w:firstLineChars="200"/>
      <w:jc w:val="left"/>
    </w:pPr>
    <w:rPr>
      <w:rFonts w:ascii="Times New Roman" w:hAnsi="Times New Roman" w:eastAsia="仿宋_GB2312"/>
      <w:kern w:val="0"/>
      <w:sz w:val="28"/>
      <w:szCs w:val="24"/>
      <w:lang w:eastAsia="en-US"/>
    </w:rPr>
  </w:style>
  <w:style w:type="paragraph" w:styleId="3">
    <w:name w:val="Balloon Text"/>
    <w:basedOn w:val="1"/>
    <w:link w:val="14"/>
    <w:semiHidden/>
    <w:uiPriority w:val="99"/>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Times New Roman" w:cs="宋体"/>
      <w:kern w:val="0"/>
      <w:sz w:val="24"/>
      <w:szCs w:val="24"/>
    </w:rPr>
  </w:style>
  <w:style w:type="character" w:styleId="9">
    <w:name w:val="Strong"/>
    <w:basedOn w:val="8"/>
    <w:qFormat/>
    <w:locked/>
    <w:uiPriority w:val="0"/>
    <w:rPr>
      <w:b/>
    </w:rPr>
  </w:style>
  <w:style w:type="character" w:customStyle="1" w:styleId="10">
    <w:name w:val="页眉 字符"/>
    <w:basedOn w:val="8"/>
    <w:link w:val="5"/>
    <w:locked/>
    <w:uiPriority w:val="99"/>
    <w:rPr>
      <w:rFonts w:cs="Times New Roman"/>
      <w:sz w:val="18"/>
      <w:szCs w:val="18"/>
    </w:rPr>
  </w:style>
  <w:style w:type="character" w:customStyle="1" w:styleId="11">
    <w:name w:val="页脚 字符"/>
    <w:basedOn w:val="8"/>
    <w:link w:val="4"/>
    <w:locked/>
    <w:uiPriority w:val="99"/>
    <w:rPr>
      <w:rFonts w:cs="Times New Roman"/>
      <w:sz w:val="18"/>
      <w:szCs w:val="18"/>
    </w:rPr>
  </w:style>
  <w:style w:type="paragraph" w:customStyle="1" w:styleId="1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locked/>
    <w:uiPriority w:val="99"/>
    <w:rPr>
      <w:rFonts w:cs="Times New Roman"/>
      <w:sz w:val="18"/>
      <w:szCs w:val="18"/>
    </w:rPr>
  </w:style>
  <w:style w:type="paragraph" w:styleId="15">
    <w:name w:val="No Spacing"/>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6">
    <w:name w:val="p"/>
    <w:basedOn w:val="1"/>
    <w:qFormat/>
    <w:uiPriority w:val="99"/>
    <w:pPr>
      <w:spacing w:line="525" w:lineRule="atLeast"/>
      <w:ind w:firstLine="375"/>
    </w:pPr>
    <w:rPr>
      <w:szCs w:val="24"/>
    </w:rPr>
  </w:style>
  <w:style w:type="paragraph" w:customStyle="1" w:styleId="17">
    <w:name w:val="列出段落1"/>
    <w:basedOn w:val="1"/>
    <w:qFormat/>
    <w:uiPriority w:val="99"/>
    <w:pPr>
      <w:widowControl/>
      <w:adjustRightInd w:val="0"/>
      <w:snapToGrid w:val="0"/>
      <w:spacing w:after="200"/>
      <w:ind w:firstLine="420" w:firstLineChars="200"/>
      <w:jc w:val="left"/>
    </w:pPr>
    <w:rPr>
      <w:rFonts w:ascii="Tahoma" w:hAnsi="Tahoma" w:eastAsia="微软雅黑"/>
      <w:kern w:val="0"/>
      <w:sz w:val="22"/>
    </w:rPr>
  </w:style>
  <w:style w:type="character" w:customStyle="1" w:styleId="18">
    <w:name w:val="正文文本缩进 字符"/>
    <w:basedOn w:val="8"/>
    <w:link w:val="2"/>
    <w:semiHidden/>
    <w:qFormat/>
    <w:locked/>
    <w:uiPriority w:val="99"/>
    <w:rPr>
      <w:rFonts w:ascii="Times New Roman" w:hAnsi="Times New Roman" w:eastAsia="仿宋_GB2312" w:cs="Times New Roman"/>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5043</Words>
  <Characters>5463</Characters>
  <Lines>236</Lines>
  <Paragraphs>66</Paragraphs>
  <TotalTime>12</TotalTime>
  <ScaleCrop>false</ScaleCrop>
  <LinksUpToDate>false</LinksUpToDate>
  <CharactersWithSpaces>5465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2023-09-01T07:15:00Z</dcterms:created>
  <dc:creator>李航 null</dc:creator>
  <cp:lastModifiedBy>非鱼</cp:lastModifiedBy>
  <cp:lastPrinted>2022-07-27T12:55:00Z</cp:lastPrinted>
  <dcterms:modified xsi:type="dcterms:W3CDTF">2023-10-04T03:27:41Z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9588849F08614A1484005C22C9DB14AD_12</vt:lpwstr>
  </property>
</Properties>
</file>