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5E7B65">
      <w:pPr>
        <w:pStyle w:val="13"/>
        <w:jc w:val="both"/>
        <w:rPr>
          <w:rFonts w:hAnsi="黑体"/>
          <w:sz w:val="36"/>
          <w:szCs w:val="36"/>
        </w:rPr>
      </w:pPr>
      <w:r>
        <w:rPr>
          <w:rFonts w:hint="eastAsia" w:hAnsi="黑体"/>
          <w:sz w:val="36"/>
          <w:szCs w:val="36"/>
        </w:rPr>
        <w:t>附件1</w:t>
      </w:r>
    </w:p>
    <w:p w14:paraId="3F6F6152">
      <w:pPr>
        <w:pStyle w:val="13"/>
        <w:jc w:val="center"/>
        <w:rPr>
          <w:rFonts w:ascii="Times New Roman" w:hAnsi="Times New Roman" w:cs="Times New Roman"/>
          <w:sz w:val="56"/>
          <w:szCs w:val="56"/>
        </w:rPr>
      </w:pPr>
    </w:p>
    <w:p w14:paraId="64A78801">
      <w:pPr>
        <w:pStyle w:val="13"/>
        <w:jc w:val="center"/>
        <w:rPr>
          <w:rFonts w:ascii="Times New Roman" w:hAnsi="Times New Roman" w:cs="Times New Roman"/>
          <w:sz w:val="84"/>
          <w:szCs w:val="84"/>
        </w:rPr>
      </w:pPr>
    </w:p>
    <w:p w14:paraId="58F1DFB4">
      <w:pPr>
        <w:pStyle w:val="13"/>
        <w:jc w:val="center"/>
        <w:rPr>
          <w:rFonts w:ascii="Times New Roman" w:hAnsi="Times New Roman" w:cs="Times New Roman"/>
          <w:sz w:val="84"/>
          <w:szCs w:val="84"/>
        </w:rPr>
      </w:pPr>
    </w:p>
    <w:p w14:paraId="1A17DE39">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FBB6635">
      <w:pPr>
        <w:pStyle w:val="13"/>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怀化市锦宏小学</w:t>
      </w:r>
      <w:r>
        <w:rPr>
          <w:rFonts w:ascii="Times New Roman" w:hAnsi="Times New Roman" w:eastAsia="方正小标宋简体" w:cs="Times New Roman"/>
          <w:sz w:val="72"/>
          <w:szCs w:val="72"/>
        </w:rPr>
        <w:t>部门决算</w:t>
      </w:r>
    </w:p>
    <w:p w14:paraId="24149376">
      <w:pPr>
        <w:pStyle w:val="13"/>
        <w:jc w:val="center"/>
        <w:rPr>
          <w:rFonts w:ascii="Times New Roman" w:hAnsi="Times New Roman" w:eastAsia="方正小标宋_GBK" w:cs="Times New Roman"/>
          <w:sz w:val="56"/>
          <w:szCs w:val="56"/>
        </w:rPr>
      </w:pPr>
    </w:p>
    <w:p w14:paraId="0EE62FC5">
      <w:pPr>
        <w:pStyle w:val="13"/>
        <w:jc w:val="center"/>
        <w:rPr>
          <w:rFonts w:ascii="Times New Roman" w:hAnsi="Times New Roman" w:cs="Times New Roman"/>
          <w:sz w:val="56"/>
          <w:szCs w:val="56"/>
        </w:rPr>
      </w:pPr>
    </w:p>
    <w:p w14:paraId="75A2C83A">
      <w:pPr>
        <w:pStyle w:val="13"/>
        <w:rPr>
          <w:rFonts w:ascii="Times New Roman" w:hAnsi="Times New Roman" w:cs="Times New Roman"/>
          <w:sz w:val="56"/>
          <w:szCs w:val="56"/>
        </w:rPr>
      </w:pPr>
    </w:p>
    <w:p w14:paraId="1077B0B2">
      <w:pPr>
        <w:pStyle w:val="13"/>
        <w:jc w:val="center"/>
        <w:rPr>
          <w:rFonts w:ascii="Times New Roman" w:hAnsi="Times New Roman" w:cs="Times New Roman"/>
          <w:sz w:val="32"/>
          <w:szCs w:val="32"/>
        </w:rPr>
      </w:pPr>
    </w:p>
    <w:p w14:paraId="19046186">
      <w:pPr>
        <w:pStyle w:val="13"/>
        <w:jc w:val="center"/>
        <w:rPr>
          <w:rFonts w:ascii="Times New Roman" w:hAnsi="Times New Roman" w:cs="Times New Roman"/>
          <w:sz w:val="32"/>
          <w:szCs w:val="32"/>
        </w:rPr>
      </w:pPr>
    </w:p>
    <w:p w14:paraId="02AEC75C">
      <w:pPr>
        <w:pStyle w:val="13"/>
        <w:jc w:val="center"/>
        <w:rPr>
          <w:rFonts w:ascii="Times New Roman" w:hAnsi="Times New Roman" w:cs="Times New Roman"/>
          <w:sz w:val="32"/>
          <w:szCs w:val="32"/>
        </w:rPr>
      </w:pPr>
    </w:p>
    <w:p w14:paraId="3D0B2051">
      <w:pPr>
        <w:pStyle w:val="13"/>
        <w:jc w:val="center"/>
        <w:rPr>
          <w:rFonts w:ascii="Times New Roman" w:hAnsi="Times New Roman" w:cs="Times New Roman"/>
          <w:sz w:val="32"/>
          <w:szCs w:val="32"/>
        </w:rPr>
      </w:pPr>
    </w:p>
    <w:p w14:paraId="4B94DAC2">
      <w:pPr>
        <w:pStyle w:val="13"/>
        <w:jc w:val="center"/>
        <w:rPr>
          <w:rFonts w:ascii="Times New Roman" w:hAnsi="Times New Roman" w:cs="Times New Roman"/>
          <w:sz w:val="32"/>
          <w:szCs w:val="32"/>
        </w:rPr>
      </w:pPr>
    </w:p>
    <w:p w14:paraId="0BCDB9AE">
      <w:pPr>
        <w:pStyle w:val="13"/>
        <w:jc w:val="center"/>
        <w:rPr>
          <w:rFonts w:ascii="Times New Roman" w:hAnsi="Times New Roman" w:cs="Times New Roman"/>
          <w:sz w:val="32"/>
          <w:szCs w:val="32"/>
        </w:rPr>
      </w:pPr>
    </w:p>
    <w:p w14:paraId="269F423F">
      <w:pPr>
        <w:pStyle w:val="13"/>
        <w:spacing w:line="540" w:lineRule="exact"/>
        <w:jc w:val="center"/>
        <w:rPr>
          <w:rFonts w:ascii="Times New Roman" w:hAnsi="Times New Roman" w:cs="Times New Roman"/>
          <w:sz w:val="56"/>
          <w:szCs w:val="56"/>
        </w:rPr>
      </w:pPr>
    </w:p>
    <w:p w14:paraId="3BB31114">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53C4622C">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7FA226B1">
      <w:pPr>
        <w:pStyle w:val="13"/>
        <w:spacing w:line="600" w:lineRule="exact"/>
        <w:jc w:val="both"/>
        <w:rPr>
          <w:rFonts w:ascii="Times New Roman" w:hAnsi="Times New Roman" w:cs="Times New Roman"/>
          <w:b/>
          <w:sz w:val="36"/>
          <w:szCs w:val="28"/>
        </w:rPr>
      </w:pPr>
    </w:p>
    <w:p w14:paraId="25AB07EC">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C0D02E5">
      <w:pPr>
        <w:pStyle w:val="13"/>
        <w:spacing w:line="600" w:lineRule="exact"/>
        <w:jc w:val="center"/>
        <w:rPr>
          <w:rFonts w:ascii="Times New Roman" w:hAnsi="Times New Roman" w:cs="Times New Roman"/>
          <w:b/>
          <w:sz w:val="36"/>
          <w:szCs w:val="28"/>
        </w:rPr>
      </w:pPr>
    </w:p>
    <w:p w14:paraId="28AB9D85">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怀化市锦宏小学</w:t>
      </w:r>
      <w:r>
        <w:rPr>
          <w:rFonts w:ascii="Times New Roman" w:hAnsi="Times New Roman" w:cs="Times New Roman"/>
          <w:bCs/>
          <w:sz w:val="32"/>
          <w:szCs w:val="32"/>
        </w:rPr>
        <w:t>概况</w:t>
      </w:r>
    </w:p>
    <w:p w14:paraId="007F1DB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4A982B8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DB5D51B">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3B72DA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792817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2ED7E435">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A2BD397">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4B993E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1E8C1A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5203B7A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95ED2C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4812AFB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77693933">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5EDCDCBB">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DEBC7B1">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6535FFF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4705EAC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30987F3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438D50DA">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60710D2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F0CF97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38C3F1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412220F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56F5007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6FB3F03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67F7115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0FB60BC1">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1354858D">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DEC8199">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4FAA704E">
      <w:pPr>
        <w:pStyle w:val="13"/>
        <w:spacing w:line="600" w:lineRule="exact"/>
        <w:rPr>
          <w:rFonts w:ascii="Times New Roman" w:hAnsi="Times New Roman" w:cs="Times New Roman"/>
          <w:bCs/>
          <w:sz w:val="28"/>
          <w:szCs w:val="28"/>
        </w:rPr>
      </w:pPr>
    </w:p>
    <w:p w14:paraId="04426AF6">
      <w:pPr>
        <w:jc w:val="center"/>
        <w:rPr>
          <w:rFonts w:ascii="Times New Roman" w:hAnsi="Times New Roman" w:cs="Times New Roman"/>
          <w:sz w:val="72"/>
          <w:szCs w:val="72"/>
        </w:rPr>
      </w:pPr>
    </w:p>
    <w:p w14:paraId="428E3EC9">
      <w:pPr>
        <w:jc w:val="center"/>
        <w:rPr>
          <w:rFonts w:ascii="Times New Roman" w:hAnsi="Times New Roman" w:cs="Times New Roman"/>
          <w:sz w:val="72"/>
          <w:szCs w:val="72"/>
        </w:rPr>
      </w:pPr>
    </w:p>
    <w:p w14:paraId="3E0D249B">
      <w:pPr>
        <w:jc w:val="center"/>
        <w:rPr>
          <w:rFonts w:ascii="Times New Roman" w:hAnsi="Times New Roman" w:cs="Times New Roman"/>
          <w:sz w:val="72"/>
          <w:szCs w:val="72"/>
        </w:rPr>
      </w:pPr>
    </w:p>
    <w:p w14:paraId="1B017152">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70A10632">
      <w:pPr>
        <w:rPr>
          <w:rFonts w:ascii="Times New Roman" w:hAnsi="Times New Roman" w:eastAsia="方正小标宋_GBK" w:cs="Times New Roman"/>
          <w:sz w:val="72"/>
          <w:szCs w:val="72"/>
        </w:rPr>
      </w:pPr>
    </w:p>
    <w:p w14:paraId="69D55D75">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D8D840A">
      <w:pPr>
        <w:pStyle w:val="13"/>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怀化市锦宏小学</w:t>
      </w:r>
      <w:r>
        <w:rPr>
          <w:rFonts w:ascii="Times New Roman" w:hAnsi="Times New Roman" w:eastAsia="方正小标宋_GBK" w:cs="Times New Roman"/>
          <w:sz w:val="52"/>
          <w:szCs w:val="52"/>
        </w:rPr>
        <w:t>概况</w:t>
      </w:r>
    </w:p>
    <w:p w14:paraId="4E25C01F">
      <w:pPr>
        <w:pStyle w:val="3"/>
        <w:ind w:left="0" w:leftChars="0" w:firstLine="0" w:firstLineChars="0"/>
        <w:rPr>
          <w:rFonts w:ascii="Times New Roman" w:hAnsi="Times New Roman" w:cs="Times New Roman"/>
        </w:rPr>
      </w:pPr>
    </w:p>
    <w:p w14:paraId="762E9DE8">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AD24AE6">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怀化市锦宏小学隶属怀化市教育局直管，是一所公办的全日制完全小学，学制六年。学校秉承“勤朴立美，各美其美”的办学理念，注重每个孩子的独特天赋与发展。体现了“以人为本”的教育观，精益求精，科学管理。促进基础教育发展，保障辖区内适龄儿童入学及相关社会服务。</w:t>
      </w:r>
    </w:p>
    <w:p w14:paraId="6131B56A">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09147094">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（一）内设机构设置。怀化市锦宏小学作为一级部门预算单位，是小学义务教育学校，学校内设科室：教导处、总务处、督导室、德育处、学科教研组、办公室、财务室等部门。</w:t>
      </w:r>
    </w:p>
    <w:p w14:paraId="1F2ED423">
      <w:pPr>
        <w:widowControl/>
        <w:spacing w:line="600" w:lineRule="exact"/>
        <w:rPr>
          <w:rFonts w:hint="eastAsia" w:ascii="Times New Roman" w:hAnsi="Times New Roman" w:eastAsia="仿宋_GB2312" w:cs="黑体"/>
          <w:color w:val="000000"/>
          <w:kern w:val="0"/>
          <w:sz w:val="32"/>
          <w:szCs w:val="32"/>
          <w:lang w:val="en-US" w:eastAsia="zh-CN" w:bidi="ar-SA"/>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rPr>
        <w:t>怀化市锦宏小学</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黑体"/>
          <w:color w:val="000000"/>
          <w:kern w:val="0"/>
          <w:sz w:val="32"/>
          <w:szCs w:val="32"/>
          <w:lang w:val="en-US" w:eastAsia="zh-CN" w:bidi="ar-SA"/>
        </w:rPr>
        <w:t>怀化市锦宏小学只有本级，没有其他二级预算单位，因此，纳入</w:t>
      </w:r>
      <w:r>
        <w:rPr>
          <w:rFonts w:hint="default" w:ascii="Times New Roman" w:hAnsi="Times New Roman" w:eastAsia="仿宋_GB2312" w:cs="黑体"/>
          <w:color w:val="000000"/>
          <w:kern w:val="0"/>
          <w:sz w:val="32"/>
          <w:szCs w:val="32"/>
          <w:lang w:val="en-US" w:eastAsia="zh-CN" w:bidi="ar-SA"/>
        </w:rPr>
        <w:t>202</w:t>
      </w:r>
      <w:r>
        <w:rPr>
          <w:rFonts w:hint="eastAsia" w:ascii="Times New Roman" w:hAnsi="Times New Roman" w:eastAsia="仿宋_GB2312" w:cs="黑体"/>
          <w:color w:val="000000"/>
          <w:kern w:val="0"/>
          <w:sz w:val="32"/>
          <w:szCs w:val="32"/>
          <w:lang w:val="en-US" w:eastAsia="zh-CN" w:bidi="ar-SA"/>
        </w:rPr>
        <w:t>4</w:t>
      </w:r>
      <w:r>
        <w:rPr>
          <w:rFonts w:hint="default" w:ascii="Times New Roman" w:hAnsi="Times New Roman" w:eastAsia="仿宋_GB2312" w:cs="黑体"/>
          <w:color w:val="000000"/>
          <w:kern w:val="0"/>
          <w:sz w:val="32"/>
          <w:szCs w:val="32"/>
          <w:lang w:val="en-US" w:eastAsia="zh-CN" w:bidi="ar-SA"/>
        </w:rPr>
        <w:t>年部门</w:t>
      </w:r>
      <w:r>
        <w:rPr>
          <w:rFonts w:hint="eastAsia" w:ascii="Times New Roman" w:hAnsi="Times New Roman" w:eastAsia="仿宋_GB2312" w:cs="黑体"/>
          <w:color w:val="000000"/>
          <w:kern w:val="0"/>
          <w:sz w:val="32"/>
          <w:szCs w:val="32"/>
          <w:lang w:val="en-US" w:eastAsia="zh-CN" w:bidi="ar-SA"/>
        </w:rPr>
        <w:t>决算</w:t>
      </w:r>
      <w:r>
        <w:rPr>
          <w:rFonts w:hint="default" w:ascii="Times New Roman" w:hAnsi="Times New Roman" w:eastAsia="仿宋_GB2312" w:cs="黑体"/>
          <w:color w:val="000000"/>
          <w:kern w:val="0"/>
          <w:sz w:val="32"/>
          <w:szCs w:val="32"/>
          <w:lang w:val="en-US" w:eastAsia="zh-CN" w:bidi="ar-SA"/>
        </w:rPr>
        <w:t>编制范围的只有怀化市</w:t>
      </w:r>
      <w:r>
        <w:rPr>
          <w:rFonts w:hint="eastAsia" w:ascii="Times New Roman" w:hAnsi="Times New Roman" w:eastAsia="仿宋_GB2312" w:cs="黑体"/>
          <w:color w:val="000000"/>
          <w:kern w:val="0"/>
          <w:sz w:val="32"/>
          <w:szCs w:val="32"/>
          <w:lang w:val="en-US" w:eastAsia="zh-CN" w:bidi="ar-SA"/>
        </w:rPr>
        <w:t>锦宏小学</w:t>
      </w:r>
      <w:r>
        <w:rPr>
          <w:rFonts w:hint="default" w:ascii="Times New Roman" w:hAnsi="Times New Roman" w:eastAsia="仿宋_GB2312" w:cs="黑体"/>
          <w:color w:val="000000"/>
          <w:kern w:val="0"/>
          <w:sz w:val="32"/>
          <w:szCs w:val="32"/>
          <w:lang w:val="en-US" w:eastAsia="zh-CN" w:bidi="ar-SA"/>
        </w:rPr>
        <w:t>本级。</w:t>
      </w:r>
    </w:p>
    <w:p w14:paraId="000ED087">
      <w:pPr>
        <w:widowControl/>
        <w:spacing w:line="600" w:lineRule="exact"/>
        <w:rPr>
          <w:rFonts w:hint="default" w:ascii="Times New Roman" w:hAnsi="Times New Roman" w:eastAsia="仿宋_GB2312" w:cs="Times New Roman"/>
          <w:bCs/>
          <w:kern w:val="0"/>
          <w:sz w:val="32"/>
          <w:szCs w:val="32"/>
          <w:lang w:val="en-US" w:eastAsia="zh-CN"/>
        </w:rPr>
      </w:pPr>
    </w:p>
    <w:p w14:paraId="03B28E78">
      <w:pPr>
        <w:jc w:val="left"/>
        <w:rPr>
          <w:rFonts w:ascii="Times New Roman" w:hAnsi="Times New Roman" w:eastAsia="仿宋_GB2312" w:cs="Times New Roman"/>
          <w:sz w:val="28"/>
          <w:szCs w:val="32"/>
        </w:rPr>
      </w:pPr>
    </w:p>
    <w:p w14:paraId="1A99B820">
      <w:pPr>
        <w:jc w:val="center"/>
        <w:rPr>
          <w:rFonts w:ascii="Times New Roman" w:hAnsi="Times New Roman" w:eastAsia="黑体" w:cs="Times New Roman"/>
          <w:sz w:val="28"/>
          <w:szCs w:val="28"/>
        </w:rPr>
      </w:pPr>
    </w:p>
    <w:p w14:paraId="678EDEDD">
      <w:pPr>
        <w:jc w:val="center"/>
        <w:rPr>
          <w:rFonts w:ascii="Times New Roman" w:hAnsi="Times New Roman" w:eastAsia="黑体" w:cs="Times New Roman"/>
          <w:sz w:val="28"/>
          <w:szCs w:val="28"/>
        </w:rPr>
      </w:pPr>
    </w:p>
    <w:p w14:paraId="04D98C41">
      <w:pPr>
        <w:jc w:val="center"/>
        <w:rPr>
          <w:rFonts w:ascii="Times New Roman" w:hAnsi="Times New Roman" w:eastAsia="黑体" w:cs="Times New Roman"/>
          <w:sz w:val="28"/>
          <w:szCs w:val="28"/>
        </w:rPr>
      </w:pPr>
    </w:p>
    <w:p w14:paraId="447E1851">
      <w:pPr>
        <w:pStyle w:val="13"/>
        <w:numPr>
          <w:ilvl w:val="0"/>
          <w:numId w:val="1"/>
        </w:numPr>
        <w:jc w:val="center"/>
        <w:rPr>
          <w:rFonts w:hint="eastAsia" w:ascii="Times New Roman" w:hAnsi="Times New Roman" w:eastAsia="方正小标宋_GBK" w:cs="Times New Roman"/>
          <w:sz w:val="52"/>
          <w:szCs w:val="52"/>
          <w:lang w:val="en-US" w:eastAsia="zh-CN"/>
        </w:rPr>
      </w:pPr>
    </w:p>
    <w:p w14:paraId="0461C29B">
      <w:pPr>
        <w:pStyle w:val="13"/>
        <w:numPr>
          <w:numId w:val="0"/>
        </w:numPr>
        <w:jc w:val="center"/>
        <w:rPr>
          <w:rFonts w:hint="eastAsia" w:ascii="Times New Roman" w:hAnsi="Times New Roman" w:eastAsia="方正小标宋_GBK" w:cs="Times New Roman"/>
          <w:sz w:val="52"/>
          <w:szCs w:val="52"/>
          <w:lang w:val="en-US" w:eastAsia="zh-CN"/>
        </w:rPr>
      </w:pPr>
      <w:r>
        <w:rPr>
          <w:rFonts w:ascii="Times New Roman" w:hAnsi="Times New Roman" w:eastAsia="方正小标宋_GBK" w:cs="Times New Roman"/>
          <w:sz w:val="52"/>
          <w:szCs w:val="52"/>
        </w:rPr>
        <w:t>部门决算</w:t>
      </w:r>
      <w:r>
        <w:rPr>
          <w:rFonts w:hint="eastAsia" w:ascii="Times New Roman" w:hAnsi="Times New Roman" w:eastAsia="方正小标宋_GBK" w:cs="Times New Roman"/>
          <w:sz w:val="52"/>
          <w:szCs w:val="52"/>
          <w:lang w:val="en-US" w:eastAsia="zh-CN"/>
        </w:rPr>
        <w:t>表</w:t>
      </w:r>
    </w:p>
    <w:p w14:paraId="5B7C9EFD">
      <w:pPr>
        <w:pStyle w:val="13"/>
        <w:numPr>
          <w:ilvl w:val="0"/>
          <w:numId w:val="0"/>
        </w:numPr>
        <w:jc w:val="center"/>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（见附件:2024年部门决算公开表）</w:t>
      </w:r>
    </w:p>
    <w:p w14:paraId="2942DEF6">
      <w:pPr>
        <w:jc w:val="center"/>
        <w:rPr>
          <w:rFonts w:ascii="Times New Roman" w:hAnsi="Times New Roman" w:eastAsia="黑体" w:cs="Times New Roman"/>
          <w:sz w:val="28"/>
          <w:szCs w:val="28"/>
        </w:rPr>
      </w:pPr>
    </w:p>
    <w:p w14:paraId="2FDA84E8">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E5D56FD">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23F711BF">
      <w:pPr>
        <w:pStyle w:val="13"/>
        <w:rPr>
          <w:rFonts w:ascii="Times New Roman" w:hAnsi="Times New Roman" w:cs="Times New Roman"/>
          <w:sz w:val="72"/>
          <w:szCs w:val="72"/>
        </w:rPr>
      </w:pPr>
    </w:p>
    <w:p w14:paraId="2E2CCE78">
      <w:pPr>
        <w:pStyle w:val="13"/>
        <w:rPr>
          <w:rFonts w:ascii="Times New Roman" w:hAnsi="Times New Roman" w:cs="Times New Roman"/>
          <w:sz w:val="72"/>
          <w:szCs w:val="72"/>
        </w:rPr>
      </w:pPr>
    </w:p>
    <w:p w14:paraId="63D2FBA6">
      <w:pPr>
        <w:pStyle w:val="13"/>
        <w:rPr>
          <w:rFonts w:ascii="Times New Roman" w:hAnsi="Times New Roman" w:cs="Times New Roman"/>
          <w:sz w:val="72"/>
          <w:szCs w:val="72"/>
        </w:rPr>
      </w:pPr>
    </w:p>
    <w:p w14:paraId="1CDC56D9">
      <w:pPr>
        <w:pStyle w:val="13"/>
        <w:jc w:val="center"/>
        <w:rPr>
          <w:rFonts w:ascii="Times New Roman" w:hAnsi="Times New Roman" w:cs="Times New Roman"/>
          <w:sz w:val="72"/>
          <w:szCs w:val="72"/>
        </w:rPr>
      </w:pPr>
    </w:p>
    <w:p w14:paraId="16D95012">
      <w:pPr>
        <w:pStyle w:val="13"/>
        <w:jc w:val="center"/>
        <w:rPr>
          <w:rFonts w:ascii="Times New Roman" w:hAnsi="Times New Roman" w:eastAsia="方正小标宋_GBK" w:cs="Times New Roman"/>
          <w:sz w:val="72"/>
          <w:szCs w:val="72"/>
        </w:rPr>
      </w:pPr>
    </w:p>
    <w:p w14:paraId="63CDCBD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8600AA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51F94742">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1069E8F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0E691D2E">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4028.28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4028.28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怀化市锦宏小学为新纳入预算的单位。</w:t>
      </w:r>
    </w:p>
    <w:p w14:paraId="2751EE6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6FAB6CC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rPr>
        <w:t>2,014.14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rPr>
        <w:t>1,655.83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82.21</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358.31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17.79</w:t>
      </w:r>
      <w:r>
        <w:rPr>
          <w:rFonts w:ascii="Times New Roman" w:hAnsi="Times New Roman" w:eastAsia="仿宋_GB2312" w:cs="Times New Roman"/>
          <w:sz w:val="32"/>
          <w:szCs w:val="32"/>
        </w:rPr>
        <w:t>%。</w:t>
      </w:r>
    </w:p>
    <w:p w14:paraId="1DADC39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5FD05B31">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2014.14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1307.11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64.90</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707.03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35.10</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6601F57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6B2AF51">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4028.28</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4028.28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我</w:t>
      </w:r>
      <w:r>
        <w:rPr>
          <w:rFonts w:hint="eastAsia" w:ascii="Times New Roman" w:hAnsi="Times New Roman" w:eastAsia="仿宋_GB2312" w:cs="Times New Roman"/>
          <w:sz w:val="32"/>
          <w:szCs w:val="32"/>
          <w:lang w:val="en-US" w:eastAsia="zh-CN"/>
        </w:rPr>
        <w:t>单位为新纳入预算单位。</w:t>
      </w:r>
    </w:p>
    <w:p w14:paraId="50FDEA5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E223D0A">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429D696">
      <w:pPr>
        <w:pStyle w:val="13"/>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rPr>
        <w:t>1,655.83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82.21</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rPr>
        <w:t>1,655.83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eastAsia="zh-CN"/>
        </w:rPr>
        <w:t>我</w:t>
      </w:r>
      <w:r>
        <w:rPr>
          <w:rFonts w:hint="eastAsia" w:ascii="Times New Roman" w:hAnsi="Times New Roman" w:eastAsia="仿宋_GB2312" w:cs="Times New Roman"/>
          <w:sz w:val="32"/>
          <w:szCs w:val="32"/>
          <w:lang w:val="en-US" w:eastAsia="zh-CN"/>
        </w:rPr>
        <w:t>单位为今年新纳入预算单位 。</w:t>
      </w:r>
    </w:p>
    <w:p w14:paraId="64E1718F">
      <w:pPr>
        <w:pStyle w:val="13"/>
        <w:numPr>
          <w:ilvl w:val="0"/>
          <w:numId w:val="2"/>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一般公共预算财政拨款支出决算结构情况</w:t>
      </w:r>
    </w:p>
    <w:p w14:paraId="10B3CD54">
      <w:pPr>
        <w:pStyle w:val="13"/>
        <w:ind w:firstLine="640" w:firstLineChars="200"/>
        <w:rPr>
          <w:rFonts w:ascii="Times New Roman" w:hAnsi="Times New Roman" w:eastAsia="楷体_GB2312" w:cs="Times New Roman"/>
          <w:b/>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1655.83</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4.82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0.29</w:t>
      </w:r>
      <w:r>
        <w:rPr>
          <w:rFonts w:hint="eastAsia" w:ascii="Times New Roman" w:hAnsi="Times New Roman" w:eastAsia="仿宋_GB2312"/>
          <w:sz w:val="32"/>
          <w:szCs w:val="32"/>
        </w:rPr>
        <w:t>%；教育（类）支出</w:t>
      </w:r>
      <w:r>
        <w:rPr>
          <w:rFonts w:hint="eastAsia" w:ascii="Times New Roman" w:hAnsi="Times New Roman" w:eastAsia="仿宋_GB2312"/>
          <w:sz w:val="32"/>
          <w:szCs w:val="32"/>
          <w:lang w:val="en-US" w:eastAsia="zh-CN"/>
        </w:rPr>
        <w:t>1649.01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99.59</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其他城乡社区支出2万元，</w:t>
      </w:r>
      <w:r>
        <w:rPr>
          <w:rFonts w:hint="eastAsia" w:ascii="Times New Roman" w:hAnsi="Times New Roman" w:eastAsia="仿宋_GB2312"/>
          <w:sz w:val="32"/>
          <w:szCs w:val="32"/>
        </w:rPr>
        <w:t>占</w:t>
      </w:r>
      <w:r>
        <w:rPr>
          <w:rFonts w:hint="eastAsia" w:ascii="Times New Roman" w:hAnsi="Times New Roman" w:eastAsia="仿宋_GB2312"/>
          <w:sz w:val="32"/>
          <w:szCs w:val="32"/>
          <w:lang w:val="en-US" w:eastAsia="zh-CN"/>
        </w:rPr>
        <w:t>0.12</w:t>
      </w:r>
      <w:r>
        <w:rPr>
          <w:rFonts w:hint="eastAsia" w:ascii="Times New Roman" w:hAnsi="Times New Roman" w:eastAsia="仿宋_GB2312"/>
          <w:sz w:val="32"/>
          <w:szCs w:val="32"/>
        </w:rPr>
        <w:t>%;</w:t>
      </w:r>
    </w:p>
    <w:p w14:paraId="320C6C4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758FBA3D">
      <w:pPr>
        <w:pStyle w:val="13"/>
        <w:keepNext w:val="0"/>
        <w:keepLines w:val="0"/>
        <w:pageBreakBefore w:val="0"/>
        <w:widowControl w:val="0"/>
        <w:kinsoku/>
        <w:wordWrap/>
        <w:overflowPunct/>
        <w:topLinePunct w:val="0"/>
        <w:autoSpaceDE w:val="0"/>
        <w:autoSpaceDN w:val="0"/>
        <w:bidi w:val="0"/>
        <w:adjustRightInd w:val="0"/>
        <w:snapToGrid/>
        <w:spacing w:line="600" w:lineRule="exact"/>
        <w:ind w:left="638" w:leftChars="304"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rPr>
        <w:t>1,655.83</w:t>
      </w:r>
      <w:r>
        <w:rPr>
          <w:rFonts w:ascii="Times New Roman" w:hAnsi="Times New Roman" w:eastAsia="仿宋_GB2312" w:cs="Times New Roman"/>
          <w:sz w:val="32"/>
          <w:szCs w:val="32"/>
        </w:rPr>
        <w:t>万元，主要用于以下方面：</w:t>
      </w:r>
    </w:p>
    <w:p w14:paraId="7BE50A47">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left="638" w:leftChars="304"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cs="黑体"/>
          <w:color w:val="000000"/>
          <w:sz w:val="32"/>
          <w:szCs w:val="32"/>
          <w:lang w:val="en-US" w:eastAsia="zh-CN" w:bidi="ar-SA"/>
        </w:rPr>
        <w:t>1、</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组织事务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其他组织事务支出</w:t>
      </w:r>
      <w:r>
        <w:rPr>
          <w:rFonts w:hint="eastAsia" w:ascii="Times New Roman" w:hAnsi="Times New Roman" w:eastAsia="仿宋_GB2312"/>
          <w:sz w:val="32"/>
          <w:szCs w:val="32"/>
        </w:rPr>
        <w:t>（项）</w:t>
      </w:r>
    </w:p>
    <w:p w14:paraId="65C34143">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 xml:space="preserve">     </w:t>
      </w: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4.82</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无法计算完成比例</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我</w:t>
      </w:r>
      <w:r>
        <w:rPr>
          <w:rFonts w:hint="eastAsia" w:ascii="Times New Roman" w:hAnsi="Times New Roman" w:eastAsia="仿宋_GB2312"/>
          <w:sz w:val="32"/>
          <w:szCs w:val="32"/>
          <w:lang w:val="en-US" w:eastAsia="zh-CN"/>
        </w:rPr>
        <w:t>校为新独立预算单位，年初时因人员编制原因未做预算。</w:t>
      </w:r>
    </w:p>
    <w:p w14:paraId="5445CDAF">
      <w:pPr>
        <w:pStyle w:val="13"/>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小学教育</w:t>
      </w:r>
      <w:r>
        <w:rPr>
          <w:rFonts w:hint="eastAsia" w:ascii="Times New Roman" w:hAnsi="Times New Roman" w:eastAsia="仿宋_GB2312"/>
          <w:sz w:val="32"/>
          <w:szCs w:val="32"/>
        </w:rPr>
        <w:t>（项）。</w:t>
      </w:r>
    </w:p>
    <w:p w14:paraId="45B9C9F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w:t>
      </w:r>
      <w:r>
        <w:rPr>
          <w:rFonts w:hint="eastAsia" w:ascii="Times New Roman" w:hAnsi="Times New Roman" w:eastAsia="仿宋_GB2312"/>
          <w:color w:val="000000" w:themeColor="text1"/>
          <w:sz w:val="32"/>
          <w:szCs w:val="32"/>
          <w14:textFill>
            <w14:solidFill>
              <w14:schemeClr w14:val="tx1"/>
            </w14:solidFill>
          </w14:textFill>
        </w:rPr>
        <w:t>预算为</w:t>
      </w:r>
      <w:r>
        <w:rPr>
          <w:rFonts w:hint="eastAsia" w:ascii="Times New Roman" w:hAnsi="Times New Roman" w:eastAsia="仿宋_GB2312"/>
          <w:color w:val="000000" w:themeColor="text1"/>
          <w:sz w:val="32"/>
          <w:szCs w:val="32"/>
          <w:lang w:val="en-US" w:eastAsia="zh-CN"/>
          <w14:textFill>
            <w14:solidFill>
              <w14:schemeClr w14:val="tx1"/>
            </w14:solidFill>
          </w14:textFill>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1649.01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我</w:t>
      </w:r>
      <w:r>
        <w:rPr>
          <w:rFonts w:hint="eastAsia" w:ascii="Times New Roman" w:hAnsi="Times New Roman" w:eastAsia="仿宋_GB2312"/>
          <w:sz w:val="32"/>
          <w:szCs w:val="32"/>
          <w:lang w:val="en-US" w:eastAsia="zh-CN"/>
        </w:rPr>
        <w:t>校为新独立预算单位，年初时因人员编制原因未做预算。</w:t>
      </w:r>
    </w:p>
    <w:p w14:paraId="5E69C10F">
      <w:pPr>
        <w:pStyle w:val="13"/>
        <w:keepNext w:val="0"/>
        <w:keepLines w:val="0"/>
        <w:pageBreakBefore w:val="0"/>
        <w:widowControl w:val="0"/>
        <w:numPr>
          <w:ilvl w:val="0"/>
          <w:numId w:val="3"/>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城乡社区（款）其他城乡社区支出（项）。</w:t>
      </w:r>
    </w:p>
    <w:p w14:paraId="2033779D">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楷体_GB2312" w:cs="Times New Roman"/>
          <w:b/>
          <w:sz w:val="32"/>
          <w:szCs w:val="32"/>
        </w:rPr>
      </w:pPr>
      <w:r>
        <w:rPr>
          <w:rFonts w:hint="eastAsia" w:ascii="Times New Roman" w:hAnsi="Times New Roman" w:eastAsia="仿宋_GB2312"/>
          <w:sz w:val="32"/>
          <w:szCs w:val="32"/>
          <w:lang w:val="en-US" w:eastAsia="zh-CN"/>
        </w:rPr>
        <w:t>年初预算为0万元，支出决算为2万元，完成年初预算的0%，无法计算完成比例，决算数大于年初数的主要原因是：我校为新独立预算单位，年初时因人员编制原因未做预算。</w:t>
      </w:r>
    </w:p>
    <w:p w14:paraId="29C712D6">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46A06E07">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948.80</w:t>
      </w:r>
      <w:r>
        <w:rPr>
          <w:rFonts w:ascii="Times New Roman" w:hAnsi="Times New Roman" w:eastAsia="仿宋_GB2312" w:cs="Times New Roman"/>
          <w:sz w:val="32"/>
          <w:szCs w:val="32"/>
        </w:rPr>
        <w:t>万元，其中：</w:t>
      </w:r>
    </w:p>
    <w:p w14:paraId="3B06DEF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905.98</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95.49</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基本工资、津贴补贴、奖金、伙食补助费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绩效工资、基本养老保险缴费、基本医疗保险缴费等</w:t>
      </w:r>
      <w:r>
        <w:rPr>
          <w:rFonts w:hint="eastAsia" w:ascii="Times New Roman" w:hAnsi="Times New Roman" w:eastAsia="仿宋_GB2312"/>
          <w:sz w:val="32"/>
          <w:szCs w:val="32"/>
          <w:lang w:eastAsia="zh-CN"/>
        </w:rPr>
        <w:t>。</w:t>
      </w:r>
    </w:p>
    <w:p w14:paraId="5390B8C8">
      <w:pPr>
        <w:pStyle w:val="13"/>
        <w:overflowPunct w:val="0"/>
        <w:autoSpaceDE/>
        <w:autoSpaceDN/>
        <w:spacing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42.82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4.51</w:t>
      </w:r>
      <w:r>
        <w:rPr>
          <w:rFonts w:ascii="Times New Roman" w:hAnsi="Times New Roman" w:eastAsia="仿宋_GB2312" w:cs="Times New Roman"/>
          <w:sz w:val="32"/>
          <w:szCs w:val="32"/>
        </w:rPr>
        <w:t>%，主要</w:t>
      </w:r>
      <w:r>
        <w:rPr>
          <w:rFonts w:hint="eastAsia" w:ascii="Times New Roman" w:hAnsi="Times New Roman" w:eastAsia="仿宋_GB2312" w:cs="Times New Roman"/>
          <w:sz w:val="32"/>
          <w:szCs w:val="32"/>
          <w:lang w:val="en-US" w:eastAsia="zh-CN"/>
        </w:rPr>
        <w:t>包括</w:t>
      </w:r>
      <w:r>
        <w:rPr>
          <w:rFonts w:hint="eastAsia" w:ascii="Times New Roman" w:hAnsi="Times New Roman" w:eastAsia="仿宋_GB2312"/>
          <w:sz w:val="32"/>
          <w:szCs w:val="32"/>
        </w:rPr>
        <w:t>办公费、印刷费、咨询费、手续费</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水电费、维修费、培训费、办公设备、专用设备购置等</w:t>
      </w:r>
    </w:p>
    <w:p w14:paraId="30B5185E">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7A024A14">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B2C90F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ascii="Noto Sans SC" w:hAnsi="Noto Sans SC" w:eastAsia="Noto Sans SC" w:cs="Noto Sans SC"/>
          <w:i w:val="0"/>
          <w:iCs w:val="0"/>
          <w:caps w:val="0"/>
          <w:color w:val="000000"/>
          <w:spacing w:val="0"/>
          <w:sz w:val="27"/>
          <w:szCs w:val="27"/>
        </w:rPr>
        <w:t>，</w:t>
      </w:r>
      <w:r>
        <w:rPr>
          <w:rFonts w:ascii="Times New Roman" w:hAnsi="Times New Roman" w:eastAsia="仿宋_GB2312" w:cs="Times New Roman"/>
          <w:sz w:val="32"/>
          <w:szCs w:val="32"/>
        </w:rPr>
        <w:t>主要原因是按预算执行，与上年相比无变化，主要原因是</w:t>
      </w:r>
      <w:r>
        <w:rPr>
          <w:rFonts w:hint="eastAsia" w:ascii="Times New Roman" w:hAnsi="Times New Roman" w:eastAsia="仿宋_GB2312" w:cs="Times New Roman"/>
          <w:sz w:val="32"/>
          <w:szCs w:val="32"/>
          <w:lang w:eastAsia="zh-CN"/>
        </w:rPr>
        <w:t>我</w:t>
      </w:r>
      <w:r>
        <w:rPr>
          <w:rFonts w:hint="eastAsia" w:ascii="Times New Roman" w:hAnsi="Times New Roman" w:eastAsia="仿宋_GB2312" w:cs="Times New Roman"/>
          <w:sz w:val="32"/>
          <w:szCs w:val="32"/>
          <w:lang w:val="en-US" w:eastAsia="zh-CN"/>
        </w:rPr>
        <w:t>校为新独立预算单位</w:t>
      </w:r>
      <w:r>
        <w:rPr>
          <w:rFonts w:ascii="Times New Roman" w:hAnsi="Times New Roman" w:eastAsia="仿宋_GB2312" w:cs="Times New Roman"/>
          <w:sz w:val="32"/>
          <w:szCs w:val="32"/>
        </w:rPr>
        <w:t>。其中</w:t>
      </w:r>
      <w:r>
        <w:rPr>
          <w:rFonts w:hint="eastAsia" w:ascii="Times New Roman" w:hAnsi="Times New Roman" w:eastAsia="仿宋_GB2312" w:cs="Times New Roman"/>
          <w:sz w:val="32"/>
          <w:szCs w:val="32"/>
          <w:lang w:eastAsia="zh-CN"/>
        </w:rPr>
        <w:t>：</w:t>
      </w:r>
    </w:p>
    <w:p w14:paraId="40A9ED4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B9DBA4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6A87A0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42F0138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%，与上年相比减少（增加）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万元，减少（增长）</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E1A0D0F">
      <w:pPr>
        <w:pStyle w:val="13"/>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p>
    <w:p w14:paraId="332E2893">
      <w:pPr>
        <w:pStyle w:val="13"/>
        <w:numPr>
          <w:ilvl w:val="0"/>
          <w:numId w:val="2"/>
        </w:numPr>
        <w:overflowPunct w:val="0"/>
        <w:autoSpaceDE/>
        <w:autoSpaceDN/>
        <w:spacing w:line="600" w:lineRule="exact"/>
        <w:ind w:left="0" w:leftChars="0"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“三公”经费财政拨款支出决算具体情况说明</w:t>
      </w:r>
    </w:p>
    <w:p w14:paraId="7C295DA2">
      <w:pPr>
        <w:pStyle w:val="8"/>
        <w:keepNext w:val="0"/>
        <w:keepLines w:val="0"/>
        <w:pageBreakBefore w:val="0"/>
        <w:widowControl/>
        <w:suppressLineNumbers w:val="0"/>
        <w:kinsoku/>
        <w:wordWrap/>
        <w:overflowPunct/>
        <w:topLinePunct w:val="0"/>
        <w:autoSpaceDE/>
        <w:autoSpaceDN/>
        <w:bidi w:val="0"/>
        <w:adjustRightInd/>
        <w:snapToGrid/>
        <w:ind w:left="0" w:firstLine="640" w:firstLineChars="200"/>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2023年度“三公”经费财政拨款支出决算中，公务接待费支出决算0万元，因公出国（境）费支出决算0万元，公务用车购置费及运行维护费支出决算0万元。其中：</w:t>
      </w:r>
    </w:p>
    <w:p w14:paraId="44B70224">
      <w:pPr>
        <w:pStyle w:val="8"/>
        <w:keepNext w:val="0"/>
        <w:keepLines w:val="0"/>
        <w:widowControl/>
        <w:suppressLineNumbers w:val="0"/>
        <w:ind w:left="0" w:firstLine="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1、因公出国（境）费支出决算为0万元，全年安排因公出国（境）团组0个，累计0人次。</w:t>
      </w:r>
    </w:p>
    <w:p w14:paraId="1C966A6E">
      <w:pPr>
        <w:pStyle w:val="8"/>
        <w:keepNext w:val="0"/>
        <w:keepLines w:val="0"/>
        <w:widowControl/>
        <w:suppressLineNumbers w:val="0"/>
        <w:ind w:left="0" w:firstLine="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2、公务接待费支出决算为0万元，全年共接待来访团组0个、来宾0人次。</w:t>
      </w:r>
    </w:p>
    <w:p w14:paraId="2275BC76">
      <w:pPr>
        <w:pStyle w:val="8"/>
        <w:keepNext w:val="0"/>
        <w:keepLines w:val="0"/>
        <w:widowControl/>
        <w:suppressLineNumbers w:val="0"/>
        <w:ind w:left="0" w:firstLine="0"/>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3、公务用车购置费及运行维护费支出决算为0万元，其中：公务用车购置费0万元，更新公务用车0辆。公务用车运行维护费0万元，截止2023年12月31日，我单位开支财政拨款的公务用车保有量为0辆。</w:t>
      </w:r>
      <w:bookmarkStart w:id="0" w:name="_GoBack"/>
      <w:bookmarkEnd w:id="0"/>
    </w:p>
    <w:p w14:paraId="49FDC0F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307A8EE0">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本单位无政府性基金收支。</w:t>
      </w:r>
    </w:p>
    <w:p w14:paraId="6CF6A15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2437B4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w:t>
      </w:r>
      <w:r>
        <w:rPr>
          <w:rFonts w:hint="eastAsia" w:ascii="Times New Roman" w:hAnsi="Times New Roman" w:eastAsia="仿宋_GB2312"/>
          <w:sz w:val="32"/>
          <w:szCs w:val="32"/>
          <w:lang w:val="en-US" w:eastAsia="zh-CN"/>
        </w:rPr>
        <w:t>为非参公事业单位，不在机关运动经费统计范围之内。</w:t>
      </w:r>
    </w:p>
    <w:p w14:paraId="5CBEF74C">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6FCA908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cs="Times New Roman"/>
          <w:bCs/>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举办等节庆、晚会、论坛、赛事活动，开支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6218A60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4CB722C4">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89.98</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89.98</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89.98</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89.98</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7A83E523">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61E898E3">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w:t>
      </w:r>
      <w:r>
        <w:rPr>
          <w:rFonts w:hint="eastAsia" w:ascii="Times New Roman" w:hAnsi="Times New Roman" w:eastAsia="仿宋_GB2312" w:cs="Times New Roman"/>
          <w:color w:val="auto"/>
          <w:sz w:val="32"/>
          <w:szCs w:val="32"/>
          <w:lang w:val="en-US" w:eastAsia="zh-CN"/>
        </w:rPr>
        <w:t>无</w:t>
      </w:r>
      <w:r>
        <w:rPr>
          <w:rFonts w:ascii="Times New Roman" w:hAnsi="Times New Roman" w:eastAsia="仿宋_GB2312" w:cs="Times New Roman"/>
          <w:color w:val="auto"/>
          <w:sz w:val="32"/>
          <w:szCs w:val="32"/>
        </w:rPr>
        <w:t>其他用车；单位价值100万元以上设备（不含车辆）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03D824EC">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282EB87">
      <w:pPr>
        <w:pStyle w:val="13"/>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hint="eastAsia" w:ascii="Times New Roman" w:hAnsi="Times New Roman" w:eastAsia="仿宋_GB2312" w:cs="Times New Roman"/>
          <w:b/>
          <w:bCs/>
          <w:kern w:val="0"/>
          <w:sz w:val="32"/>
          <w:szCs w:val="32"/>
          <w:lang w:val="en-US" w:eastAsia="zh-CN"/>
        </w:rPr>
        <w:t>因我校为新参加独立预算单位，未能参加2024年度预算绩效考核情况。</w:t>
      </w:r>
    </w:p>
    <w:p w14:paraId="396AE72C">
      <w:pPr>
        <w:pStyle w:val="13"/>
        <w:jc w:val="center"/>
        <w:rPr>
          <w:rFonts w:ascii="Times New Roman" w:hAnsi="Times New Roman" w:cs="Times New Roman"/>
          <w:sz w:val="72"/>
          <w:szCs w:val="72"/>
        </w:rPr>
      </w:pPr>
    </w:p>
    <w:p w14:paraId="6CA7F702">
      <w:pPr>
        <w:pStyle w:val="13"/>
        <w:jc w:val="center"/>
        <w:rPr>
          <w:rFonts w:ascii="Times New Roman" w:hAnsi="Times New Roman" w:cs="Times New Roman"/>
          <w:sz w:val="72"/>
          <w:szCs w:val="72"/>
        </w:rPr>
      </w:pPr>
    </w:p>
    <w:p w14:paraId="70F8C266">
      <w:pPr>
        <w:pStyle w:val="13"/>
        <w:jc w:val="center"/>
        <w:rPr>
          <w:rFonts w:ascii="Times New Roman" w:hAnsi="Times New Roman" w:cs="Times New Roman"/>
          <w:sz w:val="72"/>
          <w:szCs w:val="72"/>
        </w:rPr>
      </w:pPr>
    </w:p>
    <w:p w14:paraId="7E3EF1B8">
      <w:pPr>
        <w:pStyle w:val="13"/>
        <w:jc w:val="center"/>
        <w:rPr>
          <w:rFonts w:ascii="Times New Roman" w:hAnsi="Times New Roman" w:cs="Times New Roman"/>
          <w:sz w:val="72"/>
          <w:szCs w:val="72"/>
        </w:rPr>
      </w:pPr>
    </w:p>
    <w:p w14:paraId="7D7CC6C9">
      <w:pPr>
        <w:pStyle w:val="13"/>
        <w:jc w:val="center"/>
        <w:rPr>
          <w:rFonts w:ascii="Times New Roman" w:hAnsi="Times New Roman" w:cs="Times New Roman"/>
          <w:sz w:val="72"/>
          <w:szCs w:val="72"/>
        </w:rPr>
      </w:pPr>
    </w:p>
    <w:p w14:paraId="257D9191">
      <w:pPr>
        <w:pStyle w:val="13"/>
        <w:jc w:val="center"/>
        <w:rPr>
          <w:rFonts w:ascii="Times New Roman" w:hAnsi="Times New Roman" w:cs="Times New Roman"/>
          <w:sz w:val="72"/>
          <w:szCs w:val="72"/>
        </w:rPr>
      </w:pPr>
    </w:p>
    <w:p w14:paraId="2911E8DB">
      <w:pPr>
        <w:pStyle w:val="13"/>
        <w:jc w:val="both"/>
        <w:rPr>
          <w:rFonts w:ascii="Times New Roman" w:hAnsi="Times New Roman" w:cs="Times New Roman"/>
          <w:sz w:val="72"/>
          <w:szCs w:val="72"/>
        </w:rPr>
      </w:pPr>
    </w:p>
    <w:p w14:paraId="5E0AE3F0">
      <w:pPr>
        <w:pStyle w:val="13"/>
        <w:jc w:val="both"/>
        <w:rPr>
          <w:rFonts w:ascii="Times New Roman" w:hAnsi="Times New Roman" w:cs="Times New Roman"/>
          <w:sz w:val="72"/>
          <w:szCs w:val="72"/>
        </w:rPr>
      </w:pPr>
    </w:p>
    <w:p w14:paraId="720F1C7A">
      <w:pPr>
        <w:pStyle w:val="13"/>
        <w:spacing w:line="360" w:lineRule="auto"/>
        <w:jc w:val="center"/>
        <w:rPr>
          <w:rFonts w:ascii="Times New Roman" w:hAnsi="Times New Roman" w:eastAsia="方正小标宋_GBK" w:cs="Times New Roman"/>
          <w:sz w:val="52"/>
          <w:szCs w:val="52"/>
        </w:rPr>
      </w:pPr>
    </w:p>
    <w:p w14:paraId="3517F518">
      <w:pPr>
        <w:pStyle w:val="13"/>
        <w:spacing w:line="360" w:lineRule="auto"/>
        <w:jc w:val="center"/>
        <w:rPr>
          <w:rFonts w:ascii="Times New Roman" w:hAnsi="Times New Roman" w:eastAsia="方正小标宋_GBK" w:cs="Times New Roman"/>
          <w:sz w:val="52"/>
          <w:szCs w:val="52"/>
        </w:rPr>
      </w:pPr>
    </w:p>
    <w:p w14:paraId="439602CC">
      <w:pPr>
        <w:pStyle w:val="13"/>
        <w:spacing w:line="360" w:lineRule="auto"/>
        <w:jc w:val="center"/>
        <w:rPr>
          <w:rFonts w:ascii="Times New Roman" w:hAnsi="Times New Roman" w:eastAsia="方正小标宋_GBK" w:cs="Times New Roman"/>
          <w:sz w:val="52"/>
          <w:szCs w:val="52"/>
        </w:rPr>
      </w:pPr>
    </w:p>
    <w:p w14:paraId="55C7DBA4">
      <w:pPr>
        <w:pStyle w:val="13"/>
        <w:spacing w:line="360" w:lineRule="auto"/>
        <w:jc w:val="center"/>
        <w:rPr>
          <w:rFonts w:ascii="Times New Roman" w:hAnsi="Times New Roman" w:eastAsia="方正小标宋_GBK" w:cs="Times New Roman"/>
          <w:sz w:val="52"/>
          <w:szCs w:val="52"/>
        </w:rPr>
      </w:pPr>
    </w:p>
    <w:p w14:paraId="538268A8">
      <w:pPr>
        <w:pStyle w:val="13"/>
        <w:spacing w:line="360" w:lineRule="auto"/>
        <w:jc w:val="center"/>
        <w:rPr>
          <w:rFonts w:ascii="Times New Roman" w:hAnsi="Times New Roman" w:eastAsia="方正小标宋_GBK" w:cs="Times New Roman"/>
          <w:sz w:val="52"/>
          <w:szCs w:val="52"/>
        </w:rPr>
      </w:pPr>
    </w:p>
    <w:p w14:paraId="00AA2C23">
      <w:pPr>
        <w:pStyle w:val="13"/>
        <w:spacing w:line="360" w:lineRule="auto"/>
        <w:jc w:val="center"/>
        <w:rPr>
          <w:rFonts w:ascii="Times New Roman" w:hAnsi="Times New Roman" w:eastAsia="方正小标宋_GBK" w:cs="Times New Roman"/>
          <w:sz w:val="52"/>
          <w:szCs w:val="52"/>
        </w:rPr>
      </w:pPr>
    </w:p>
    <w:p w14:paraId="553F078D">
      <w:pPr>
        <w:pStyle w:val="13"/>
        <w:spacing w:line="360" w:lineRule="auto"/>
        <w:jc w:val="center"/>
        <w:rPr>
          <w:rFonts w:ascii="Times New Roman" w:hAnsi="Times New Roman" w:eastAsia="方正小标宋_GBK" w:cs="Times New Roman"/>
          <w:sz w:val="52"/>
          <w:szCs w:val="52"/>
        </w:rPr>
      </w:pPr>
    </w:p>
    <w:p w14:paraId="3211E9D8">
      <w:pPr>
        <w:pStyle w:val="13"/>
        <w:spacing w:line="360" w:lineRule="auto"/>
        <w:jc w:val="center"/>
        <w:rPr>
          <w:rFonts w:ascii="Times New Roman" w:hAnsi="Times New Roman" w:eastAsia="方正小标宋_GBK" w:cs="Times New Roman"/>
          <w:sz w:val="52"/>
          <w:szCs w:val="52"/>
        </w:rPr>
      </w:pPr>
    </w:p>
    <w:p w14:paraId="24587115">
      <w:pPr>
        <w:pStyle w:val="13"/>
        <w:spacing w:line="360" w:lineRule="auto"/>
        <w:jc w:val="center"/>
        <w:rPr>
          <w:rFonts w:ascii="Times New Roman" w:hAnsi="Times New Roman" w:eastAsia="方正小标宋_GBK" w:cs="Times New Roman"/>
          <w:sz w:val="52"/>
          <w:szCs w:val="52"/>
        </w:rPr>
      </w:pPr>
    </w:p>
    <w:p w14:paraId="79E6C06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4C0656DD">
      <w:pPr>
        <w:widowControl/>
        <w:jc w:val="left"/>
        <w:rPr>
          <w:rFonts w:ascii="Times New Roman" w:hAnsi="Times New Roman" w:cs="Times New Roman"/>
          <w:color w:val="000000"/>
          <w:kern w:val="0"/>
          <w:sz w:val="32"/>
          <w:szCs w:val="32"/>
        </w:rPr>
      </w:pPr>
    </w:p>
    <w:p w14:paraId="44DE28AD">
      <w:pPr>
        <w:pStyle w:val="13"/>
        <w:jc w:val="center"/>
        <w:rPr>
          <w:rFonts w:ascii="Times New Roman" w:hAnsi="Times New Roman" w:cs="Times New Roman"/>
          <w:sz w:val="72"/>
          <w:szCs w:val="72"/>
        </w:rPr>
      </w:pPr>
    </w:p>
    <w:p w14:paraId="3E175CA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一、财政拨款收入：指单位本年度从市级财政部门取得的财政拨款。</w:t>
      </w:r>
    </w:p>
    <w:p w14:paraId="484BB063">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二、上级补助收入：指事业单位从主管部门和上级单位取得的非财政补助收入。</w:t>
      </w:r>
    </w:p>
    <w:p w14:paraId="7769A32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三、事业收入：指事业单位开展专业业务活动及其辅助活动取得的收入，事业单位收到的财政专户实际核拨的教育收费等资金在此反映。</w:t>
      </w:r>
    </w:p>
    <w:p w14:paraId="728F6889">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四、经营收入：指事业单位在专业业务活动及其辅助活动之外开展非独立核算经营活动取得的收入。</w:t>
      </w:r>
    </w:p>
    <w:p w14:paraId="0CC3C654">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五、附属单位缴款：指事业单位附属独立核算单位按照有关规定上缴的收入。</w:t>
      </w:r>
    </w:p>
    <w:p w14:paraId="297AE17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六、其他收入：指单位取得的除上述“财政拨款收入”、“事业收入”、“经营收入”等以外的各项收入。</w:t>
      </w:r>
    </w:p>
    <w:p w14:paraId="3ECF91E1">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七、用事业基金弥补收支差额：指事业单位用事业基金弥补当年收支差额的数额。</w:t>
      </w:r>
    </w:p>
    <w:p w14:paraId="4CCB9C83">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八、年初结转和结余：指单位上年结转本年使用的基本支出结转、项目支出结转和结余和经营结余。</w:t>
      </w:r>
    </w:p>
    <w:p w14:paraId="5855583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九、一般公共服务（类）人大事务（款）行政运行（项）：指人大常委会办公厅用于保障机构正常运行、开展日常工作的基本支出。</w:t>
      </w:r>
    </w:p>
    <w:p w14:paraId="49C139C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十、结余分配：指事业单位按规定对非财政补助结余资金提取的职工福利基金、事业基金和缴纳的所得税，以及减少单位按规定应缴回的基本建设竣工项目结余资金。</w:t>
      </w:r>
    </w:p>
    <w:p w14:paraId="1EE4EEC8">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十一、年末结转和结余资金：指本年度或以前年度预算安排、因客观条件发生变化无法按原计划实施，需要延迟到以后年度按有关规定继续使用的资金。</w:t>
      </w:r>
    </w:p>
    <w:p w14:paraId="36A5C606">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十二、基本支出：指为保障机构正常运转、完成日常工作任务而发生的人员支出和公用支出。</w:t>
      </w:r>
    </w:p>
    <w:p w14:paraId="57FD45F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十三、项目支出：指在基本支出之外为完成特定的行政任务或事业发展目标所发生的支出。</w:t>
      </w:r>
    </w:p>
    <w:p w14:paraId="310F4315">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十四、上缴上级支出：指事业单位按照财政部门和主管部门的规定上缴上级单位的支出。</w:t>
      </w:r>
    </w:p>
    <w:p w14:paraId="717DB35D">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十五、经营支出：指事业单位在专业业务活动及其辅助活动之外开展非独立核算经营活动发生的支出。</w:t>
      </w:r>
    </w:p>
    <w:p w14:paraId="77F8BCB2">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十六、对附属单位补助支出：指事业单位用财政补助收入之外的收入对附属单位补助发生的支出。</w:t>
      </w:r>
    </w:p>
    <w:p w14:paraId="7853FC57">
      <w:pPr>
        <w:pStyle w:val="8"/>
        <w:keepNext w:val="0"/>
        <w:keepLines w:val="0"/>
        <w:pageBreakBefore w:val="0"/>
        <w:shd w:val="clear" w:color="auto" w:fill="FFFFFF"/>
        <w:kinsoku/>
        <w:wordWrap/>
        <w:overflowPunct/>
        <w:topLinePunct w:val="0"/>
        <w:autoSpaceDE/>
        <w:autoSpaceDN/>
        <w:bidi w:val="0"/>
        <w:adjustRightInd/>
        <w:snapToGrid/>
        <w:spacing w:before="60" w:beforeAutospacing="0" w:after="0" w:afterAutospacing="0" w:line="60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十七、“三公”经费：指市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6131D05B">
      <w:pPr>
        <w:pStyle w:val="13"/>
        <w:jc w:val="center"/>
        <w:rPr>
          <w:rFonts w:ascii="Times New Roman" w:hAnsi="Times New Roman" w:cs="Times New Roman"/>
          <w:sz w:val="72"/>
          <w:szCs w:val="72"/>
        </w:rPr>
      </w:pPr>
      <w:r>
        <w:rPr>
          <w:rFonts w:hint="eastAsia" w:ascii="仿宋" w:hAnsi="仿宋" w:eastAsia="仿宋" w:cs="仿宋"/>
          <w:color w:val="auto"/>
          <w:sz w:val="32"/>
          <w:szCs w:val="32"/>
        </w:rPr>
        <w:t>十八、机关运行经费：指为保障行政单位（含参照公务员法管理的事业单位）运行用于购买货物和服务的各项资金，包括办公费、印刷费、差旅费、会议费、日常维修费、专用材料及办公用房水电费、物业管理费、公务用车运行维护费等。在财政部有明确规定前，“机关运行经费”暂指一般公共预算安排的基本支出中的“商品和服务支出”经费。</w:t>
      </w:r>
    </w:p>
    <w:p w14:paraId="641F388A">
      <w:pPr>
        <w:pStyle w:val="13"/>
        <w:jc w:val="center"/>
        <w:rPr>
          <w:rFonts w:ascii="Times New Roman" w:hAnsi="Times New Roman" w:cs="Times New Roman"/>
          <w:sz w:val="72"/>
          <w:szCs w:val="72"/>
        </w:rPr>
      </w:pPr>
    </w:p>
    <w:p w14:paraId="5F04DF4A">
      <w:pPr>
        <w:pStyle w:val="13"/>
        <w:jc w:val="center"/>
        <w:rPr>
          <w:rFonts w:ascii="Times New Roman" w:hAnsi="Times New Roman" w:cs="Times New Roman"/>
          <w:sz w:val="72"/>
          <w:szCs w:val="72"/>
        </w:rPr>
      </w:pPr>
    </w:p>
    <w:p w14:paraId="6AC9DD96">
      <w:pPr>
        <w:pStyle w:val="13"/>
        <w:jc w:val="center"/>
        <w:rPr>
          <w:rFonts w:ascii="Times New Roman" w:hAnsi="Times New Roman" w:cs="Times New Roman"/>
          <w:sz w:val="72"/>
          <w:szCs w:val="72"/>
        </w:rPr>
      </w:pPr>
    </w:p>
    <w:p w14:paraId="59178FFE">
      <w:pPr>
        <w:pStyle w:val="13"/>
        <w:jc w:val="center"/>
        <w:rPr>
          <w:rFonts w:ascii="Times New Roman" w:hAnsi="Times New Roman" w:cs="Times New Roman"/>
          <w:sz w:val="72"/>
          <w:szCs w:val="72"/>
        </w:rPr>
      </w:pPr>
    </w:p>
    <w:p w14:paraId="5F14C921">
      <w:pPr>
        <w:pStyle w:val="13"/>
        <w:jc w:val="center"/>
        <w:rPr>
          <w:rFonts w:ascii="Times New Roman" w:hAnsi="Times New Roman" w:cs="Times New Roman"/>
          <w:sz w:val="72"/>
          <w:szCs w:val="72"/>
        </w:rPr>
      </w:pPr>
    </w:p>
    <w:p w14:paraId="78E12AD1">
      <w:pPr>
        <w:pStyle w:val="13"/>
        <w:jc w:val="both"/>
        <w:rPr>
          <w:rFonts w:ascii="Times New Roman" w:hAnsi="Times New Roman" w:cs="Times New Roman"/>
          <w:sz w:val="72"/>
          <w:szCs w:val="72"/>
        </w:rPr>
      </w:pPr>
    </w:p>
    <w:p w14:paraId="2C1458CC">
      <w:pPr>
        <w:pStyle w:val="13"/>
        <w:spacing w:line="360" w:lineRule="auto"/>
        <w:jc w:val="center"/>
        <w:rPr>
          <w:rFonts w:ascii="Times New Roman" w:hAnsi="Times New Roman" w:eastAsia="方正小标宋_GBK" w:cs="Times New Roman"/>
          <w:sz w:val="52"/>
          <w:szCs w:val="52"/>
        </w:rPr>
      </w:pPr>
    </w:p>
    <w:p w14:paraId="33FB4139">
      <w:pPr>
        <w:pStyle w:val="13"/>
        <w:spacing w:line="360" w:lineRule="auto"/>
        <w:jc w:val="center"/>
        <w:rPr>
          <w:rFonts w:ascii="Times New Roman" w:hAnsi="Times New Roman" w:eastAsia="方正小标宋_GBK" w:cs="Times New Roman"/>
          <w:sz w:val="52"/>
          <w:szCs w:val="52"/>
        </w:rPr>
      </w:pPr>
    </w:p>
    <w:p w14:paraId="0ED527D9">
      <w:pPr>
        <w:pStyle w:val="13"/>
        <w:spacing w:line="360" w:lineRule="auto"/>
        <w:jc w:val="center"/>
        <w:rPr>
          <w:rFonts w:ascii="Times New Roman" w:hAnsi="Times New Roman" w:eastAsia="方正小标宋_GBK" w:cs="Times New Roman"/>
          <w:sz w:val="52"/>
          <w:szCs w:val="52"/>
        </w:rPr>
      </w:pPr>
    </w:p>
    <w:p w14:paraId="49E6929E">
      <w:pPr>
        <w:pStyle w:val="13"/>
        <w:spacing w:line="360" w:lineRule="auto"/>
        <w:jc w:val="center"/>
        <w:rPr>
          <w:rFonts w:ascii="Times New Roman" w:hAnsi="Times New Roman" w:eastAsia="方正小标宋_GBK" w:cs="Times New Roman"/>
          <w:sz w:val="52"/>
          <w:szCs w:val="52"/>
        </w:rPr>
      </w:pPr>
    </w:p>
    <w:p w14:paraId="2354EFB0">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5CB3DB0">
      <w:pPr>
        <w:rPr>
          <w:rFonts w:ascii="Times New Roman" w:hAnsi="Times New Roman" w:cs="Times New Roman"/>
          <w:sz w:val="72"/>
          <w:szCs w:val="72"/>
        </w:rPr>
      </w:pPr>
    </w:p>
    <w:p w14:paraId="0C60DC65">
      <w:pPr>
        <w:pStyle w:val="13"/>
        <w:spacing w:line="600" w:lineRule="exact"/>
        <w:ind w:firstLine="640" w:firstLineChars="20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一、2024年部门决算公开表</w:t>
      </w:r>
    </w:p>
    <w:p w14:paraId="397A9F66">
      <w:pPr>
        <w:pStyle w:val="13"/>
        <w:jc w:val="center"/>
        <w:rPr>
          <w:rFonts w:ascii="Times New Roman" w:hAnsi="Times New Roman" w:cs="Times New Roman"/>
          <w:sz w:val="72"/>
          <w:szCs w:val="72"/>
        </w:rPr>
      </w:pPr>
    </w:p>
    <w:p w14:paraId="76BBF95D">
      <w:pPr>
        <w:pStyle w:val="13"/>
        <w:jc w:val="center"/>
        <w:rPr>
          <w:rFonts w:ascii="Times New Roman" w:hAnsi="Times New Roman" w:cs="Times New Roman"/>
          <w:sz w:val="72"/>
          <w:szCs w:val="72"/>
        </w:rPr>
      </w:pPr>
    </w:p>
    <w:p w14:paraId="5DDF2254">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Noto Sans SC">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88987">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AB14A">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F5AD7">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50FEF">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12BB1">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A512BB1">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A9458"/>
    <w:multiLevelType w:val="singleLevel"/>
    <w:tmpl w:val="8CFA9458"/>
    <w:lvl w:ilvl="0" w:tentative="0">
      <w:start w:val="2"/>
      <w:numFmt w:val="chineseCounting"/>
      <w:suff w:val="space"/>
      <w:lvlText w:val="第%1部分"/>
      <w:lvlJc w:val="left"/>
      <w:rPr>
        <w:rFonts w:hint="eastAsia"/>
      </w:rPr>
    </w:lvl>
  </w:abstractNum>
  <w:abstractNum w:abstractNumId="1">
    <w:nsid w:val="12B23E6F"/>
    <w:multiLevelType w:val="singleLevel"/>
    <w:tmpl w:val="12B23E6F"/>
    <w:lvl w:ilvl="0" w:tentative="0">
      <w:start w:val="3"/>
      <w:numFmt w:val="decimal"/>
      <w:suff w:val="nothing"/>
      <w:lvlText w:val="%1、"/>
      <w:lvlJc w:val="left"/>
    </w:lvl>
  </w:abstractNum>
  <w:abstractNum w:abstractNumId="2">
    <w:nsid w:val="78DFB883"/>
    <w:multiLevelType w:val="singleLevel"/>
    <w:tmpl w:val="78DFB883"/>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EF6780"/>
    <w:rsid w:val="137801E0"/>
    <w:rsid w:val="1D97DEFF"/>
    <w:rsid w:val="1DFF72E5"/>
    <w:rsid w:val="1EFC6F07"/>
    <w:rsid w:val="2B165956"/>
    <w:rsid w:val="2FDF85B8"/>
    <w:rsid w:val="2FFFEE04"/>
    <w:rsid w:val="302968AC"/>
    <w:rsid w:val="327B592F"/>
    <w:rsid w:val="34DF85B0"/>
    <w:rsid w:val="3B8F36BC"/>
    <w:rsid w:val="3BE2016D"/>
    <w:rsid w:val="491FF225"/>
    <w:rsid w:val="4E716E13"/>
    <w:rsid w:val="4FFD214C"/>
    <w:rsid w:val="5777D4F5"/>
    <w:rsid w:val="59DD8326"/>
    <w:rsid w:val="5DEF592A"/>
    <w:rsid w:val="5E624433"/>
    <w:rsid w:val="5FC6BB1E"/>
    <w:rsid w:val="5FF720F1"/>
    <w:rsid w:val="67FF5C0B"/>
    <w:rsid w:val="69E14DA6"/>
    <w:rsid w:val="6EFC0924"/>
    <w:rsid w:val="6FB74722"/>
    <w:rsid w:val="6FEF8B7E"/>
    <w:rsid w:val="71A6591B"/>
    <w:rsid w:val="737D59BA"/>
    <w:rsid w:val="7395275D"/>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1342</Words>
  <Characters>1380</Characters>
  <Lines>69</Lines>
  <Paragraphs>19</Paragraphs>
  <TotalTime>135</TotalTime>
  <ScaleCrop>false</ScaleCrop>
  <LinksUpToDate>false</LinksUpToDate>
  <CharactersWithSpaces>1819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Legend、Timid</cp:lastModifiedBy>
  <cp:lastPrinted>2024-08-08T18:20:00Z</cp:lastPrinted>
  <dcterms:modified xsi:type="dcterms:W3CDTF">2025-09-22T06:31:23Z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eyJoZGlkIjoiMzEwNTM5NzYwMDRjMzkwZTVkZjY2ODkwMGIxNGU0OTUiLCJ1c2VySWQiOiI0MzE1ODgzMTkifQ==</vt:lpwstr>
  </property>
</Properties>
</file>