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9"/>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怀化市铁路第二中学</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9"/>
        <w:jc w:val="center"/>
        <w:rPr>
          <w:rFonts w:hint="eastAsia"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500" w:lineRule="exact"/>
        <w:jc w:val="center"/>
        <w:rPr>
          <w:b/>
          <w:sz w:val="36"/>
          <w:szCs w:val="28"/>
        </w:rPr>
      </w:pPr>
      <w:r>
        <w:rPr>
          <w:rFonts w:hint="eastAsia"/>
          <w:b/>
          <w:sz w:val="36"/>
          <w:szCs w:val="28"/>
        </w:rPr>
        <w:t>目录</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怀化市铁路第二中学</w:t>
      </w:r>
      <w:r>
        <w:rPr>
          <w:rFonts w:hint="eastAsia" w:ascii="黑体" w:hAnsi="黑体" w:eastAsia="黑体" w:cs="黑体"/>
          <w:b w:val="0"/>
          <w:bCs/>
          <w:sz w:val="28"/>
          <w:szCs w:val="28"/>
        </w:rPr>
        <w:t>概况</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怀化市铁路第二中学</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贯彻执行党和国家教育方针、政策和法律法规，坚持立德树人，坚持依法办学；</w:t>
      </w:r>
      <w:r>
        <w:rPr>
          <w:rFonts w:hint="eastAsia" w:ascii="Times New Roman" w:hAnsi="Times New Roman" w:eastAsia="仿宋_GB2312" w:cs="仿宋_GB2312"/>
          <w:sz w:val="32"/>
          <w:szCs w:val="32"/>
          <w:lang w:eastAsia="zh-CN"/>
        </w:rPr>
        <w:t>招收适龄青少年入学，为社会培养更多有用的人。</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负责制定和组织实施学校教育发展规划和年度工作计划</w:t>
      </w:r>
      <w:r>
        <w:rPr>
          <w:rFonts w:hint="eastAsia" w:ascii="Times New Roman" w:hAnsi="Times New Roman" w:eastAsia="仿宋_GB2312" w:cs="仿宋_GB2312"/>
          <w:sz w:val="32"/>
          <w:szCs w:val="32"/>
          <w:lang w:eastAsia="zh-CN"/>
        </w:rPr>
        <w:t>。</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负责组织开展教育教学科研和教育教学改革</w:t>
      </w:r>
      <w:r>
        <w:rPr>
          <w:rFonts w:hint="eastAsia" w:ascii="Times New Roman" w:hAnsi="Times New Roman" w:eastAsia="仿宋_GB2312" w:cs="仿宋_GB2312"/>
          <w:sz w:val="32"/>
          <w:szCs w:val="32"/>
          <w:lang w:eastAsia="zh-CN"/>
        </w:rPr>
        <w:t>。</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按照干部职数、教师编制和管理权限，负责教师人事管理、继续教育与考核考评工作</w:t>
      </w:r>
      <w:r>
        <w:rPr>
          <w:rFonts w:hint="eastAsia" w:ascii="Times New Roman" w:hAnsi="Times New Roman" w:eastAsia="仿宋_GB2312" w:cs="仿宋_GB2312"/>
          <w:sz w:val="32"/>
          <w:szCs w:val="32"/>
          <w:lang w:eastAsia="zh-CN"/>
        </w:rPr>
        <w:t>。</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负责学校资金、资产、资源管理，执行财政、财务、会计、 国有资产管理制度及办法；负责学校财务和基建管理，改善学校办学条件</w:t>
      </w:r>
      <w:r>
        <w:rPr>
          <w:rFonts w:hint="eastAsia" w:ascii="Times New Roman" w:hAnsi="Times New Roman" w:eastAsia="仿宋_GB2312" w:cs="仿宋_GB2312"/>
          <w:sz w:val="32"/>
          <w:szCs w:val="32"/>
          <w:lang w:eastAsia="zh-CN"/>
        </w:rPr>
        <w:t>。</w:t>
      </w:r>
    </w:p>
    <w:p>
      <w:pPr>
        <w:numPr>
          <w:ilvl w:val="0"/>
          <w:numId w:val="2"/>
        </w:num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承办上级主管部门交办的其他事项。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（一）内设机构设置。怀化市铁路第二中学是一级部门预算单位，内设机构包括：教务处、德育处、总务处，办公室，教科室，督导室，财务室，工会、现代教育技术室及三个年级组。</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怀化市铁路第二中学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怀化市铁路第二</w:t>
      </w:r>
      <w:r>
        <w:rPr>
          <w:rFonts w:hint="eastAsia" w:ascii="Times New Roman" w:hAnsi="Times New Roman" w:eastAsia="仿宋_GB2312" w:cs="仿宋_GB2312"/>
          <w:bCs/>
          <w:kern w:val="0"/>
          <w:sz w:val="32"/>
          <w:szCs w:val="32"/>
        </w:rPr>
        <w:t>中学,无二级预算单位。</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3900" w:type="dxa"/>
        <w:tblInd w:w="0" w:type="dxa"/>
        <w:tblLayout w:type="fixed"/>
        <w:tblCellMar>
          <w:top w:w="0" w:type="dxa"/>
          <w:left w:w="0" w:type="dxa"/>
          <w:bottom w:w="0" w:type="dxa"/>
          <w:right w:w="0" w:type="dxa"/>
        </w:tblCellMar>
      </w:tblPr>
      <w:tblGrid>
        <w:gridCol w:w="275"/>
        <w:gridCol w:w="275"/>
        <w:gridCol w:w="1480"/>
        <w:gridCol w:w="1806"/>
        <w:gridCol w:w="1806"/>
        <w:gridCol w:w="1806"/>
        <w:gridCol w:w="1806"/>
        <w:gridCol w:w="1806"/>
        <w:gridCol w:w="1806"/>
        <w:gridCol w:w="2562"/>
      </w:tblGrid>
      <w:tr>
        <w:tblPrEx>
          <w:tblCellMar>
            <w:top w:w="0" w:type="dxa"/>
            <w:left w:w="0" w:type="dxa"/>
            <w:bottom w:w="0" w:type="dxa"/>
            <w:right w:w="0" w:type="dxa"/>
          </w:tblCellMar>
        </w:tblPrEx>
        <w:trPr>
          <w:trHeight w:val="435" w:hRule="atLeast"/>
        </w:trPr>
        <w:tc>
          <w:tcPr>
            <w:tcW w:w="139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2"/>
              <w:gridCol w:w="580"/>
              <w:gridCol w:w="1329"/>
              <w:gridCol w:w="4750"/>
              <w:gridCol w:w="1545"/>
              <w:gridCol w:w="525"/>
              <w:gridCol w:w="650"/>
              <w:gridCol w:w="1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17"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40"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317"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89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6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4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9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175"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60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897"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6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4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9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175"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60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571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62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3278.53</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3704.91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426.39</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3704.91</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62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4" w:type="dxa"/>
                <w:trHeight w:val="448" w:hRule="atLeast"/>
              </w:trPr>
              <w:tc>
                <w:tcPr>
                  <w:tcW w:w="3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3704.91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lang w:val="en-US" w:eastAsia="zh-CN"/>
                    </w:rPr>
                    <w:t>3704.91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7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7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5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1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5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8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203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5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203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3,704.91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3,278.53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426.39</w:t>
            </w: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3,278.53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426.39</w:t>
            </w: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3,278.53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426.39</w:t>
            </w: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3,278.53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426.39</w:t>
            </w: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p>
        </w:tc>
      </w:tr>
      <w:tr>
        <w:tblPrEx>
          <w:tblCellMar>
            <w:top w:w="0" w:type="dxa"/>
            <w:left w:w="0" w:type="dxa"/>
            <w:bottom w:w="0" w:type="dxa"/>
            <w:right w:w="0" w:type="dxa"/>
          </w:tblCellMar>
        </w:tblPrEx>
        <w:trPr>
          <w:trHeight w:val="615" w:hRule="atLeast"/>
        </w:trPr>
        <w:tc>
          <w:tcPr>
            <w:tcW w:w="1390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5"/>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3,704.91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2,786.32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918.59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2,786.32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918.59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2,786.32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918.59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3,704.91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2,786.32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918.59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5"/>
        <w:tblW w:w="15521" w:type="dxa"/>
        <w:tblInd w:w="93" w:type="dxa"/>
        <w:tblLayout w:type="fixed"/>
        <w:tblCellMar>
          <w:top w:w="0" w:type="dxa"/>
          <w:left w:w="108" w:type="dxa"/>
          <w:bottom w:w="0" w:type="dxa"/>
          <w:right w:w="108" w:type="dxa"/>
        </w:tblCellMar>
      </w:tblPr>
      <w:tblGrid>
        <w:gridCol w:w="3591"/>
        <w:gridCol w:w="436"/>
        <w:gridCol w:w="1280"/>
        <w:gridCol w:w="310"/>
        <w:gridCol w:w="2911"/>
        <w:gridCol w:w="631"/>
        <w:gridCol w:w="435"/>
        <w:gridCol w:w="1571"/>
        <w:gridCol w:w="1392"/>
        <w:gridCol w:w="1392"/>
        <w:gridCol w:w="1572"/>
      </w:tblGrid>
      <w:tr>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52"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52"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30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14"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3,278.53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2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3,278.53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2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2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3,278.53　</w:t>
            </w:r>
          </w:p>
        </w:tc>
        <w:tc>
          <w:tcPr>
            <w:tcW w:w="322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3,278.53　</w:t>
            </w:r>
          </w:p>
        </w:tc>
        <w:tc>
          <w:tcPr>
            <w:tcW w:w="13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3,278.53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2,786.32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492.21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3,278.53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2,786.32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492.21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3,278.53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2,786.32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492.21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3,278.53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2,786.32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492.21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fixed"/>
        <w:tblCellMar>
          <w:top w:w="0" w:type="dxa"/>
          <w:left w:w="108" w:type="dxa"/>
          <w:bottom w:w="0" w:type="dxa"/>
          <w:right w:w="108" w:type="dxa"/>
        </w:tblCellMar>
      </w:tblPr>
      <w:tblGrid>
        <w:gridCol w:w="1050"/>
        <w:gridCol w:w="166"/>
        <w:gridCol w:w="70"/>
        <w:gridCol w:w="1293"/>
        <w:gridCol w:w="70"/>
        <w:gridCol w:w="1806"/>
        <w:gridCol w:w="220"/>
        <w:gridCol w:w="70"/>
        <w:gridCol w:w="898"/>
        <w:gridCol w:w="972"/>
        <w:gridCol w:w="518"/>
        <w:gridCol w:w="70"/>
        <w:gridCol w:w="1692"/>
        <w:gridCol w:w="295"/>
        <w:gridCol w:w="70"/>
        <w:gridCol w:w="453"/>
        <w:gridCol w:w="1190"/>
        <w:gridCol w:w="349"/>
        <w:gridCol w:w="70"/>
        <w:gridCol w:w="1986"/>
        <w:gridCol w:w="70"/>
        <w:gridCol w:w="1602"/>
        <w:gridCol w:w="386"/>
        <w:gridCol w:w="70"/>
        <w:gridCol w:w="178"/>
      </w:tblGrid>
      <w:tr>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05"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8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1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77"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2,524.02</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174.38</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1,278.65</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21.92</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74.23</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13.02</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402.57</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0.49</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34"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27.10</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6.52</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34"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295.84</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13.07</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47.05</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11.79</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121.90</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24.16</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2.14</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245.68</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9.26</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2.32</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86.17</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3.86</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40.00</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1.52</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0.52</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80.80</w:t>
            </w: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1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05"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9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1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28.77</w:t>
            </w:r>
          </w:p>
        </w:tc>
        <w:tc>
          <w:tcPr>
            <w:tcW w:w="11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77"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4" w:type="dxa"/>
            <w:gridSpan w:val="3"/>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45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88"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2,610.19</w:t>
            </w:r>
          </w:p>
        </w:tc>
        <w:tc>
          <w:tcPr>
            <w:tcW w:w="9337" w:type="dxa"/>
            <w:gridSpan w:val="1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34"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176.13</w:t>
            </w:r>
          </w:p>
        </w:tc>
      </w:tr>
      <w:tr>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690" w:hRule="atLeast"/>
        </w:trPr>
        <w:tc>
          <w:tcPr>
            <w:tcW w:w="15366" w:type="dxa"/>
            <w:gridSpan w:val="23"/>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8" w:type="dxa"/>
          <w:trHeight w:val="345" w:hRule="atLeast"/>
        </w:trPr>
        <w:tc>
          <w:tcPr>
            <w:tcW w:w="105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6"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63"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9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458"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7"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2"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6"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8" w:type="dxa"/>
            <w:gridSpan w:val="3"/>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8" w:type="dxa"/>
          <w:trHeight w:val="690" w:hRule="atLeast"/>
        </w:trPr>
        <w:tc>
          <w:tcPr>
            <w:tcW w:w="105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6"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63"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9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458"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7"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2"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6"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8" w:type="dxa"/>
            <w:gridSpan w:val="3"/>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45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2"/>
                <w:lang w:val="en-US" w:eastAsia="zh-CN" w:bidi="ar"/>
              </w:rPr>
              <w:t xml:space="preserve">   </w:t>
            </w:r>
            <w:r>
              <w:rPr>
                <w:rStyle w:val="13"/>
                <w:lang w:val="en-US" w:eastAsia="zh-CN" w:bidi="ar"/>
              </w:rPr>
              <w:t>目</w:t>
            </w:r>
          </w:p>
        </w:tc>
        <w:tc>
          <w:tcPr>
            <w:tcW w:w="20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5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1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609" w:hRule="atLeast"/>
        </w:trPr>
        <w:tc>
          <w:tcPr>
            <w:tcW w:w="12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5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6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409" w:hRule="atLeast"/>
        </w:trPr>
        <w:tc>
          <w:tcPr>
            <w:tcW w:w="12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5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5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509" w:hRule="atLeast"/>
        </w:trPr>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8" w:type="dxa"/>
          <w:trHeight w:val="725" w:hRule="atLeast"/>
        </w:trPr>
        <w:tc>
          <w:tcPr>
            <w:tcW w:w="15366" w:type="dxa"/>
            <w:gridSpan w:val="2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hint="eastAsia" w:ascii="方正小标宋_GBK" w:hAnsi="方正小标宋_GBK" w:eastAsia="方正小标宋_GBK" w:cs="方正小标宋_GBK"/>
          <w:sz w:val="70"/>
          <w:szCs w:val="70"/>
        </w:rPr>
      </w:pPr>
    </w:p>
    <w:p>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7409.82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1488.85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2022年增加基础性绩效奖金，课后服务收入支出增长。</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3704.91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88.5</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426.39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3704.91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2786.32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918.59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9"/>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6557.06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924.27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2022年增加基础性绩效奖金，人员支出增长。</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88.5</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157.74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2022年增加基础性绩效奖金，人员支出增长。</w:t>
      </w:r>
    </w:p>
    <w:p>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万元，主要用于以下方面：教育（类）支出</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1869.31</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175.38</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初中教育</w:t>
      </w:r>
      <w:r>
        <w:rPr>
          <w:rFonts w:hint="eastAsia" w:ascii="Times New Roman" w:hAnsi="Times New Roman" w:eastAsia="仿宋_GB2312"/>
          <w:sz w:val="32"/>
          <w:szCs w:val="32"/>
        </w:rPr>
        <w:t>（项）。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1869.31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3278.53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175.38</w:t>
      </w:r>
      <w:r>
        <w:rPr>
          <w:rFonts w:hint="eastAsia" w:ascii="Times New Roman" w:hAnsi="Times New Roman" w:eastAsia="仿宋_GB2312"/>
          <w:sz w:val="32"/>
          <w:szCs w:val="32"/>
        </w:rPr>
        <w:t>%%，决算数大于年初预算数的主要原因是：主要是因为</w:t>
      </w:r>
      <w:r>
        <w:rPr>
          <w:rFonts w:hint="eastAsia" w:ascii="Times New Roman" w:hAnsi="Times New Roman" w:eastAsia="仿宋_GB2312"/>
          <w:sz w:val="32"/>
          <w:szCs w:val="32"/>
          <w:lang w:val="en-US" w:eastAsia="zh-CN"/>
        </w:rPr>
        <w:t>2022年增加基础性绩效奖金，人员支出增长。</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2786.32</w:t>
      </w:r>
      <w:r>
        <w:rPr>
          <w:rFonts w:hint="eastAsia" w:ascii="Times New Roman" w:hAnsi="Times New Roman" w:eastAsia="仿宋_GB2312"/>
          <w:sz w:val="32"/>
          <w:szCs w:val="32"/>
        </w:rPr>
        <w:t>万元，其中：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2610.19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93.67</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基本工资</w:t>
      </w:r>
      <w:r>
        <w:rPr>
          <w:rFonts w:hint="eastAsia" w:ascii="Times New Roman" w:hAnsi="Times New Roman" w:eastAsia="仿宋_GB2312"/>
          <w:sz w:val="32"/>
          <w:szCs w:val="32"/>
          <w:lang w:val="en-US" w:eastAsia="zh-CN"/>
        </w:rPr>
        <w:t>1278.65万元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74.23万元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402.57万元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27.1万元、</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val="en-US" w:eastAsia="zh-CN"/>
        </w:rPr>
        <w:t>295.84万元、</w:t>
      </w:r>
      <w:r>
        <w:rPr>
          <w:rFonts w:hint="eastAsia" w:ascii="Times New Roman" w:hAnsi="Times New Roman" w:eastAsia="仿宋_GB2312"/>
          <w:sz w:val="32"/>
          <w:szCs w:val="32"/>
        </w:rPr>
        <w:t>职业年金缴费</w:t>
      </w:r>
      <w:r>
        <w:rPr>
          <w:rFonts w:hint="eastAsia" w:ascii="Times New Roman" w:hAnsi="Times New Roman" w:eastAsia="仿宋_GB2312"/>
          <w:sz w:val="32"/>
          <w:szCs w:val="32"/>
          <w:lang w:val="en-US" w:eastAsia="zh-CN"/>
        </w:rPr>
        <w:t>47.05万元、</w:t>
      </w:r>
      <w:r>
        <w:rPr>
          <w:rFonts w:hint="eastAsia" w:ascii="Times New Roman" w:hAnsi="Times New Roman" w:eastAsia="仿宋_GB2312"/>
          <w:sz w:val="32"/>
          <w:szCs w:val="32"/>
        </w:rPr>
        <w:t>职工基本医疗保险缴费</w:t>
      </w:r>
      <w:r>
        <w:rPr>
          <w:rFonts w:hint="eastAsia" w:ascii="Times New Roman" w:hAnsi="Times New Roman" w:eastAsia="仿宋_GB2312"/>
          <w:sz w:val="32"/>
          <w:szCs w:val="32"/>
          <w:lang w:val="en-US" w:eastAsia="zh-CN"/>
        </w:rPr>
        <w:t>121.9万元、</w:t>
      </w:r>
      <w:r>
        <w:rPr>
          <w:rFonts w:hint="eastAsia" w:ascii="Times New Roman" w:hAnsi="Times New Roman" w:eastAsia="仿宋_GB2312"/>
          <w:sz w:val="32"/>
          <w:szCs w:val="32"/>
        </w:rPr>
        <w:t>其他社会保障缴费</w:t>
      </w:r>
      <w:r>
        <w:rPr>
          <w:rFonts w:hint="eastAsia" w:ascii="Times New Roman" w:hAnsi="Times New Roman" w:eastAsia="仿宋_GB2312"/>
          <w:sz w:val="32"/>
          <w:szCs w:val="32"/>
          <w:lang w:val="en-US" w:eastAsia="zh-CN"/>
        </w:rPr>
        <w:t>31.01万元、</w:t>
      </w:r>
      <w:r>
        <w:rPr>
          <w:rFonts w:hint="eastAsia" w:ascii="Times New Roman" w:hAnsi="Times New Roman" w:eastAsia="仿宋_GB2312"/>
          <w:sz w:val="32"/>
          <w:szCs w:val="32"/>
        </w:rPr>
        <w:t>住房公积金</w:t>
      </w:r>
      <w:r>
        <w:rPr>
          <w:rFonts w:hint="eastAsia" w:ascii="Times New Roman" w:hAnsi="Times New Roman" w:eastAsia="仿宋_GB2312"/>
          <w:sz w:val="32"/>
          <w:szCs w:val="32"/>
          <w:lang w:val="en-US" w:eastAsia="zh-CN"/>
        </w:rPr>
        <w:t>245.68万元、</w:t>
      </w:r>
      <w:r>
        <w:rPr>
          <w:rFonts w:hint="eastAsia" w:ascii="Times New Roman" w:hAnsi="Times New Roman" w:eastAsia="仿宋_GB2312"/>
          <w:sz w:val="32"/>
          <w:szCs w:val="32"/>
        </w:rPr>
        <w:t>生活补助</w:t>
      </w:r>
      <w:r>
        <w:rPr>
          <w:rFonts w:hint="eastAsia" w:ascii="Times New Roman" w:hAnsi="Times New Roman" w:eastAsia="仿宋_GB2312"/>
          <w:sz w:val="32"/>
          <w:szCs w:val="32"/>
          <w:lang w:val="en-US" w:eastAsia="zh-CN"/>
        </w:rPr>
        <w:t>3.86万元、</w:t>
      </w:r>
      <w:r>
        <w:rPr>
          <w:rFonts w:hint="eastAsia" w:ascii="Times New Roman" w:hAnsi="Times New Roman" w:eastAsia="仿宋_GB2312"/>
          <w:sz w:val="32"/>
          <w:szCs w:val="32"/>
        </w:rPr>
        <w:t>奖励金</w:t>
      </w:r>
      <w:r>
        <w:rPr>
          <w:rFonts w:hint="eastAsia" w:ascii="Times New Roman" w:hAnsi="Times New Roman" w:eastAsia="仿宋_GB2312"/>
          <w:sz w:val="32"/>
          <w:szCs w:val="32"/>
          <w:lang w:val="en-US" w:eastAsia="zh-CN"/>
        </w:rPr>
        <w:t>1.52万元、</w:t>
      </w:r>
      <w:r>
        <w:rPr>
          <w:rFonts w:hint="eastAsia" w:ascii="Times New Roman" w:hAnsi="Times New Roman" w:eastAsia="仿宋_GB2312"/>
          <w:sz w:val="32"/>
          <w:szCs w:val="32"/>
        </w:rPr>
        <w:t>其他对个人和家庭的补助</w:t>
      </w:r>
      <w:r>
        <w:rPr>
          <w:rFonts w:hint="eastAsia" w:ascii="Times New Roman" w:hAnsi="Times New Roman" w:eastAsia="仿宋_GB2312"/>
          <w:sz w:val="32"/>
          <w:szCs w:val="32"/>
          <w:lang w:val="en-US" w:eastAsia="zh-CN"/>
        </w:rPr>
        <w:t>80.8万元</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176.18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6.33</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办公费21.92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印刷费13.02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咨询费0.49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水费6.52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电费13.07</w:t>
      </w:r>
      <w:r>
        <w:rPr>
          <w:rFonts w:hint="eastAsia" w:ascii="Times New Roman" w:hAnsi="Times New Roman" w:eastAsia="仿宋_GB2312"/>
          <w:sz w:val="32"/>
          <w:szCs w:val="32"/>
          <w:lang w:eastAsia="zh-CN"/>
        </w:rPr>
        <w:t>万元、</w:t>
      </w:r>
    </w:p>
    <w:p>
      <w:pPr>
        <w:pStyle w:val="9"/>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邮电费11.79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物业管理费24.16</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差旅费2.14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维修（护）费9.26</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租赁费</w:t>
      </w:r>
      <w:r>
        <w:rPr>
          <w:rFonts w:hint="eastAsia" w:ascii="Times New Roman" w:hAnsi="Times New Roman" w:eastAsia="仿宋_GB2312"/>
          <w:sz w:val="32"/>
          <w:szCs w:val="32"/>
        </w:rPr>
        <w:tab/>
      </w:r>
      <w:r>
        <w:rPr>
          <w:rFonts w:hint="eastAsia" w:ascii="Times New Roman" w:hAnsi="Times New Roman" w:eastAsia="仿宋_GB2312"/>
          <w:sz w:val="32"/>
          <w:szCs w:val="32"/>
        </w:rPr>
        <w:t>2.32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工会经费</w:t>
      </w:r>
      <w:r>
        <w:rPr>
          <w:rFonts w:hint="eastAsia" w:ascii="Times New Roman" w:hAnsi="Times New Roman" w:eastAsia="仿宋_GB2312"/>
          <w:sz w:val="32"/>
          <w:szCs w:val="32"/>
        </w:rPr>
        <w:tab/>
      </w:r>
      <w:r>
        <w:rPr>
          <w:rFonts w:hint="eastAsia" w:ascii="Times New Roman" w:hAnsi="Times New Roman" w:eastAsia="仿宋_GB2312"/>
          <w:sz w:val="32"/>
          <w:szCs w:val="32"/>
        </w:rPr>
        <w:t>40</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公务用车运行维护费0.52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其他交通费用0.4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其他商品和服务支出28.77</w:t>
      </w:r>
      <w:r>
        <w:rPr>
          <w:rFonts w:hint="eastAsia" w:ascii="Times New Roman" w:hAnsi="Times New Roman" w:eastAsia="仿宋_GB2312"/>
          <w:sz w:val="32"/>
          <w:szCs w:val="32"/>
          <w:lang w:eastAsia="zh-CN"/>
        </w:rPr>
        <w:t>万元、办公设备购置</w:t>
      </w:r>
      <w:r>
        <w:rPr>
          <w:rFonts w:hint="eastAsia" w:ascii="Times New Roman" w:hAnsi="Times New Roman" w:eastAsia="仿宋_GB2312"/>
          <w:sz w:val="32"/>
          <w:szCs w:val="32"/>
          <w:lang w:eastAsia="zh-CN"/>
        </w:rPr>
        <w:tab/>
      </w:r>
      <w:r>
        <w:rPr>
          <w:rFonts w:hint="eastAsia" w:ascii="Times New Roman" w:hAnsi="Times New Roman" w:eastAsia="仿宋_GB2312"/>
          <w:sz w:val="32"/>
          <w:szCs w:val="32"/>
          <w:lang w:eastAsia="zh-CN"/>
        </w:rPr>
        <w:t>1.75万元。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预算数的主要原因是无因公出国（境）活动</w:t>
      </w:r>
      <w:r>
        <w:rPr>
          <w:rFonts w:hint="eastAsia" w:ascii="Times New Roman" w:hAnsi="Times New Roman" w:eastAsia="仿宋_GB2312"/>
          <w:sz w:val="32"/>
          <w:szCs w:val="32"/>
          <w:lang w:eastAsia="zh-CN"/>
        </w:rPr>
        <w:t>安排</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%,减少（增长）的主要原因是全年无因公出国（境）活动。</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我校坚持不懈落实中央八项规定精神，</w:t>
      </w:r>
      <w:r>
        <w:rPr>
          <w:rFonts w:hint="eastAsia" w:ascii="Times New Roman" w:hAnsi="Times New Roman" w:eastAsia="仿宋_GB2312"/>
          <w:sz w:val="32"/>
          <w:szCs w:val="32"/>
        </w:rPr>
        <w:t>全年无因公出国（境）活动。与上年相比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我校坚持不懈落实中央八项规定精神，</w:t>
      </w:r>
      <w:r>
        <w:rPr>
          <w:rFonts w:hint="eastAsia" w:ascii="Times New Roman" w:hAnsi="Times New Roman" w:eastAsia="仿宋_GB2312"/>
          <w:sz w:val="32"/>
          <w:szCs w:val="32"/>
        </w:rPr>
        <w:t>全年无因公出国（境）活动。</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公务用车购置</w:t>
      </w:r>
      <w:r>
        <w:rPr>
          <w:rFonts w:hint="eastAsia" w:ascii="Times New Roman" w:hAnsi="Times New Roman" w:eastAsia="仿宋_GB2312"/>
          <w:sz w:val="32"/>
          <w:szCs w:val="32"/>
          <w:lang w:eastAsia="zh-CN"/>
        </w:rPr>
        <w:t>需求</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全年无</w:t>
      </w:r>
      <w:r>
        <w:rPr>
          <w:rFonts w:hint="eastAsia" w:ascii="Times New Roman" w:hAnsi="Times New Roman" w:eastAsia="仿宋_GB2312"/>
          <w:sz w:val="32"/>
          <w:szCs w:val="32"/>
        </w:rPr>
        <w:t>公务用车购置</w:t>
      </w:r>
      <w:r>
        <w:rPr>
          <w:rFonts w:hint="eastAsia" w:ascii="Times New Roman" w:hAnsi="Times New Roman" w:eastAsia="仿宋_GB2312"/>
          <w:sz w:val="32"/>
          <w:szCs w:val="32"/>
          <w:lang w:eastAsia="zh-CN"/>
        </w:rPr>
        <w:t>计划</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公务用车次数减少、公务用车维修保养费用减少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全年公务用车活动次数减少</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怀化市铁路第二中学</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公务用车保险费、油费、维修费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初中教育</w:t>
      </w:r>
      <w:r>
        <w:rPr>
          <w:rFonts w:hint="eastAsia" w:ascii="Times New Roman" w:hAnsi="Times New Roman" w:eastAsia="仿宋_GB2312"/>
          <w:sz w:val="32"/>
          <w:szCs w:val="32"/>
        </w:rPr>
        <w:t>（项）。</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年度无政府性基金预算财政拨款收支。</w:t>
      </w:r>
    </w:p>
    <w:p>
      <w:pPr>
        <w:pStyle w:val="9"/>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lang w:eastAsia="zh-CN"/>
        </w:rPr>
      </w:pPr>
      <w:r>
        <w:rPr>
          <w:rFonts w:hint="eastAsia" w:ascii="Times New Roman" w:hAnsi="Times New Roman" w:eastAsia="仿宋_GB2312"/>
          <w:b/>
          <w:bCs/>
          <w:sz w:val="32"/>
          <w:szCs w:val="32"/>
          <w:lang w:eastAsia="zh-CN"/>
        </w:rPr>
        <w:t>国有资本经营预算财政拨款支出决算情况说明</w:t>
      </w:r>
    </w:p>
    <w:p>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年度国有资本经营预算财政拨款收入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初中教育</w:t>
      </w:r>
      <w:r>
        <w:rPr>
          <w:rFonts w:hint="eastAsia" w:ascii="Times New Roman" w:hAnsi="Times New Roman" w:eastAsia="仿宋_GB2312"/>
          <w:sz w:val="32"/>
          <w:szCs w:val="32"/>
        </w:rPr>
        <w:t>（项）。</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年度无国有资本经营预算财政拨款收支。</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bookmarkStart w:id="3" w:name="_GoBack"/>
      <w:bookmarkEnd w:id="3"/>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比年初预算数增加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%。主要原因是：本单位为非参公事业单位，无机关运行经费。</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教育信息技术</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参训教师结合校本应用考核要求和自身发展需求，完成网络研修</w:t>
      </w:r>
      <w:r>
        <w:rPr>
          <w:rFonts w:hint="eastAsia" w:ascii="Times New Roman" w:hAnsi="Times New Roman" w:eastAsia="仿宋_GB2312"/>
          <w:sz w:val="32"/>
          <w:szCs w:val="32"/>
          <w:lang w:val="en-US" w:eastAsia="zh-CN"/>
        </w:rPr>
        <w:t>50学时的研修任务，生成高质量培训成果，提升信息化教学能力</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活动</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382.8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16.74</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344.16</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21.9</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382.8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38.64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89.9</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辆，其他用车主要是市内公务出行使用；单位价值50万元以上通用设备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年度计划招收新生914人；在校学生达到2640人；二、校园建设及设备投入达344.16万元；北校区运动场改造及地下停车场建设项目因施工方原因工期延后，未按时完成，目前正在紧张建设中。南校区外墙改造按时完成。降低一般运行经费16%，加强部门资金的使用管理，在实际操作中，力保每一环节按程序进行，项目资金使用管理上，严格预算管控，加强对项目资金各环节的监管力度。财务管理上强化了责任，做到了细、严、实。2022年分春秋两季已按时完成教育教学任务，并在年度内实现其他目标</w:t>
      </w:r>
      <w:r>
        <w:rPr>
          <w:rFonts w:hint="default" w:ascii="Times New Roman" w:hAnsi="Times New Roman" w:eastAsia="仿宋_GB2312"/>
          <w:sz w:val="32"/>
          <w:szCs w:val="32"/>
        </w:rPr>
        <w:t>。</w:t>
      </w:r>
      <w:r>
        <w:rPr>
          <w:rFonts w:hint="eastAsia" w:ascii="Times New Roman" w:hAnsi="Times New Roman" w:eastAsia="仿宋_GB2312"/>
          <w:sz w:val="32"/>
          <w:szCs w:val="32"/>
        </w:rPr>
        <w:t>全年预算金额3704.91万元，全部用于保障教育教学，保障教职工正常工资福利开支，严格控制各项成本，未超标。服务对象满意指标：学生期末对教师满意评价达98%，家长对学校管理和学校教学质量评价提升，学校办学质量和办学条件得到进一步提升，社会影响效应扩大。</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spacing w:line="500" w:lineRule="atLeast"/>
        <w:ind w:firstLine="640" w:firstLineChars="200"/>
        <w:rPr>
          <w:rFonts w:eastAsia="仿宋_GB2312" w:cs="仿宋_GB2312"/>
          <w:sz w:val="32"/>
          <w:szCs w:val="32"/>
        </w:rPr>
      </w:pPr>
      <w:r>
        <w:rPr>
          <w:rFonts w:hint="eastAsia" w:eastAsia="仿宋_GB2312" w:cs="仿宋_GB2312"/>
          <w:sz w:val="32"/>
          <w:szCs w:val="32"/>
        </w:rPr>
        <w:t>财务管理方法不够完善，绩效管理经验不足，部分成果无法用指标方式表示。</w:t>
      </w:r>
      <w:r>
        <w:rPr>
          <w:rFonts w:hint="eastAsia" w:eastAsia="仿宋_GB2312" w:cs="仿宋_GB2312"/>
          <w:sz w:val="32"/>
          <w:szCs w:val="32"/>
          <w:lang w:eastAsia="zh-CN"/>
        </w:rPr>
        <w:t>我校将</w:t>
      </w:r>
      <w:r>
        <w:rPr>
          <w:rFonts w:hint="eastAsia" w:eastAsia="仿宋_GB2312" w:cs="仿宋_GB2312"/>
          <w:sz w:val="32"/>
          <w:szCs w:val="32"/>
        </w:rPr>
        <w:t>进一步健全和完善财务管理制度及内部控制制度，创新管理手段，用新思路、新方法，改进完善财务管理方法。按照财政支出绩效管理的要求，建立科学的财政资金效益考评制度体系，不断提高财政资金使用管理的水平和效率。</w:t>
      </w:r>
    </w:p>
    <w:p>
      <w:pPr>
        <w:spacing w:line="500" w:lineRule="atLeast"/>
        <w:ind w:firstLine="640" w:firstLineChars="200"/>
        <w:rPr>
          <w:rFonts w:hint="eastAsia" w:eastAsia="仿宋_GB2312" w:cs="仿宋_GB2312"/>
          <w:sz w:val="32"/>
          <w:szCs w:val="32"/>
        </w:rPr>
      </w:pPr>
    </w:p>
    <w:p>
      <w:pPr>
        <w:pStyle w:val="9"/>
        <w:keepNext w:val="0"/>
        <w:keepLines w:val="0"/>
        <w:pageBreakBefore w:val="0"/>
        <w:widowControl w:val="0"/>
        <w:kinsoku/>
        <w:wordWrap/>
        <w:overflowPunct/>
        <w:topLinePunct w:val="0"/>
        <w:bidi w:val="0"/>
        <w:snapToGrid/>
        <w:spacing w:line="600" w:lineRule="exact"/>
        <w:ind w:firstLine="1440" w:firstLineChars="200"/>
        <w:jc w:val="left"/>
        <w:textAlignment w:val="auto"/>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办公用车运行维修费以及其他费用。</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sz w:val="72"/>
          <w:szCs w:val="72"/>
        </w:rPr>
      </w:pPr>
    </w:p>
    <w:p>
      <w:pPr>
        <w:pStyle w:val="9"/>
        <w:jc w:val="center"/>
        <w:rPr>
          <w:sz w:val="72"/>
          <w:szCs w:val="72"/>
        </w:rPr>
      </w:pPr>
    </w:p>
    <w:p>
      <w:pPr>
        <w:pStyle w:val="9"/>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6A2766"/>
    <w:multiLevelType w:val="singleLevel"/>
    <w:tmpl w:val="9C6A2766"/>
    <w:lvl w:ilvl="0" w:tentative="0">
      <w:start w:val="9"/>
      <w:numFmt w:val="chineseCounting"/>
      <w:suff w:val="nothing"/>
      <w:lvlText w:val="%1、"/>
      <w:lvlJc w:val="left"/>
      <w:rPr>
        <w:rFonts w:hint="eastAsia"/>
      </w:rPr>
    </w:lvl>
  </w:abstractNum>
  <w:abstractNum w:abstractNumId="1">
    <w:nsid w:val="1083A006"/>
    <w:multiLevelType w:val="singleLevel"/>
    <w:tmpl w:val="1083A006"/>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hZDM1NGZiMDAxMGZhYWQ2YzBiZjA5OWViMDE4OT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5F6B8D"/>
    <w:rsid w:val="064356E9"/>
    <w:rsid w:val="0764271A"/>
    <w:rsid w:val="0ECC44BA"/>
    <w:rsid w:val="13FD5BCD"/>
    <w:rsid w:val="15B0785C"/>
    <w:rsid w:val="18A46E1B"/>
    <w:rsid w:val="19434DD3"/>
    <w:rsid w:val="1A000688"/>
    <w:rsid w:val="2C891DF8"/>
    <w:rsid w:val="37F963E3"/>
    <w:rsid w:val="3F1F4905"/>
    <w:rsid w:val="4116252F"/>
    <w:rsid w:val="42405D63"/>
    <w:rsid w:val="4B1443BB"/>
    <w:rsid w:val="5777D4F5"/>
    <w:rsid w:val="5FC6BB1E"/>
    <w:rsid w:val="5FF720F1"/>
    <w:rsid w:val="609554A5"/>
    <w:rsid w:val="65B47C07"/>
    <w:rsid w:val="6861688F"/>
    <w:rsid w:val="6CC336BB"/>
    <w:rsid w:val="6FAA5842"/>
    <w:rsid w:val="737D59BA"/>
    <w:rsid w:val="75D279D6"/>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2</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2023-09-28T09:00:06Z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891A215179B749B8ACD85DC4C52B1190_12</vt:lpwstr>
  </property>
</Properties>
</file>